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050E1" w14:textId="77777777" w:rsidR="00CC586D" w:rsidRPr="00250188" w:rsidRDefault="00CC586D" w:rsidP="00971DFA">
      <w:pPr>
        <w:pStyle w:val="Organisation"/>
        <w:ind w:firstLine="720"/>
      </w:pPr>
      <w:r w:rsidRPr="00250188">
        <w:t>Independent Hospital Pricing Authority</w:t>
      </w:r>
    </w:p>
    <w:p w14:paraId="3C0BA912" w14:textId="77777777" w:rsidR="005C107F" w:rsidRPr="00D111B6" w:rsidRDefault="005C107F" w:rsidP="005C107F">
      <w:pPr>
        <w:pStyle w:val="Header"/>
        <w:rPr>
          <w:color w:val="FFFFFF" w:themeColor="background2"/>
          <w:sz w:val="84"/>
          <w:szCs w:val="84"/>
        </w:rPr>
      </w:pPr>
      <w:r w:rsidRPr="00D111B6">
        <w:rPr>
          <w:color w:val="FFFFFF" w:themeColor="background2"/>
          <w:sz w:val="84"/>
          <w:szCs w:val="84"/>
        </w:rPr>
        <w:t xml:space="preserve">National Hospital Cost Data Collection Report </w:t>
      </w:r>
    </w:p>
    <w:p w14:paraId="2661EF82" w14:textId="77777777" w:rsidR="005C107F" w:rsidRPr="00D111B6" w:rsidRDefault="005C107F" w:rsidP="005C107F">
      <w:pPr>
        <w:rPr>
          <w:rFonts w:cs="Arial"/>
          <w:b/>
          <w:color w:val="FFFFFF" w:themeColor="background2"/>
          <w:sz w:val="32"/>
          <w:szCs w:val="32"/>
        </w:rPr>
      </w:pPr>
      <w:r w:rsidRPr="00D111B6">
        <w:rPr>
          <w:rFonts w:cs="Arial"/>
          <w:b/>
          <w:color w:val="FFFFFF" w:themeColor="background2"/>
          <w:sz w:val="32"/>
          <w:szCs w:val="32"/>
        </w:rPr>
        <w:t xml:space="preserve">Public Sector, Round </w:t>
      </w:r>
      <w:r w:rsidR="009F18CD" w:rsidRPr="00D111B6">
        <w:rPr>
          <w:rFonts w:cs="Arial"/>
          <w:b/>
          <w:color w:val="FFFFFF" w:themeColor="background2"/>
          <w:sz w:val="32"/>
          <w:szCs w:val="32"/>
        </w:rPr>
        <w:t>22</w:t>
      </w:r>
      <w:r w:rsidRPr="00D111B6">
        <w:rPr>
          <w:rFonts w:cs="Arial"/>
          <w:b/>
          <w:color w:val="FFFFFF" w:themeColor="background2"/>
          <w:sz w:val="32"/>
          <w:szCs w:val="32"/>
        </w:rPr>
        <w:t xml:space="preserve"> (Financial Year </w:t>
      </w:r>
      <w:r w:rsidR="009F18CD" w:rsidRPr="00D111B6">
        <w:rPr>
          <w:rFonts w:cs="Arial"/>
          <w:b/>
          <w:color w:val="FFFFFF" w:themeColor="background2"/>
          <w:sz w:val="32"/>
          <w:szCs w:val="32"/>
        </w:rPr>
        <w:t>2017-18</w:t>
      </w:r>
      <w:r w:rsidRPr="00D111B6">
        <w:rPr>
          <w:rFonts w:cs="Arial"/>
          <w:b/>
          <w:color w:val="FFFFFF" w:themeColor="background2"/>
          <w:sz w:val="32"/>
          <w:szCs w:val="32"/>
        </w:rPr>
        <w:t>)</w:t>
      </w:r>
    </w:p>
    <w:p w14:paraId="162E0B25" w14:textId="77777777" w:rsidR="0064481C" w:rsidRPr="006257E3" w:rsidRDefault="0064481C">
      <w:pPr>
        <w:pStyle w:val="Versionanddate"/>
      </w:pPr>
    </w:p>
    <w:p w14:paraId="7F6E57C4" w14:textId="738AA7D9" w:rsidR="00BC1032" w:rsidRPr="00C650A7" w:rsidRDefault="003A0527">
      <w:pPr>
        <w:pStyle w:val="Versionanddate"/>
      </w:pPr>
      <w:r>
        <w:t>February 2020</w:t>
      </w:r>
    </w:p>
    <w:p w14:paraId="4729E56D" w14:textId="6C6B2404" w:rsidR="0035219F" w:rsidRDefault="00043CF6" w:rsidP="0035219F">
      <w:r w:rsidRPr="001727A4">
        <w:rPr>
          <w:b/>
          <w:noProof/>
          <w:color w:val="008542" w:themeColor="accent2"/>
          <w:sz w:val="16"/>
          <w:szCs w:val="16"/>
        </w:rPr>
        <w:drawing>
          <wp:anchor distT="0" distB="0" distL="114300" distR="114300" simplePos="0" relativeHeight="251674624" behindDoc="1" locked="1" layoutInCell="0" allowOverlap="1" wp14:anchorId="4DD97919" wp14:editId="2A6FA8E2">
            <wp:simplePos x="0" y="0"/>
            <wp:positionH relativeFrom="page">
              <wp:posOffset>-33020</wp:posOffset>
            </wp:positionH>
            <wp:positionV relativeFrom="page">
              <wp:posOffset>-84455</wp:posOffset>
            </wp:positionV>
            <wp:extent cx="7839710" cy="10822305"/>
            <wp:effectExtent l="0" t="0" r="8890" b="0"/>
            <wp:wrapNone/>
            <wp:docPr id="5" name="Picture 5" descr="Decorative"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a:extLst>
                        <a:ext uri="{28A0092B-C50C-407E-A947-70E740481C1C}">
                          <a14:useLocalDpi xmlns:a14="http://schemas.microsoft.com/office/drawing/2010/main" val="0"/>
                        </a:ext>
                      </a:extLst>
                    </a:blip>
                    <a:stretch>
                      <a:fillRect/>
                    </a:stretch>
                  </pic:blipFill>
                  <pic:spPr>
                    <a:xfrm>
                      <a:off x="0" y="0"/>
                      <a:ext cx="7839710" cy="10822305"/>
                    </a:xfrm>
                    <a:prstGeom prst="rect">
                      <a:avLst/>
                    </a:prstGeom>
                  </pic:spPr>
                </pic:pic>
              </a:graphicData>
            </a:graphic>
            <wp14:sizeRelH relativeFrom="margin">
              <wp14:pctWidth>0</wp14:pctWidth>
            </wp14:sizeRelH>
            <wp14:sizeRelV relativeFrom="margin">
              <wp14:pctHeight>0</wp14:pctHeight>
            </wp14:sizeRelV>
          </wp:anchor>
        </w:drawing>
      </w:r>
      <w:r w:rsidR="0035219F">
        <w:br w:type="page"/>
      </w:r>
    </w:p>
    <w:p w14:paraId="2D535DBE" w14:textId="77777777" w:rsidR="00BC1032" w:rsidRDefault="009E651B" w:rsidP="008C2111">
      <w:pPr>
        <w:pStyle w:val="Report"/>
      </w:pPr>
      <w:r w:rsidRPr="00E27B0C">
        <w:lastRenderedPageBreak/>
        <w:t xml:space="preserve">National Hospital Cost Data Collection Report: </w:t>
      </w:r>
      <w:r w:rsidR="005C107F" w:rsidRPr="00E27B0C">
        <w:t xml:space="preserve">Public Sector, </w:t>
      </w:r>
      <w:r w:rsidRPr="00E27B0C">
        <w:t>Round 2</w:t>
      </w:r>
      <w:r w:rsidR="009F18CD" w:rsidRPr="00E27B0C">
        <w:t>2</w:t>
      </w:r>
      <w:r w:rsidRPr="00E27B0C">
        <w:t xml:space="preserve"> Financial Year 201</w:t>
      </w:r>
      <w:r w:rsidR="009F18CD" w:rsidRPr="00E27B0C">
        <w:t>7</w:t>
      </w:r>
      <w:r w:rsidRPr="00E27B0C">
        <w:t>-1</w:t>
      </w:r>
      <w:r w:rsidR="009F18CD" w:rsidRPr="00E27B0C">
        <w:t>8</w:t>
      </w:r>
    </w:p>
    <w:p w14:paraId="723FFF03" w14:textId="77777777" w:rsidR="00BC1032" w:rsidRDefault="00BC1032" w:rsidP="00BC1032"/>
    <w:p w14:paraId="1C2710C0" w14:textId="43E2C4DA" w:rsidR="00BC1032" w:rsidRDefault="00BC1032" w:rsidP="00BC1032">
      <w:r>
        <w:t>© Independen</w:t>
      </w:r>
      <w:r w:rsidR="006D0659">
        <w:t>t Hospital Pricing Authority 2020</w:t>
      </w:r>
    </w:p>
    <w:p w14:paraId="21BA5691" w14:textId="77777777" w:rsidR="00BC1032" w:rsidRDefault="00BC1032" w:rsidP="00BC1032">
      <w:r>
        <w:t xml:space="preserve">This publication is available for your use under a </w:t>
      </w:r>
      <w:hyperlink r:id="rId9"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0" w:history="1">
        <w:r w:rsidRPr="002A4C1B">
          <w:t>the Creative Commons website</w:t>
        </w:r>
      </w:hyperlink>
      <w:r>
        <w:t>.</w:t>
      </w:r>
    </w:p>
    <w:p w14:paraId="0497B0BA" w14:textId="77777777" w:rsidR="00BC1032" w:rsidRDefault="00BC1032" w:rsidP="00BC1032">
      <w:r w:rsidRPr="006150B7">
        <w:rPr>
          <w:rFonts w:cs="Calibri"/>
          <w:noProof/>
          <w:sz w:val="24"/>
        </w:rPr>
        <w:drawing>
          <wp:inline distT="0" distB="0" distL="0" distR="0" wp14:anchorId="5ACE3490" wp14:editId="09A86323">
            <wp:extent cx="804087" cy="285750"/>
            <wp:effectExtent l="0" t="0" r="0" b="0"/>
            <wp:docPr id="10" name="Picture 10" descr="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4A637DF3" w14:textId="77777777" w:rsidR="00BC1032" w:rsidRDefault="00BC1032" w:rsidP="00BC1032">
      <w:r>
        <w:t xml:space="preserve">Use of Independent Hospital Pricing Authority material under a </w:t>
      </w:r>
      <w:hyperlink r:id="rId12"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65E3BDD3" w14:textId="77777777" w:rsidR="00BC1032" w:rsidRPr="002A4C1B" w:rsidRDefault="00BC1032" w:rsidP="00BC1032">
      <w:pPr>
        <w:rPr>
          <w:i/>
        </w:rPr>
      </w:pPr>
      <w:r w:rsidRPr="002A4C1B">
        <w:rPr>
          <w:i/>
        </w:rPr>
        <w:t>Independent Hospital Pricing Authority material used 'as supplied'.</w:t>
      </w:r>
    </w:p>
    <w:p w14:paraId="6CF62CBA"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B1EDD0C" w14:textId="77777777" w:rsidR="00BC1032" w:rsidRPr="00BC1032" w:rsidRDefault="00BC1032" w:rsidP="00BC1032">
      <w:pPr>
        <w:pStyle w:val="NormalIndent"/>
        <w:rPr>
          <w:i/>
        </w:rPr>
      </w:pPr>
      <w:r w:rsidRPr="00BC1032">
        <w:rPr>
          <w:i/>
        </w:rPr>
        <w:t>Source: The Independent Hospital Pricing Authority</w:t>
      </w:r>
      <w:bookmarkStart w:id="0" w:name="_GoBack"/>
      <w:bookmarkEnd w:id="0"/>
      <w:r w:rsidRPr="00BC1032">
        <w:rPr>
          <w:i/>
        </w:rPr>
        <w:br w:type="page"/>
      </w:r>
    </w:p>
    <w:sdt>
      <w:sdtPr>
        <w:rPr>
          <w:rFonts w:ascii="Arial" w:eastAsia="Times New Roman" w:hAnsi="Arial" w:cs="Times New Roman"/>
          <w:b w:val="0"/>
          <w:bCs w:val="0"/>
          <w:sz w:val="22"/>
          <w:szCs w:val="24"/>
        </w:rPr>
        <w:id w:val="810762724"/>
        <w:docPartObj>
          <w:docPartGallery w:val="Table of Contents"/>
          <w:docPartUnique/>
        </w:docPartObj>
      </w:sdtPr>
      <w:sdtEndPr>
        <w:rPr>
          <w:noProof/>
          <w:szCs w:val="22"/>
        </w:rPr>
      </w:sdtEndPr>
      <w:sdtContent>
        <w:p w14:paraId="2A12EA68" w14:textId="77777777" w:rsidR="00847F04" w:rsidRPr="00716D83" w:rsidRDefault="00847F04" w:rsidP="003B4C44">
          <w:pPr>
            <w:pStyle w:val="TOCHeading"/>
          </w:pPr>
          <w:r>
            <w:t>Co</w:t>
          </w:r>
          <w:r w:rsidRPr="00716D83">
            <w:t>ntents</w:t>
          </w:r>
        </w:p>
        <w:p w14:paraId="20FF2827" w14:textId="5B0572F3" w:rsidR="00264D1E" w:rsidRDefault="00E923E4">
          <w:pPr>
            <w:pStyle w:val="TOC1"/>
            <w:tabs>
              <w:tab w:val="left" w:pos="440"/>
              <w:tab w:val="right" w:leader="dot" w:pos="9601"/>
            </w:tabs>
            <w:rPr>
              <w:rFonts w:eastAsiaTheme="minorEastAsia" w:cstheme="minorBidi"/>
              <w:b w:val="0"/>
              <w:bCs w:val="0"/>
              <w:i w:val="0"/>
              <w:iCs w:val="0"/>
              <w:noProof/>
              <w:sz w:val="22"/>
              <w:szCs w:val="22"/>
            </w:rPr>
          </w:pPr>
          <w:r w:rsidRPr="00EC4650">
            <w:rPr>
              <w:b w:val="0"/>
              <w:i w:val="0"/>
              <w:iCs w:val="0"/>
              <w:sz w:val="22"/>
              <w:szCs w:val="22"/>
            </w:rPr>
            <w:fldChar w:fldCharType="begin"/>
          </w:r>
          <w:r w:rsidRPr="00EC4650">
            <w:rPr>
              <w:b w:val="0"/>
              <w:i w:val="0"/>
              <w:iCs w:val="0"/>
              <w:sz w:val="22"/>
              <w:szCs w:val="22"/>
            </w:rPr>
            <w:instrText xml:space="preserve"> TOC \o "1-3" \h \z \u </w:instrText>
          </w:r>
          <w:r w:rsidRPr="00EC4650">
            <w:rPr>
              <w:b w:val="0"/>
              <w:i w:val="0"/>
              <w:iCs w:val="0"/>
              <w:sz w:val="22"/>
              <w:szCs w:val="22"/>
            </w:rPr>
            <w:fldChar w:fldCharType="separate"/>
          </w:r>
          <w:hyperlink w:anchor="_Toc25759682" w:history="1">
            <w:r w:rsidR="00264D1E" w:rsidRPr="006D67D7">
              <w:rPr>
                <w:rStyle w:val="Hyperlink"/>
                <w:noProof/>
              </w:rPr>
              <w:t>1.</w:t>
            </w:r>
            <w:r w:rsidR="00264D1E">
              <w:rPr>
                <w:rFonts w:eastAsiaTheme="minorEastAsia" w:cstheme="minorBidi"/>
                <w:b w:val="0"/>
                <w:bCs w:val="0"/>
                <w:i w:val="0"/>
                <w:iCs w:val="0"/>
                <w:noProof/>
                <w:sz w:val="22"/>
                <w:szCs w:val="22"/>
              </w:rPr>
              <w:tab/>
            </w:r>
            <w:r w:rsidR="00264D1E" w:rsidRPr="006D67D7">
              <w:rPr>
                <w:rStyle w:val="Hyperlink"/>
                <w:noProof/>
              </w:rPr>
              <w:t>Purpose of the NHCDC Report</w:t>
            </w:r>
            <w:r w:rsidR="00264D1E">
              <w:rPr>
                <w:noProof/>
                <w:webHidden/>
              </w:rPr>
              <w:tab/>
            </w:r>
            <w:r w:rsidR="00264D1E">
              <w:rPr>
                <w:noProof/>
                <w:webHidden/>
              </w:rPr>
              <w:fldChar w:fldCharType="begin"/>
            </w:r>
            <w:r w:rsidR="00264D1E">
              <w:rPr>
                <w:noProof/>
                <w:webHidden/>
              </w:rPr>
              <w:instrText xml:space="preserve"> PAGEREF _Toc25759682 \h </w:instrText>
            </w:r>
            <w:r w:rsidR="00264D1E">
              <w:rPr>
                <w:noProof/>
                <w:webHidden/>
              </w:rPr>
            </w:r>
            <w:r w:rsidR="00264D1E">
              <w:rPr>
                <w:noProof/>
                <w:webHidden/>
              </w:rPr>
              <w:fldChar w:fldCharType="separate"/>
            </w:r>
            <w:r w:rsidR="00423E34">
              <w:rPr>
                <w:noProof/>
                <w:webHidden/>
              </w:rPr>
              <w:t>5</w:t>
            </w:r>
            <w:r w:rsidR="00264D1E">
              <w:rPr>
                <w:noProof/>
                <w:webHidden/>
              </w:rPr>
              <w:fldChar w:fldCharType="end"/>
            </w:r>
          </w:hyperlink>
        </w:p>
        <w:p w14:paraId="77B427CC" w14:textId="4291F184"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83" w:history="1">
            <w:r w:rsidR="00264D1E" w:rsidRPr="006D67D7">
              <w:rPr>
                <w:rStyle w:val="Hyperlink"/>
                <w:noProof/>
              </w:rPr>
              <w:t>2.</w:t>
            </w:r>
            <w:r w:rsidR="00264D1E">
              <w:rPr>
                <w:rFonts w:eastAsiaTheme="minorEastAsia" w:cstheme="minorBidi"/>
                <w:b w:val="0"/>
                <w:bCs w:val="0"/>
                <w:i w:val="0"/>
                <w:iCs w:val="0"/>
                <w:noProof/>
                <w:sz w:val="22"/>
                <w:szCs w:val="22"/>
              </w:rPr>
              <w:tab/>
            </w:r>
            <w:r w:rsidR="00264D1E" w:rsidRPr="006D67D7">
              <w:rPr>
                <w:rStyle w:val="Hyperlink"/>
                <w:noProof/>
              </w:rPr>
              <w:t>What is the NHCDC?</w:t>
            </w:r>
            <w:r w:rsidR="00264D1E">
              <w:rPr>
                <w:noProof/>
                <w:webHidden/>
              </w:rPr>
              <w:tab/>
            </w:r>
            <w:r w:rsidR="00264D1E">
              <w:rPr>
                <w:noProof/>
                <w:webHidden/>
              </w:rPr>
              <w:fldChar w:fldCharType="begin"/>
            </w:r>
            <w:r w:rsidR="00264D1E">
              <w:rPr>
                <w:noProof/>
                <w:webHidden/>
              </w:rPr>
              <w:instrText xml:space="preserve"> PAGEREF _Toc25759683 \h </w:instrText>
            </w:r>
            <w:r w:rsidR="00264D1E">
              <w:rPr>
                <w:noProof/>
                <w:webHidden/>
              </w:rPr>
            </w:r>
            <w:r w:rsidR="00264D1E">
              <w:rPr>
                <w:noProof/>
                <w:webHidden/>
              </w:rPr>
              <w:fldChar w:fldCharType="separate"/>
            </w:r>
            <w:r w:rsidR="00423E34">
              <w:rPr>
                <w:noProof/>
                <w:webHidden/>
              </w:rPr>
              <w:t>7</w:t>
            </w:r>
            <w:r w:rsidR="00264D1E">
              <w:rPr>
                <w:noProof/>
                <w:webHidden/>
              </w:rPr>
              <w:fldChar w:fldCharType="end"/>
            </w:r>
          </w:hyperlink>
        </w:p>
        <w:p w14:paraId="5567AFD3" w14:textId="20E1EE3F"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84" w:history="1">
            <w:r w:rsidR="00264D1E" w:rsidRPr="006D67D7">
              <w:rPr>
                <w:rStyle w:val="Hyperlink"/>
                <w:noProof/>
              </w:rPr>
              <w:t>3.</w:t>
            </w:r>
            <w:r w:rsidR="00264D1E">
              <w:rPr>
                <w:rFonts w:eastAsiaTheme="minorEastAsia" w:cstheme="minorBidi"/>
                <w:b w:val="0"/>
                <w:bCs w:val="0"/>
                <w:i w:val="0"/>
                <w:iCs w:val="0"/>
                <w:noProof/>
                <w:sz w:val="22"/>
                <w:szCs w:val="22"/>
              </w:rPr>
              <w:tab/>
            </w:r>
            <w:r w:rsidR="00264D1E" w:rsidRPr="006D67D7">
              <w:rPr>
                <w:rStyle w:val="Hyperlink"/>
                <w:noProof/>
              </w:rPr>
              <w:t>What is Activity Based Funding?</w:t>
            </w:r>
            <w:r w:rsidR="00264D1E">
              <w:rPr>
                <w:noProof/>
                <w:webHidden/>
              </w:rPr>
              <w:tab/>
            </w:r>
            <w:r w:rsidR="00264D1E">
              <w:rPr>
                <w:noProof/>
                <w:webHidden/>
              </w:rPr>
              <w:fldChar w:fldCharType="begin"/>
            </w:r>
            <w:r w:rsidR="00264D1E">
              <w:rPr>
                <w:noProof/>
                <w:webHidden/>
              </w:rPr>
              <w:instrText xml:space="preserve"> PAGEREF _Toc25759684 \h </w:instrText>
            </w:r>
            <w:r w:rsidR="00264D1E">
              <w:rPr>
                <w:noProof/>
                <w:webHidden/>
              </w:rPr>
            </w:r>
            <w:r w:rsidR="00264D1E">
              <w:rPr>
                <w:noProof/>
                <w:webHidden/>
              </w:rPr>
              <w:fldChar w:fldCharType="separate"/>
            </w:r>
            <w:r w:rsidR="00423E34">
              <w:rPr>
                <w:noProof/>
                <w:webHidden/>
              </w:rPr>
              <w:t>7</w:t>
            </w:r>
            <w:r w:rsidR="00264D1E">
              <w:rPr>
                <w:noProof/>
                <w:webHidden/>
              </w:rPr>
              <w:fldChar w:fldCharType="end"/>
            </w:r>
          </w:hyperlink>
        </w:p>
        <w:p w14:paraId="05D10F18" w14:textId="6F97056A"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85" w:history="1">
            <w:r w:rsidR="00264D1E" w:rsidRPr="006D67D7">
              <w:rPr>
                <w:rStyle w:val="Hyperlink"/>
                <w:noProof/>
              </w:rPr>
              <w:t>4.</w:t>
            </w:r>
            <w:r w:rsidR="00264D1E">
              <w:rPr>
                <w:rFonts w:eastAsiaTheme="minorEastAsia" w:cstheme="minorBidi"/>
                <w:b w:val="0"/>
                <w:bCs w:val="0"/>
                <w:i w:val="0"/>
                <w:iCs w:val="0"/>
                <w:noProof/>
                <w:sz w:val="22"/>
                <w:szCs w:val="22"/>
              </w:rPr>
              <w:tab/>
            </w:r>
            <w:r w:rsidR="00264D1E" w:rsidRPr="006D67D7">
              <w:rPr>
                <w:rStyle w:val="Hyperlink"/>
                <w:noProof/>
              </w:rPr>
              <w:t>Scope of Round 22</w:t>
            </w:r>
            <w:r w:rsidR="00264D1E">
              <w:rPr>
                <w:noProof/>
                <w:webHidden/>
              </w:rPr>
              <w:tab/>
            </w:r>
            <w:r w:rsidR="00264D1E">
              <w:rPr>
                <w:noProof/>
                <w:webHidden/>
              </w:rPr>
              <w:fldChar w:fldCharType="begin"/>
            </w:r>
            <w:r w:rsidR="00264D1E">
              <w:rPr>
                <w:noProof/>
                <w:webHidden/>
              </w:rPr>
              <w:instrText xml:space="preserve"> PAGEREF _Toc25759685 \h </w:instrText>
            </w:r>
            <w:r w:rsidR="00264D1E">
              <w:rPr>
                <w:noProof/>
                <w:webHidden/>
              </w:rPr>
            </w:r>
            <w:r w:rsidR="00264D1E">
              <w:rPr>
                <w:noProof/>
                <w:webHidden/>
              </w:rPr>
              <w:fldChar w:fldCharType="separate"/>
            </w:r>
            <w:r w:rsidR="00423E34">
              <w:rPr>
                <w:noProof/>
                <w:webHidden/>
              </w:rPr>
              <w:t>8</w:t>
            </w:r>
            <w:r w:rsidR="00264D1E">
              <w:rPr>
                <w:noProof/>
                <w:webHidden/>
              </w:rPr>
              <w:fldChar w:fldCharType="end"/>
            </w:r>
          </w:hyperlink>
        </w:p>
        <w:p w14:paraId="403CAC3D" w14:textId="14006FAE"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86" w:history="1">
            <w:r w:rsidR="00264D1E" w:rsidRPr="006D67D7">
              <w:rPr>
                <w:rStyle w:val="Hyperlink"/>
                <w:noProof/>
              </w:rPr>
              <w:t>5.</w:t>
            </w:r>
            <w:r w:rsidR="00264D1E">
              <w:rPr>
                <w:rFonts w:eastAsiaTheme="minorEastAsia" w:cstheme="minorBidi"/>
                <w:b w:val="0"/>
                <w:bCs w:val="0"/>
                <w:i w:val="0"/>
                <w:iCs w:val="0"/>
                <w:noProof/>
                <w:sz w:val="22"/>
                <w:szCs w:val="22"/>
              </w:rPr>
              <w:tab/>
            </w:r>
            <w:r w:rsidR="00264D1E" w:rsidRPr="006D67D7">
              <w:rPr>
                <w:rStyle w:val="Hyperlink"/>
                <w:noProof/>
              </w:rPr>
              <w:t>Key results in Round 22</w:t>
            </w:r>
            <w:r w:rsidR="00264D1E">
              <w:rPr>
                <w:noProof/>
                <w:webHidden/>
              </w:rPr>
              <w:tab/>
            </w:r>
            <w:r w:rsidR="00264D1E">
              <w:rPr>
                <w:noProof/>
                <w:webHidden/>
              </w:rPr>
              <w:fldChar w:fldCharType="begin"/>
            </w:r>
            <w:r w:rsidR="00264D1E">
              <w:rPr>
                <w:noProof/>
                <w:webHidden/>
              </w:rPr>
              <w:instrText xml:space="preserve"> PAGEREF _Toc25759686 \h </w:instrText>
            </w:r>
            <w:r w:rsidR="00264D1E">
              <w:rPr>
                <w:noProof/>
                <w:webHidden/>
              </w:rPr>
            </w:r>
            <w:r w:rsidR="00264D1E">
              <w:rPr>
                <w:noProof/>
                <w:webHidden/>
              </w:rPr>
              <w:fldChar w:fldCharType="separate"/>
            </w:r>
            <w:r w:rsidR="00423E34">
              <w:rPr>
                <w:noProof/>
                <w:webHidden/>
              </w:rPr>
              <w:t>11</w:t>
            </w:r>
            <w:r w:rsidR="00264D1E">
              <w:rPr>
                <w:noProof/>
                <w:webHidden/>
              </w:rPr>
              <w:fldChar w:fldCharType="end"/>
            </w:r>
          </w:hyperlink>
        </w:p>
        <w:p w14:paraId="72A8738D" w14:textId="11B19DB0" w:rsidR="00264D1E" w:rsidRDefault="007B2A6F">
          <w:pPr>
            <w:pStyle w:val="TOC2"/>
            <w:tabs>
              <w:tab w:val="right" w:leader="dot" w:pos="9601"/>
            </w:tabs>
            <w:rPr>
              <w:rFonts w:eastAsiaTheme="minorEastAsia" w:cstheme="minorBidi"/>
              <w:b w:val="0"/>
              <w:bCs w:val="0"/>
              <w:noProof/>
            </w:rPr>
          </w:pPr>
          <w:hyperlink w:anchor="_Toc25759687" w:history="1">
            <w:r w:rsidR="00264D1E" w:rsidRPr="006D67D7">
              <w:rPr>
                <w:rStyle w:val="Hyperlink"/>
                <w:noProof/>
              </w:rPr>
              <w:t>5.1 Participation</w:t>
            </w:r>
            <w:r w:rsidR="00264D1E">
              <w:rPr>
                <w:noProof/>
                <w:webHidden/>
              </w:rPr>
              <w:tab/>
            </w:r>
            <w:r w:rsidR="00264D1E">
              <w:rPr>
                <w:noProof/>
                <w:webHidden/>
              </w:rPr>
              <w:fldChar w:fldCharType="begin"/>
            </w:r>
            <w:r w:rsidR="00264D1E">
              <w:rPr>
                <w:noProof/>
                <w:webHidden/>
              </w:rPr>
              <w:instrText xml:space="preserve"> PAGEREF _Toc25759687 \h </w:instrText>
            </w:r>
            <w:r w:rsidR="00264D1E">
              <w:rPr>
                <w:noProof/>
                <w:webHidden/>
              </w:rPr>
            </w:r>
            <w:r w:rsidR="00264D1E">
              <w:rPr>
                <w:noProof/>
                <w:webHidden/>
              </w:rPr>
              <w:fldChar w:fldCharType="separate"/>
            </w:r>
            <w:r w:rsidR="00423E34">
              <w:rPr>
                <w:noProof/>
                <w:webHidden/>
              </w:rPr>
              <w:t>11</w:t>
            </w:r>
            <w:r w:rsidR="00264D1E">
              <w:rPr>
                <w:noProof/>
                <w:webHidden/>
              </w:rPr>
              <w:fldChar w:fldCharType="end"/>
            </w:r>
          </w:hyperlink>
        </w:p>
        <w:p w14:paraId="4365EECB" w14:textId="70D0B9E6" w:rsidR="00264D1E" w:rsidRDefault="007B2A6F">
          <w:pPr>
            <w:pStyle w:val="TOC2"/>
            <w:tabs>
              <w:tab w:val="right" w:leader="dot" w:pos="9601"/>
            </w:tabs>
            <w:rPr>
              <w:rFonts w:eastAsiaTheme="minorEastAsia" w:cstheme="minorBidi"/>
              <w:b w:val="0"/>
              <w:bCs w:val="0"/>
              <w:noProof/>
            </w:rPr>
          </w:pPr>
          <w:hyperlink w:anchor="_Toc25759688" w:history="1">
            <w:r w:rsidR="00264D1E" w:rsidRPr="006D67D7">
              <w:rPr>
                <w:rStyle w:val="Hyperlink"/>
                <w:noProof/>
              </w:rPr>
              <w:t>5.2 Costed activity</w:t>
            </w:r>
            <w:r w:rsidR="00264D1E">
              <w:rPr>
                <w:noProof/>
                <w:webHidden/>
              </w:rPr>
              <w:tab/>
            </w:r>
            <w:r w:rsidR="00264D1E">
              <w:rPr>
                <w:noProof/>
                <w:webHidden/>
              </w:rPr>
              <w:fldChar w:fldCharType="begin"/>
            </w:r>
            <w:r w:rsidR="00264D1E">
              <w:rPr>
                <w:noProof/>
                <w:webHidden/>
              </w:rPr>
              <w:instrText xml:space="preserve"> PAGEREF _Toc25759688 \h </w:instrText>
            </w:r>
            <w:r w:rsidR="00264D1E">
              <w:rPr>
                <w:noProof/>
                <w:webHidden/>
              </w:rPr>
            </w:r>
            <w:r w:rsidR="00264D1E">
              <w:rPr>
                <w:noProof/>
                <w:webHidden/>
              </w:rPr>
              <w:fldChar w:fldCharType="separate"/>
            </w:r>
            <w:r w:rsidR="00423E34">
              <w:rPr>
                <w:noProof/>
                <w:webHidden/>
              </w:rPr>
              <w:t>12</w:t>
            </w:r>
            <w:r w:rsidR="00264D1E">
              <w:rPr>
                <w:noProof/>
                <w:webHidden/>
              </w:rPr>
              <w:fldChar w:fldCharType="end"/>
            </w:r>
          </w:hyperlink>
        </w:p>
        <w:p w14:paraId="3886C447" w14:textId="35E255C4" w:rsidR="00264D1E" w:rsidRDefault="007B2A6F">
          <w:pPr>
            <w:pStyle w:val="TOC2"/>
            <w:tabs>
              <w:tab w:val="right" w:leader="dot" w:pos="9601"/>
            </w:tabs>
            <w:rPr>
              <w:rFonts w:eastAsiaTheme="minorEastAsia" w:cstheme="minorBidi"/>
              <w:b w:val="0"/>
              <w:bCs w:val="0"/>
              <w:noProof/>
            </w:rPr>
          </w:pPr>
          <w:hyperlink w:anchor="_Toc25759689" w:history="1">
            <w:r w:rsidR="00264D1E" w:rsidRPr="006D67D7">
              <w:rPr>
                <w:rStyle w:val="Hyperlink"/>
                <w:noProof/>
              </w:rPr>
              <w:t>5.3 Total expenditure</w:t>
            </w:r>
            <w:r w:rsidR="00264D1E">
              <w:rPr>
                <w:noProof/>
                <w:webHidden/>
              </w:rPr>
              <w:tab/>
            </w:r>
            <w:r w:rsidR="00264D1E">
              <w:rPr>
                <w:noProof/>
                <w:webHidden/>
              </w:rPr>
              <w:fldChar w:fldCharType="begin"/>
            </w:r>
            <w:r w:rsidR="00264D1E">
              <w:rPr>
                <w:noProof/>
                <w:webHidden/>
              </w:rPr>
              <w:instrText xml:space="preserve"> PAGEREF _Toc25759689 \h </w:instrText>
            </w:r>
            <w:r w:rsidR="00264D1E">
              <w:rPr>
                <w:noProof/>
                <w:webHidden/>
              </w:rPr>
            </w:r>
            <w:r w:rsidR="00264D1E">
              <w:rPr>
                <w:noProof/>
                <w:webHidden/>
              </w:rPr>
              <w:fldChar w:fldCharType="separate"/>
            </w:r>
            <w:r w:rsidR="00423E34">
              <w:rPr>
                <w:noProof/>
                <w:webHidden/>
              </w:rPr>
              <w:t>13</w:t>
            </w:r>
            <w:r w:rsidR="00264D1E">
              <w:rPr>
                <w:noProof/>
                <w:webHidden/>
              </w:rPr>
              <w:fldChar w:fldCharType="end"/>
            </w:r>
          </w:hyperlink>
        </w:p>
        <w:p w14:paraId="2524AC2A" w14:textId="0E42E157" w:rsidR="00264D1E" w:rsidRDefault="007B2A6F">
          <w:pPr>
            <w:pStyle w:val="TOC2"/>
            <w:tabs>
              <w:tab w:val="right" w:leader="dot" w:pos="9601"/>
            </w:tabs>
            <w:rPr>
              <w:rFonts w:eastAsiaTheme="minorEastAsia" w:cstheme="minorBidi"/>
              <w:b w:val="0"/>
              <w:bCs w:val="0"/>
              <w:noProof/>
            </w:rPr>
          </w:pPr>
          <w:hyperlink w:anchor="_Toc25759690" w:history="1">
            <w:r w:rsidR="00264D1E" w:rsidRPr="006D67D7">
              <w:rPr>
                <w:rStyle w:val="Hyperlink"/>
                <w:noProof/>
              </w:rPr>
              <w:t>5.4 Average cost</w:t>
            </w:r>
            <w:r w:rsidR="00264D1E">
              <w:rPr>
                <w:noProof/>
                <w:webHidden/>
              </w:rPr>
              <w:tab/>
            </w:r>
            <w:r w:rsidR="00264D1E">
              <w:rPr>
                <w:noProof/>
                <w:webHidden/>
              </w:rPr>
              <w:fldChar w:fldCharType="begin"/>
            </w:r>
            <w:r w:rsidR="00264D1E">
              <w:rPr>
                <w:noProof/>
                <w:webHidden/>
              </w:rPr>
              <w:instrText xml:space="preserve"> PAGEREF _Toc25759690 \h </w:instrText>
            </w:r>
            <w:r w:rsidR="00264D1E">
              <w:rPr>
                <w:noProof/>
                <w:webHidden/>
              </w:rPr>
            </w:r>
            <w:r w:rsidR="00264D1E">
              <w:rPr>
                <w:noProof/>
                <w:webHidden/>
              </w:rPr>
              <w:fldChar w:fldCharType="separate"/>
            </w:r>
            <w:r w:rsidR="00423E34">
              <w:rPr>
                <w:noProof/>
                <w:webHidden/>
              </w:rPr>
              <w:t>14</w:t>
            </w:r>
            <w:r w:rsidR="00264D1E">
              <w:rPr>
                <w:noProof/>
                <w:webHidden/>
              </w:rPr>
              <w:fldChar w:fldCharType="end"/>
            </w:r>
          </w:hyperlink>
        </w:p>
        <w:p w14:paraId="0AED8EF8" w14:textId="350F00B6" w:rsidR="00264D1E" w:rsidRDefault="007B2A6F">
          <w:pPr>
            <w:pStyle w:val="TOC2"/>
            <w:tabs>
              <w:tab w:val="right" w:leader="dot" w:pos="9601"/>
            </w:tabs>
            <w:rPr>
              <w:rFonts w:eastAsiaTheme="minorEastAsia" w:cstheme="minorBidi"/>
              <w:b w:val="0"/>
              <w:bCs w:val="0"/>
              <w:noProof/>
            </w:rPr>
          </w:pPr>
          <w:hyperlink w:anchor="_Toc25759691" w:history="1">
            <w:r w:rsidR="00264D1E" w:rsidRPr="006D67D7">
              <w:rPr>
                <w:rStyle w:val="Hyperlink"/>
                <w:noProof/>
              </w:rPr>
              <w:t>5.5 Line items and cost buckets</w:t>
            </w:r>
            <w:r w:rsidR="00264D1E">
              <w:rPr>
                <w:noProof/>
                <w:webHidden/>
              </w:rPr>
              <w:tab/>
            </w:r>
            <w:r w:rsidR="00264D1E">
              <w:rPr>
                <w:noProof/>
                <w:webHidden/>
              </w:rPr>
              <w:fldChar w:fldCharType="begin"/>
            </w:r>
            <w:r w:rsidR="00264D1E">
              <w:rPr>
                <w:noProof/>
                <w:webHidden/>
              </w:rPr>
              <w:instrText xml:space="preserve"> PAGEREF _Toc25759691 \h </w:instrText>
            </w:r>
            <w:r w:rsidR="00264D1E">
              <w:rPr>
                <w:noProof/>
                <w:webHidden/>
              </w:rPr>
            </w:r>
            <w:r w:rsidR="00264D1E">
              <w:rPr>
                <w:noProof/>
                <w:webHidden/>
              </w:rPr>
              <w:fldChar w:fldCharType="separate"/>
            </w:r>
            <w:r w:rsidR="00423E34">
              <w:rPr>
                <w:noProof/>
                <w:webHidden/>
              </w:rPr>
              <w:t>15</w:t>
            </w:r>
            <w:r w:rsidR="00264D1E">
              <w:rPr>
                <w:noProof/>
                <w:webHidden/>
              </w:rPr>
              <w:fldChar w:fldCharType="end"/>
            </w:r>
          </w:hyperlink>
        </w:p>
        <w:p w14:paraId="56926D0D" w14:textId="25E15150"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92" w:history="1">
            <w:r w:rsidR="00264D1E" w:rsidRPr="006D67D7">
              <w:rPr>
                <w:rStyle w:val="Hyperlink"/>
                <w:noProof/>
              </w:rPr>
              <w:t>6.</w:t>
            </w:r>
            <w:r w:rsidR="00264D1E">
              <w:rPr>
                <w:rFonts w:eastAsiaTheme="minorEastAsia" w:cstheme="minorBidi"/>
                <w:b w:val="0"/>
                <w:bCs w:val="0"/>
                <w:i w:val="0"/>
                <w:iCs w:val="0"/>
                <w:noProof/>
                <w:sz w:val="22"/>
                <w:szCs w:val="22"/>
              </w:rPr>
              <w:tab/>
            </w:r>
            <w:r w:rsidR="00264D1E" w:rsidRPr="006D67D7">
              <w:rPr>
                <w:rStyle w:val="Hyperlink"/>
                <w:noProof/>
              </w:rPr>
              <w:t>Admitted acute care</w:t>
            </w:r>
            <w:r w:rsidR="00264D1E">
              <w:rPr>
                <w:noProof/>
                <w:webHidden/>
              </w:rPr>
              <w:tab/>
            </w:r>
            <w:r w:rsidR="00264D1E">
              <w:rPr>
                <w:noProof/>
                <w:webHidden/>
              </w:rPr>
              <w:fldChar w:fldCharType="begin"/>
            </w:r>
            <w:r w:rsidR="00264D1E">
              <w:rPr>
                <w:noProof/>
                <w:webHidden/>
              </w:rPr>
              <w:instrText xml:space="preserve"> PAGEREF _Toc25759692 \h </w:instrText>
            </w:r>
            <w:r w:rsidR="00264D1E">
              <w:rPr>
                <w:noProof/>
                <w:webHidden/>
              </w:rPr>
            </w:r>
            <w:r w:rsidR="00264D1E">
              <w:rPr>
                <w:noProof/>
                <w:webHidden/>
              </w:rPr>
              <w:fldChar w:fldCharType="separate"/>
            </w:r>
            <w:r w:rsidR="00423E34">
              <w:rPr>
                <w:noProof/>
                <w:webHidden/>
              </w:rPr>
              <w:t>17</w:t>
            </w:r>
            <w:r w:rsidR="00264D1E">
              <w:rPr>
                <w:noProof/>
                <w:webHidden/>
              </w:rPr>
              <w:fldChar w:fldCharType="end"/>
            </w:r>
          </w:hyperlink>
        </w:p>
        <w:p w14:paraId="4A6E64F6" w14:textId="245C1862" w:rsidR="00264D1E" w:rsidRDefault="007B2A6F">
          <w:pPr>
            <w:pStyle w:val="TOC2"/>
            <w:tabs>
              <w:tab w:val="right" w:leader="dot" w:pos="9601"/>
            </w:tabs>
            <w:rPr>
              <w:rFonts w:eastAsiaTheme="minorEastAsia" w:cstheme="minorBidi"/>
              <w:b w:val="0"/>
              <w:bCs w:val="0"/>
              <w:noProof/>
            </w:rPr>
          </w:pPr>
          <w:hyperlink w:anchor="_Toc25759693" w:history="1">
            <w:r w:rsidR="00264D1E" w:rsidRPr="006D67D7">
              <w:rPr>
                <w:rStyle w:val="Hyperlink"/>
                <w:noProof/>
              </w:rPr>
              <w:t>6.1 Average cost per weighted separation</w:t>
            </w:r>
            <w:r w:rsidR="00264D1E">
              <w:rPr>
                <w:noProof/>
                <w:webHidden/>
              </w:rPr>
              <w:tab/>
            </w:r>
            <w:r w:rsidR="00264D1E">
              <w:rPr>
                <w:noProof/>
                <w:webHidden/>
              </w:rPr>
              <w:fldChar w:fldCharType="begin"/>
            </w:r>
            <w:r w:rsidR="00264D1E">
              <w:rPr>
                <w:noProof/>
                <w:webHidden/>
              </w:rPr>
              <w:instrText xml:space="preserve"> PAGEREF _Toc25759693 \h </w:instrText>
            </w:r>
            <w:r w:rsidR="00264D1E">
              <w:rPr>
                <w:noProof/>
                <w:webHidden/>
              </w:rPr>
            </w:r>
            <w:r w:rsidR="00264D1E">
              <w:rPr>
                <w:noProof/>
                <w:webHidden/>
              </w:rPr>
              <w:fldChar w:fldCharType="separate"/>
            </w:r>
            <w:r w:rsidR="00423E34">
              <w:rPr>
                <w:noProof/>
                <w:webHidden/>
              </w:rPr>
              <w:t>17</w:t>
            </w:r>
            <w:r w:rsidR="00264D1E">
              <w:rPr>
                <w:noProof/>
                <w:webHidden/>
              </w:rPr>
              <w:fldChar w:fldCharType="end"/>
            </w:r>
          </w:hyperlink>
        </w:p>
        <w:p w14:paraId="08241806" w14:textId="78B8690B" w:rsidR="00264D1E" w:rsidRDefault="007B2A6F">
          <w:pPr>
            <w:pStyle w:val="TOC2"/>
            <w:tabs>
              <w:tab w:val="right" w:leader="dot" w:pos="9601"/>
            </w:tabs>
            <w:rPr>
              <w:rFonts w:eastAsiaTheme="minorEastAsia" w:cstheme="minorBidi"/>
              <w:b w:val="0"/>
              <w:bCs w:val="0"/>
              <w:noProof/>
            </w:rPr>
          </w:pPr>
          <w:hyperlink w:anchor="_Toc25759694" w:history="1">
            <w:r w:rsidR="00264D1E" w:rsidRPr="006D67D7">
              <w:rPr>
                <w:rStyle w:val="Hyperlink"/>
                <w:noProof/>
              </w:rPr>
              <w:t>6.2 Patient length of stay</w:t>
            </w:r>
            <w:r w:rsidR="00264D1E">
              <w:rPr>
                <w:noProof/>
                <w:webHidden/>
              </w:rPr>
              <w:tab/>
            </w:r>
            <w:r w:rsidR="00264D1E">
              <w:rPr>
                <w:noProof/>
                <w:webHidden/>
              </w:rPr>
              <w:fldChar w:fldCharType="begin"/>
            </w:r>
            <w:r w:rsidR="00264D1E">
              <w:rPr>
                <w:noProof/>
                <w:webHidden/>
              </w:rPr>
              <w:instrText xml:space="preserve"> PAGEREF _Toc25759694 \h </w:instrText>
            </w:r>
            <w:r w:rsidR="00264D1E">
              <w:rPr>
                <w:noProof/>
                <w:webHidden/>
              </w:rPr>
            </w:r>
            <w:r w:rsidR="00264D1E">
              <w:rPr>
                <w:noProof/>
                <w:webHidden/>
              </w:rPr>
              <w:fldChar w:fldCharType="separate"/>
            </w:r>
            <w:r w:rsidR="00423E34">
              <w:rPr>
                <w:noProof/>
                <w:webHidden/>
              </w:rPr>
              <w:t>19</w:t>
            </w:r>
            <w:r w:rsidR="00264D1E">
              <w:rPr>
                <w:noProof/>
                <w:webHidden/>
              </w:rPr>
              <w:fldChar w:fldCharType="end"/>
            </w:r>
          </w:hyperlink>
        </w:p>
        <w:p w14:paraId="6BBA4BCF" w14:textId="6137B6D3"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95" w:history="1">
            <w:r w:rsidR="00264D1E" w:rsidRPr="006D67D7">
              <w:rPr>
                <w:rStyle w:val="Hyperlink"/>
                <w:noProof/>
              </w:rPr>
              <w:t>7.</w:t>
            </w:r>
            <w:r w:rsidR="00264D1E">
              <w:rPr>
                <w:rFonts w:eastAsiaTheme="minorEastAsia" w:cstheme="minorBidi"/>
                <w:b w:val="0"/>
                <w:bCs w:val="0"/>
                <w:i w:val="0"/>
                <w:iCs w:val="0"/>
                <w:noProof/>
                <w:sz w:val="22"/>
                <w:szCs w:val="22"/>
              </w:rPr>
              <w:tab/>
            </w:r>
            <w:r w:rsidR="00264D1E" w:rsidRPr="006D67D7">
              <w:rPr>
                <w:rStyle w:val="Hyperlink"/>
                <w:noProof/>
              </w:rPr>
              <w:t>Supplementary material</w:t>
            </w:r>
            <w:r w:rsidR="00264D1E">
              <w:rPr>
                <w:noProof/>
                <w:webHidden/>
              </w:rPr>
              <w:tab/>
            </w:r>
            <w:r w:rsidR="00264D1E">
              <w:rPr>
                <w:noProof/>
                <w:webHidden/>
              </w:rPr>
              <w:fldChar w:fldCharType="begin"/>
            </w:r>
            <w:r w:rsidR="00264D1E">
              <w:rPr>
                <w:noProof/>
                <w:webHidden/>
              </w:rPr>
              <w:instrText xml:space="preserve"> PAGEREF _Toc25759695 \h </w:instrText>
            </w:r>
            <w:r w:rsidR="00264D1E">
              <w:rPr>
                <w:noProof/>
                <w:webHidden/>
              </w:rPr>
            </w:r>
            <w:r w:rsidR="00264D1E">
              <w:rPr>
                <w:noProof/>
                <w:webHidden/>
              </w:rPr>
              <w:fldChar w:fldCharType="separate"/>
            </w:r>
            <w:r w:rsidR="00423E34">
              <w:rPr>
                <w:noProof/>
                <w:webHidden/>
              </w:rPr>
              <w:t>21</w:t>
            </w:r>
            <w:r w:rsidR="00264D1E">
              <w:rPr>
                <w:noProof/>
                <w:webHidden/>
              </w:rPr>
              <w:fldChar w:fldCharType="end"/>
            </w:r>
          </w:hyperlink>
        </w:p>
        <w:p w14:paraId="64FB35CA" w14:textId="56D6B30D" w:rsidR="00264D1E" w:rsidRDefault="007B2A6F">
          <w:pPr>
            <w:pStyle w:val="TOC1"/>
            <w:tabs>
              <w:tab w:val="left" w:pos="440"/>
              <w:tab w:val="right" w:leader="dot" w:pos="9601"/>
            </w:tabs>
            <w:rPr>
              <w:rFonts w:eastAsiaTheme="minorEastAsia" w:cstheme="minorBidi"/>
              <w:b w:val="0"/>
              <w:bCs w:val="0"/>
              <w:i w:val="0"/>
              <w:iCs w:val="0"/>
              <w:noProof/>
              <w:sz w:val="22"/>
              <w:szCs w:val="22"/>
            </w:rPr>
          </w:pPr>
          <w:hyperlink w:anchor="_Toc25759696" w:history="1">
            <w:r w:rsidR="00264D1E" w:rsidRPr="006D67D7">
              <w:rPr>
                <w:rStyle w:val="Hyperlink"/>
                <w:noProof/>
              </w:rPr>
              <w:t>8.</w:t>
            </w:r>
            <w:r w:rsidR="00264D1E">
              <w:rPr>
                <w:rFonts w:eastAsiaTheme="minorEastAsia" w:cstheme="minorBidi"/>
                <w:b w:val="0"/>
                <w:bCs w:val="0"/>
                <w:i w:val="0"/>
                <w:iCs w:val="0"/>
                <w:noProof/>
                <w:sz w:val="22"/>
                <w:szCs w:val="22"/>
              </w:rPr>
              <w:tab/>
            </w:r>
            <w:r w:rsidR="00264D1E" w:rsidRPr="006D67D7">
              <w:rPr>
                <w:rStyle w:val="Hyperlink"/>
                <w:noProof/>
              </w:rPr>
              <w:t>Data Quality Statements</w:t>
            </w:r>
            <w:r w:rsidR="00264D1E">
              <w:rPr>
                <w:noProof/>
                <w:webHidden/>
              </w:rPr>
              <w:tab/>
            </w:r>
            <w:r w:rsidR="00264D1E">
              <w:rPr>
                <w:noProof/>
                <w:webHidden/>
              </w:rPr>
              <w:fldChar w:fldCharType="begin"/>
            </w:r>
            <w:r w:rsidR="00264D1E">
              <w:rPr>
                <w:noProof/>
                <w:webHidden/>
              </w:rPr>
              <w:instrText xml:space="preserve"> PAGEREF _Toc25759696 \h </w:instrText>
            </w:r>
            <w:r w:rsidR="00264D1E">
              <w:rPr>
                <w:noProof/>
                <w:webHidden/>
              </w:rPr>
            </w:r>
            <w:r w:rsidR="00264D1E">
              <w:rPr>
                <w:noProof/>
                <w:webHidden/>
              </w:rPr>
              <w:fldChar w:fldCharType="separate"/>
            </w:r>
            <w:r w:rsidR="00423E34">
              <w:rPr>
                <w:noProof/>
                <w:webHidden/>
              </w:rPr>
              <w:t>21</w:t>
            </w:r>
            <w:r w:rsidR="00264D1E">
              <w:rPr>
                <w:noProof/>
                <w:webHidden/>
              </w:rPr>
              <w:fldChar w:fldCharType="end"/>
            </w:r>
          </w:hyperlink>
        </w:p>
        <w:p w14:paraId="144B6E50" w14:textId="63CB3BB6" w:rsidR="00264D1E" w:rsidRDefault="007B2A6F">
          <w:pPr>
            <w:pStyle w:val="TOC1"/>
            <w:tabs>
              <w:tab w:val="right" w:leader="dot" w:pos="9601"/>
            </w:tabs>
            <w:rPr>
              <w:rFonts w:eastAsiaTheme="minorEastAsia" w:cstheme="minorBidi"/>
              <w:b w:val="0"/>
              <w:bCs w:val="0"/>
              <w:i w:val="0"/>
              <w:iCs w:val="0"/>
              <w:noProof/>
              <w:sz w:val="22"/>
              <w:szCs w:val="22"/>
            </w:rPr>
          </w:pPr>
          <w:hyperlink w:anchor="_Toc25759697" w:history="1">
            <w:r w:rsidR="00264D1E" w:rsidRPr="006D67D7">
              <w:rPr>
                <w:rStyle w:val="Hyperlink"/>
                <w:noProof/>
              </w:rPr>
              <w:t>Appendix A. Data Quality Statements</w:t>
            </w:r>
            <w:r w:rsidR="00264D1E">
              <w:rPr>
                <w:noProof/>
                <w:webHidden/>
              </w:rPr>
              <w:tab/>
            </w:r>
            <w:r w:rsidR="00264D1E">
              <w:rPr>
                <w:noProof/>
                <w:webHidden/>
              </w:rPr>
              <w:fldChar w:fldCharType="begin"/>
            </w:r>
            <w:r w:rsidR="00264D1E">
              <w:rPr>
                <w:noProof/>
                <w:webHidden/>
              </w:rPr>
              <w:instrText xml:space="preserve"> PAGEREF _Toc25759697 \h </w:instrText>
            </w:r>
            <w:r w:rsidR="00264D1E">
              <w:rPr>
                <w:noProof/>
                <w:webHidden/>
              </w:rPr>
            </w:r>
            <w:r w:rsidR="00264D1E">
              <w:rPr>
                <w:noProof/>
                <w:webHidden/>
              </w:rPr>
              <w:fldChar w:fldCharType="separate"/>
            </w:r>
            <w:r w:rsidR="00423E34">
              <w:rPr>
                <w:noProof/>
                <w:webHidden/>
              </w:rPr>
              <w:t>22</w:t>
            </w:r>
            <w:r w:rsidR="00264D1E">
              <w:rPr>
                <w:noProof/>
                <w:webHidden/>
              </w:rPr>
              <w:fldChar w:fldCharType="end"/>
            </w:r>
          </w:hyperlink>
        </w:p>
        <w:p w14:paraId="3D24C217" w14:textId="3ADBE579" w:rsidR="00C8702F" w:rsidRPr="00A92BBB" w:rsidRDefault="00E923E4" w:rsidP="00C8702F">
          <w:pPr>
            <w:rPr>
              <w:noProof/>
              <w:szCs w:val="22"/>
            </w:rPr>
          </w:pPr>
          <w:r w:rsidRPr="00EC4650">
            <w:rPr>
              <w:rFonts w:asciiTheme="minorHAnsi" w:hAnsiTheme="minorHAnsi" w:cstheme="minorHAnsi"/>
              <w:iCs/>
              <w:szCs w:val="22"/>
            </w:rPr>
            <w:fldChar w:fldCharType="end"/>
          </w:r>
        </w:p>
      </w:sdtContent>
    </w:sdt>
    <w:p w14:paraId="0D0E3281" w14:textId="2F44216E" w:rsidR="007627F8" w:rsidRDefault="007627F8" w:rsidP="00D111B6">
      <w:pPr>
        <w:pStyle w:val="TOCHeading"/>
      </w:pPr>
      <w:r>
        <w:t>Tables</w:t>
      </w:r>
    </w:p>
    <w:p w14:paraId="1806DE0B" w14:textId="041852FF" w:rsidR="0056387D" w:rsidRDefault="007627F8">
      <w:pPr>
        <w:pStyle w:val="TableofFigures"/>
        <w:rPr>
          <w:rFonts w:asciiTheme="minorHAnsi" w:eastAsiaTheme="minorEastAsia" w:hAnsiTheme="minorHAnsi" w:cstheme="minorBidi"/>
          <w:noProof/>
          <w:szCs w:val="22"/>
        </w:rPr>
      </w:pPr>
      <w:r>
        <w:fldChar w:fldCharType="begin"/>
      </w:r>
      <w:r>
        <w:instrText xml:space="preserve"> TOC \c "Table" </w:instrText>
      </w:r>
      <w:r>
        <w:fldChar w:fldCharType="separate"/>
      </w:r>
      <w:r w:rsidR="0056387D">
        <w:rPr>
          <w:noProof/>
        </w:rPr>
        <w:t>Table 1 NHCDC Report Appendix Tables, Round 22 (Appendix B)</w:t>
      </w:r>
      <w:r w:rsidR="0056387D">
        <w:rPr>
          <w:noProof/>
        </w:rPr>
        <w:tab/>
      </w:r>
      <w:r w:rsidR="0056387D">
        <w:rPr>
          <w:noProof/>
        </w:rPr>
        <w:fldChar w:fldCharType="begin"/>
      </w:r>
      <w:r w:rsidR="0056387D">
        <w:rPr>
          <w:noProof/>
        </w:rPr>
        <w:instrText xml:space="preserve"> PAGEREF _Toc31880531 \h </w:instrText>
      </w:r>
      <w:r w:rsidR="0056387D">
        <w:rPr>
          <w:noProof/>
        </w:rPr>
      </w:r>
      <w:r w:rsidR="0056387D">
        <w:rPr>
          <w:noProof/>
        </w:rPr>
        <w:fldChar w:fldCharType="separate"/>
      </w:r>
      <w:r w:rsidR="00423E34">
        <w:rPr>
          <w:noProof/>
        </w:rPr>
        <w:t>6</w:t>
      </w:r>
      <w:r w:rsidR="0056387D">
        <w:rPr>
          <w:noProof/>
        </w:rPr>
        <w:fldChar w:fldCharType="end"/>
      </w:r>
    </w:p>
    <w:p w14:paraId="5A810ADC" w14:textId="623CAD3E" w:rsidR="0056387D" w:rsidRDefault="0056387D">
      <w:pPr>
        <w:pStyle w:val="TableofFigures"/>
        <w:rPr>
          <w:rFonts w:asciiTheme="minorHAnsi" w:eastAsiaTheme="minorEastAsia" w:hAnsiTheme="minorHAnsi" w:cstheme="minorBidi"/>
          <w:noProof/>
          <w:szCs w:val="22"/>
        </w:rPr>
      </w:pPr>
      <w:r>
        <w:rPr>
          <w:noProof/>
        </w:rPr>
        <w:t>Table 2 IHPA classifications for key activity collections, Round 22 NHCDC</w:t>
      </w:r>
      <w:r>
        <w:rPr>
          <w:noProof/>
        </w:rPr>
        <w:tab/>
      </w:r>
      <w:r>
        <w:rPr>
          <w:noProof/>
        </w:rPr>
        <w:fldChar w:fldCharType="begin"/>
      </w:r>
      <w:r>
        <w:rPr>
          <w:noProof/>
        </w:rPr>
        <w:instrText xml:space="preserve"> PAGEREF _Toc31880532 \h </w:instrText>
      </w:r>
      <w:r>
        <w:rPr>
          <w:noProof/>
        </w:rPr>
      </w:r>
      <w:r>
        <w:rPr>
          <w:noProof/>
        </w:rPr>
        <w:fldChar w:fldCharType="separate"/>
      </w:r>
      <w:r w:rsidR="00423E34">
        <w:rPr>
          <w:noProof/>
        </w:rPr>
        <w:t>9</w:t>
      </w:r>
      <w:r>
        <w:rPr>
          <w:noProof/>
        </w:rPr>
        <w:fldChar w:fldCharType="end"/>
      </w:r>
    </w:p>
    <w:p w14:paraId="238A82F9" w14:textId="40473781" w:rsidR="0056387D" w:rsidRDefault="0056387D">
      <w:pPr>
        <w:pStyle w:val="TableofFigures"/>
        <w:rPr>
          <w:rFonts w:asciiTheme="minorHAnsi" w:eastAsiaTheme="minorEastAsia" w:hAnsiTheme="minorHAnsi" w:cstheme="minorBidi"/>
          <w:noProof/>
          <w:szCs w:val="22"/>
        </w:rPr>
      </w:pPr>
      <w:r>
        <w:rPr>
          <w:noProof/>
        </w:rPr>
        <w:t>Table 3 Summary NHCDC results by activity stream, Round 22</w:t>
      </w:r>
      <w:r>
        <w:rPr>
          <w:noProof/>
        </w:rPr>
        <w:tab/>
      </w:r>
      <w:r>
        <w:rPr>
          <w:noProof/>
        </w:rPr>
        <w:fldChar w:fldCharType="begin"/>
      </w:r>
      <w:r>
        <w:rPr>
          <w:noProof/>
        </w:rPr>
        <w:instrText xml:space="preserve"> PAGEREF _Toc31880533 \h </w:instrText>
      </w:r>
      <w:r>
        <w:rPr>
          <w:noProof/>
        </w:rPr>
      </w:r>
      <w:r>
        <w:rPr>
          <w:noProof/>
        </w:rPr>
        <w:fldChar w:fldCharType="separate"/>
      </w:r>
      <w:r w:rsidR="00423E34">
        <w:rPr>
          <w:noProof/>
        </w:rPr>
        <w:t>11</w:t>
      </w:r>
      <w:r>
        <w:rPr>
          <w:noProof/>
        </w:rPr>
        <w:fldChar w:fldCharType="end"/>
      </w:r>
    </w:p>
    <w:p w14:paraId="13CF5743" w14:textId="4F43464E" w:rsidR="0056387D" w:rsidRDefault="0056387D">
      <w:pPr>
        <w:pStyle w:val="TableofFigures"/>
        <w:rPr>
          <w:rFonts w:asciiTheme="minorHAnsi" w:eastAsiaTheme="minorEastAsia" w:hAnsiTheme="minorHAnsi" w:cstheme="minorBidi"/>
          <w:noProof/>
          <w:szCs w:val="22"/>
        </w:rPr>
      </w:pPr>
      <w:r>
        <w:rPr>
          <w:noProof/>
        </w:rPr>
        <w:t>Table 4 Number of hospitals, by jurisdiction, Round 20-22</w:t>
      </w:r>
      <w:r>
        <w:rPr>
          <w:noProof/>
        </w:rPr>
        <w:tab/>
      </w:r>
      <w:r>
        <w:rPr>
          <w:noProof/>
        </w:rPr>
        <w:fldChar w:fldCharType="begin"/>
      </w:r>
      <w:r>
        <w:rPr>
          <w:noProof/>
        </w:rPr>
        <w:instrText xml:space="preserve"> PAGEREF _Toc31880534 \h </w:instrText>
      </w:r>
      <w:r>
        <w:rPr>
          <w:noProof/>
        </w:rPr>
      </w:r>
      <w:r>
        <w:rPr>
          <w:noProof/>
        </w:rPr>
        <w:fldChar w:fldCharType="separate"/>
      </w:r>
      <w:r w:rsidR="00423E34">
        <w:rPr>
          <w:noProof/>
        </w:rPr>
        <w:t>12</w:t>
      </w:r>
      <w:r>
        <w:rPr>
          <w:noProof/>
        </w:rPr>
        <w:fldChar w:fldCharType="end"/>
      </w:r>
    </w:p>
    <w:p w14:paraId="14535FC9" w14:textId="3AA5C93E" w:rsidR="0056387D" w:rsidRDefault="0056387D">
      <w:pPr>
        <w:pStyle w:val="TableofFigures"/>
        <w:rPr>
          <w:rFonts w:asciiTheme="minorHAnsi" w:eastAsiaTheme="minorEastAsia" w:hAnsiTheme="minorHAnsi" w:cstheme="minorBidi"/>
          <w:noProof/>
          <w:szCs w:val="22"/>
        </w:rPr>
      </w:pPr>
      <w:r>
        <w:rPr>
          <w:noProof/>
        </w:rPr>
        <w:t>Table 5 Percentage of submitted activity data with matching cost data, Round 20-22</w:t>
      </w:r>
      <w:r>
        <w:rPr>
          <w:noProof/>
        </w:rPr>
        <w:tab/>
      </w:r>
      <w:r>
        <w:rPr>
          <w:noProof/>
        </w:rPr>
        <w:fldChar w:fldCharType="begin"/>
      </w:r>
      <w:r>
        <w:rPr>
          <w:noProof/>
        </w:rPr>
        <w:instrText xml:space="preserve"> PAGEREF _Toc31880535 \h </w:instrText>
      </w:r>
      <w:r>
        <w:rPr>
          <w:noProof/>
        </w:rPr>
      </w:r>
      <w:r>
        <w:rPr>
          <w:noProof/>
        </w:rPr>
        <w:fldChar w:fldCharType="separate"/>
      </w:r>
      <w:r w:rsidR="00423E34">
        <w:rPr>
          <w:noProof/>
        </w:rPr>
        <w:t>13</w:t>
      </w:r>
      <w:r>
        <w:rPr>
          <w:noProof/>
        </w:rPr>
        <w:fldChar w:fldCharType="end"/>
      </w:r>
    </w:p>
    <w:p w14:paraId="5D8E6F92" w14:textId="20BACCBD" w:rsidR="0056387D" w:rsidRDefault="0056387D">
      <w:pPr>
        <w:pStyle w:val="TableofFigures"/>
        <w:rPr>
          <w:rFonts w:asciiTheme="minorHAnsi" w:eastAsiaTheme="minorEastAsia" w:hAnsiTheme="minorHAnsi" w:cstheme="minorBidi"/>
          <w:noProof/>
          <w:szCs w:val="22"/>
        </w:rPr>
      </w:pPr>
      <w:r>
        <w:rPr>
          <w:noProof/>
        </w:rPr>
        <w:t>Table 6 Total national expenditure, by activity stream, Round 21-22</w:t>
      </w:r>
      <w:r>
        <w:rPr>
          <w:noProof/>
        </w:rPr>
        <w:tab/>
      </w:r>
      <w:r>
        <w:rPr>
          <w:noProof/>
        </w:rPr>
        <w:fldChar w:fldCharType="begin"/>
      </w:r>
      <w:r>
        <w:rPr>
          <w:noProof/>
        </w:rPr>
        <w:instrText xml:space="preserve"> PAGEREF _Toc31880536 \h </w:instrText>
      </w:r>
      <w:r>
        <w:rPr>
          <w:noProof/>
        </w:rPr>
      </w:r>
      <w:r>
        <w:rPr>
          <w:noProof/>
        </w:rPr>
        <w:fldChar w:fldCharType="separate"/>
      </w:r>
      <w:r w:rsidR="00423E34">
        <w:rPr>
          <w:noProof/>
        </w:rPr>
        <w:t>13</w:t>
      </w:r>
      <w:r>
        <w:rPr>
          <w:noProof/>
        </w:rPr>
        <w:fldChar w:fldCharType="end"/>
      </w:r>
    </w:p>
    <w:p w14:paraId="3C5B0DCE" w14:textId="63A6F665" w:rsidR="0056387D" w:rsidRDefault="0056387D">
      <w:pPr>
        <w:pStyle w:val="TableofFigures"/>
        <w:rPr>
          <w:rFonts w:asciiTheme="minorHAnsi" w:eastAsiaTheme="minorEastAsia" w:hAnsiTheme="minorHAnsi" w:cstheme="minorBidi"/>
          <w:noProof/>
          <w:szCs w:val="22"/>
        </w:rPr>
      </w:pPr>
      <w:r>
        <w:rPr>
          <w:noProof/>
        </w:rPr>
        <w:t>Table 7 Total expenditure, by jurisdiction, Round 20-22</w:t>
      </w:r>
      <w:r>
        <w:rPr>
          <w:noProof/>
        </w:rPr>
        <w:tab/>
      </w:r>
      <w:r>
        <w:rPr>
          <w:noProof/>
        </w:rPr>
        <w:fldChar w:fldCharType="begin"/>
      </w:r>
      <w:r>
        <w:rPr>
          <w:noProof/>
        </w:rPr>
        <w:instrText xml:space="preserve"> PAGEREF _Toc31880537 \h </w:instrText>
      </w:r>
      <w:r>
        <w:rPr>
          <w:noProof/>
        </w:rPr>
      </w:r>
      <w:r>
        <w:rPr>
          <w:noProof/>
        </w:rPr>
        <w:fldChar w:fldCharType="separate"/>
      </w:r>
      <w:r w:rsidR="00423E34">
        <w:rPr>
          <w:noProof/>
        </w:rPr>
        <w:t>14</w:t>
      </w:r>
      <w:r>
        <w:rPr>
          <w:noProof/>
        </w:rPr>
        <w:fldChar w:fldCharType="end"/>
      </w:r>
    </w:p>
    <w:p w14:paraId="0C2D628B" w14:textId="2C092FCC" w:rsidR="0056387D" w:rsidRDefault="0056387D">
      <w:pPr>
        <w:pStyle w:val="TableofFigures"/>
        <w:rPr>
          <w:rFonts w:asciiTheme="minorHAnsi" w:eastAsiaTheme="minorEastAsia" w:hAnsiTheme="minorHAnsi" w:cstheme="minorBidi"/>
          <w:noProof/>
          <w:szCs w:val="22"/>
        </w:rPr>
      </w:pPr>
      <w:r>
        <w:rPr>
          <w:noProof/>
        </w:rPr>
        <w:t>Table 8 Average cost per episode, by activity stream, Round 21-22</w:t>
      </w:r>
      <w:r>
        <w:rPr>
          <w:noProof/>
        </w:rPr>
        <w:tab/>
      </w:r>
      <w:r>
        <w:rPr>
          <w:noProof/>
        </w:rPr>
        <w:fldChar w:fldCharType="begin"/>
      </w:r>
      <w:r>
        <w:rPr>
          <w:noProof/>
        </w:rPr>
        <w:instrText xml:space="preserve"> PAGEREF _Toc31880538 \h </w:instrText>
      </w:r>
      <w:r>
        <w:rPr>
          <w:noProof/>
        </w:rPr>
      </w:r>
      <w:r>
        <w:rPr>
          <w:noProof/>
        </w:rPr>
        <w:fldChar w:fldCharType="separate"/>
      </w:r>
      <w:r w:rsidR="00423E34">
        <w:rPr>
          <w:noProof/>
        </w:rPr>
        <w:t>14</w:t>
      </w:r>
      <w:r>
        <w:rPr>
          <w:noProof/>
        </w:rPr>
        <w:fldChar w:fldCharType="end"/>
      </w:r>
    </w:p>
    <w:p w14:paraId="442A25A5" w14:textId="563553CC" w:rsidR="0056387D" w:rsidRDefault="0056387D">
      <w:pPr>
        <w:pStyle w:val="TableofFigures"/>
        <w:rPr>
          <w:rFonts w:asciiTheme="minorHAnsi" w:eastAsiaTheme="minorEastAsia" w:hAnsiTheme="minorHAnsi" w:cstheme="minorBidi"/>
          <w:noProof/>
          <w:szCs w:val="22"/>
        </w:rPr>
      </w:pPr>
      <w:r>
        <w:rPr>
          <w:noProof/>
        </w:rPr>
        <w:t>Table 9 National average cost per line item, by activity stream, Round 22</w:t>
      </w:r>
      <w:r>
        <w:rPr>
          <w:noProof/>
        </w:rPr>
        <w:tab/>
      </w:r>
      <w:r>
        <w:rPr>
          <w:noProof/>
        </w:rPr>
        <w:fldChar w:fldCharType="begin"/>
      </w:r>
      <w:r>
        <w:rPr>
          <w:noProof/>
        </w:rPr>
        <w:instrText xml:space="preserve"> PAGEREF _Toc31880539 \h </w:instrText>
      </w:r>
      <w:r>
        <w:rPr>
          <w:noProof/>
        </w:rPr>
      </w:r>
      <w:r>
        <w:rPr>
          <w:noProof/>
        </w:rPr>
        <w:fldChar w:fldCharType="separate"/>
      </w:r>
      <w:r w:rsidR="00423E34">
        <w:rPr>
          <w:noProof/>
        </w:rPr>
        <w:t>16</w:t>
      </w:r>
      <w:r>
        <w:rPr>
          <w:noProof/>
        </w:rPr>
        <w:fldChar w:fldCharType="end"/>
      </w:r>
    </w:p>
    <w:p w14:paraId="1FF2F8CB" w14:textId="65EA525D" w:rsidR="0056387D" w:rsidRDefault="0056387D">
      <w:pPr>
        <w:pStyle w:val="TableofFigures"/>
        <w:rPr>
          <w:rFonts w:asciiTheme="minorHAnsi" w:eastAsiaTheme="minorEastAsia" w:hAnsiTheme="minorHAnsi" w:cstheme="minorBidi"/>
          <w:noProof/>
          <w:szCs w:val="22"/>
        </w:rPr>
      </w:pPr>
      <w:r>
        <w:rPr>
          <w:noProof/>
        </w:rPr>
        <w:t>Table 10 National average cost per cost bucket, by activity stream, Round 22</w:t>
      </w:r>
      <w:r>
        <w:rPr>
          <w:noProof/>
        </w:rPr>
        <w:tab/>
      </w:r>
      <w:r>
        <w:rPr>
          <w:noProof/>
        </w:rPr>
        <w:fldChar w:fldCharType="begin"/>
      </w:r>
      <w:r>
        <w:rPr>
          <w:noProof/>
        </w:rPr>
        <w:instrText xml:space="preserve"> PAGEREF _Toc31880540 \h </w:instrText>
      </w:r>
      <w:r>
        <w:rPr>
          <w:noProof/>
        </w:rPr>
      </w:r>
      <w:r>
        <w:rPr>
          <w:noProof/>
        </w:rPr>
        <w:fldChar w:fldCharType="separate"/>
      </w:r>
      <w:r w:rsidR="00423E34">
        <w:rPr>
          <w:noProof/>
        </w:rPr>
        <w:t>17</w:t>
      </w:r>
      <w:r>
        <w:rPr>
          <w:noProof/>
        </w:rPr>
        <w:fldChar w:fldCharType="end"/>
      </w:r>
    </w:p>
    <w:p w14:paraId="473F5305" w14:textId="20F4DEE2" w:rsidR="0056387D" w:rsidRDefault="0056387D">
      <w:pPr>
        <w:pStyle w:val="TableofFigures"/>
        <w:rPr>
          <w:rFonts w:asciiTheme="minorHAnsi" w:eastAsiaTheme="minorEastAsia" w:hAnsiTheme="minorHAnsi" w:cstheme="minorBidi"/>
          <w:noProof/>
          <w:szCs w:val="22"/>
        </w:rPr>
      </w:pPr>
      <w:r>
        <w:rPr>
          <w:noProof/>
        </w:rPr>
        <w:t>Table 11 Average cost per weighted separation (admitted acute), by jurisdiction, Round 22</w:t>
      </w:r>
      <w:r>
        <w:rPr>
          <w:noProof/>
        </w:rPr>
        <w:tab/>
      </w:r>
      <w:r>
        <w:rPr>
          <w:noProof/>
        </w:rPr>
        <w:fldChar w:fldCharType="begin"/>
      </w:r>
      <w:r>
        <w:rPr>
          <w:noProof/>
        </w:rPr>
        <w:instrText xml:space="preserve"> PAGEREF _Toc31880541 \h </w:instrText>
      </w:r>
      <w:r>
        <w:rPr>
          <w:noProof/>
        </w:rPr>
      </w:r>
      <w:r>
        <w:rPr>
          <w:noProof/>
        </w:rPr>
        <w:fldChar w:fldCharType="separate"/>
      </w:r>
      <w:r w:rsidR="00423E34">
        <w:rPr>
          <w:noProof/>
        </w:rPr>
        <w:t>18</w:t>
      </w:r>
      <w:r>
        <w:rPr>
          <w:noProof/>
        </w:rPr>
        <w:fldChar w:fldCharType="end"/>
      </w:r>
    </w:p>
    <w:p w14:paraId="6360C766" w14:textId="314B5CF4" w:rsidR="0056387D" w:rsidRDefault="0056387D">
      <w:pPr>
        <w:pStyle w:val="TableofFigures"/>
        <w:rPr>
          <w:rFonts w:asciiTheme="minorHAnsi" w:eastAsiaTheme="minorEastAsia" w:hAnsiTheme="minorHAnsi" w:cstheme="minorBidi"/>
          <w:noProof/>
          <w:szCs w:val="22"/>
        </w:rPr>
      </w:pPr>
      <w:r>
        <w:rPr>
          <w:noProof/>
        </w:rPr>
        <w:t>Table 12 Number of separations, haemodialysis and chemotherapy, by jurisdiction, Round 22</w:t>
      </w:r>
      <w:r>
        <w:rPr>
          <w:noProof/>
        </w:rPr>
        <w:tab/>
      </w:r>
      <w:r>
        <w:rPr>
          <w:noProof/>
        </w:rPr>
        <w:fldChar w:fldCharType="begin"/>
      </w:r>
      <w:r>
        <w:rPr>
          <w:noProof/>
        </w:rPr>
        <w:instrText xml:space="preserve"> PAGEREF _Toc31880542 \h </w:instrText>
      </w:r>
      <w:r>
        <w:rPr>
          <w:noProof/>
        </w:rPr>
      </w:r>
      <w:r>
        <w:rPr>
          <w:noProof/>
        </w:rPr>
        <w:fldChar w:fldCharType="separate"/>
      </w:r>
      <w:r w:rsidR="00423E34">
        <w:rPr>
          <w:noProof/>
        </w:rPr>
        <w:t>19</w:t>
      </w:r>
      <w:r>
        <w:rPr>
          <w:noProof/>
        </w:rPr>
        <w:fldChar w:fldCharType="end"/>
      </w:r>
    </w:p>
    <w:p w14:paraId="2D9950B2" w14:textId="047BAF75" w:rsidR="002E68CC" w:rsidRDefault="007627F8" w:rsidP="003B4C44">
      <w:pPr>
        <w:pStyle w:val="TOCHeading"/>
        <w:rPr>
          <w:noProof/>
        </w:rPr>
      </w:pPr>
      <w:r>
        <w:lastRenderedPageBreak/>
        <w:fldChar w:fldCharType="end"/>
      </w:r>
      <w:r w:rsidR="001B7DDF">
        <w:t>Figures</w:t>
      </w:r>
      <w:r w:rsidR="00CA68BA">
        <w:fldChar w:fldCharType="begin"/>
      </w:r>
      <w:r w:rsidR="00CA68BA">
        <w:instrText xml:space="preserve"> TOC \h \z \c "Figure" </w:instrText>
      </w:r>
      <w:r w:rsidR="00CA68BA">
        <w:fldChar w:fldCharType="separate"/>
      </w:r>
    </w:p>
    <w:p w14:paraId="6DB9886A" w14:textId="4A061F76" w:rsidR="002E68CC" w:rsidRDefault="007B2A6F">
      <w:pPr>
        <w:pStyle w:val="TableofFigures"/>
        <w:rPr>
          <w:rFonts w:asciiTheme="minorHAnsi" w:eastAsiaTheme="minorEastAsia" w:hAnsiTheme="minorHAnsi" w:cstheme="minorBidi"/>
          <w:noProof/>
          <w:szCs w:val="22"/>
        </w:rPr>
      </w:pPr>
      <w:hyperlink w:anchor="_Toc524359557" w:history="1">
        <w:r w:rsidR="002E68CC" w:rsidRPr="006B16BC">
          <w:rPr>
            <w:rStyle w:val="Hyperlink"/>
            <w:noProof/>
          </w:rPr>
          <w:t xml:space="preserve">Figure 1 </w:t>
        </w:r>
        <w:r w:rsidR="002E68CC" w:rsidRPr="006B16BC">
          <w:rPr>
            <w:rStyle w:val="Hyperlink"/>
            <w:rFonts w:cs="Arial"/>
            <w:noProof/>
          </w:rPr>
          <w:t>Admitted acute average length of stay of all separations and all overnight separations, by jurisdiction</w:t>
        </w:r>
        <w:r w:rsidR="002E68CC">
          <w:rPr>
            <w:noProof/>
            <w:webHidden/>
          </w:rPr>
          <w:tab/>
        </w:r>
        <w:r w:rsidR="002E68CC">
          <w:rPr>
            <w:noProof/>
            <w:webHidden/>
          </w:rPr>
          <w:fldChar w:fldCharType="begin"/>
        </w:r>
        <w:r w:rsidR="002E68CC">
          <w:rPr>
            <w:noProof/>
            <w:webHidden/>
          </w:rPr>
          <w:instrText xml:space="preserve"> PAGEREF _Toc524359557 \h </w:instrText>
        </w:r>
        <w:r w:rsidR="002E68CC">
          <w:rPr>
            <w:noProof/>
            <w:webHidden/>
          </w:rPr>
        </w:r>
        <w:r w:rsidR="002E68CC">
          <w:rPr>
            <w:noProof/>
            <w:webHidden/>
          </w:rPr>
          <w:fldChar w:fldCharType="separate"/>
        </w:r>
        <w:r w:rsidR="00423E34">
          <w:rPr>
            <w:noProof/>
            <w:webHidden/>
          </w:rPr>
          <w:t>20</w:t>
        </w:r>
        <w:r w:rsidR="002E68CC">
          <w:rPr>
            <w:noProof/>
            <w:webHidden/>
          </w:rPr>
          <w:fldChar w:fldCharType="end"/>
        </w:r>
      </w:hyperlink>
    </w:p>
    <w:p w14:paraId="01B33CDA" w14:textId="77777777" w:rsidR="009A6AD6" w:rsidRPr="00F6732A" w:rsidRDefault="00CA68BA" w:rsidP="005F5157">
      <w:r>
        <w:fldChar w:fldCharType="end"/>
      </w:r>
    </w:p>
    <w:p w14:paraId="543231DD" w14:textId="77777777" w:rsidR="00417163" w:rsidRDefault="00417163">
      <w:pPr>
        <w:spacing w:before="0" w:after="0" w:line="240" w:lineRule="auto"/>
        <w:rPr>
          <w:rFonts w:ascii="Arial Bold" w:hAnsi="Arial Bold"/>
          <w:b/>
          <w:sz w:val="40"/>
          <w:szCs w:val="44"/>
        </w:rPr>
      </w:pPr>
      <w:bookmarkStart w:id="1" w:name="_Toc524173846"/>
      <w:r>
        <w:br w:type="page"/>
      </w:r>
    </w:p>
    <w:p w14:paraId="24AFCDBF" w14:textId="23822A06" w:rsidR="002371BB" w:rsidRPr="00B90BCB" w:rsidRDefault="002371BB" w:rsidP="0096034C">
      <w:pPr>
        <w:pStyle w:val="Heading1"/>
        <w:numPr>
          <w:ilvl w:val="0"/>
          <w:numId w:val="23"/>
        </w:numPr>
      </w:pPr>
      <w:bookmarkStart w:id="2" w:name="_Toc25759682"/>
      <w:r w:rsidRPr="00B90BCB">
        <w:lastRenderedPageBreak/>
        <w:t xml:space="preserve">Purpose of </w:t>
      </w:r>
      <w:r w:rsidR="007C25B6">
        <w:t xml:space="preserve">the </w:t>
      </w:r>
      <w:r w:rsidR="005A3868">
        <w:t>NHCDC</w:t>
      </w:r>
      <w:r w:rsidRPr="00B90BCB">
        <w:t xml:space="preserve"> Report</w:t>
      </w:r>
      <w:bookmarkEnd w:id="1"/>
      <w:bookmarkEnd w:id="2"/>
    </w:p>
    <w:p w14:paraId="0774D66E" w14:textId="7CD7F6A0" w:rsidR="00C72F5E" w:rsidRPr="005346DE" w:rsidRDefault="005A3868" w:rsidP="00C72F5E">
      <w:pPr>
        <w:rPr>
          <w:rFonts w:cs="Arial"/>
        </w:rPr>
      </w:pPr>
      <w:r>
        <w:rPr>
          <w:rFonts w:cs="Arial"/>
        </w:rPr>
        <w:t>The purpose of this r</w:t>
      </w:r>
      <w:r w:rsidR="00C72F5E" w:rsidRPr="00056DB3">
        <w:rPr>
          <w:rFonts w:cs="Arial"/>
        </w:rPr>
        <w:t>eport is to provide a</w:t>
      </w:r>
      <w:r w:rsidR="00C72F5E">
        <w:rPr>
          <w:rFonts w:cs="Arial"/>
        </w:rPr>
        <w:t xml:space="preserve">n </w:t>
      </w:r>
      <w:r w:rsidR="00C72F5E" w:rsidRPr="00056DB3">
        <w:rPr>
          <w:rFonts w:cs="Arial"/>
        </w:rPr>
        <w:t xml:space="preserve">overview of the results from </w:t>
      </w:r>
      <w:r w:rsidR="00C72F5E" w:rsidRPr="005346DE">
        <w:rPr>
          <w:rFonts w:cs="Arial"/>
        </w:rPr>
        <w:t xml:space="preserve">the Round </w:t>
      </w:r>
      <w:r w:rsidR="009F18CD" w:rsidRPr="005346DE">
        <w:rPr>
          <w:rFonts w:cs="Arial"/>
        </w:rPr>
        <w:t>22</w:t>
      </w:r>
      <w:r w:rsidR="00C72F5E" w:rsidRPr="005346DE">
        <w:rPr>
          <w:rFonts w:cs="Arial"/>
        </w:rPr>
        <w:t xml:space="preserve"> National Hospital Cost Data Collection (NHCDC)</w:t>
      </w:r>
      <w:r w:rsidR="009552F1" w:rsidRPr="005346DE">
        <w:rPr>
          <w:rFonts w:cs="Arial"/>
        </w:rPr>
        <w:t xml:space="preserve">. The report </w:t>
      </w:r>
      <w:r w:rsidR="00C72F5E" w:rsidRPr="005346DE">
        <w:rPr>
          <w:rFonts w:cs="Arial"/>
        </w:rPr>
        <w:t xml:space="preserve">gives a clear picture of hospital cost data submitted by jurisdictions to the Independent Hospital Pricing Authority (IHPA) </w:t>
      </w:r>
      <w:r w:rsidR="009552F1" w:rsidRPr="005346DE">
        <w:rPr>
          <w:rFonts w:cs="Arial"/>
        </w:rPr>
        <w:t xml:space="preserve">for </w:t>
      </w:r>
      <w:r w:rsidR="007077A3">
        <w:rPr>
          <w:rFonts w:cs="Arial"/>
        </w:rPr>
        <w:t>the f</w:t>
      </w:r>
      <w:r w:rsidR="00C72F5E" w:rsidRPr="005346DE">
        <w:rPr>
          <w:rFonts w:cs="Arial"/>
        </w:rPr>
        <w:t xml:space="preserve">inancial </w:t>
      </w:r>
      <w:r w:rsidR="007077A3">
        <w:rPr>
          <w:rFonts w:cs="Arial"/>
        </w:rPr>
        <w:t>y</w:t>
      </w:r>
      <w:r w:rsidR="00C72F5E" w:rsidRPr="005346DE">
        <w:rPr>
          <w:rFonts w:cs="Arial"/>
        </w:rPr>
        <w:t xml:space="preserve">ear </w:t>
      </w:r>
      <w:r w:rsidR="009F18CD" w:rsidRPr="005346DE">
        <w:rPr>
          <w:rFonts w:cs="Arial"/>
        </w:rPr>
        <w:t>2017-18</w:t>
      </w:r>
      <w:r w:rsidR="00C72F5E" w:rsidRPr="005346DE">
        <w:rPr>
          <w:rFonts w:cs="Arial"/>
        </w:rPr>
        <w:t>.</w:t>
      </w:r>
    </w:p>
    <w:p w14:paraId="12B618FB" w14:textId="77777777" w:rsidR="00C72F5E" w:rsidRPr="005346DE" w:rsidRDefault="00C72F5E" w:rsidP="00C72F5E">
      <w:pPr>
        <w:rPr>
          <w:rFonts w:cs="Arial"/>
        </w:rPr>
      </w:pPr>
      <w:r w:rsidRPr="005346DE">
        <w:rPr>
          <w:rFonts w:cs="Arial"/>
        </w:rPr>
        <w:t xml:space="preserve">After each round of the NHCDC, IHPA publishes the </w:t>
      </w:r>
      <w:r w:rsidR="005A3868" w:rsidRPr="005346DE">
        <w:rPr>
          <w:rFonts w:cs="Arial"/>
        </w:rPr>
        <w:t>NHCDC</w:t>
      </w:r>
      <w:r w:rsidRPr="005346DE">
        <w:rPr>
          <w:rFonts w:cs="Arial"/>
        </w:rPr>
        <w:t xml:space="preserve"> Report.</w:t>
      </w:r>
      <w:r w:rsidR="009552F1" w:rsidRPr="005346DE">
        <w:rPr>
          <w:rFonts w:cs="Arial"/>
        </w:rPr>
        <w:t xml:space="preserve"> </w:t>
      </w:r>
      <w:r w:rsidR="009552F1" w:rsidRPr="005346DE">
        <w:t>The report allows benchmarking across hospitals and jurisdictions and</w:t>
      </w:r>
      <w:r w:rsidR="003B4C44" w:rsidRPr="005346DE">
        <w:t>,</w:t>
      </w:r>
      <w:r w:rsidR="009552F1" w:rsidRPr="005346DE">
        <w:t xml:space="preserve"> through reporting multiple years of cost data</w:t>
      </w:r>
      <w:r w:rsidR="003B4C44" w:rsidRPr="005346DE">
        <w:t>,</w:t>
      </w:r>
      <w:r w:rsidR="009552F1" w:rsidRPr="005346DE">
        <w:t xml:space="preserve"> identifies change over time.</w:t>
      </w:r>
    </w:p>
    <w:p w14:paraId="6EE90B81" w14:textId="639BC78F" w:rsidR="00C72F5E" w:rsidRPr="005346DE" w:rsidRDefault="00C72F5E" w:rsidP="00C72F5E">
      <w:pPr>
        <w:rPr>
          <w:rFonts w:cs="Arial"/>
        </w:rPr>
      </w:pPr>
      <w:r w:rsidRPr="005346DE">
        <w:rPr>
          <w:rFonts w:cs="Arial"/>
        </w:rPr>
        <w:t xml:space="preserve">Specifically, the </w:t>
      </w:r>
      <w:r w:rsidR="005A3868" w:rsidRPr="005346DE">
        <w:rPr>
          <w:rFonts w:cs="Arial"/>
        </w:rPr>
        <w:t>NHCDC</w:t>
      </w:r>
      <w:r w:rsidRPr="005346DE">
        <w:rPr>
          <w:rFonts w:cs="Arial"/>
        </w:rPr>
        <w:t xml:space="preserve"> </w:t>
      </w:r>
      <w:r w:rsidR="00135F65">
        <w:rPr>
          <w:rFonts w:cs="Arial"/>
        </w:rPr>
        <w:t xml:space="preserve">Round 22 </w:t>
      </w:r>
      <w:r w:rsidRPr="005346DE">
        <w:rPr>
          <w:rFonts w:cs="Arial"/>
        </w:rPr>
        <w:t>Report answers the following questions:</w:t>
      </w:r>
    </w:p>
    <w:p w14:paraId="7D6B4826" w14:textId="77777777" w:rsidR="00C72F5E" w:rsidRPr="005346DE" w:rsidRDefault="00C72F5E" w:rsidP="003F1387">
      <w:pPr>
        <w:pStyle w:val="ListParagraph"/>
        <w:numPr>
          <w:ilvl w:val="0"/>
          <w:numId w:val="12"/>
        </w:numPr>
      </w:pPr>
      <w:r w:rsidRPr="005346DE">
        <w:t>What is the NHCDC?</w:t>
      </w:r>
    </w:p>
    <w:p w14:paraId="17BBD66A" w14:textId="77777777" w:rsidR="00C72F5E" w:rsidRPr="005346DE" w:rsidRDefault="00C72F5E" w:rsidP="003F1387">
      <w:pPr>
        <w:pStyle w:val="ListParagraph"/>
        <w:numPr>
          <w:ilvl w:val="0"/>
          <w:numId w:val="12"/>
        </w:numPr>
      </w:pPr>
      <w:r w:rsidRPr="005346DE">
        <w:t xml:space="preserve">How does IHPA use the NHCDC? </w:t>
      </w:r>
    </w:p>
    <w:p w14:paraId="2C933791" w14:textId="77777777" w:rsidR="00C72F5E" w:rsidRPr="005346DE" w:rsidRDefault="00C72F5E" w:rsidP="00886525">
      <w:pPr>
        <w:pStyle w:val="ListParagraph"/>
        <w:numPr>
          <w:ilvl w:val="0"/>
          <w:numId w:val="12"/>
        </w:numPr>
      </w:pPr>
      <w:r w:rsidRPr="005346DE">
        <w:t>How many hospitals participated?</w:t>
      </w:r>
    </w:p>
    <w:p w14:paraId="26C76DCD" w14:textId="77777777" w:rsidR="00C72F5E" w:rsidRPr="005346DE" w:rsidRDefault="00C72F5E" w:rsidP="00886525">
      <w:pPr>
        <w:pStyle w:val="ListParagraph"/>
        <w:numPr>
          <w:ilvl w:val="0"/>
          <w:numId w:val="12"/>
        </w:numPr>
      </w:pPr>
      <w:r w:rsidRPr="005346DE">
        <w:t>What was the level of hospital expenditure?</w:t>
      </w:r>
    </w:p>
    <w:p w14:paraId="4BCC06D2" w14:textId="77777777" w:rsidR="00C72F5E" w:rsidRPr="005346DE" w:rsidRDefault="00C72F5E" w:rsidP="00886525">
      <w:pPr>
        <w:pStyle w:val="ListParagraph"/>
        <w:numPr>
          <w:ilvl w:val="0"/>
          <w:numId w:val="12"/>
        </w:numPr>
      </w:pPr>
      <w:r w:rsidRPr="005346DE">
        <w:t>How much cost data was provided (i.e. costed activity)?</w:t>
      </w:r>
    </w:p>
    <w:p w14:paraId="6D2E8CB7" w14:textId="77777777" w:rsidR="00C72F5E" w:rsidRPr="005346DE" w:rsidRDefault="00C72F5E" w:rsidP="00886525">
      <w:pPr>
        <w:pStyle w:val="ListParagraph"/>
        <w:numPr>
          <w:ilvl w:val="0"/>
          <w:numId w:val="12"/>
        </w:numPr>
      </w:pPr>
      <w:r w:rsidRPr="005346DE">
        <w:t>What was the average cost of hospital patient episodes?</w:t>
      </w:r>
    </w:p>
    <w:p w14:paraId="2DD92DEF" w14:textId="77777777" w:rsidR="00C72F5E" w:rsidRDefault="00C72F5E" w:rsidP="00886525">
      <w:pPr>
        <w:pStyle w:val="ListParagraph"/>
        <w:numPr>
          <w:ilvl w:val="0"/>
          <w:numId w:val="12"/>
        </w:numPr>
      </w:pPr>
      <w:r w:rsidRPr="005346DE">
        <w:t>What was the average cost of patient episodes across th</w:t>
      </w:r>
      <w:r>
        <w:t>e different hospital activity streams?</w:t>
      </w:r>
    </w:p>
    <w:p w14:paraId="7FC40190" w14:textId="14F0A42A" w:rsidR="007620BE" w:rsidRPr="007F44CC" w:rsidRDefault="000873F9" w:rsidP="00C525BF">
      <w:pPr>
        <w:pStyle w:val="Caption"/>
      </w:pPr>
      <w:r w:rsidRPr="00C525BF">
        <w:rPr>
          <w:b w:val="0"/>
          <w:noProof/>
        </w:rPr>
        <mc:AlternateContent>
          <mc:Choice Requires="wps">
            <w:drawing>
              <wp:anchor distT="45720" distB="45720" distL="114300" distR="114300" simplePos="0" relativeHeight="251661824" behindDoc="0" locked="0" layoutInCell="1" allowOverlap="1" wp14:anchorId="0BCF0B27" wp14:editId="4B50E4FA">
                <wp:simplePos x="0" y="0"/>
                <wp:positionH relativeFrom="column">
                  <wp:posOffset>17145</wp:posOffset>
                </wp:positionH>
                <wp:positionV relativeFrom="paragraph">
                  <wp:posOffset>803910</wp:posOffset>
                </wp:positionV>
                <wp:extent cx="6093460" cy="1828800"/>
                <wp:effectExtent l="0" t="0" r="21590" b="19050"/>
                <wp:wrapSquare wrapText="bothSides"/>
                <wp:docPr id="217" name="Text Box 2" title="Note to read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828800"/>
                        </a:xfrm>
                        <a:prstGeom prst="rect">
                          <a:avLst/>
                        </a:prstGeom>
                        <a:solidFill>
                          <a:srgbClr val="FFFFFF"/>
                        </a:solidFill>
                        <a:ln w="9525">
                          <a:solidFill>
                            <a:srgbClr val="000000"/>
                          </a:solidFill>
                          <a:miter lim="800000"/>
                          <a:headEnd/>
                          <a:tailEnd/>
                        </a:ln>
                      </wps:spPr>
                      <wps:txbx>
                        <w:txbxContent>
                          <w:p w14:paraId="16F88DD7" w14:textId="77777777" w:rsidR="007B2A6F" w:rsidRDefault="007B2A6F">
                            <w:pPr>
                              <w:rPr>
                                <w:b/>
                                <w:lang w:val="en-GB"/>
                              </w:rPr>
                            </w:pPr>
                            <w:r w:rsidRPr="000873F9">
                              <w:rPr>
                                <w:b/>
                                <w:lang w:val="en-GB"/>
                              </w:rPr>
                              <w:t>Note to readers</w:t>
                            </w:r>
                          </w:p>
                          <w:p w14:paraId="56B63E6F" w14:textId="328BD443" w:rsidR="007B2A6F" w:rsidRPr="000873F9" w:rsidRDefault="007B2A6F">
                            <w:pPr>
                              <w:rPr>
                                <w:lang w:val="en-GB"/>
                              </w:rPr>
                            </w:pPr>
                            <w:r>
                              <w:rPr>
                                <w:b/>
                                <w:lang w:val="en-GB"/>
                              </w:rPr>
                              <w:br/>
                            </w:r>
                            <w:r>
                              <w:rPr>
                                <w:lang w:val="en-GB"/>
                              </w:rPr>
                              <w:t xml:space="preserve">The scope of the NHCDC Report includes costs related to public hospital activities. Due to differing methodologies and data sources used, the costs reported here may differ from cost data published by other organisations. Such differences apply to data presented in the following Australian Institute of Health and Welfare (AIHW) report series: </w:t>
                            </w:r>
                            <w:r>
                              <w:rPr>
                                <w:i/>
                                <w:lang w:val="en-GB"/>
                              </w:rPr>
                              <w:t xml:space="preserve">Health expenditure Australia; Costs of acute admitted patients in public hospitals; </w:t>
                            </w:r>
                            <w:r>
                              <w:rPr>
                                <w:lang w:val="en-GB"/>
                              </w:rPr>
                              <w:t xml:space="preserve">and </w:t>
                            </w:r>
                            <w:r>
                              <w:rPr>
                                <w:i/>
                                <w:lang w:val="en-GB"/>
                              </w:rPr>
                              <w:t>Australian Hospital statistics</w:t>
                            </w:r>
                            <w:r>
                              <w:rPr>
                                <w:lang w:val="en-GB"/>
                              </w:rPr>
                              <w:t>. The reader is advised to take care when comparing these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F0B27" id="_x0000_t202" coordsize="21600,21600" o:spt="202" path="m,l,21600r21600,l21600,xe">
                <v:stroke joinstyle="miter"/>
                <v:path gradientshapeok="t" o:connecttype="rect"/>
              </v:shapetype>
              <v:shape id="Text Box 2" o:spid="_x0000_s1026" type="#_x0000_t202" alt="Title: Note to readers" style="position:absolute;margin-left:1.35pt;margin-top:63.3pt;width:479.8pt;height:2in;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">
                <v:textbox>
                  <w:txbxContent>
                    <w:p w14:paraId="16F88DD7" w14:textId="77777777" w:rsidR="007B2A6F" w:rsidRDefault="007B2A6F">
                      <w:pPr>
                        <w:rPr>
                          <w:b/>
                          <w:lang w:val="en-GB"/>
                        </w:rPr>
                      </w:pPr>
                      <w:r w:rsidRPr="000873F9">
                        <w:rPr>
                          <w:b/>
                          <w:lang w:val="en-GB"/>
                        </w:rPr>
                        <w:t>Note to readers</w:t>
                      </w:r>
                    </w:p>
                    <w:p w14:paraId="56B63E6F" w14:textId="328BD443" w:rsidR="007B2A6F" w:rsidRPr="000873F9" w:rsidRDefault="007B2A6F">
                      <w:pPr>
                        <w:rPr>
                          <w:lang w:val="en-GB"/>
                        </w:rPr>
                      </w:pPr>
                      <w:r>
                        <w:rPr>
                          <w:b/>
                          <w:lang w:val="en-GB"/>
                        </w:rPr>
                        <w:br/>
                      </w:r>
                      <w:r>
                        <w:rPr>
                          <w:lang w:val="en-GB"/>
                        </w:rPr>
                        <w:t xml:space="preserve">The scope of the NHCDC Report includes costs related to public hospital activities. Due to differing methodologies and data sources used, the costs reported here may differ from cost data published by other organisations. Such differences apply to data presented in the following Australian Institute of Health and Welfare (AIHW) report series: </w:t>
                      </w:r>
                      <w:r>
                        <w:rPr>
                          <w:i/>
                          <w:lang w:val="en-GB"/>
                        </w:rPr>
                        <w:t xml:space="preserve">Health expenditure Australia; Costs of acute admitted patients in public hospitals; </w:t>
                      </w:r>
                      <w:r>
                        <w:rPr>
                          <w:lang w:val="en-GB"/>
                        </w:rPr>
                        <w:t xml:space="preserve">and </w:t>
                      </w:r>
                      <w:r>
                        <w:rPr>
                          <w:i/>
                          <w:lang w:val="en-GB"/>
                        </w:rPr>
                        <w:t>Australian Hospital statistics</w:t>
                      </w:r>
                      <w:r>
                        <w:rPr>
                          <w:lang w:val="en-GB"/>
                        </w:rPr>
                        <w:t>. The reader is advised to take care when comparing these data.</w:t>
                      </w:r>
                    </w:p>
                  </w:txbxContent>
                </v:textbox>
                <w10:wrap type="square"/>
              </v:shape>
            </w:pict>
          </mc:Fallback>
        </mc:AlternateContent>
      </w:r>
      <w:r w:rsidR="007620BE" w:rsidRPr="00C525BF">
        <w:rPr>
          <w:b w:val="0"/>
        </w:rPr>
        <w:t>All data presented in th</w:t>
      </w:r>
      <w:r w:rsidR="00BB7BE2" w:rsidRPr="00C525BF">
        <w:rPr>
          <w:b w:val="0"/>
        </w:rPr>
        <w:t xml:space="preserve">e </w:t>
      </w:r>
      <w:r w:rsidR="005A3868" w:rsidRPr="00C525BF">
        <w:rPr>
          <w:b w:val="0"/>
        </w:rPr>
        <w:t>NHCDC</w:t>
      </w:r>
      <w:r w:rsidR="00BB7BE2" w:rsidRPr="00C525BF">
        <w:rPr>
          <w:b w:val="0"/>
        </w:rPr>
        <w:t xml:space="preserve"> Re</w:t>
      </w:r>
      <w:r w:rsidR="007620BE" w:rsidRPr="00C525BF">
        <w:rPr>
          <w:b w:val="0"/>
        </w:rPr>
        <w:t xml:space="preserve">port are </w:t>
      </w:r>
      <w:r w:rsidR="00847EAB">
        <w:rPr>
          <w:b w:val="0"/>
        </w:rPr>
        <w:t>included in A</w:t>
      </w:r>
      <w:r w:rsidR="007620BE" w:rsidRPr="00C525BF">
        <w:rPr>
          <w:b w:val="0"/>
        </w:rPr>
        <w:t xml:space="preserve">ppendix </w:t>
      </w:r>
      <w:r w:rsidR="00847EAB">
        <w:rPr>
          <w:b w:val="0"/>
        </w:rPr>
        <w:t>B</w:t>
      </w:r>
      <w:r w:rsidR="007620BE" w:rsidRPr="00C525BF">
        <w:rPr>
          <w:b w:val="0"/>
        </w:rPr>
        <w:t xml:space="preserve">. </w:t>
      </w:r>
      <w:r w:rsidR="00BB7BE2" w:rsidRPr="00C525BF">
        <w:rPr>
          <w:b w:val="0"/>
        </w:rPr>
        <w:t>The complete li</w:t>
      </w:r>
      <w:r w:rsidR="007A5C31" w:rsidRPr="00C525BF">
        <w:rPr>
          <w:b w:val="0"/>
        </w:rPr>
        <w:t xml:space="preserve">st of tables included in this report is shown in </w:t>
      </w:r>
      <w:r w:rsidR="007F44CC" w:rsidRPr="00C525BF">
        <w:rPr>
          <w:b w:val="0"/>
        </w:rPr>
        <w:t>Table 1</w:t>
      </w:r>
      <w:r w:rsidR="00BB7BE2" w:rsidRPr="00C525BF">
        <w:rPr>
          <w:b w:val="0"/>
        </w:rPr>
        <w:t xml:space="preserve">. </w:t>
      </w:r>
    </w:p>
    <w:p w14:paraId="1D7CE60E" w14:textId="48546F31" w:rsidR="00174E91" w:rsidRDefault="00174E91" w:rsidP="00C525BF">
      <w:pPr>
        <w:pStyle w:val="Caption"/>
      </w:pPr>
      <w:bookmarkStart w:id="3" w:name="_Ref527368587"/>
    </w:p>
    <w:p w14:paraId="5B925A8F" w14:textId="0AB27F48" w:rsidR="00174E91" w:rsidRDefault="00174E91">
      <w:pPr>
        <w:spacing w:before="0" w:after="0" w:line="240" w:lineRule="auto"/>
      </w:pPr>
      <w:r>
        <w:br w:type="page"/>
      </w:r>
    </w:p>
    <w:p w14:paraId="18A917FD" w14:textId="5FC0F0D3" w:rsidR="0018525C" w:rsidRPr="008D7943" w:rsidRDefault="00035874" w:rsidP="00D111B6">
      <w:pPr>
        <w:pStyle w:val="Caption"/>
      </w:pPr>
      <w:bookmarkStart w:id="4" w:name="_Toc19209240"/>
      <w:bookmarkStart w:id="5" w:name="_Toc31880531"/>
      <w:r>
        <w:lastRenderedPageBreak/>
        <w:t xml:space="preserve">Table </w:t>
      </w:r>
      <w:fldSimple w:instr=" SEQ Table \* ARABIC ">
        <w:r w:rsidR="00423E34">
          <w:rPr>
            <w:noProof/>
          </w:rPr>
          <w:t>1</w:t>
        </w:r>
      </w:fldSimple>
      <w:r w:rsidRPr="008D7943">
        <w:t xml:space="preserve"> NHCDC Report Appendix Tables, Round 22</w:t>
      </w:r>
      <w:bookmarkEnd w:id="3"/>
      <w:bookmarkEnd w:id="4"/>
      <w:r w:rsidR="002E7553">
        <w:t xml:space="preserve"> (Appendix B)</w:t>
      </w:r>
      <w:bookmarkEnd w:id="5"/>
    </w:p>
    <w:tbl>
      <w:tblPr>
        <w:tblW w:w="9947" w:type="dxa"/>
        <w:tblInd w:w="93" w:type="dxa"/>
        <w:tblLook w:val="04A0" w:firstRow="1" w:lastRow="0" w:firstColumn="1" w:lastColumn="0" w:noHBand="0" w:noVBand="1"/>
        <w:tblCaption w:val="Table 1 Appendix Tables"/>
        <w:tblDescription w:val="List of appendix tables."/>
      </w:tblPr>
      <w:tblGrid>
        <w:gridCol w:w="661"/>
        <w:gridCol w:w="9286"/>
      </w:tblGrid>
      <w:tr w:rsidR="00626DD3" w:rsidRPr="00626DD3" w14:paraId="5F402E42" w14:textId="77777777" w:rsidTr="00D111B6">
        <w:trPr>
          <w:trHeight w:val="323"/>
        </w:trPr>
        <w:tc>
          <w:tcPr>
            <w:tcW w:w="6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09F7F0" w14:textId="77777777" w:rsidR="00626DD3" w:rsidRPr="00626DD3" w:rsidRDefault="00626DD3" w:rsidP="00626DD3">
            <w:pPr>
              <w:spacing w:before="0" w:after="0" w:line="240" w:lineRule="auto"/>
              <w:rPr>
                <w:rFonts w:cs="Arial"/>
                <w:b/>
                <w:bCs/>
                <w:color w:val="000000"/>
                <w:szCs w:val="22"/>
              </w:rPr>
            </w:pPr>
            <w:bookmarkStart w:id="6" w:name="_Toc524173847"/>
            <w:r w:rsidRPr="00626DD3">
              <w:rPr>
                <w:rFonts w:cs="Arial"/>
                <w:b/>
                <w:bCs/>
                <w:color w:val="000000"/>
                <w:szCs w:val="22"/>
              </w:rPr>
              <w:t>No</w:t>
            </w:r>
          </w:p>
        </w:tc>
        <w:tc>
          <w:tcPr>
            <w:tcW w:w="9286" w:type="dxa"/>
            <w:tcBorders>
              <w:top w:val="single" w:sz="4" w:space="0" w:color="auto"/>
              <w:left w:val="nil"/>
              <w:bottom w:val="single" w:sz="4" w:space="0" w:color="auto"/>
              <w:right w:val="single" w:sz="4" w:space="0" w:color="auto"/>
            </w:tcBorders>
            <w:shd w:val="clear" w:color="000000" w:fill="FFFFFF"/>
            <w:noWrap/>
            <w:vAlign w:val="bottom"/>
            <w:hideMark/>
          </w:tcPr>
          <w:p w14:paraId="5B798069" w14:textId="77777777" w:rsidR="00626DD3" w:rsidRPr="00626DD3" w:rsidRDefault="00626DD3" w:rsidP="00626DD3">
            <w:pPr>
              <w:spacing w:before="0" w:after="0" w:line="240" w:lineRule="auto"/>
              <w:rPr>
                <w:rFonts w:cs="Arial"/>
                <w:b/>
                <w:bCs/>
                <w:color w:val="000000"/>
                <w:szCs w:val="22"/>
              </w:rPr>
            </w:pPr>
            <w:r w:rsidRPr="00626DD3">
              <w:rPr>
                <w:rFonts w:cs="Arial"/>
                <w:b/>
                <w:bCs/>
                <w:color w:val="000000"/>
                <w:szCs w:val="22"/>
              </w:rPr>
              <w:t>Table title</w:t>
            </w:r>
          </w:p>
        </w:tc>
      </w:tr>
      <w:tr w:rsidR="00626DD3" w:rsidRPr="00626DD3" w14:paraId="5EE40B37"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C3B8C51" w14:textId="77777777" w:rsidR="00626DD3" w:rsidRPr="00307D96" w:rsidRDefault="00626DD3" w:rsidP="00626DD3">
            <w:pPr>
              <w:spacing w:before="0" w:after="0" w:line="240" w:lineRule="auto"/>
              <w:rPr>
                <w:rFonts w:cs="Arial"/>
                <w:color w:val="000000"/>
                <w:sz w:val="20"/>
                <w:szCs w:val="20"/>
              </w:rPr>
            </w:pPr>
            <w:r w:rsidRPr="00307D96">
              <w:rPr>
                <w:rFonts w:cs="Arial"/>
                <w:color w:val="000000"/>
                <w:sz w:val="20"/>
                <w:szCs w:val="20"/>
              </w:rPr>
              <w:t>1</w:t>
            </w:r>
          </w:p>
        </w:tc>
        <w:tc>
          <w:tcPr>
            <w:tcW w:w="9286" w:type="dxa"/>
            <w:tcBorders>
              <w:top w:val="nil"/>
              <w:left w:val="nil"/>
              <w:bottom w:val="single" w:sz="4" w:space="0" w:color="auto"/>
              <w:right w:val="single" w:sz="4" w:space="0" w:color="auto"/>
            </w:tcBorders>
            <w:shd w:val="clear" w:color="000000" w:fill="FFFFFF"/>
            <w:noWrap/>
            <w:vAlign w:val="bottom"/>
            <w:hideMark/>
          </w:tcPr>
          <w:p w14:paraId="5382E04F" w14:textId="3E62CE05" w:rsidR="00626DD3" w:rsidRPr="00307D96" w:rsidRDefault="00626DD3" w:rsidP="00307D96">
            <w:pPr>
              <w:spacing w:before="0" w:after="0" w:line="240" w:lineRule="auto"/>
              <w:rPr>
                <w:rFonts w:cs="Arial"/>
                <w:color w:val="000000"/>
                <w:sz w:val="20"/>
                <w:szCs w:val="20"/>
              </w:rPr>
            </w:pPr>
            <w:r w:rsidRPr="00307D96">
              <w:rPr>
                <w:rFonts w:cs="Arial"/>
                <w:color w:val="000000"/>
                <w:sz w:val="20"/>
                <w:szCs w:val="20"/>
              </w:rPr>
              <w:t xml:space="preserve">NHCDC Round </w:t>
            </w:r>
            <w:r w:rsidR="009F18CD" w:rsidRPr="00307D96">
              <w:rPr>
                <w:rFonts w:cs="Arial"/>
                <w:color w:val="000000"/>
                <w:sz w:val="20"/>
                <w:szCs w:val="20"/>
              </w:rPr>
              <w:t>20 to 22</w:t>
            </w:r>
            <w:r w:rsidRPr="00307D96">
              <w:rPr>
                <w:rFonts w:cs="Arial"/>
                <w:color w:val="000000"/>
                <w:sz w:val="20"/>
                <w:szCs w:val="20"/>
              </w:rPr>
              <w:t xml:space="preserve"> summary, by jurisdiction and stream</w:t>
            </w:r>
          </w:p>
        </w:tc>
      </w:tr>
      <w:tr w:rsidR="00626DD3" w:rsidRPr="00626DD3" w14:paraId="0D21200D"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D8F38FC" w14:textId="77777777" w:rsidR="00626DD3" w:rsidRPr="00307D96" w:rsidRDefault="00626DD3" w:rsidP="00626DD3">
            <w:pPr>
              <w:spacing w:before="0" w:after="0" w:line="240" w:lineRule="auto"/>
              <w:rPr>
                <w:rFonts w:cs="Arial"/>
                <w:color w:val="000000"/>
                <w:sz w:val="20"/>
                <w:szCs w:val="20"/>
              </w:rPr>
            </w:pPr>
            <w:r w:rsidRPr="00307D96">
              <w:rPr>
                <w:rFonts w:cs="Arial"/>
                <w:color w:val="000000"/>
                <w:sz w:val="20"/>
                <w:szCs w:val="20"/>
              </w:rPr>
              <w:t>2</w:t>
            </w:r>
          </w:p>
        </w:tc>
        <w:tc>
          <w:tcPr>
            <w:tcW w:w="9286" w:type="dxa"/>
            <w:tcBorders>
              <w:top w:val="nil"/>
              <w:left w:val="nil"/>
              <w:bottom w:val="single" w:sz="4" w:space="0" w:color="auto"/>
              <w:right w:val="single" w:sz="4" w:space="0" w:color="auto"/>
            </w:tcBorders>
            <w:shd w:val="clear" w:color="000000" w:fill="FFFFFF"/>
            <w:noWrap/>
            <w:vAlign w:val="bottom"/>
            <w:hideMark/>
          </w:tcPr>
          <w:p w14:paraId="2A8A0CFD" w14:textId="2301E35A" w:rsidR="00626DD3" w:rsidRPr="00307D96" w:rsidRDefault="00626DD3" w:rsidP="00307D96">
            <w:pPr>
              <w:spacing w:before="0" w:after="0" w:line="240" w:lineRule="auto"/>
              <w:rPr>
                <w:rFonts w:cs="Arial"/>
                <w:color w:val="000000"/>
                <w:sz w:val="20"/>
                <w:szCs w:val="20"/>
              </w:rPr>
            </w:pPr>
            <w:r w:rsidRPr="00307D96">
              <w:rPr>
                <w:rFonts w:cs="Arial"/>
                <w:color w:val="000000"/>
                <w:sz w:val="20"/>
                <w:szCs w:val="20"/>
              </w:rPr>
              <w:t xml:space="preserve">NHCDC Round </w:t>
            </w:r>
            <w:r w:rsidR="009F18CD" w:rsidRPr="00307D96">
              <w:rPr>
                <w:rFonts w:cs="Arial"/>
                <w:color w:val="000000"/>
                <w:sz w:val="20"/>
                <w:szCs w:val="20"/>
              </w:rPr>
              <w:t>20 to 22</w:t>
            </w:r>
            <w:r w:rsidRPr="00307D96">
              <w:rPr>
                <w:rFonts w:cs="Arial"/>
                <w:color w:val="000000"/>
                <w:sz w:val="20"/>
                <w:szCs w:val="20"/>
              </w:rPr>
              <w:t xml:space="preserve"> Direct and Overhead Expenditure, by stream</w:t>
            </w:r>
          </w:p>
        </w:tc>
      </w:tr>
      <w:tr w:rsidR="00626DD3" w:rsidRPr="00626DD3" w14:paraId="31121B2A"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AD759E7" w14:textId="77777777" w:rsidR="00626DD3" w:rsidRPr="00307D96" w:rsidRDefault="00626DD3" w:rsidP="00626DD3">
            <w:pPr>
              <w:spacing w:before="0" w:after="0" w:line="240" w:lineRule="auto"/>
              <w:rPr>
                <w:rFonts w:cs="Arial"/>
                <w:color w:val="000000"/>
                <w:sz w:val="20"/>
                <w:szCs w:val="20"/>
              </w:rPr>
            </w:pPr>
            <w:r w:rsidRPr="00307D96">
              <w:rPr>
                <w:rFonts w:cs="Arial"/>
                <w:color w:val="000000"/>
                <w:sz w:val="20"/>
                <w:szCs w:val="20"/>
              </w:rPr>
              <w:t>3</w:t>
            </w:r>
          </w:p>
        </w:tc>
        <w:tc>
          <w:tcPr>
            <w:tcW w:w="9286" w:type="dxa"/>
            <w:tcBorders>
              <w:top w:val="nil"/>
              <w:left w:val="nil"/>
              <w:bottom w:val="single" w:sz="4" w:space="0" w:color="auto"/>
              <w:right w:val="single" w:sz="4" w:space="0" w:color="auto"/>
            </w:tcBorders>
            <w:shd w:val="clear" w:color="000000" w:fill="FFFFFF"/>
            <w:noWrap/>
            <w:vAlign w:val="bottom"/>
            <w:hideMark/>
          </w:tcPr>
          <w:p w14:paraId="42A0E230" w14:textId="677C4E2A" w:rsidR="00626DD3" w:rsidRPr="00307D96" w:rsidRDefault="00626DD3" w:rsidP="007A33AF">
            <w:pPr>
              <w:spacing w:before="0" w:after="0" w:line="240" w:lineRule="auto"/>
              <w:rPr>
                <w:rFonts w:cs="Arial"/>
                <w:color w:val="000000"/>
                <w:sz w:val="20"/>
                <w:szCs w:val="20"/>
              </w:rPr>
            </w:pPr>
            <w:r w:rsidRPr="00307D96">
              <w:rPr>
                <w:rFonts w:cs="Arial"/>
                <w:color w:val="000000"/>
                <w:sz w:val="20"/>
                <w:szCs w:val="20"/>
              </w:rPr>
              <w:t xml:space="preserve">Cost weights for AR-DRG Version </w:t>
            </w:r>
            <w:r w:rsidR="007A33AF" w:rsidRPr="00307D96">
              <w:rPr>
                <w:rFonts w:cs="Arial"/>
                <w:color w:val="000000"/>
                <w:sz w:val="20"/>
                <w:szCs w:val="20"/>
              </w:rPr>
              <w:t>10</w:t>
            </w:r>
            <w:r w:rsidRPr="00307D96">
              <w:rPr>
                <w:rFonts w:cs="Arial"/>
                <w:color w:val="000000"/>
                <w:sz w:val="20"/>
                <w:szCs w:val="20"/>
              </w:rPr>
              <w:t xml:space="preserve">.0, </w:t>
            </w:r>
            <w:r w:rsidR="009F18CD" w:rsidRPr="00307D96">
              <w:rPr>
                <w:rFonts w:cs="Arial"/>
                <w:color w:val="000000"/>
                <w:sz w:val="20"/>
                <w:szCs w:val="20"/>
              </w:rPr>
              <w:t>Round 22 (2017-18)</w:t>
            </w:r>
            <w:r w:rsidRPr="00307D96">
              <w:rPr>
                <w:rFonts w:cs="Arial"/>
                <w:color w:val="000000"/>
                <w:sz w:val="20"/>
                <w:szCs w:val="20"/>
              </w:rPr>
              <w:t xml:space="preserve"> national sample</w:t>
            </w:r>
          </w:p>
        </w:tc>
      </w:tr>
      <w:tr w:rsidR="00626DD3" w:rsidRPr="00626DD3" w14:paraId="62CD2C5D"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72CD47B" w14:textId="59DFE447" w:rsidR="00626DD3" w:rsidRPr="00307D96" w:rsidRDefault="007A33AF" w:rsidP="00626DD3">
            <w:pPr>
              <w:spacing w:before="0" w:after="0" w:line="240" w:lineRule="auto"/>
              <w:rPr>
                <w:rFonts w:cs="Arial"/>
                <w:color w:val="000000"/>
                <w:sz w:val="20"/>
                <w:szCs w:val="20"/>
              </w:rPr>
            </w:pPr>
            <w:r w:rsidRPr="00307D96">
              <w:rPr>
                <w:rFonts w:cs="Arial"/>
                <w:color w:val="000000"/>
                <w:sz w:val="20"/>
                <w:szCs w:val="20"/>
              </w:rPr>
              <w:t>4</w:t>
            </w:r>
          </w:p>
        </w:tc>
        <w:tc>
          <w:tcPr>
            <w:tcW w:w="9286" w:type="dxa"/>
            <w:tcBorders>
              <w:top w:val="nil"/>
              <w:left w:val="nil"/>
              <w:bottom w:val="single" w:sz="4" w:space="0" w:color="auto"/>
              <w:right w:val="single" w:sz="4" w:space="0" w:color="auto"/>
            </w:tcBorders>
            <w:shd w:val="clear" w:color="auto" w:fill="auto"/>
            <w:noWrap/>
            <w:vAlign w:val="bottom"/>
            <w:hideMark/>
          </w:tcPr>
          <w:p w14:paraId="3DE05943" w14:textId="76DE06D4" w:rsidR="00626DD3" w:rsidRPr="00307D96" w:rsidRDefault="00626DD3" w:rsidP="00307D96">
            <w:pPr>
              <w:spacing w:before="0" w:after="0" w:line="240" w:lineRule="auto"/>
              <w:rPr>
                <w:rFonts w:cs="Arial"/>
                <w:color w:val="000000"/>
                <w:sz w:val="20"/>
                <w:szCs w:val="20"/>
              </w:rPr>
            </w:pPr>
            <w:r w:rsidRPr="00307D96">
              <w:rPr>
                <w:rFonts w:cs="Arial"/>
                <w:color w:val="000000"/>
                <w:sz w:val="20"/>
                <w:szCs w:val="20"/>
              </w:rPr>
              <w:t xml:space="preserve">NHCDC Round </w:t>
            </w:r>
            <w:r w:rsidR="009F18CD" w:rsidRPr="00307D96">
              <w:rPr>
                <w:rFonts w:cs="Arial"/>
                <w:color w:val="000000"/>
                <w:sz w:val="20"/>
                <w:szCs w:val="20"/>
              </w:rPr>
              <w:t>20 to 22</w:t>
            </w:r>
            <w:r w:rsidRPr="00307D96">
              <w:rPr>
                <w:rFonts w:cs="Arial"/>
                <w:color w:val="000000"/>
                <w:sz w:val="20"/>
                <w:szCs w:val="20"/>
              </w:rPr>
              <w:t xml:space="preserve"> admitted acute summary, by jurisdiction</w:t>
            </w:r>
          </w:p>
        </w:tc>
      </w:tr>
      <w:tr w:rsidR="00626DD3" w:rsidRPr="00626DD3" w14:paraId="2DCBB6FA"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42BE17F" w14:textId="30D5624C" w:rsidR="00626DD3" w:rsidRPr="00307D96" w:rsidRDefault="007A33AF" w:rsidP="00626DD3">
            <w:pPr>
              <w:spacing w:before="0" w:after="0" w:line="240" w:lineRule="auto"/>
              <w:rPr>
                <w:rFonts w:cs="Arial"/>
                <w:color w:val="000000"/>
                <w:sz w:val="20"/>
                <w:szCs w:val="20"/>
              </w:rPr>
            </w:pPr>
            <w:r w:rsidRPr="00307D96">
              <w:rPr>
                <w:rFonts w:cs="Arial"/>
                <w:color w:val="000000"/>
                <w:sz w:val="20"/>
                <w:szCs w:val="20"/>
              </w:rPr>
              <w:t>5</w:t>
            </w:r>
          </w:p>
        </w:tc>
        <w:tc>
          <w:tcPr>
            <w:tcW w:w="9286" w:type="dxa"/>
            <w:tcBorders>
              <w:top w:val="nil"/>
              <w:left w:val="nil"/>
              <w:bottom w:val="single" w:sz="4" w:space="0" w:color="auto"/>
              <w:right w:val="single" w:sz="4" w:space="0" w:color="auto"/>
            </w:tcBorders>
            <w:shd w:val="clear" w:color="auto" w:fill="auto"/>
            <w:noWrap/>
            <w:vAlign w:val="bottom"/>
            <w:hideMark/>
          </w:tcPr>
          <w:p w14:paraId="5276ACB0" w14:textId="466DC33C" w:rsidR="00626DD3" w:rsidRPr="00307D96" w:rsidRDefault="00626DD3" w:rsidP="00307D96">
            <w:pPr>
              <w:spacing w:before="0" w:after="0" w:line="240" w:lineRule="auto"/>
              <w:rPr>
                <w:rFonts w:cs="Arial"/>
                <w:color w:val="000000"/>
                <w:sz w:val="20"/>
                <w:szCs w:val="20"/>
              </w:rPr>
            </w:pPr>
            <w:r w:rsidRPr="00307D96">
              <w:rPr>
                <w:rFonts w:cs="Arial"/>
                <w:color w:val="000000"/>
                <w:sz w:val="20"/>
                <w:szCs w:val="20"/>
              </w:rPr>
              <w:t xml:space="preserve">NHCDC Round </w:t>
            </w:r>
            <w:r w:rsidR="009F18CD" w:rsidRPr="00307D96">
              <w:rPr>
                <w:rFonts w:cs="Arial"/>
                <w:color w:val="000000"/>
                <w:sz w:val="20"/>
                <w:szCs w:val="20"/>
              </w:rPr>
              <w:t>20 to 22</w:t>
            </w:r>
            <w:r w:rsidRPr="00307D96">
              <w:rPr>
                <w:rFonts w:cs="Arial"/>
                <w:color w:val="000000"/>
                <w:sz w:val="20"/>
                <w:szCs w:val="20"/>
              </w:rPr>
              <w:t xml:space="preserve"> admitted acute summary, by peer group</w:t>
            </w:r>
          </w:p>
        </w:tc>
      </w:tr>
      <w:tr w:rsidR="00626DD3" w:rsidRPr="00626DD3" w14:paraId="3CF543CE"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B3762E4" w14:textId="56BF426F" w:rsidR="00626DD3" w:rsidRPr="001E7EFE" w:rsidRDefault="007A33AF" w:rsidP="00626DD3">
            <w:pPr>
              <w:spacing w:before="0" w:after="0" w:line="240" w:lineRule="auto"/>
              <w:rPr>
                <w:rFonts w:cs="Arial"/>
                <w:color w:val="000000"/>
                <w:sz w:val="20"/>
                <w:szCs w:val="20"/>
              </w:rPr>
            </w:pPr>
            <w:r w:rsidRPr="001E7EFE">
              <w:rPr>
                <w:rFonts w:cs="Arial"/>
                <w:color w:val="000000"/>
                <w:sz w:val="20"/>
                <w:szCs w:val="20"/>
              </w:rPr>
              <w:t>6</w:t>
            </w:r>
          </w:p>
        </w:tc>
        <w:tc>
          <w:tcPr>
            <w:tcW w:w="9286" w:type="dxa"/>
            <w:tcBorders>
              <w:top w:val="nil"/>
              <w:left w:val="nil"/>
              <w:bottom w:val="single" w:sz="4" w:space="0" w:color="auto"/>
              <w:right w:val="single" w:sz="4" w:space="0" w:color="auto"/>
            </w:tcBorders>
            <w:shd w:val="clear" w:color="auto" w:fill="auto"/>
            <w:noWrap/>
            <w:vAlign w:val="bottom"/>
            <w:hideMark/>
          </w:tcPr>
          <w:p w14:paraId="16D9CF60" w14:textId="240F7554" w:rsidR="00626DD3" w:rsidRPr="001E7EFE" w:rsidRDefault="00626DD3" w:rsidP="00CE4A94">
            <w:pPr>
              <w:spacing w:before="0" w:after="0" w:line="240" w:lineRule="auto"/>
              <w:rPr>
                <w:rFonts w:cs="Arial"/>
                <w:color w:val="000000"/>
                <w:sz w:val="20"/>
                <w:szCs w:val="20"/>
              </w:rPr>
            </w:pPr>
            <w:r w:rsidRPr="001E7EFE">
              <w:rPr>
                <w:rFonts w:cs="Arial"/>
                <w:color w:val="000000"/>
                <w:sz w:val="20"/>
                <w:szCs w:val="20"/>
              </w:rPr>
              <w:t xml:space="preserve">NHCDC Round </w:t>
            </w:r>
            <w:r w:rsidR="009F18CD" w:rsidRPr="001E7EFE">
              <w:rPr>
                <w:rFonts w:cs="Arial"/>
                <w:color w:val="000000"/>
                <w:sz w:val="20"/>
                <w:szCs w:val="20"/>
              </w:rPr>
              <w:t>20 to 22</w:t>
            </w:r>
            <w:r w:rsidRPr="001E7EFE">
              <w:rPr>
                <w:rFonts w:cs="Arial"/>
                <w:color w:val="000000"/>
                <w:sz w:val="20"/>
                <w:szCs w:val="20"/>
              </w:rPr>
              <w:t xml:space="preserve"> admitted acute cost bucket average cost per separation, by jurisdiction</w:t>
            </w:r>
          </w:p>
        </w:tc>
      </w:tr>
      <w:tr w:rsidR="00626DD3" w:rsidRPr="00626DD3" w14:paraId="6164CB5A"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8371CF0" w14:textId="6299A1D6" w:rsidR="00626DD3" w:rsidRPr="001E7EFE" w:rsidRDefault="007A33AF" w:rsidP="00626DD3">
            <w:pPr>
              <w:spacing w:before="0" w:after="0" w:line="240" w:lineRule="auto"/>
              <w:rPr>
                <w:rFonts w:cs="Arial"/>
                <w:color w:val="000000"/>
                <w:sz w:val="20"/>
                <w:szCs w:val="20"/>
              </w:rPr>
            </w:pPr>
            <w:r w:rsidRPr="001E7EFE">
              <w:rPr>
                <w:rFonts w:cs="Arial"/>
                <w:color w:val="000000"/>
                <w:sz w:val="20"/>
                <w:szCs w:val="20"/>
              </w:rPr>
              <w:t>7</w:t>
            </w:r>
          </w:p>
        </w:tc>
        <w:tc>
          <w:tcPr>
            <w:tcW w:w="9286" w:type="dxa"/>
            <w:tcBorders>
              <w:top w:val="nil"/>
              <w:left w:val="nil"/>
              <w:bottom w:val="single" w:sz="4" w:space="0" w:color="auto"/>
              <w:right w:val="single" w:sz="4" w:space="0" w:color="auto"/>
            </w:tcBorders>
            <w:shd w:val="clear" w:color="auto" w:fill="auto"/>
            <w:noWrap/>
            <w:vAlign w:val="bottom"/>
            <w:hideMark/>
          </w:tcPr>
          <w:p w14:paraId="655DFAA0" w14:textId="60691F98" w:rsidR="00626DD3" w:rsidRPr="001E7EFE" w:rsidRDefault="00626DD3" w:rsidP="00CE4A94">
            <w:pPr>
              <w:spacing w:before="0" w:after="0" w:line="240" w:lineRule="auto"/>
              <w:rPr>
                <w:rFonts w:cs="Arial"/>
                <w:color w:val="000000"/>
                <w:sz w:val="20"/>
                <w:szCs w:val="20"/>
              </w:rPr>
            </w:pPr>
            <w:r w:rsidRPr="001E7EFE">
              <w:rPr>
                <w:rFonts w:cs="Arial"/>
                <w:color w:val="000000"/>
                <w:sz w:val="20"/>
                <w:szCs w:val="20"/>
              </w:rPr>
              <w:t xml:space="preserve">NHCDC Round </w:t>
            </w:r>
            <w:r w:rsidR="009F18CD" w:rsidRPr="001E7EFE">
              <w:rPr>
                <w:rFonts w:cs="Arial"/>
                <w:color w:val="000000"/>
                <w:sz w:val="20"/>
                <w:szCs w:val="20"/>
              </w:rPr>
              <w:t>20 to 22</w:t>
            </w:r>
            <w:r w:rsidRPr="001E7EFE">
              <w:rPr>
                <w:rFonts w:cs="Arial"/>
                <w:color w:val="000000"/>
                <w:sz w:val="20"/>
                <w:szCs w:val="20"/>
              </w:rPr>
              <w:t xml:space="preserve"> admitted acute line item average cost per separation, by jurisdiction</w:t>
            </w:r>
          </w:p>
        </w:tc>
      </w:tr>
      <w:tr w:rsidR="00626DD3" w:rsidRPr="00626DD3" w14:paraId="2B22C69B"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2DA25DE" w14:textId="5AE5604C" w:rsidR="00626DD3" w:rsidRPr="001E7EFE" w:rsidRDefault="007A33AF" w:rsidP="00626DD3">
            <w:pPr>
              <w:spacing w:before="0" w:after="0" w:line="240" w:lineRule="auto"/>
              <w:rPr>
                <w:rFonts w:cs="Arial"/>
                <w:color w:val="000000"/>
                <w:sz w:val="20"/>
                <w:szCs w:val="20"/>
              </w:rPr>
            </w:pPr>
            <w:r w:rsidRPr="001E7EFE">
              <w:rPr>
                <w:rFonts w:cs="Arial"/>
                <w:color w:val="000000"/>
                <w:sz w:val="20"/>
                <w:szCs w:val="20"/>
              </w:rPr>
              <w:t>8</w:t>
            </w:r>
          </w:p>
        </w:tc>
        <w:tc>
          <w:tcPr>
            <w:tcW w:w="9286" w:type="dxa"/>
            <w:tcBorders>
              <w:top w:val="nil"/>
              <w:left w:val="nil"/>
              <w:bottom w:val="single" w:sz="4" w:space="0" w:color="auto"/>
              <w:right w:val="single" w:sz="4" w:space="0" w:color="auto"/>
            </w:tcBorders>
            <w:shd w:val="clear" w:color="auto" w:fill="auto"/>
            <w:noWrap/>
            <w:vAlign w:val="bottom"/>
            <w:hideMark/>
          </w:tcPr>
          <w:p w14:paraId="35EB9E40" w14:textId="7A154DAD" w:rsidR="00626DD3" w:rsidRPr="001E7EFE" w:rsidRDefault="00626DD3" w:rsidP="00CE4A94">
            <w:pPr>
              <w:spacing w:before="0" w:after="0" w:line="240" w:lineRule="auto"/>
              <w:rPr>
                <w:rFonts w:cs="Arial"/>
                <w:color w:val="000000"/>
                <w:sz w:val="20"/>
                <w:szCs w:val="20"/>
              </w:rPr>
            </w:pPr>
            <w:r w:rsidRPr="001E7EFE">
              <w:rPr>
                <w:rFonts w:cs="Arial"/>
                <w:color w:val="000000"/>
                <w:sz w:val="20"/>
                <w:szCs w:val="20"/>
              </w:rPr>
              <w:t xml:space="preserve">NHCDC Round </w:t>
            </w:r>
            <w:r w:rsidR="009F18CD" w:rsidRPr="001E7EFE">
              <w:rPr>
                <w:rFonts w:cs="Arial"/>
                <w:color w:val="000000"/>
                <w:sz w:val="20"/>
                <w:szCs w:val="20"/>
              </w:rPr>
              <w:t>20 to 22</w:t>
            </w:r>
            <w:r w:rsidRPr="001E7EFE">
              <w:rPr>
                <w:rFonts w:cs="Arial"/>
                <w:color w:val="000000"/>
                <w:sz w:val="20"/>
                <w:szCs w:val="20"/>
              </w:rPr>
              <w:t xml:space="preserve"> admitted acute overnight and same</w:t>
            </w:r>
            <w:r w:rsidR="00CE4A94" w:rsidRPr="001E7EFE">
              <w:rPr>
                <w:rFonts w:cs="Arial"/>
                <w:color w:val="000000"/>
                <w:sz w:val="20"/>
                <w:szCs w:val="20"/>
              </w:rPr>
              <w:t xml:space="preserve"> </w:t>
            </w:r>
            <w:r w:rsidRPr="001E7EFE">
              <w:rPr>
                <w:rFonts w:cs="Arial"/>
                <w:color w:val="000000"/>
                <w:sz w:val="20"/>
                <w:szCs w:val="20"/>
              </w:rPr>
              <w:t>day, by jurisdiction</w:t>
            </w:r>
          </w:p>
        </w:tc>
      </w:tr>
      <w:tr w:rsidR="00626DD3" w:rsidRPr="00626DD3" w14:paraId="6C457A83"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029FB7A" w14:textId="6F47A30F" w:rsidR="00626DD3" w:rsidRPr="001E7EFE" w:rsidRDefault="007A33AF" w:rsidP="00626DD3">
            <w:pPr>
              <w:spacing w:before="0" w:after="0" w:line="240" w:lineRule="auto"/>
              <w:rPr>
                <w:rFonts w:cs="Arial"/>
                <w:color w:val="000000"/>
                <w:sz w:val="20"/>
                <w:szCs w:val="20"/>
              </w:rPr>
            </w:pPr>
            <w:r w:rsidRPr="001E7EFE">
              <w:rPr>
                <w:rFonts w:cs="Arial"/>
                <w:color w:val="000000"/>
                <w:sz w:val="20"/>
                <w:szCs w:val="20"/>
              </w:rPr>
              <w:t>9</w:t>
            </w:r>
          </w:p>
        </w:tc>
        <w:tc>
          <w:tcPr>
            <w:tcW w:w="9286" w:type="dxa"/>
            <w:tcBorders>
              <w:top w:val="nil"/>
              <w:left w:val="nil"/>
              <w:bottom w:val="single" w:sz="4" w:space="0" w:color="auto"/>
              <w:right w:val="single" w:sz="4" w:space="0" w:color="auto"/>
            </w:tcBorders>
            <w:shd w:val="clear" w:color="auto" w:fill="auto"/>
            <w:noWrap/>
            <w:vAlign w:val="bottom"/>
            <w:hideMark/>
          </w:tcPr>
          <w:p w14:paraId="15A168FD" w14:textId="53F3DFFC" w:rsidR="00626DD3" w:rsidRPr="001E7EFE" w:rsidRDefault="00626DD3" w:rsidP="00626DD3">
            <w:pPr>
              <w:spacing w:before="0" w:after="0" w:line="240" w:lineRule="auto"/>
              <w:rPr>
                <w:rFonts w:cs="Arial"/>
                <w:color w:val="000000"/>
                <w:sz w:val="20"/>
                <w:szCs w:val="20"/>
              </w:rPr>
            </w:pPr>
            <w:r w:rsidRPr="001E7EFE">
              <w:rPr>
                <w:rFonts w:cs="Arial"/>
                <w:color w:val="000000"/>
                <w:sz w:val="20"/>
                <w:szCs w:val="20"/>
              </w:rPr>
              <w:t xml:space="preserve">NHCDC Round </w:t>
            </w:r>
            <w:r w:rsidR="009F18CD" w:rsidRPr="001E7EFE">
              <w:rPr>
                <w:rFonts w:cs="Arial"/>
                <w:color w:val="000000"/>
                <w:sz w:val="20"/>
                <w:szCs w:val="20"/>
              </w:rPr>
              <w:t>20 to 22</w:t>
            </w:r>
            <w:r w:rsidRPr="001E7EFE">
              <w:rPr>
                <w:rFonts w:cs="Arial"/>
                <w:color w:val="000000"/>
                <w:sz w:val="20"/>
                <w:szCs w:val="20"/>
              </w:rPr>
              <w:t xml:space="preserve"> admitted acut</w:t>
            </w:r>
            <w:r w:rsidR="00CE4A94" w:rsidRPr="001E7EFE">
              <w:rPr>
                <w:rFonts w:cs="Arial"/>
                <w:color w:val="000000"/>
                <w:sz w:val="20"/>
                <w:szCs w:val="20"/>
              </w:rPr>
              <w:t xml:space="preserve">e urgency of admission, </w:t>
            </w:r>
            <w:r w:rsidRPr="001E7EFE">
              <w:rPr>
                <w:rFonts w:cs="Arial"/>
                <w:color w:val="000000"/>
                <w:sz w:val="20"/>
                <w:szCs w:val="20"/>
              </w:rPr>
              <w:t>by jurisdiction</w:t>
            </w:r>
          </w:p>
        </w:tc>
      </w:tr>
      <w:tr w:rsidR="00626DD3" w:rsidRPr="00626DD3" w14:paraId="0166E7B8" w14:textId="77777777" w:rsidTr="00D111B6">
        <w:trPr>
          <w:trHeight w:val="597"/>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079F42B" w14:textId="515CF991" w:rsidR="00626DD3" w:rsidRPr="001E7EFE" w:rsidRDefault="007A33AF" w:rsidP="00626DD3">
            <w:pPr>
              <w:spacing w:before="0" w:after="0" w:line="240" w:lineRule="auto"/>
              <w:rPr>
                <w:rFonts w:cs="Arial"/>
                <w:color w:val="000000"/>
                <w:sz w:val="20"/>
                <w:szCs w:val="20"/>
              </w:rPr>
            </w:pPr>
            <w:r w:rsidRPr="001E7EFE">
              <w:rPr>
                <w:rFonts w:cs="Arial"/>
                <w:color w:val="000000"/>
                <w:sz w:val="20"/>
                <w:szCs w:val="20"/>
              </w:rPr>
              <w:t>10</w:t>
            </w:r>
          </w:p>
        </w:tc>
        <w:tc>
          <w:tcPr>
            <w:tcW w:w="9286" w:type="dxa"/>
            <w:tcBorders>
              <w:top w:val="nil"/>
              <w:left w:val="nil"/>
              <w:bottom w:val="single" w:sz="4" w:space="0" w:color="auto"/>
              <w:right w:val="single" w:sz="4" w:space="0" w:color="auto"/>
            </w:tcBorders>
            <w:shd w:val="clear" w:color="auto" w:fill="auto"/>
            <w:vAlign w:val="bottom"/>
            <w:hideMark/>
          </w:tcPr>
          <w:p w14:paraId="2198E3C6" w14:textId="5F60D28C" w:rsidR="00626DD3" w:rsidRPr="001E7EFE" w:rsidRDefault="00626DD3" w:rsidP="00626DD3">
            <w:pPr>
              <w:spacing w:before="0" w:after="0" w:line="240" w:lineRule="auto"/>
              <w:rPr>
                <w:rFonts w:cs="Arial"/>
                <w:color w:val="000000"/>
                <w:sz w:val="20"/>
                <w:szCs w:val="20"/>
              </w:rPr>
            </w:pPr>
            <w:r w:rsidRPr="001E7EFE">
              <w:rPr>
                <w:rFonts w:cs="Arial"/>
                <w:color w:val="000000"/>
                <w:sz w:val="20"/>
                <w:szCs w:val="20"/>
              </w:rPr>
              <w:t xml:space="preserve">NHCDC Round </w:t>
            </w:r>
            <w:r w:rsidR="009F18CD" w:rsidRPr="001E7EFE">
              <w:rPr>
                <w:rFonts w:cs="Arial"/>
                <w:color w:val="000000"/>
                <w:sz w:val="20"/>
                <w:szCs w:val="20"/>
              </w:rPr>
              <w:t>20 to 22</w:t>
            </w:r>
            <w:r w:rsidRPr="001E7EFE">
              <w:rPr>
                <w:rFonts w:cs="Arial"/>
                <w:color w:val="000000"/>
                <w:sz w:val="20"/>
                <w:szCs w:val="20"/>
              </w:rPr>
              <w:t xml:space="preserve"> admitted acute same day and overnight, Indigenous and non-</w:t>
            </w:r>
            <w:r w:rsidR="00CE4A94" w:rsidRPr="001E7EFE">
              <w:rPr>
                <w:rFonts w:cs="Arial"/>
                <w:color w:val="000000"/>
                <w:sz w:val="20"/>
                <w:szCs w:val="20"/>
              </w:rPr>
              <w:t>Indigenous,</w:t>
            </w:r>
            <w:r w:rsidRPr="001E7EFE">
              <w:rPr>
                <w:rFonts w:cs="Arial"/>
                <w:color w:val="000000"/>
                <w:sz w:val="20"/>
                <w:szCs w:val="20"/>
              </w:rPr>
              <w:t xml:space="preserve"> by jurisdiction</w:t>
            </w:r>
          </w:p>
        </w:tc>
      </w:tr>
      <w:tr w:rsidR="007A33AF" w:rsidRPr="00626DD3" w14:paraId="464515EF"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3D42794" w14:textId="11F4E431" w:rsidR="007A33AF" w:rsidRPr="001E7EFE" w:rsidRDefault="007A33AF" w:rsidP="007A33AF">
            <w:pPr>
              <w:spacing w:before="0" w:after="0" w:line="240" w:lineRule="auto"/>
              <w:rPr>
                <w:rFonts w:cs="Arial"/>
                <w:color w:val="000000"/>
                <w:sz w:val="20"/>
                <w:szCs w:val="20"/>
              </w:rPr>
            </w:pPr>
            <w:r w:rsidRPr="001E7EFE">
              <w:rPr>
                <w:rFonts w:cs="Arial"/>
                <w:color w:val="000000"/>
                <w:sz w:val="20"/>
                <w:szCs w:val="20"/>
              </w:rPr>
              <w:t>11</w:t>
            </w:r>
          </w:p>
        </w:tc>
        <w:tc>
          <w:tcPr>
            <w:tcW w:w="9286" w:type="dxa"/>
            <w:tcBorders>
              <w:top w:val="nil"/>
              <w:left w:val="nil"/>
              <w:bottom w:val="single" w:sz="4" w:space="0" w:color="auto"/>
              <w:right w:val="single" w:sz="4" w:space="0" w:color="auto"/>
            </w:tcBorders>
            <w:shd w:val="clear" w:color="auto" w:fill="auto"/>
            <w:noWrap/>
            <w:vAlign w:val="bottom"/>
            <w:hideMark/>
          </w:tcPr>
          <w:p w14:paraId="5CFF3946" w14:textId="6EB6C676" w:rsidR="007A33AF" w:rsidRPr="00D80014" w:rsidRDefault="007A33AF" w:rsidP="00CE4A94">
            <w:pPr>
              <w:spacing w:before="0" w:after="0" w:line="240" w:lineRule="auto"/>
              <w:rPr>
                <w:rFonts w:cs="Arial"/>
                <w:color w:val="000000"/>
                <w:sz w:val="20"/>
                <w:szCs w:val="20"/>
              </w:rPr>
            </w:pPr>
            <w:r w:rsidRPr="00D80014">
              <w:rPr>
                <w:rFonts w:cs="Arial"/>
                <w:color w:val="000000"/>
                <w:sz w:val="20"/>
                <w:szCs w:val="20"/>
              </w:rPr>
              <w:t>NHCDC Round 20 to 22 admitted acute paediatric, by jurisdiction</w:t>
            </w:r>
          </w:p>
        </w:tc>
      </w:tr>
      <w:tr w:rsidR="007A33AF" w:rsidRPr="00626DD3" w14:paraId="296FCB1B"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367540E" w14:textId="7AE2D588" w:rsidR="007A33AF" w:rsidRPr="00E420DB" w:rsidRDefault="007A33AF" w:rsidP="007A33AF">
            <w:pPr>
              <w:spacing w:before="0" w:after="0" w:line="240" w:lineRule="auto"/>
              <w:rPr>
                <w:rFonts w:cs="Arial"/>
                <w:color w:val="000000"/>
                <w:sz w:val="20"/>
                <w:szCs w:val="20"/>
              </w:rPr>
            </w:pPr>
            <w:r w:rsidRPr="00E420DB">
              <w:rPr>
                <w:rFonts w:cs="Arial"/>
                <w:color w:val="000000"/>
                <w:sz w:val="20"/>
                <w:szCs w:val="20"/>
              </w:rPr>
              <w:t>12</w:t>
            </w:r>
          </w:p>
        </w:tc>
        <w:tc>
          <w:tcPr>
            <w:tcW w:w="9286" w:type="dxa"/>
            <w:tcBorders>
              <w:top w:val="nil"/>
              <w:left w:val="nil"/>
              <w:bottom w:val="single" w:sz="4" w:space="0" w:color="auto"/>
              <w:right w:val="single" w:sz="4" w:space="0" w:color="auto"/>
            </w:tcBorders>
            <w:shd w:val="clear" w:color="auto" w:fill="auto"/>
            <w:noWrap/>
            <w:vAlign w:val="bottom"/>
            <w:hideMark/>
          </w:tcPr>
          <w:p w14:paraId="0E107BF3" w14:textId="57B7E02D" w:rsidR="007A33AF" w:rsidRPr="00D80014" w:rsidRDefault="007A33AF" w:rsidP="00CE4A94">
            <w:pPr>
              <w:spacing w:before="0" w:after="0" w:line="240" w:lineRule="auto"/>
              <w:rPr>
                <w:rFonts w:cs="Arial"/>
                <w:color w:val="000000"/>
                <w:sz w:val="20"/>
                <w:szCs w:val="20"/>
              </w:rPr>
            </w:pPr>
            <w:r w:rsidRPr="00D80014">
              <w:rPr>
                <w:rFonts w:cs="Arial"/>
                <w:color w:val="000000"/>
                <w:sz w:val="20"/>
                <w:szCs w:val="20"/>
              </w:rPr>
              <w:t>NHCDC Round 20 to 22 admitted acute geographic location, by jurisdiction</w:t>
            </w:r>
          </w:p>
        </w:tc>
      </w:tr>
      <w:tr w:rsidR="007B2777" w:rsidRPr="00626DD3" w14:paraId="03D71EEA"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0CF9CA1" w14:textId="68528560" w:rsidR="007B2777" w:rsidRPr="00E420DB" w:rsidRDefault="007B2777" w:rsidP="007B2777">
            <w:pPr>
              <w:spacing w:before="0" w:after="0" w:line="240" w:lineRule="auto"/>
              <w:rPr>
                <w:rFonts w:cs="Arial"/>
                <w:color w:val="000000"/>
                <w:sz w:val="20"/>
                <w:szCs w:val="20"/>
              </w:rPr>
            </w:pPr>
            <w:r w:rsidRPr="00E420DB">
              <w:rPr>
                <w:rFonts w:cs="Arial"/>
                <w:color w:val="000000"/>
                <w:sz w:val="20"/>
                <w:szCs w:val="20"/>
              </w:rPr>
              <w:t>13</w:t>
            </w:r>
          </w:p>
        </w:tc>
        <w:tc>
          <w:tcPr>
            <w:tcW w:w="9286" w:type="dxa"/>
            <w:tcBorders>
              <w:top w:val="nil"/>
              <w:left w:val="nil"/>
              <w:bottom w:val="single" w:sz="4" w:space="0" w:color="auto"/>
              <w:right w:val="single" w:sz="4" w:space="0" w:color="auto"/>
            </w:tcBorders>
            <w:shd w:val="clear" w:color="auto" w:fill="auto"/>
            <w:noWrap/>
            <w:vAlign w:val="bottom"/>
            <w:hideMark/>
          </w:tcPr>
          <w:p w14:paraId="77B8B3D0" w14:textId="77777777" w:rsidR="007B2777" w:rsidRPr="00E420DB" w:rsidRDefault="007B2777" w:rsidP="007B2777">
            <w:pPr>
              <w:spacing w:before="0" w:after="0" w:line="240" w:lineRule="auto"/>
              <w:rPr>
                <w:rFonts w:cs="Arial"/>
                <w:color w:val="000000"/>
                <w:sz w:val="20"/>
                <w:szCs w:val="20"/>
              </w:rPr>
            </w:pPr>
            <w:r w:rsidRPr="00E420DB">
              <w:rPr>
                <w:rFonts w:cs="Arial"/>
                <w:color w:val="000000"/>
                <w:sz w:val="20"/>
                <w:szCs w:val="20"/>
              </w:rPr>
              <w:t xml:space="preserve">NHCDC Round 20 to 22 Emergency Department by jurisdiction </w:t>
            </w:r>
          </w:p>
        </w:tc>
      </w:tr>
      <w:tr w:rsidR="007B2777" w:rsidRPr="00626DD3" w14:paraId="032427A1" w14:textId="77777777" w:rsidTr="00D111B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EC99D4B" w14:textId="40D399B4" w:rsidR="007B2777" w:rsidRPr="00E420DB" w:rsidRDefault="007B2777" w:rsidP="007B2777">
            <w:pPr>
              <w:spacing w:before="0" w:after="0" w:line="240" w:lineRule="auto"/>
              <w:rPr>
                <w:rFonts w:cs="Arial"/>
                <w:color w:val="000000"/>
                <w:sz w:val="20"/>
                <w:szCs w:val="20"/>
              </w:rPr>
            </w:pPr>
            <w:r w:rsidRPr="00E420DB">
              <w:rPr>
                <w:rFonts w:cs="Arial"/>
                <w:color w:val="000000"/>
                <w:sz w:val="20"/>
                <w:szCs w:val="20"/>
              </w:rPr>
              <w:t>14</w:t>
            </w:r>
          </w:p>
        </w:tc>
        <w:tc>
          <w:tcPr>
            <w:tcW w:w="9286" w:type="dxa"/>
            <w:tcBorders>
              <w:top w:val="nil"/>
              <w:left w:val="nil"/>
              <w:bottom w:val="single" w:sz="4" w:space="0" w:color="auto"/>
              <w:right w:val="single" w:sz="4" w:space="0" w:color="auto"/>
            </w:tcBorders>
            <w:shd w:val="clear" w:color="auto" w:fill="auto"/>
            <w:noWrap/>
            <w:vAlign w:val="bottom"/>
            <w:hideMark/>
          </w:tcPr>
          <w:p w14:paraId="47A43F7B" w14:textId="0DA83FC7" w:rsidR="007B2777" w:rsidRPr="00E420DB" w:rsidRDefault="007B2777" w:rsidP="007B2777">
            <w:pPr>
              <w:spacing w:before="0" w:after="0" w:line="240" w:lineRule="auto"/>
              <w:rPr>
                <w:rFonts w:cs="Arial"/>
                <w:color w:val="000000"/>
                <w:sz w:val="20"/>
                <w:szCs w:val="20"/>
              </w:rPr>
            </w:pPr>
            <w:r>
              <w:rPr>
                <w:rFonts w:cs="Arial"/>
                <w:color w:val="000000"/>
                <w:sz w:val="20"/>
                <w:szCs w:val="20"/>
              </w:rPr>
              <w:t xml:space="preserve">Emergency care summary, </w:t>
            </w:r>
            <w:r w:rsidRPr="00E420DB">
              <w:rPr>
                <w:rFonts w:cs="Arial"/>
                <w:color w:val="000000"/>
                <w:sz w:val="20"/>
                <w:szCs w:val="20"/>
              </w:rPr>
              <w:t xml:space="preserve">Urgency Related Groups (URG) </w:t>
            </w:r>
            <w:r>
              <w:rPr>
                <w:rFonts w:cs="Arial"/>
                <w:color w:val="000000"/>
                <w:sz w:val="20"/>
                <w:szCs w:val="20"/>
              </w:rPr>
              <w:t>Version</w:t>
            </w:r>
            <w:r w:rsidRPr="00E420DB">
              <w:rPr>
                <w:rFonts w:cs="Arial"/>
                <w:color w:val="000000"/>
                <w:sz w:val="20"/>
                <w:szCs w:val="20"/>
              </w:rPr>
              <w:t xml:space="preserve"> 1.45, Round 22 </w:t>
            </w:r>
          </w:p>
        </w:tc>
      </w:tr>
      <w:tr w:rsidR="007B2777" w:rsidRPr="00626DD3" w14:paraId="23D491AE" w14:textId="77777777" w:rsidTr="002E7553">
        <w:trPr>
          <w:trHeight w:val="550"/>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D110C14" w14:textId="10BC6277" w:rsidR="007B2777" w:rsidRPr="00E420DB" w:rsidRDefault="007B2777" w:rsidP="007B2777">
            <w:pPr>
              <w:spacing w:before="0" w:after="0" w:line="240" w:lineRule="auto"/>
              <w:rPr>
                <w:rFonts w:cs="Arial"/>
                <w:color w:val="000000"/>
                <w:sz w:val="20"/>
                <w:szCs w:val="20"/>
              </w:rPr>
            </w:pPr>
            <w:r w:rsidRPr="00E420DB">
              <w:rPr>
                <w:rFonts w:cs="Arial"/>
                <w:color w:val="000000"/>
                <w:sz w:val="20"/>
                <w:szCs w:val="20"/>
              </w:rPr>
              <w:t>15</w:t>
            </w:r>
          </w:p>
        </w:tc>
        <w:tc>
          <w:tcPr>
            <w:tcW w:w="9286" w:type="dxa"/>
            <w:tcBorders>
              <w:top w:val="nil"/>
              <w:left w:val="nil"/>
              <w:bottom w:val="single" w:sz="4" w:space="0" w:color="auto"/>
              <w:right w:val="single" w:sz="4" w:space="0" w:color="auto"/>
            </w:tcBorders>
            <w:shd w:val="clear" w:color="auto" w:fill="auto"/>
            <w:noWrap/>
            <w:vAlign w:val="center"/>
            <w:hideMark/>
          </w:tcPr>
          <w:p w14:paraId="320924C6" w14:textId="690F2A0B" w:rsidR="007B2777" w:rsidRPr="00E420DB" w:rsidRDefault="007B2777" w:rsidP="002E7553">
            <w:pPr>
              <w:spacing w:before="0" w:after="0" w:line="240" w:lineRule="auto"/>
              <w:rPr>
                <w:rFonts w:cs="Arial"/>
                <w:color w:val="000000"/>
                <w:sz w:val="20"/>
                <w:szCs w:val="20"/>
              </w:rPr>
            </w:pPr>
            <w:r w:rsidRPr="00E420DB">
              <w:rPr>
                <w:rFonts w:cs="Arial"/>
                <w:color w:val="000000"/>
                <w:sz w:val="20"/>
                <w:szCs w:val="20"/>
              </w:rPr>
              <w:t>NHCDC Round 20 to 22 emergency department cost bucket average cost per separation, by jurisdiction</w:t>
            </w:r>
          </w:p>
        </w:tc>
      </w:tr>
      <w:tr w:rsidR="007B2777" w:rsidRPr="00626DD3" w14:paraId="36A34E8D" w14:textId="77777777" w:rsidTr="002E7553">
        <w:trPr>
          <w:trHeight w:val="558"/>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CE57A35" w14:textId="261A1B11" w:rsidR="007B2777" w:rsidRPr="00E420DB" w:rsidRDefault="007B2777" w:rsidP="007B2777">
            <w:pPr>
              <w:spacing w:before="0" w:after="0" w:line="240" w:lineRule="auto"/>
              <w:rPr>
                <w:rFonts w:cs="Arial"/>
                <w:color w:val="000000"/>
                <w:sz w:val="20"/>
                <w:szCs w:val="20"/>
              </w:rPr>
            </w:pPr>
            <w:r w:rsidRPr="00E420DB">
              <w:rPr>
                <w:rFonts w:cs="Arial"/>
                <w:color w:val="000000"/>
                <w:sz w:val="20"/>
                <w:szCs w:val="20"/>
              </w:rPr>
              <w:t>16</w:t>
            </w:r>
          </w:p>
        </w:tc>
        <w:tc>
          <w:tcPr>
            <w:tcW w:w="9286" w:type="dxa"/>
            <w:tcBorders>
              <w:top w:val="nil"/>
              <w:left w:val="nil"/>
              <w:bottom w:val="single" w:sz="4" w:space="0" w:color="auto"/>
              <w:right w:val="single" w:sz="4" w:space="0" w:color="auto"/>
            </w:tcBorders>
            <w:shd w:val="clear" w:color="auto" w:fill="auto"/>
            <w:vAlign w:val="center"/>
            <w:hideMark/>
          </w:tcPr>
          <w:p w14:paraId="7A8E0D5B" w14:textId="7A1F128E" w:rsidR="007B2777" w:rsidRPr="00E420DB" w:rsidRDefault="007B2777" w:rsidP="002E7553">
            <w:pPr>
              <w:spacing w:before="0" w:after="0" w:line="240" w:lineRule="auto"/>
              <w:rPr>
                <w:rFonts w:cs="Arial"/>
                <w:color w:val="000000"/>
                <w:sz w:val="20"/>
                <w:szCs w:val="20"/>
              </w:rPr>
            </w:pPr>
            <w:r w:rsidRPr="00E420DB">
              <w:rPr>
                <w:rFonts w:cs="Arial"/>
                <w:color w:val="000000"/>
                <w:sz w:val="20"/>
                <w:szCs w:val="20"/>
              </w:rPr>
              <w:t>NHCDC Round 20 to 22 admitted Emergency Department line item average cost per separation, by jurisdiction</w:t>
            </w:r>
          </w:p>
        </w:tc>
      </w:tr>
      <w:tr w:rsidR="007B2777" w:rsidRPr="00626DD3" w14:paraId="5B1E0BCD"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2093FAE" w14:textId="528D189E" w:rsidR="007B2777" w:rsidRPr="00FE77DC" w:rsidRDefault="007B2777" w:rsidP="007B2777">
            <w:pPr>
              <w:spacing w:before="0" w:after="0" w:line="240" w:lineRule="auto"/>
              <w:rPr>
                <w:rFonts w:cs="Arial"/>
                <w:color w:val="000000"/>
                <w:sz w:val="20"/>
                <w:szCs w:val="20"/>
              </w:rPr>
            </w:pPr>
            <w:r w:rsidRPr="00E420DB">
              <w:rPr>
                <w:rFonts w:cs="Arial"/>
                <w:color w:val="000000"/>
                <w:sz w:val="20"/>
                <w:szCs w:val="20"/>
              </w:rPr>
              <w:t>17</w:t>
            </w:r>
          </w:p>
        </w:tc>
        <w:tc>
          <w:tcPr>
            <w:tcW w:w="9286" w:type="dxa"/>
            <w:tcBorders>
              <w:top w:val="nil"/>
              <w:left w:val="nil"/>
              <w:bottom w:val="single" w:sz="4" w:space="0" w:color="auto"/>
              <w:right w:val="single" w:sz="4" w:space="0" w:color="auto"/>
            </w:tcBorders>
            <w:shd w:val="clear" w:color="auto" w:fill="auto"/>
            <w:noWrap/>
            <w:vAlign w:val="center"/>
            <w:hideMark/>
          </w:tcPr>
          <w:p w14:paraId="27DCC27D" w14:textId="491960AC" w:rsidR="007B2777" w:rsidRPr="00FE77DC" w:rsidRDefault="007B2777" w:rsidP="002E7553">
            <w:pPr>
              <w:spacing w:before="0" w:after="0" w:line="240" w:lineRule="auto"/>
              <w:rPr>
                <w:rFonts w:cs="Arial"/>
                <w:color w:val="000000"/>
                <w:sz w:val="20"/>
                <w:szCs w:val="20"/>
              </w:rPr>
            </w:pPr>
            <w:r>
              <w:rPr>
                <w:rFonts w:cs="Arial"/>
                <w:color w:val="000000"/>
                <w:sz w:val="20"/>
                <w:szCs w:val="20"/>
              </w:rPr>
              <w:t>Non-admitted summary table,</w:t>
            </w:r>
            <w:r w:rsidRPr="00FE77DC">
              <w:rPr>
                <w:rFonts w:cs="Arial"/>
                <w:color w:val="000000"/>
                <w:sz w:val="20"/>
                <w:szCs w:val="20"/>
              </w:rPr>
              <w:t xml:space="preserve"> Tier 2 V</w:t>
            </w:r>
            <w:r>
              <w:rPr>
                <w:rFonts w:cs="Arial"/>
                <w:color w:val="000000"/>
                <w:sz w:val="20"/>
                <w:szCs w:val="20"/>
              </w:rPr>
              <w:t>ersion</w:t>
            </w:r>
            <w:r w:rsidRPr="00FE77DC">
              <w:rPr>
                <w:rFonts w:cs="Arial"/>
                <w:color w:val="000000"/>
                <w:sz w:val="20"/>
                <w:szCs w:val="20"/>
              </w:rPr>
              <w:t xml:space="preserve"> 4.1,</w:t>
            </w:r>
          </w:p>
        </w:tc>
      </w:tr>
      <w:tr w:rsidR="007B2777" w:rsidRPr="00626DD3" w14:paraId="13B71E87"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AB7A1DF" w14:textId="09F63D25" w:rsidR="007B2777" w:rsidRPr="00FE77DC" w:rsidRDefault="007B2777" w:rsidP="007B2777">
            <w:pPr>
              <w:spacing w:before="0" w:after="0" w:line="240" w:lineRule="auto"/>
              <w:rPr>
                <w:rFonts w:cs="Arial"/>
                <w:color w:val="000000"/>
                <w:sz w:val="20"/>
                <w:szCs w:val="20"/>
              </w:rPr>
            </w:pPr>
            <w:r w:rsidRPr="00FE77DC">
              <w:rPr>
                <w:rFonts w:cs="Arial"/>
                <w:color w:val="000000"/>
                <w:sz w:val="20"/>
                <w:szCs w:val="20"/>
              </w:rPr>
              <w:t>18</w:t>
            </w:r>
          </w:p>
        </w:tc>
        <w:tc>
          <w:tcPr>
            <w:tcW w:w="9286" w:type="dxa"/>
            <w:tcBorders>
              <w:top w:val="nil"/>
              <w:left w:val="nil"/>
              <w:bottom w:val="single" w:sz="4" w:space="0" w:color="auto"/>
              <w:right w:val="single" w:sz="4" w:space="0" w:color="auto"/>
            </w:tcBorders>
            <w:shd w:val="clear" w:color="auto" w:fill="auto"/>
            <w:noWrap/>
            <w:vAlign w:val="center"/>
            <w:hideMark/>
          </w:tcPr>
          <w:p w14:paraId="61C9BF27" w14:textId="77777777" w:rsidR="007B2777" w:rsidRPr="00FE77DC" w:rsidRDefault="007B2777" w:rsidP="002E7553">
            <w:pPr>
              <w:spacing w:before="0" w:after="0" w:line="240" w:lineRule="auto"/>
              <w:rPr>
                <w:rFonts w:cs="Arial"/>
                <w:color w:val="000000"/>
                <w:sz w:val="20"/>
                <w:szCs w:val="20"/>
              </w:rPr>
            </w:pPr>
            <w:r w:rsidRPr="00FE77DC">
              <w:rPr>
                <w:rFonts w:cs="Arial"/>
                <w:color w:val="000000"/>
                <w:sz w:val="20"/>
                <w:szCs w:val="20"/>
              </w:rPr>
              <w:t>NHCDC Round 20 to 22 Non-admitted summary by Tier 2 class</w:t>
            </w:r>
          </w:p>
        </w:tc>
      </w:tr>
      <w:tr w:rsidR="007B2777" w:rsidRPr="00626DD3" w14:paraId="4CABFE64"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31ACEF9" w14:textId="46945C74" w:rsidR="007B2777" w:rsidRPr="000D79D8" w:rsidRDefault="007B2777" w:rsidP="007B2777">
            <w:pPr>
              <w:spacing w:before="0" w:after="0" w:line="240" w:lineRule="auto"/>
              <w:rPr>
                <w:rFonts w:cs="Arial"/>
                <w:color w:val="000000"/>
                <w:sz w:val="20"/>
                <w:szCs w:val="20"/>
              </w:rPr>
            </w:pPr>
            <w:r w:rsidRPr="00FE77DC">
              <w:rPr>
                <w:rFonts w:cs="Arial"/>
                <w:color w:val="000000"/>
                <w:sz w:val="20"/>
                <w:szCs w:val="20"/>
              </w:rPr>
              <w:t>19</w:t>
            </w:r>
          </w:p>
        </w:tc>
        <w:tc>
          <w:tcPr>
            <w:tcW w:w="9286" w:type="dxa"/>
            <w:tcBorders>
              <w:top w:val="nil"/>
              <w:left w:val="nil"/>
              <w:bottom w:val="single" w:sz="4" w:space="0" w:color="auto"/>
              <w:right w:val="single" w:sz="4" w:space="0" w:color="auto"/>
            </w:tcBorders>
            <w:shd w:val="clear" w:color="auto" w:fill="auto"/>
            <w:noWrap/>
            <w:vAlign w:val="center"/>
            <w:hideMark/>
          </w:tcPr>
          <w:p w14:paraId="66830D8E" w14:textId="77777777"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Non-admitted summary by jurisdiction</w:t>
            </w:r>
          </w:p>
        </w:tc>
      </w:tr>
      <w:tr w:rsidR="007B2777" w:rsidRPr="00626DD3" w14:paraId="6B1B0921"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D4B1B31" w14:textId="44ABA7D4"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20</w:t>
            </w:r>
          </w:p>
        </w:tc>
        <w:tc>
          <w:tcPr>
            <w:tcW w:w="9286" w:type="dxa"/>
            <w:tcBorders>
              <w:top w:val="nil"/>
              <w:left w:val="nil"/>
              <w:bottom w:val="single" w:sz="4" w:space="0" w:color="auto"/>
              <w:right w:val="single" w:sz="4" w:space="0" w:color="auto"/>
            </w:tcBorders>
            <w:shd w:val="clear" w:color="auto" w:fill="auto"/>
            <w:noWrap/>
            <w:vAlign w:val="center"/>
            <w:hideMark/>
          </w:tcPr>
          <w:p w14:paraId="455F10F9" w14:textId="5229CAC0"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non-admitted cost bucket</w:t>
            </w:r>
            <w:r w:rsidR="00EE4C4B">
              <w:rPr>
                <w:rFonts w:cs="Arial"/>
                <w:color w:val="000000"/>
                <w:sz w:val="20"/>
                <w:szCs w:val="20"/>
              </w:rPr>
              <w:t xml:space="preserve"> </w:t>
            </w:r>
            <w:r w:rsidRPr="000D79D8">
              <w:rPr>
                <w:rFonts w:cs="Arial"/>
                <w:color w:val="000000"/>
                <w:sz w:val="20"/>
                <w:szCs w:val="20"/>
              </w:rPr>
              <w:t>per service event by jurisdiction</w:t>
            </w:r>
          </w:p>
        </w:tc>
      </w:tr>
      <w:tr w:rsidR="007B2777" w:rsidRPr="00626DD3" w14:paraId="6AE9873B"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073A2DAE" w14:textId="08525A1E"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21</w:t>
            </w:r>
          </w:p>
        </w:tc>
        <w:tc>
          <w:tcPr>
            <w:tcW w:w="9286" w:type="dxa"/>
            <w:tcBorders>
              <w:top w:val="nil"/>
              <w:left w:val="nil"/>
              <w:bottom w:val="single" w:sz="4" w:space="0" w:color="auto"/>
              <w:right w:val="single" w:sz="4" w:space="0" w:color="auto"/>
            </w:tcBorders>
            <w:shd w:val="clear" w:color="auto" w:fill="auto"/>
            <w:noWrap/>
            <w:vAlign w:val="center"/>
            <w:hideMark/>
          </w:tcPr>
          <w:p w14:paraId="5DF714E5" w14:textId="61BA4F3C"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non-admitted line it</w:t>
            </w:r>
            <w:r>
              <w:rPr>
                <w:rFonts w:cs="Arial"/>
                <w:color w:val="000000"/>
                <w:sz w:val="20"/>
                <w:szCs w:val="20"/>
              </w:rPr>
              <w:t>em average cost per separation</w:t>
            </w:r>
            <w:r w:rsidRPr="000D79D8">
              <w:rPr>
                <w:rFonts w:cs="Arial"/>
                <w:color w:val="000000"/>
                <w:sz w:val="20"/>
                <w:szCs w:val="20"/>
              </w:rPr>
              <w:t>, by jurisdiction</w:t>
            </w:r>
          </w:p>
        </w:tc>
      </w:tr>
      <w:tr w:rsidR="007B2777" w:rsidRPr="00626DD3" w14:paraId="585EB81F"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BF5CDCF" w14:textId="5A57EC2A"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22</w:t>
            </w:r>
          </w:p>
        </w:tc>
        <w:tc>
          <w:tcPr>
            <w:tcW w:w="9286" w:type="dxa"/>
            <w:tcBorders>
              <w:top w:val="nil"/>
              <w:left w:val="nil"/>
              <w:bottom w:val="single" w:sz="4" w:space="0" w:color="auto"/>
              <w:right w:val="single" w:sz="4" w:space="0" w:color="auto"/>
            </w:tcBorders>
            <w:shd w:val="clear" w:color="auto" w:fill="auto"/>
            <w:noWrap/>
            <w:vAlign w:val="center"/>
            <w:hideMark/>
          </w:tcPr>
          <w:p w14:paraId="3FE53CEA" w14:textId="4D1040FE"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sub</w:t>
            </w:r>
            <w:r>
              <w:rPr>
                <w:rFonts w:cs="Arial"/>
                <w:color w:val="000000"/>
                <w:sz w:val="20"/>
                <w:szCs w:val="20"/>
              </w:rPr>
              <w:t>-</w:t>
            </w:r>
            <w:r w:rsidRPr="000D79D8">
              <w:rPr>
                <w:rFonts w:cs="Arial"/>
                <w:color w:val="000000"/>
                <w:sz w:val="20"/>
                <w:szCs w:val="20"/>
              </w:rPr>
              <w:t>acute summary care type, by jurisdiction</w:t>
            </w:r>
          </w:p>
        </w:tc>
      </w:tr>
      <w:tr w:rsidR="007B2777" w:rsidRPr="00626DD3" w14:paraId="27CCA94A"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4CA524E" w14:textId="7A0BFB18"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23</w:t>
            </w:r>
          </w:p>
        </w:tc>
        <w:tc>
          <w:tcPr>
            <w:tcW w:w="9286" w:type="dxa"/>
            <w:tcBorders>
              <w:top w:val="nil"/>
              <w:left w:val="nil"/>
              <w:bottom w:val="single" w:sz="4" w:space="0" w:color="auto"/>
              <w:right w:val="single" w:sz="4" w:space="0" w:color="auto"/>
            </w:tcBorders>
            <w:shd w:val="clear" w:color="auto" w:fill="auto"/>
            <w:noWrap/>
            <w:vAlign w:val="center"/>
            <w:hideMark/>
          </w:tcPr>
          <w:p w14:paraId="20C45A65" w14:textId="7CED47AE" w:rsidR="007B2777" w:rsidRPr="000D79D8" w:rsidRDefault="007B2777" w:rsidP="002E7553">
            <w:pPr>
              <w:spacing w:before="0" w:after="0" w:line="240" w:lineRule="auto"/>
              <w:rPr>
                <w:rFonts w:cs="Arial"/>
                <w:color w:val="000000"/>
                <w:sz w:val="20"/>
                <w:szCs w:val="20"/>
              </w:rPr>
            </w:pPr>
            <w:r w:rsidRPr="002E7553">
              <w:rPr>
                <w:rFonts w:cs="Arial"/>
                <w:color w:val="000000"/>
                <w:sz w:val="20"/>
                <w:szCs w:val="20"/>
              </w:rPr>
              <w:t>Sub-acute summary table, ANSNAP Version 4, Round 22</w:t>
            </w:r>
          </w:p>
        </w:tc>
      </w:tr>
      <w:tr w:rsidR="007B2777" w:rsidRPr="00626DD3" w14:paraId="58C0F623"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1873221" w14:textId="38ACC0E1"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24</w:t>
            </w:r>
          </w:p>
        </w:tc>
        <w:tc>
          <w:tcPr>
            <w:tcW w:w="9286" w:type="dxa"/>
            <w:tcBorders>
              <w:top w:val="nil"/>
              <w:left w:val="nil"/>
              <w:bottom w:val="single" w:sz="4" w:space="0" w:color="auto"/>
              <w:right w:val="single" w:sz="4" w:space="0" w:color="auto"/>
            </w:tcBorders>
            <w:shd w:val="clear" w:color="auto" w:fill="auto"/>
            <w:noWrap/>
            <w:vAlign w:val="center"/>
            <w:hideMark/>
          </w:tcPr>
          <w:p w14:paraId="6A9B094E" w14:textId="008CFDFF"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admitted subacute cost buck</w:t>
            </w:r>
            <w:r>
              <w:rPr>
                <w:rFonts w:cs="Arial"/>
                <w:color w:val="000000"/>
                <w:sz w:val="20"/>
                <w:szCs w:val="20"/>
              </w:rPr>
              <w:t>et average cost per separation</w:t>
            </w:r>
            <w:r w:rsidRPr="000D79D8">
              <w:rPr>
                <w:rFonts w:cs="Arial"/>
                <w:color w:val="000000"/>
                <w:sz w:val="20"/>
                <w:szCs w:val="20"/>
              </w:rPr>
              <w:t>, by jurisdiction</w:t>
            </w:r>
          </w:p>
        </w:tc>
      </w:tr>
      <w:tr w:rsidR="007B2777" w:rsidRPr="00626DD3" w14:paraId="44E658FE"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DAF7FC4" w14:textId="567046A3"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25</w:t>
            </w:r>
          </w:p>
        </w:tc>
        <w:tc>
          <w:tcPr>
            <w:tcW w:w="9286" w:type="dxa"/>
            <w:tcBorders>
              <w:top w:val="nil"/>
              <w:left w:val="nil"/>
              <w:bottom w:val="single" w:sz="4" w:space="0" w:color="auto"/>
              <w:right w:val="single" w:sz="4" w:space="0" w:color="auto"/>
            </w:tcBorders>
            <w:shd w:val="clear" w:color="auto" w:fill="auto"/>
            <w:noWrap/>
            <w:vAlign w:val="center"/>
            <w:hideMark/>
          </w:tcPr>
          <w:p w14:paraId="50C5875A" w14:textId="67AAECE2"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subacute line item average cost per s</w:t>
            </w:r>
            <w:r>
              <w:rPr>
                <w:rFonts w:cs="Arial"/>
                <w:color w:val="000000"/>
                <w:sz w:val="20"/>
                <w:szCs w:val="20"/>
              </w:rPr>
              <w:t>eparation,</w:t>
            </w:r>
            <w:r w:rsidRPr="000D79D8">
              <w:rPr>
                <w:rFonts w:cs="Arial"/>
                <w:color w:val="000000"/>
                <w:sz w:val="20"/>
                <w:szCs w:val="20"/>
              </w:rPr>
              <w:t xml:space="preserve"> by jurisdiction</w:t>
            </w:r>
          </w:p>
        </w:tc>
      </w:tr>
      <w:tr w:rsidR="007B2777" w:rsidRPr="00626DD3" w14:paraId="02CF742A"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53F0E52F" w14:textId="2C52BF52" w:rsidR="007B2777" w:rsidRPr="000D79D8" w:rsidRDefault="007B2777" w:rsidP="007B2777">
            <w:pPr>
              <w:spacing w:before="0" w:after="0" w:line="240" w:lineRule="auto"/>
              <w:rPr>
                <w:rFonts w:cs="Arial"/>
                <w:color w:val="000000"/>
                <w:sz w:val="20"/>
                <w:szCs w:val="20"/>
              </w:rPr>
            </w:pPr>
            <w:r w:rsidRPr="000D79D8">
              <w:rPr>
                <w:rFonts w:cs="Arial"/>
                <w:color w:val="000000"/>
                <w:sz w:val="20"/>
                <w:szCs w:val="20"/>
              </w:rPr>
              <w:t>26</w:t>
            </w:r>
          </w:p>
        </w:tc>
        <w:tc>
          <w:tcPr>
            <w:tcW w:w="9286" w:type="dxa"/>
            <w:tcBorders>
              <w:top w:val="nil"/>
              <w:left w:val="nil"/>
              <w:bottom w:val="single" w:sz="4" w:space="0" w:color="auto"/>
              <w:right w:val="single" w:sz="4" w:space="0" w:color="auto"/>
            </w:tcBorders>
            <w:shd w:val="clear" w:color="auto" w:fill="auto"/>
            <w:noWrap/>
            <w:vAlign w:val="center"/>
            <w:hideMark/>
          </w:tcPr>
          <w:p w14:paraId="5B951EE7" w14:textId="77777777" w:rsidR="007B2777" w:rsidRPr="000D79D8" w:rsidRDefault="007B2777" w:rsidP="002E7553">
            <w:pPr>
              <w:spacing w:before="0" w:after="0" w:line="240" w:lineRule="auto"/>
              <w:rPr>
                <w:rFonts w:cs="Arial"/>
                <w:color w:val="000000"/>
                <w:sz w:val="20"/>
                <w:szCs w:val="20"/>
              </w:rPr>
            </w:pPr>
            <w:r w:rsidRPr="000D79D8">
              <w:rPr>
                <w:rFonts w:cs="Arial"/>
                <w:color w:val="000000"/>
                <w:sz w:val="20"/>
                <w:szCs w:val="20"/>
              </w:rPr>
              <w:t>NHCDC Round 20 to 22 Other stream summary, by jurisdiction</w:t>
            </w:r>
          </w:p>
        </w:tc>
      </w:tr>
      <w:tr w:rsidR="007B2777" w:rsidRPr="00626DD3" w14:paraId="1E816419"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BA8267A" w14:textId="7D827A09" w:rsidR="007B2777" w:rsidRPr="00A04847" w:rsidRDefault="007B2777" w:rsidP="007B2777">
            <w:pPr>
              <w:spacing w:before="0" w:after="0" w:line="240" w:lineRule="auto"/>
              <w:rPr>
                <w:rFonts w:cs="Arial"/>
                <w:color w:val="000000"/>
                <w:sz w:val="20"/>
                <w:szCs w:val="20"/>
              </w:rPr>
            </w:pPr>
            <w:r w:rsidRPr="000D79D8">
              <w:rPr>
                <w:rFonts w:cs="Arial"/>
                <w:color w:val="000000"/>
                <w:sz w:val="20"/>
                <w:szCs w:val="20"/>
              </w:rPr>
              <w:t>27</w:t>
            </w:r>
          </w:p>
        </w:tc>
        <w:tc>
          <w:tcPr>
            <w:tcW w:w="9286" w:type="dxa"/>
            <w:tcBorders>
              <w:top w:val="nil"/>
              <w:left w:val="nil"/>
              <w:bottom w:val="single" w:sz="4" w:space="0" w:color="auto"/>
              <w:right w:val="single" w:sz="4" w:space="0" w:color="auto"/>
            </w:tcBorders>
            <w:shd w:val="clear" w:color="auto" w:fill="auto"/>
            <w:noWrap/>
            <w:vAlign w:val="center"/>
            <w:hideMark/>
          </w:tcPr>
          <w:p w14:paraId="2CD91182" w14:textId="77777777" w:rsidR="007B2777" w:rsidRPr="00A04847" w:rsidRDefault="007B2777" w:rsidP="002E7553">
            <w:pPr>
              <w:spacing w:before="0" w:after="0" w:line="240" w:lineRule="auto"/>
              <w:rPr>
                <w:rFonts w:cs="Arial"/>
                <w:color w:val="000000"/>
                <w:sz w:val="20"/>
                <w:szCs w:val="20"/>
              </w:rPr>
            </w:pPr>
            <w:r w:rsidRPr="00A04847">
              <w:rPr>
                <w:rFonts w:cs="Arial"/>
                <w:color w:val="000000"/>
                <w:sz w:val="20"/>
                <w:szCs w:val="20"/>
              </w:rPr>
              <w:t>NHCDC Round 20 to 22 Organ Procurement cost bucket average per separation by jurisdiction</w:t>
            </w:r>
          </w:p>
        </w:tc>
      </w:tr>
      <w:tr w:rsidR="007B2777" w:rsidRPr="00626DD3" w14:paraId="2E922DFF"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AB3D1FB" w14:textId="1190B5E4" w:rsidR="007B2777" w:rsidRPr="00A04847" w:rsidRDefault="007B2777" w:rsidP="007B2777">
            <w:pPr>
              <w:spacing w:before="0" w:after="0" w:line="240" w:lineRule="auto"/>
              <w:rPr>
                <w:rFonts w:cs="Arial"/>
                <w:color w:val="000000"/>
                <w:sz w:val="20"/>
                <w:szCs w:val="20"/>
              </w:rPr>
            </w:pPr>
            <w:r w:rsidRPr="00A04847">
              <w:rPr>
                <w:rFonts w:cs="Arial"/>
                <w:color w:val="000000"/>
                <w:sz w:val="20"/>
                <w:szCs w:val="20"/>
              </w:rPr>
              <w:t>28</w:t>
            </w:r>
          </w:p>
        </w:tc>
        <w:tc>
          <w:tcPr>
            <w:tcW w:w="9286" w:type="dxa"/>
            <w:tcBorders>
              <w:top w:val="nil"/>
              <w:left w:val="nil"/>
              <w:bottom w:val="single" w:sz="4" w:space="0" w:color="auto"/>
              <w:right w:val="single" w:sz="4" w:space="0" w:color="auto"/>
            </w:tcBorders>
            <w:shd w:val="clear" w:color="auto" w:fill="auto"/>
            <w:noWrap/>
            <w:vAlign w:val="center"/>
          </w:tcPr>
          <w:p w14:paraId="4F8B503E" w14:textId="44CA2BBF" w:rsidR="007B2777" w:rsidRPr="00A04847" w:rsidRDefault="007B2777" w:rsidP="002E7553">
            <w:pPr>
              <w:spacing w:before="0" w:after="0" w:line="240" w:lineRule="auto"/>
              <w:rPr>
                <w:rFonts w:cs="Arial"/>
                <w:color w:val="000000"/>
                <w:sz w:val="20"/>
                <w:szCs w:val="20"/>
              </w:rPr>
            </w:pPr>
            <w:r w:rsidRPr="00A04847">
              <w:rPr>
                <w:rFonts w:cs="Arial"/>
                <w:color w:val="000000"/>
                <w:sz w:val="20"/>
                <w:szCs w:val="20"/>
              </w:rPr>
              <w:t>NHCDC Round 22 Mental health summary table</w:t>
            </w:r>
          </w:p>
        </w:tc>
      </w:tr>
      <w:tr w:rsidR="007B2777" w:rsidRPr="00626DD3" w14:paraId="600E713D"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D0BEF98" w14:textId="779EA0CD" w:rsidR="007B2777" w:rsidRPr="00A04847" w:rsidRDefault="007B2777" w:rsidP="007B2777">
            <w:pPr>
              <w:spacing w:before="0" w:after="0" w:line="240" w:lineRule="auto"/>
              <w:rPr>
                <w:rFonts w:cs="Arial"/>
                <w:color w:val="000000"/>
                <w:sz w:val="20"/>
                <w:szCs w:val="20"/>
              </w:rPr>
            </w:pPr>
            <w:r w:rsidRPr="00A04847">
              <w:rPr>
                <w:rFonts w:cs="Arial"/>
                <w:color w:val="000000"/>
                <w:sz w:val="20"/>
                <w:szCs w:val="20"/>
              </w:rPr>
              <w:t>29</w:t>
            </w:r>
          </w:p>
        </w:tc>
        <w:tc>
          <w:tcPr>
            <w:tcW w:w="9286" w:type="dxa"/>
            <w:tcBorders>
              <w:top w:val="nil"/>
              <w:left w:val="nil"/>
              <w:bottom w:val="single" w:sz="4" w:space="0" w:color="auto"/>
              <w:right w:val="single" w:sz="4" w:space="0" w:color="auto"/>
            </w:tcBorders>
            <w:shd w:val="clear" w:color="auto" w:fill="auto"/>
            <w:noWrap/>
            <w:vAlign w:val="center"/>
          </w:tcPr>
          <w:p w14:paraId="5DF3764E" w14:textId="7C935111" w:rsidR="007B2777" w:rsidRPr="00A04847" w:rsidRDefault="007B2777" w:rsidP="002E7553">
            <w:pPr>
              <w:spacing w:before="0" w:after="0" w:line="240" w:lineRule="auto"/>
              <w:rPr>
                <w:rFonts w:cs="Arial"/>
                <w:color w:val="000000"/>
                <w:sz w:val="20"/>
                <w:szCs w:val="20"/>
              </w:rPr>
            </w:pPr>
            <w:r w:rsidRPr="00A04847">
              <w:rPr>
                <w:rFonts w:cs="Arial"/>
                <w:color w:val="000000"/>
                <w:sz w:val="20"/>
                <w:szCs w:val="20"/>
              </w:rPr>
              <w:t>NHCDC Round 20 to 22 mental health cost bucket average cost per separation, by jurisdiction</w:t>
            </w:r>
          </w:p>
        </w:tc>
      </w:tr>
      <w:tr w:rsidR="007B2777" w:rsidRPr="00626DD3" w14:paraId="7512E832" w14:textId="77777777" w:rsidTr="002E7553">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77AF743" w14:textId="1B8BC26C" w:rsidR="007B2777" w:rsidRPr="00A04847" w:rsidRDefault="007B2777" w:rsidP="007B2777">
            <w:pPr>
              <w:spacing w:before="0" w:after="0" w:line="240" w:lineRule="auto"/>
              <w:rPr>
                <w:rFonts w:cs="Arial"/>
                <w:color w:val="000000"/>
                <w:sz w:val="20"/>
                <w:szCs w:val="20"/>
              </w:rPr>
            </w:pPr>
            <w:r w:rsidRPr="00A04847">
              <w:rPr>
                <w:rFonts w:cs="Arial"/>
                <w:color w:val="000000"/>
                <w:sz w:val="20"/>
                <w:szCs w:val="20"/>
              </w:rPr>
              <w:t>30</w:t>
            </w:r>
          </w:p>
        </w:tc>
        <w:tc>
          <w:tcPr>
            <w:tcW w:w="9286" w:type="dxa"/>
            <w:tcBorders>
              <w:top w:val="nil"/>
              <w:left w:val="nil"/>
              <w:bottom w:val="single" w:sz="4" w:space="0" w:color="auto"/>
              <w:right w:val="single" w:sz="4" w:space="0" w:color="auto"/>
            </w:tcBorders>
            <w:shd w:val="clear" w:color="auto" w:fill="auto"/>
            <w:noWrap/>
            <w:vAlign w:val="center"/>
            <w:hideMark/>
          </w:tcPr>
          <w:p w14:paraId="036C840F" w14:textId="280219A6" w:rsidR="007B2777" w:rsidRPr="00A04847" w:rsidRDefault="007B2777" w:rsidP="002E7553">
            <w:pPr>
              <w:spacing w:before="0" w:after="0" w:line="240" w:lineRule="auto"/>
              <w:rPr>
                <w:rFonts w:cs="Arial"/>
                <w:color w:val="000000"/>
                <w:sz w:val="20"/>
                <w:szCs w:val="20"/>
              </w:rPr>
            </w:pPr>
            <w:r w:rsidRPr="00A04847">
              <w:rPr>
                <w:rFonts w:cs="Arial"/>
                <w:color w:val="000000"/>
                <w:sz w:val="20"/>
                <w:szCs w:val="20"/>
              </w:rPr>
              <w:t>NHCDC Round 20 to 22 mental health line item average cost per separation, by jurisdiction</w:t>
            </w:r>
          </w:p>
        </w:tc>
      </w:tr>
    </w:tbl>
    <w:p w14:paraId="7C3D29EA" w14:textId="7558D999" w:rsidR="008F4C1C" w:rsidRDefault="008F4C1C">
      <w:pPr>
        <w:spacing w:before="0" w:after="0" w:line="240" w:lineRule="auto"/>
        <w:rPr>
          <w:rFonts w:ascii="Arial Bold" w:hAnsi="Arial Bold"/>
          <w:b/>
          <w:sz w:val="40"/>
          <w:szCs w:val="44"/>
        </w:rPr>
      </w:pPr>
      <w:r>
        <w:br w:type="page"/>
      </w:r>
    </w:p>
    <w:p w14:paraId="7162C191" w14:textId="2F86B98E" w:rsidR="002371BB" w:rsidRPr="00307D96" w:rsidRDefault="002371BB" w:rsidP="0096034C">
      <w:pPr>
        <w:pStyle w:val="Heading1"/>
        <w:numPr>
          <w:ilvl w:val="0"/>
          <w:numId w:val="23"/>
        </w:numPr>
      </w:pPr>
      <w:bookmarkStart w:id="7" w:name="_Toc25759683"/>
      <w:r w:rsidRPr="00307D96">
        <w:lastRenderedPageBreak/>
        <w:t>What is the NHCDC?</w:t>
      </w:r>
      <w:bookmarkEnd w:id="6"/>
      <w:bookmarkEnd w:id="7"/>
    </w:p>
    <w:p w14:paraId="74A8DE2B" w14:textId="77777777" w:rsidR="00C72F5E" w:rsidRPr="00307D96" w:rsidRDefault="002371BB" w:rsidP="00C72F5E">
      <w:pPr>
        <w:rPr>
          <w:rFonts w:cs="Arial"/>
        </w:rPr>
      </w:pPr>
      <w:r w:rsidRPr="00307D96">
        <w:rPr>
          <w:rFonts w:cs="Arial"/>
        </w:rPr>
        <w:t xml:space="preserve">The National </w:t>
      </w:r>
      <w:r w:rsidR="00C72F5E" w:rsidRPr="00307D96">
        <w:rPr>
          <w:rFonts w:cs="Arial"/>
        </w:rPr>
        <w:t>Hospital Cost Data Collection (NHCDC) is an annual collection of public hospital cost data. This remarkable evidence base is used across the Australian health system</w:t>
      </w:r>
      <w:r w:rsidR="009552F1" w:rsidRPr="00307D96">
        <w:rPr>
          <w:rFonts w:cs="Arial"/>
        </w:rPr>
        <w:t xml:space="preserve">. </w:t>
      </w:r>
    </w:p>
    <w:p w14:paraId="0D6019A0" w14:textId="1F905C0B" w:rsidR="00C72F5E" w:rsidRPr="00307D96" w:rsidRDefault="007C25B6" w:rsidP="00C72F5E">
      <w:r w:rsidRPr="00307D96">
        <w:rPr>
          <w:rFonts w:cs="Arial"/>
        </w:rPr>
        <w:t>T</w:t>
      </w:r>
      <w:r w:rsidR="00C72F5E" w:rsidRPr="00307D96">
        <w:rPr>
          <w:rFonts w:cs="Arial"/>
        </w:rPr>
        <w:t>he collection matches patient level activity data with the costs incurred by the patient’s hospital. These data are submitted to IHPA by the health departments of Australia’s states and territori</w:t>
      </w:r>
      <w:r w:rsidR="001B0588">
        <w:rPr>
          <w:rFonts w:cs="Arial"/>
        </w:rPr>
        <w:t xml:space="preserve">es and </w:t>
      </w:r>
      <w:r w:rsidR="00F64ED1">
        <w:rPr>
          <w:rFonts w:cs="Arial"/>
        </w:rPr>
        <w:t>represent</w:t>
      </w:r>
      <w:r w:rsidR="00F64ED1" w:rsidRPr="005346DE">
        <w:rPr>
          <w:rFonts w:cs="Arial"/>
        </w:rPr>
        <w:t xml:space="preserve"> the key source of information about</w:t>
      </w:r>
      <w:r w:rsidR="00F64ED1">
        <w:rPr>
          <w:rFonts w:cs="Arial"/>
        </w:rPr>
        <w:t xml:space="preserve"> the</w:t>
      </w:r>
      <w:r w:rsidR="00F64ED1" w:rsidRPr="005346DE">
        <w:rPr>
          <w:rFonts w:cs="Arial"/>
        </w:rPr>
        <w:t xml:space="preserve"> cost of treating patients in Australian hospitals</w:t>
      </w:r>
      <w:r w:rsidR="00F64ED1">
        <w:rPr>
          <w:rFonts w:cs="Arial"/>
        </w:rPr>
        <w:t>.</w:t>
      </w:r>
    </w:p>
    <w:p w14:paraId="3AC3C84C" w14:textId="77777777" w:rsidR="00C72F5E" w:rsidRPr="00307D96" w:rsidRDefault="00C72F5E" w:rsidP="00C72F5E">
      <w:r w:rsidRPr="00307D96">
        <w:t xml:space="preserve">The NHCDC was established in 1996 with the primary objective of providing Australian governments and the health care industry with a nationally consistent method of costing all types of hospital activity related to the care of patients. </w:t>
      </w:r>
    </w:p>
    <w:p w14:paraId="03E7D5CB" w14:textId="27E9E9B4" w:rsidR="00C72F5E" w:rsidRDefault="00C72F5E" w:rsidP="00C72F5E">
      <w:r w:rsidRPr="00307D96">
        <w:t>Under the National Health Reform Act 2011, IHPA was established and assumed responsibility for the governance of the NHCDC. Through the national health reform process, a range of developments to the NHCDC ha</w:t>
      </w:r>
      <w:r w:rsidR="009552F1" w:rsidRPr="00307D96">
        <w:t>ve</w:t>
      </w:r>
      <w:r w:rsidRPr="00307D96">
        <w:t xml:space="preserve"> been implemented, including data quality controls, the introduction of a submission portal and developments in </w:t>
      </w:r>
      <w:r w:rsidR="002714CE">
        <w:t>the Australian Hospital Patient Costing Standards (AHPCS)</w:t>
      </w:r>
      <w:r w:rsidR="002714CE" w:rsidRPr="002714CE">
        <w:rPr>
          <w:rStyle w:val="FootnoteReference"/>
          <w:rFonts w:cs="Arial"/>
          <w:szCs w:val="22"/>
        </w:rPr>
        <w:t xml:space="preserve"> </w:t>
      </w:r>
      <w:r w:rsidR="002714CE">
        <w:rPr>
          <w:rStyle w:val="FootnoteReference"/>
          <w:rFonts w:cs="Arial"/>
          <w:szCs w:val="22"/>
        </w:rPr>
        <w:footnoteReference w:id="1"/>
      </w:r>
      <w:r w:rsidRPr="00307D96">
        <w:t>. These improvements have all provided increased confidence in the collection for the purpose of national reporting.</w:t>
      </w:r>
    </w:p>
    <w:p w14:paraId="7001797A" w14:textId="77777777" w:rsidR="00C72F5E" w:rsidRPr="00307D96" w:rsidRDefault="00C72F5E" w:rsidP="00C72F5E">
      <w:r w:rsidRPr="00307D96">
        <w:t>Each year, IHPA aims to produce a NHCDC dataset comprised of data that has been submitted according to nationally consistent methods of costing hospital activity</w:t>
      </w:r>
      <w:r w:rsidR="009552F1" w:rsidRPr="00307D96">
        <w:t xml:space="preserve">. </w:t>
      </w:r>
    </w:p>
    <w:p w14:paraId="039E2806" w14:textId="77777777" w:rsidR="00C72F5E" w:rsidRPr="00307D96" w:rsidRDefault="00C72F5E" w:rsidP="00C72F5E">
      <w:r w:rsidRPr="00307D96">
        <w:t>A robust NHCDC dataset is an essential requirement for the funding of public hospital services.</w:t>
      </w:r>
      <w:r w:rsidR="00BC14B6" w:rsidRPr="00307D96">
        <w:t xml:space="preserve"> </w:t>
      </w:r>
      <w:r w:rsidRPr="00307D96">
        <w:t>Once IHPA finalises the NHCDC dataset, it uses it to develop the National Efficient Price (NEP).</w:t>
      </w:r>
    </w:p>
    <w:p w14:paraId="65721477" w14:textId="77777777" w:rsidR="008721D4" w:rsidRPr="00417163" w:rsidRDefault="00C72F5E" w:rsidP="00417163">
      <w:r w:rsidRPr="00307D96">
        <w:t xml:space="preserve">The </w:t>
      </w:r>
      <w:r w:rsidR="0019442C" w:rsidRPr="00307D96">
        <w:t>Round 22</w:t>
      </w:r>
      <w:r w:rsidRPr="00307D96">
        <w:t xml:space="preserve"> NHCDC contains hospital cost data for the </w:t>
      </w:r>
      <w:r w:rsidR="0019442C" w:rsidRPr="00307D96">
        <w:t>2017-18</w:t>
      </w:r>
      <w:r w:rsidRPr="00307D96">
        <w:t xml:space="preserve"> financial year and IHPA will use it to inform the NEP </w:t>
      </w:r>
      <w:r w:rsidR="0019442C" w:rsidRPr="00307D96">
        <w:t>2020-21</w:t>
      </w:r>
      <w:r w:rsidRPr="00307D96">
        <w:t>.</w:t>
      </w:r>
    </w:p>
    <w:p w14:paraId="64881276" w14:textId="34FA7E4A" w:rsidR="00BC14B6" w:rsidRPr="00BC14B6" w:rsidRDefault="00BC14B6" w:rsidP="0096034C">
      <w:pPr>
        <w:pStyle w:val="Heading1"/>
        <w:numPr>
          <w:ilvl w:val="0"/>
          <w:numId w:val="23"/>
        </w:numPr>
      </w:pPr>
      <w:bookmarkStart w:id="8" w:name="_Toc524173848"/>
      <w:bookmarkStart w:id="9" w:name="_Toc25759684"/>
      <w:r w:rsidRPr="00BC14B6">
        <w:t>What is Activity Based Funding?</w:t>
      </w:r>
      <w:bookmarkEnd w:id="8"/>
      <w:bookmarkEnd w:id="9"/>
    </w:p>
    <w:p w14:paraId="53393506" w14:textId="77777777" w:rsidR="00BC14B6" w:rsidRDefault="00BC14B6" w:rsidP="00BC14B6">
      <w:r>
        <w:t xml:space="preserve">Activity Based Funding (ABF) is the process by which hospitals are paid for the number and complexity of patients they treat. ABF takes into account the fact that some patients are more complicated to treat than others. This type of funding model aims to improve the value of public investment in hospital care, improve transparency of funding, ensure a sustainable and efficient network of public hospital services, and provide a tool to benchmark the cost of public hospitals. </w:t>
      </w:r>
    </w:p>
    <w:p w14:paraId="54B40032" w14:textId="77777777" w:rsidR="00BC14B6" w:rsidRDefault="007C25B6" w:rsidP="00BC14B6">
      <w:r>
        <w:t>T</w:t>
      </w:r>
      <w:r w:rsidR="00BC14B6">
        <w:t>he annual National Efficient Price (NEP) an</w:t>
      </w:r>
      <w:r>
        <w:t>d National Efficient Cost (NEC)</w:t>
      </w:r>
      <w:r w:rsidR="00BC14B6">
        <w:t xml:space="preserve"> determine the amount of funding the Commonwealth Government contributes to </w:t>
      </w:r>
      <w:r>
        <w:t>public hospitals</w:t>
      </w:r>
      <w:r w:rsidR="00BC14B6">
        <w:t xml:space="preserve">. The funding is then distributed by the Administrator of the National Health Funding Pool. </w:t>
      </w:r>
    </w:p>
    <w:p w14:paraId="18784FEA" w14:textId="77777777" w:rsidR="00BC14B6" w:rsidRPr="003F3C8B" w:rsidRDefault="00BC14B6" w:rsidP="00BC14B6">
      <w:pPr>
        <w:rPr>
          <w:rFonts w:cs="Arial"/>
          <w:szCs w:val="22"/>
        </w:rPr>
      </w:pPr>
      <w:r>
        <w:t>The building blocks required for an ABF system are: classification systems, data collection, costing and pricing.</w:t>
      </w:r>
    </w:p>
    <w:p w14:paraId="5A9E7E00" w14:textId="77777777" w:rsidR="00417163" w:rsidRDefault="00417163">
      <w:pPr>
        <w:spacing w:before="0" w:after="0" w:line="240" w:lineRule="auto"/>
        <w:rPr>
          <w:rFonts w:ascii="Arial Bold" w:hAnsi="Arial Bold"/>
          <w:b/>
          <w:sz w:val="40"/>
          <w:szCs w:val="44"/>
        </w:rPr>
      </w:pPr>
      <w:bookmarkStart w:id="10" w:name="_Toc524173849"/>
      <w:r>
        <w:br w:type="page"/>
      </w:r>
    </w:p>
    <w:p w14:paraId="0D54B679" w14:textId="0DB80935" w:rsidR="005D4434" w:rsidRPr="00C7496A" w:rsidRDefault="00B74365" w:rsidP="0096034C">
      <w:pPr>
        <w:pStyle w:val="Heading1"/>
        <w:numPr>
          <w:ilvl w:val="0"/>
          <w:numId w:val="23"/>
        </w:numPr>
      </w:pPr>
      <w:bookmarkStart w:id="11" w:name="_Toc25759685"/>
      <w:r w:rsidRPr="0019442C">
        <w:lastRenderedPageBreak/>
        <w:t>Scope of Round 2</w:t>
      </w:r>
      <w:bookmarkEnd w:id="10"/>
      <w:r w:rsidR="0019442C" w:rsidRPr="0019442C">
        <w:t>2</w:t>
      </w:r>
      <w:bookmarkEnd w:id="11"/>
    </w:p>
    <w:p w14:paraId="05E8E5BA" w14:textId="34FF0D1C" w:rsidR="001C4999" w:rsidRPr="003F0E35" w:rsidRDefault="002371BB" w:rsidP="004C5B64">
      <w:r w:rsidRPr="003F0E35">
        <w:t xml:space="preserve">The data in scope for the NHCDC includes all patient level activity for all public hospital facilities across Australia, and the costs incurred by the hospital in relation to this activity in financial year </w:t>
      </w:r>
      <w:r w:rsidR="00727552" w:rsidRPr="003F0E35">
        <w:t>2017-18 (Round 22</w:t>
      </w:r>
      <w:r w:rsidRPr="003F0E35">
        <w:t xml:space="preserve">). </w:t>
      </w:r>
      <w:r w:rsidR="00D46496" w:rsidRPr="003F0E35">
        <w:t xml:space="preserve">Admitted </w:t>
      </w:r>
      <w:r w:rsidR="00F82F43">
        <w:t>activity is required to have an end date b</w:t>
      </w:r>
      <w:r w:rsidR="00D46496" w:rsidRPr="003F0E35">
        <w:t>efore the end of the financial year.</w:t>
      </w:r>
    </w:p>
    <w:p w14:paraId="52C1B2A9" w14:textId="77777777" w:rsidR="000D4EA4" w:rsidRPr="003F0E35" w:rsidRDefault="000D4EA4" w:rsidP="000D4EA4">
      <w:pPr>
        <w:rPr>
          <w:b/>
        </w:rPr>
      </w:pPr>
      <w:r w:rsidRPr="003F0E35">
        <w:rPr>
          <w:b/>
        </w:rPr>
        <w:t xml:space="preserve">Reporting requirements </w:t>
      </w:r>
    </w:p>
    <w:p w14:paraId="6BEFF008" w14:textId="4D0E521B" w:rsidR="000D4EA4" w:rsidRDefault="000D4EA4" w:rsidP="00F937DB">
      <w:pPr>
        <w:rPr>
          <w:rFonts w:cs="Arial"/>
        </w:rPr>
      </w:pPr>
      <w:r w:rsidRPr="003F0E35">
        <w:rPr>
          <w:rFonts w:cs="Arial"/>
        </w:rPr>
        <w:t xml:space="preserve">To ensure consistency in the approach to costing nationally, NHCDC data is costed in accordance with the Australian Hospital Patient Costing Standards Version </w:t>
      </w:r>
      <w:r w:rsidR="0019442C" w:rsidRPr="003F0E35">
        <w:rPr>
          <w:rFonts w:cs="Arial"/>
        </w:rPr>
        <w:t>4.0</w:t>
      </w:r>
      <w:r w:rsidRPr="003F0E35">
        <w:rPr>
          <w:rFonts w:cs="Arial"/>
        </w:rPr>
        <w:t xml:space="preserve"> (the Standards), available on IHPA’s website. </w:t>
      </w:r>
    </w:p>
    <w:p w14:paraId="7FD7B522" w14:textId="77777777" w:rsidR="000330B0" w:rsidRDefault="000330B0" w:rsidP="000330B0">
      <w:pPr>
        <w:rPr>
          <w:rFonts w:ascii="Calibri" w:hAnsi="Calibri"/>
          <w:color w:val="000000"/>
          <w:szCs w:val="22"/>
        </w:rPr>
      </w:pPr>
      <w:r>
        <w:t xml:space="preserve">Version 4.0 of the Standards was released in February 2018 and applied for the first time in </w:t>
      </w:r>
      <w:r>
        <w:rPr>
          <w:color w:val="000000"/>
        </w:rPr>
        <w:t>Round 22 of the NHCDC.  The Standards documentation comprises three parts:</w:t>
      </w:r>
    </w:p>
    <w:p w14:paraId="114CD85C" w14:textId="77777777" w:rsidR="000330B0" w:rsidRDefault="000330B0" w:rsidP="000330B0">
      <w:pPr>
        <w:numPr>
          <w:ilvl w:val="0"/>
          <w:numId w:val="24"/>
        </w:numPr>
        <w:shd w:val="clear" w:color="auto" w:fill="FFFFFF"/>
        <w:spacing w:before="100" w:beforeAutospacing="1" w:after="100" w:afterAutospacing="1" w:line="240" w:lineRule="auto"/>
        <w:ind w:left="1170"/>
        <w:rPr>
          <w:color w:val="000000"/>
        </w:rPr>
      </w:pPr>
      <w:r>
        <w:rPr>
          <w:color w:val="000000"/>
        </w:rPr>
        <w:t>Part 1: Standards – provides the underlying costing principles.</w:t>
      </w:r>
    </w:p>
    <w:p w14:paraId="4C14F067" w14:textId="77777777" w:rsidR="000330B0" w:rsidRDefault="000330B0" w:rsidP="000330B0">
      <w:pPr>
        <w:numPr>
          <w:ilvl w:val="0"/>
          <w:numId w:val="24"/>
        </w:numPr>
        <w:shd w:val="clear" w:color="auto" w:fill="FFFFFF"/>
        <w:spacing w:before="100" w:beforeAutospacing="1" w:after="100" w:afterAutospacing="1" w:line="240" w:lineRule="auto"/>
        <w:ind w:left="1170"/>
        <w:rPr>
          <w:color w:val="000000"/>
        </w:rPr>
      </w:pPr>
      <w:r>
        <w:rPr>
          <w:color w:val="000000"/>
        </w:rPr>
        <w:t>Part 2: Business Rules – provides practical guidance on how the Standards are translated into action.</w:t>
      </w:r>
    </w:p>
    <w:p w14:paraId="3970B2A5" w14:textId="5305D4AB" w:rsidR="000330B0" w:rsidRPr="00932E09" w:rsidRDefault="000330B0" w:rsidP="00932E09">
      <w:pPr>
        <w:numPr>
          <w:ilvl w:val="0"/>
          <w:numId w:val="24"/>
        </w:numPr>
        <w:shd w:val="clear" w:color="auto" w:fill="FFFFFF"/>
        <w:spacing w:before="100" w:beforeAutospacing="1" w:after="100" w:afterAutospacing="1" w:line="240" w:lineRule="auto"/>
        <w:ind w:left="1170"/>
        <w:rPr>
          <w:color w:val="000000"/>
        </w:rPr>
      </w:pPr>
      <w:r>
        <w:rPr>
          <w:color w:val="000000"/>
        </w:rPr>
        <w:t>Part 3: Costing Guidelines – provides step-by-step guidance on how to cost particular services.</w:t>
      </w:r>
    </w:p>
    <w:p w14:paraId="6ED85FA9" w14:textId="5CE0DB3A" w:rsidR="000D4EA4" w:rsidRDefault="000D4EA4" w:rsidP="000D4EA4">
      <w:pPr>
        <w:rPr>
          <w:rFonts w:cs="Arial"/>
          <w:szCs w:val="22"/>
        </w:rPr>
      </w:pPr>
      <w:r w:rsidRPr="003F0E35">
        <w:rPr>
          <w:rFonts w:cs="Arial"/>
        </w:rPr>
        <w:t xml:space="preserve">The Standards </w:t>
      </w:r>
      <w:r w:rsidR="000330B0">
        <w:rPr>
          <w:rFonts w:cs="Arial"/>
        </w:rPr>
        <w:t xml:space="preserve">also </w:t>
      </w:r>
      <w:r w:rsidRPr="003F0E35">
        <w:rPr>
          <w:rFonts w:cs="Arial"/>
        </w:rPr>
        <w:t xml:space="preserve">prescribe the set of line items and cost centres used for mapping hospital costs in the costing process, to ensure that there is a consistent </w:t>
      </w:r>
      <w:r w:rsidRPr="009B0415">
        <w:rPr>
          <w:rFonts w:cs="Arial"/>
        </w:rPr>
        <w:t>treatment of costs between hospitals. These costs are allocated to, and reported under, the NHCDC-defined ‘cost buckets’</w:t>
      </w:r>
      <w:r w:rsidR="00125B8B" w:rsidRPr="009B0415">
        <w:rPr>
          <w:rStyle w:val="FootnoteReference"/>
          <w:rFonts w:cs="Arial"/>
        </w:rPr>
        <w:footnoteReference w:id="2"/>
      </w:r>
      <w:r w:rsidR="004358E0" w:rsidRPr="009B0415">
        <w:rPr>
          <w:rFonts w:cs="Arial"/>
        </w:rPr>
        <w:t>.</w:t>
      </w:r>
      <w:r w:rsidR="00EE4C4B">
        <w:rPr>
          <w:rFonts w:cs="Arial"/>
        </w:rPr>
        <w:t xml:space="preserve"> </w:t>
      </w:r>
      <w:r w:rsidR="004358E0" w:rsidRPr="009B0415">
        <w:rPr>
          <w:rFonts w:cs="Arial"/>
        </w:rPr>
        <w:t xml:space="preserve">Cost buckets represent </w:t>
      </w:r>
      <w:r w:rsidR="009B0415">
        <w:rPr>
          <w:rFonts w:cs="Arial"/>
        </w:rPr>
        <w:t xml:space="preserve">different </w:t>
      </w:r>
      <w:r w:rsidR="004358E0" w:rsidRPr="009B0415">
        <w:rPr>
          <w:rFonts w:cs="Arial"/>
        </w:rPr>
        <w:t xml:space="preserve">combinations of </w:t>
      </w:r>
      <w:r w:rsidR="009B0415">
        <w:rPr>
          <w:rFonts w:cs="Arial"/>
        </w:rPr>
        <w:t xml:space="preserve">the NHCDC </w:t>
      </w:r>
      <w:r w:rsidR="004358E0" w:rsidRPr="009B0415">
        <w:rPr>
          <w:rFonts w:cs="Arial"/>
        </w:rPr>
        <w:t xml:space="preserve">line items and costs centres and can </w:t>
      </w:r>
      <w:r w:rsidR="00F73DD6" w:rsidRPr="009B0415">
        <w:rPr>
          <w:rFonts w:cs="Arial"/>
          <w:szCs w:val="22"/>
        </w:rPr>
        <w:t>be considered as cost poo</w:t>
      </w:r>
      <w:r w:rsidR="004358E0" w:rsidRPr="009B0415">
        <w:rPr>
          <w:rFonts w:cs="Arial"/>
          <w:szCs w:val="22"/>
        </w:rPr>
        <w:t>ls within the hospital.</w:t>
      </w:r>
      <w:r w:rsidR="00EE4C4B">
        <w:rPr>
          <w:rFonts w:cs="Arial"/>
          <w:szCs w:val="22"/>
        </w:rPr>
        <w:t xml:space="preserve"> </w:t>
      </w:r>
    </w:p>
    <w:p w14:paraId="7DDAC0DD" w14:textId="15451054" w:rsidR="00FC2824" w:rsidRPr="00F87585" w:rsidRDefault="000D4EA4" w:rsidP="000D4EA4">
      <w:pPr>
        <w:rPr>
          <w:rFonts w:cs="Arial"/>
        </w:rPr>
      </w:pPr>
      <w:r w:rsidRPr="00F87585">
        <w:rPr>
          <w:rFonts w:cs="Arial"/>
        </w:rPr>
        <w:t>Please refer to the Standards for the reference tables of line items</w:t>
      </w:r>
      <w:r w:rsidR="007077A3">
        <w:rPr>
          <w:rFonts w:cs="Arial"/>
        </w:rPr>
        <w:t xml:space="preserve"> and </w:t>
      </w:r>
      <w:r w:rsidRPr="00F87585">
        <w:rPr>
          <w:rFonts w:cs="Arial"/>
        </w:rPr>
        <w:t xml:space="preserve">cost centre </w:t>
      </w:r>
      <w:r w:rsidR="007077A3">
        <w:rPr>
          <w:rFonts w:cs="Arial"/>
        </w:rPr>
        <w:t>groups</w:t>
      </w:r>
      <w:r w:rsidRPr="00F87585">
        <w:rPr>
          <w:rFonts w:cs="Arial"/>
        </w:rPr>
        <w:t xml:space="preserve">. Costed results are produced at the episode level, per cost centre and per line item. These results are provided to IHPA and are collated and analysed to produce this report. </w:t>
      </w:r>
    </w:p>
    <w:p w14:paraId="4C25E2D5" w14:textId="77777777" w:rsidR="004C5B64" w:rsidRPr="00371627" w:rsidRDefault="004C5B64" w:rsidP="004C5B64">
      <w:pPr>
        <w:rPr>
          <w:b/>
        </w:rPr>
      </w:pPr>
      <w:r>
        <w:rPr>
          <w:b/>
        </w:rPr>
        <w:t>Classifications</w:t>
      </w:r>
    </w:p>
    <w:p w14:paraId="647BEBA7" w14:textId="77777777" w:rsidR="003059E1" w:rsidRDefault="004C5B64" w:rsidP="004C5B64">
      <w:r>
        <w:t>IHPA uses classifications to categorise, cost and fund hospital activity</w:t>
      </w:r>
      <w:r w:rsidR="000E5768">
        <w:t xml:space="preserve">. </w:t>
      </w:r>
    </w:p>
    <w:p w14:paraId="09FF241F" w14:textId="1029D928" w:rsidR="00792AFA" w:rsidRDefault="004C5B64" w:rsidP="004C5B64">
      <w:r>
        <w:t>Hospital a</w:t>
      </w:r>
      <w:r w:rsidRPr="005344EF">
        <w:t xml:space="preserve">ctivity refers to the </w:t>
      </w:r>
      <w:r w:rsidR="00135F65">
        <w:t xml:space="preserve">resources used </w:t>
      </w:r>
      <w:r w:rsidRPr="005344EF">
        <w:t xml:space="preserve">by the patient in relation to their treatment. </w:t>
      </w:r>
      <w:r w:rsidR="00792AFA">
        <w:t xml:space="preserve">Classification systems are used to describe activity </w:t>
      </w:r>
      <w:r w:rsidR="000067E1">
        <w:t>related</w:t>
      </w:r>
      <w:r w:rsidR="00792AFA">
        <w:t xml:space="preserve"> to the following types of patient care:</w:t>
      </w:r>
      <w:r w:rsidR="00EE4C4B">
        <w:t xml:space="preserve"> </w:t>
      </w:r>
      <w:r w:rsidR="00792AFA">
        <w:t xml:space="preserve">Admitted acute care, </w:t>
      </w:r>
      <w:r w:rsidR="000067E1">
        <w:t>sub-acute and non-acute care, non-admitted care, emergency care, mental health care.</w:t>
      </w:r>
    </w:p>
    <w:p w14:paraId="010C638D" w14:textId="46D9256C" w:rsidR="004C5B64" w:rsidRPr="005344EF" w:rsidRDefault="000067E1" w:rsidP="004C5B64">
      <w:r>
        <w:t>Each classification system is</w:t>
      </w:r>
      <w:r w:rsidR="004C5B64" w:rsidRPr="005344EF">
        <w:t xml:space="preserve"> comprised of codes that provide clinically meaningful ways of relating the types of patients treated by a hospital to the resources required. </w:t>
      </w:r>
    </w:p>
    <w:p w14:paraId="5353D1B1" w14:textId="3DF5F361" w:rsidR="004C5B64" w:rsidRDefault="004C5B64" w:rsidP="007F44CC">
      <w:pPr>
        <w:spacing w:before="0" w:after="0" w:line="240" w:lineRule="auto"/>
      </w:pPr>
      <w:r w:rsidRPr="00BC59A4">
        <w:t xml:space="preserve">Effective clinical classification systems ensure that hospital data is grouped into </w:t>
      </w:r>
      <w:r>
        <w:t>outputs reflective of their resource use</w:t>
      </w:r>
      <w:r w:rsidR="00F938BE">
        <w:t>.</w:t>
      </w:r>
      <w:r w:rsidR="000067E1">
        <w:t xml:space="preserve"> Table 2</w:t>
      </w:r>
      <w:r w:rsidR="009E4455">
        <w:t xml:space="preserve"> </w:t>
      </w:r>
      <w:r w:rsidR="003059E1">
        <w:t>describes</w:t>
      </w:r>
      <w:r w:rsidRPr="005344EF">
        <w:t xml:space="preserve"> the different types of activity streams</w:t>
      </w:r>
      <w:r w:rsidR="000067E1">
        <w:t xml:space="preserve"> (i.e. patient care types)</w:t>
      </w:r>
      <w:r w:rsidRPr="005344EF">
        <w:t xml:space="preserve"> and </w:t>
      </w:r>
      <w:r w:rsidR="001121C3">
        <w:t>the associated</w:t>
      </w:r>
      <w:r w:rsidRPr="005344EF">
        <w:t xml:space="preserve"> classification applied by IHPA for funding purposes</w:t>
      </w:r>
      <w:r>
        <w:t xml:space="preserve">. </w:t>
      </w:r>
      <w:r w:rsidRPr="005344EF">
        <w:t xml:space="preserve">The </w:t>
      </w:r>
      <w:r w:rsidR="005A3868">
        <w:t>NHCDC</w:t>
      </w:r>
      <w:r w:rsidRPr="005344EF">
        <w:t xml:space="preserve"> Report uses these </w:t>
      </w:r>
      <w:r w:rsidR="001121C3" w:rsidRPr="005344EF">
        <w:t>activit</w:t>
      </w:r>
      <w:r w:rsidR="001121C3">
        <w:t>y streams</w:t>
      </w:r>
      <w:r w:rsidRPr="005344EF">
        <w:t xml:space="preserve"> to </w:t>
      </w:r>
      <w:r w:rsidR="001121C3">
        <w:t>present</w:t>
      </w:r>
      <w:r w:rsidRPr="005344EF">
        <w:t xml:space="preserve"> the cost data.</w:t>
      </w:r>
      <w:r w:rsidR="00EE4C4B">
        <w:t xml:space="preserve"> </w:t>
      </w:r>
    </w:p>
    <w:p w14:paraId="51A0595B" w14:textId="4D6DD669" w:rsidR="00E15056" w:rsidRDefault="00E15056">
      <w:pPr>
        <w:spacing w:before="0" w:after="0" w:line="240" w:lineRule="auto"/>
        <w:rPr>
          <w:rFonts w:ascii="Arial Bold" w:hAnsi="Arial Bold"/>
          <w:b/>
          <w:bCs/>
          <w:szCs w:val="18"/>
        </w:rPr>
      </w:pPr>
      <w:r>
        <w:rPr>
          <w:rFonts w:ascii="Arial Bold" w:hAnsi="Arial Bold"/>
          <w:b/>
          <w:bCs/>
          <w:szCs w:val="18"/>
        </w:rPr>
        <w:br w:type="page"/>
      </w:r>
    </w:p>
    <w:p w14:paraId="0AC1D543" w14:textId="0CF56907" w:rsidR="009C47B3" w:rsidRDefault="00C20022" w:rsidP="00D111B6">
      <w:pPr>
        <w:pStyle w:val="Caption"/>
      </w:pPr>
      <w:bookmarkStart w:id="12" w:name="_Ref527368604"/>
      <w:bookmarkStart w:id="13" w:name="_Toc19209241"/>
      <w:bookmarkStart w:id="14" w:name="_Toc31880532"/>
      <w:r>
        <w:lastRenderedPageBreak/>
        <w:t xml:space="preserve">Table </w:t>
      </w:r>
      <w:fldSimple w:instr=" SEQ Table \* ARABIC ">
        <w:r w:rsidR="00423E34">
          <w:rPr>
            <w:noProof/>
          </w:rPr>
          <w:t>2</w:t>
        </w:r>
      </w:fldSimple>
      <w:r w:rsidRPr="006F7C01">
        <w:t xml:space="preserve"> </w:t>
      </w:r>
      <w:r>
        <w:t>IHPA classifications for key activity collections, Round 22 NHCDC</w:t>
      </w:r>
      <w:bookmarkEnd w:id="12"/>
      <w:bookmarkEnd w:id="13"/>
      <w:bookmarkEnd w:id="14"/>
    </w:p>
    <w:tbl>
      <w:tblPr>
        <w:tblW w:w="9371" w:type="dxa"/>
        <w:tblInd w:w="93" w:type="dxa"/>
        <w:tblLook w:val="04A0" w:firstRow="1" w:lastRow="0" w:firstColumn="1" w:lastColumn="0" w:noHBand="0" w:noVBand="1"/>
        <w:tblCaption w:val="Table 2 IHPA classifications for different activity streams"/>
        <w:tblDescription w:val="The table lists the classifications for different activity streams"/>
      </w:tblPr>
      <w:tblGrid>
        <w:gridCol w:w="1433"/>
        <w:gridCol w:w="5812"/>
        <w:gridCol w:w="2126"/>
      </w:tblGrid>
      <w:tr w:rsidR="009F0F3A" w:rsidRPr="009F0F3A" w14:paraId="1546A28D" w14:textId="77777777" w:rsidTr="00A82262">
        <w:trPr>
          <w:trHeight w:val="300"/>
        </w:trPr>
        <w:tc>
          <w:tcPr>
            <w:tcW w:w="1433" w:type="dxa"/>
            <w:tcBorders>
              <w:top w:val="single" w:sz="4" w:space="0" w:color="auto"/>
              <w:left w:val="nil"/>
              <w:bottom w:val="single" w:sz="4" w:space="0" w:color="auto"/>
              <w:right w:val="nil"/>
            </w:tcBorders>
            <w:shd w:val="clear" w:color="000000" w:fill="FFFFFF"/>
            <w:vAlign w:val="center"/>
            <w:hideMark/>
          </w:tcPr>
          <w:p w14:paraId="491F209D" w14:textId="77777777" w:rsidR="009F0F3A" w:rsidRPr="009F0F3A" w:rsidRDefault="009F0F3A" w:rsidP="009F0F3A">
            <w:pPr>
              <w:spacing w:before="0" w:after="0" w:line="240" w:lineRule="auto"/>
              <w:rPr>
                <w:rFonts w:cs="Arial"/>
                <w:b/>
                <w:bCs/>
                <w:iCs/>
                <w:color w:val="000000"/>
                <w:sz w:val="18"/>
                <w:szCs w:val="18"/>
              </w:rPr>
            </w:pPr>
            <w:r w:rsidRPr="009F0F3A">
              <w:rPr>
                <w:rFonts w:cs="Arial"/>
                <w:b/>
                <w:bCs/>
                <w:iCs/>
                <w:color w:val="000000"/>
                <w:sz w:val="18"/>
                <w:szCs w:val="18"/>
              </w:rPr>
              <w:t>Activity Stream</w:t>
            </w:r>
          </w:p>
        </w:tc>
        <w:tc>
          <w:tcPr>
            <w:tcW w:w="5812" w:type="dxa"/>
            <w:tcBorders>
              <w:top w:val="single" w:sz="4" w:space="0" w:color="auto"/>
              <w:left w:val="nil"/>
              <w:bottom w:val="single" w:sz="4" w:space="0" w:color="auto"/>
              <w:right w:val="nil"/>
            </w:tcBorders>
            <w:shd w:val="clear" w:color="000000" w:fill="FFFFFF"/>
            <w:vAlign w:val="center"/>
            <w:hideMark/>
          </w:tcPr>
          <w:p w14:paraId="4A33067E" w14:textId="77777777" w:rsidR="009F0F3A" w:rsidRPr="009F0F3A" w:rsidRDefault="009F0F3A" w:rsidP="009F0F3A">
            <w:pPr>
              <w:spacing w:before="0" w:after="0" w:line="240" w:lineRule="auto"/>
              <w:rPr>
                <w:rFonts w:cs="Arial"/>
                <w:b/>
                <w:bCs/>
                <w:iCs/>
                <w:color w:val="000000"/>
                <w:sz w:val="18"/>
                <w:szCs w:val="18"/>
              </w:rPr>
            </w:pPr>
            <w:r w:rsidRPr="009F0F3A">
              <w:rPr>
                <w:rFonts w:cs="Arial"/>
                <w:b/>
                <w:bCs/>
                <w:iCs/>
                <w:color w:val="000000"/>
                <w:sz w:val="18"/>
                <w:szCs w:val="18"/>
              </w:rPr>
              <w:t>Description</w:t>
            </w:r>
          </w:p>
        </w:tc>
        <w:tc>
          <w:tcPr>
            <w:tcW w:w="2126" w:type="dxa"/>
            <w:tcBorders>
              <w:top w:val="single" w:sz="4" w:space="0" w:color="auto"/>
              <w:left w:val="nil"/>
              <w:bottom w:val="single" w:sz="4" w:space="0" w:color="auto"/>
              <w:right w:val="nil"/>
            </w:tcBorders>
            <w:shd w:val="clear" w:color="000000" w:fill="FFFFFF"/>
            <w:vAlign w:val="center"/>
            <w:hideMark/>
          </w:tcPr>
          <w:p w14:paraId="228CF959" w14:textId="77777777" w:rsidR="009F0F3A" w:rsidRPr="009F0F3A" w:rsidRDefault="009F0F3A" w:rsidP="009F0F3A">
            <w:pPr>
              <w:spacing w:before="0" w:after="0" w:line="240" w:lineRule="auto"/>
              <w:rPr>
                <w:rFonts w:cs="Arial"/>
                <w:b/>
                <w:bCs/>
                <w:iCs/>
                <w:color w:val="000000"/>
                <w:sz w:val="18"/>
                <w:szCs w:val="18"/>
              </w:rPr>
            </w:pPr>
            <w:r w:rsidRPr="009F0F3A">
              <w:rPr>
                <w:rFonts w:cs="Arial"/>
                <w:b/>
                <w:bCs/>
                <w:iCs/>
                <w:color w:val="000000"/>
                <w:sz w:val="18"/>
                <w:szCs w:val="18"/>
              </w:rPr>
              <w:t>Classification</w:t>
            </w:r>
          </w:p>
        </w:tc>
      </w:tr>
      <w:tr w:rsidR="009F0F3A" w:rsidRPr="009F0F3A" w14:paraId="222F0759" w14:textId="77777777" w:rsidTr="00886525">
        <w:trPr>
          <w:trHeight w:val="2086"/>
        </w:trPr>
        <w:tc>
          <w:tcPr>
            <w:tcW w:w="1433" w:type="dxa"/>
            <w:tcBorders>
              <w:top w:val="single" w:sz="4" w:space="0" w:color="auto"/>
              <w:left w:val="nil"/>
              <w:bottom w:val="nil"/>
              <w:right w:val="nil"/>
            </w:tcBorders>
            <w:shd w:val="clear" w:color="000000" w:fill="FFFFFF"/>
            <w:vAlign w:val="center"/>
            <w:hideMark/>
          </w:tcPr>
          <w:p w14:paraId="51D6BF2F" w14:textId="77777777" w:rsid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 xml:space="preserve">Admitted </w:t>
            </w:r>
          </w:p>
          <w:p w14:paraId="36713E40"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acute care</w:t>
            </w:r>
          </w:p>
        </w:tc>
        <w:tc>
          <w:tcPr>
            <w:tcW w:w="5812" w:type="dxa"/>
            <w:tcBorders>
              <w:top w:val="single" w:sz="4" w:space="0" w:color="auto"/>
              <w:left w:val="nil"/>
              <w:bottom w:val="nil"/>
              <w:right w:val="nil"/>
            </w:tcBorders>
            <w:shd w:val="clear" w:color="000000" w:fill="FFFFFF"/>
            <w:hideMark/>
          </w:tcPr>
          <w:p w14:paraId="316DDE5D" w14:textId="77777777" w:rsidR="009F0F3A" w:rsidRPr="003F0E35" w:rsidRDefault="009F0F3A" w:rsidP="000067E1">
            <w:pPr>
              <w:spacing w:before="0" w:after="0" w:line="240" w:lineRule="auto"/>
              <w:rPr>
                <w:rFonts w:cs="Arial"/>
                <w:color w:val="000000"/>
                <w:sz w:val="18"/>
                <w:szCs w:val="18"/>
              </w:rPr>
            </w:pPr>
            <w:r w:rsidRPr="003F0E35">
              <w:rPr>
                <w:rFonts w:cs="Arial"/>
                <w:color w:val="000000"/>
                <w:sz w:val="18"/>
                <w:szCs w:val="18"/>
              </w:rPr>
              <w:t>Admitted acute care is provided to patients who are formally admitted to hospital to receive active but short-term treatment with a goal to:</w:t>
            </w:r>
          </w:p>
          <w:p w14:paraId="5EF869B4" w14:textId="77777777" w:rsidR="00251B58" w:rsidRPr="003F0E35" w:rsidRDefault="00251B58" w:rsidP="000067E1">
            <w:pPr>
              <w:spacing w:before="0" w:after="0" w:line="240" w:lineRule="auto"/>
              <w:rPr>
                <w:rFonts w:cs="Arial"/>
                <w:color w:val="000000"/>
                <w:sz w:val="18"/>
                <w:szCs w:val="18"/>
              </w:rPr>
            </w:pPr>
          </w:p>
          <w:p w14:paraId="7AFC0903" w14:textId="77777777" w:rsidR="00251B58" w:rsidRPr="003F0E35" w:rsidRDefault="00251B58" w:rsidP="000067E1">
            <w:pPr>
              <w:pStyle w:val="ListParagraph"/>
              <w:rPr>
                <w:sz w:val="18"/>
                <w:szCs w:val="18"/>
              </w:rPr>
            </w:pPr>
            <w:r w:rsidRPr="003F0E35">
              <w:rPr>
                <w:sz w:val="18"/>
                <w:szCs w:val="18"/>
              </w:rPr>
              <w:t>cure, treat or relieve symptoms of illness or injury</w:t>
            </w:r>
          </w:p>
          <w:p w14:paraId="31F2A423" w14:textId="77777777" w:rsidR="00251B58" w:rsidRPr="003F0E35" w:rsidRDefault="00251B58" w:rsidP="000067E1">
            <w:pPr>
              <w:pStyle w:val="ListParagraph"/>
              <w:rPr>
                <w:sz w:val="18"/>
                <w:szCs w:val="18"/>
              </w:rPr>
            </w:pPr>
            <w:r w:rsidRPr="003F0E35">
              <w:rPr>
                <w:sz w:val="18"/>
                <w:szCs w:val="18"/>
              </w:rPr>
              <w:t>reduce severity of an illness or injury</w:t>
            </w:r>
          </w:p>
          <w:p w14:paraId="448FA9DB" w14:textId="77777777" w:rsidR="00251B58" w:rsidRPr="003F0E35" w:rsidRDefault="00251B58" w:rsidP="00382F46">
            <w:pPr>
              <w:pStyle w:val="ListParagraph"/>
              <w:rPr>
                <w:sz w:val="18"/>
                <w:szCs w:val="18"/>
              </w:rPr>
            </w:pPr>
            <w:r w:rsidRPr="003F0E35">
              <w:rPr>
                <w:sz w:val="18"/>
                <w:szCs w:val="18"/>
              </w:rPr>
              <w:t>perform surgery</w:t>
            </w:r>
          </w:p>
          <w:p w14:paraId="567419EA" w14:textId="77777777" w:rsidR="00251B58" w:rsidRPr="003F0E35" w:rsidRDefault="00251B58" w:rsidP="00D52CF5">
            <w:pPr>
              <w:pStyle w:val="ListParagraph"/>
              <w:rPr>
                <w:sz w:val="18"/>
                <w:szCs w:val="18"/>
              </w:rPr>
            </w:pPr>
            <w:r w:rsidRPr="003F0E35">
              <w:rPr>
                <w:sz w:val="18"/>
                <w:szCs w:val="18"/>
              </w:rPr>
              <w:t>perform diagnostic or therapeutic procedures</w:t>
            </w:r>
          </w:p>
          <w:p w14:paraId="3F12FA4D" w14:textId="77777777" w:rsidR="00251B58" w:rsidRPr="003F0E35" w:rsidRDefault="00251B58" w:rsidP="002714CE">
            <w:pPr>
              <w:pStyle w:val="ListParagraph"/>
            </w:pPr>
            <w:r w:rsidRPr="003F0E35">
              <w:rPr>
                <w:sz w:val="18"/>
                <w:szCs w:val="18"/>
              </w:rPr>
              <w:t>manage childbirth</w:t>
            </w:r>
          </w:p>
        </w:tc>
        <w:tc>
          <w:tcPr>
            <w:tcW w:w="2126" w:type="dxa"/>
            <w:tcBorders>
              <w:top w:val="single" w:sz="4" w:space="0" w:color="auto"/>
              <w:left w:val="nil"/>
              <w:bottom w:val="nil"/>
              <w:right w:val="nil"/>
            </w:tcBorders>
            <w:shd w:val="clear" w:color="auto" w:fill="auto"/>
            <w:hideMark/>
          </w:tcPr>
          <w:p w14:paraId="56194313" w14:textId="0D1528BD"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Australian Refined Diagnosis R</w:t>
            </w:r>
            <w:r w:rsidR="00FD3C9E" w:rsidRPr="003F0E35">
              <w:rPr>
                <w:rFonts w:cs="Arial"/>
                <w:color w:val="000000"/>
                <w:sz w:val="18"/>
                <w:szCs w:val="18"/>
              </w:rPr>
              <w:t>elated Groups (AR-DRG) Version 10</w:t>
            </w:r>
          </w:p>
        </w:tc>
      </w:tr>
      <w:tr w:rsidR="009F0F3A" w:rsidRPr="009F0F3A" w14:paraId="084BD483" w14:textId="77777777" w:rsidTr="00886525">
        <w:trPr>
          <w:trHeight w:val="480"/>
        </w:trPr>
        <w:tc>
          <w:tcPr>
            <w:tcW w:w="1433" w:type="dxa"/>
            <w:vMerge w:val="restart"/>
            <w:tcBorders>
              <w:top w:val="single" w:sz="4" w:space="0" w:color="auto"/>
              <w:left w:val="nil"/>
              <w:bottom w:val="single" w:sz="4" w:space="0" w:color="000000"/>
              <w:right w:val="nil"/>
            </w:tcBorders>
            <w:shd w:val="clear" w:color="000000" w:fill="FFFFFF"/>
            <w:vAlign w:val="center"/>
            <w:hideMark/>
          </w:tcPr>
          <w:p w14:paraId="013993D6"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Subacute and non-acute care</w:t>
            </w:r>
          </w:p>
        </w:tc>
        <w:tc>
          <w:tcPr>
            <w:tcW w:w="5812" w:type="dxa"/>
            <w:tcBorders>
              <w:top w:val="single" w:sz="4" w:space="0" w:color="auto"/>
              <w:left w:val="nil"/>
              <w:bottom w:val="nil"/>
              <w:right w:val="nil"/>
            </w:tcBorders>
            <w:shd w:val="clear" w:color="000000" w:fill="FFFFFF"/>
            <w:hideMark/>
          </w:tcPr>
          <w:p w14:paraId="18E93C8E" w14:textId="77777777" w:rsidR="009F0F3A" w:rsidRPr="003F0E35" w:rsidRDefault="009F0F3A" w:rsidP="000067E1">
            <w:pPr>
              <w:spacing w:before="0" w:after="0" w:line="240" w:lineRule="auto"/>
              <w:rPr>
                <w:rFonts w:cs="Arial"/>
                <w:color w:val="000000"/>
                <w:sz w:val="18"/>
                <w:szCs w:val="18"/>
              </w:rPr>
            </w:pPr>
            <w:r w:rsidRPr="003F0E35">
              <w:rPr>
                <w:rFonts w:cs="Arial"/>
                <w:color w:val="000000"/>
                <w:sz w:val="18"/>
                <w:szCs w:val="18"/>
              </w:rPr>
              <w:t xml:space="preserve">Specialised multidisciplinary care in which the primary need for care is optimisation of the patient’s functioning and quality of life. </w:t>
            </w:r>
          </w:p>
        </w:tc>
        <w:tc>
          <w:tcPr>
            <w:tcW w:w="2126" w:type="dxa"/>
            <w:vMerge w:val="restart"/>
            <w:tcBorders>
              <w:top w:val="single" w:sz="4" w:space="0" w:color="auto"/>
              <w:left w:val="nil"/>
              <w:bottom w:val="single" w:sz="4" w:space="0" w:color="000000"/>
              <w:right w:val="nil"/>
            </w:tcBorders>
            <w:shd w:val="clear" w:color="000000" w:fill="FFFFFF"/>
            <w:hideMark/>
          </w:tcPr>
          <w:p w14:paraId="46C4D5D3" w14:textId="77777777"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Australian National Subacute and Non-Acute Patient (AN-SNAP) classification Version 4</w:t>
            </w:r>
          </w:p>
        </w:tc>
      </w:tr>
      <w:tr w:rsidR="009F0F3A" w:rsidRPr="009F0F3A" w14:paraId="44CA2C7C" w14:textId="77777777" w:rsidTr="00A82262">
        <w:trPr>
          <w:trHeight w:val="1355"/>
        </w:trPr>
        <w:tc>
          <w:tcPr>
            <w:tcW w:w="1433" w:type="dxa"/>
            <w:vMerge/>
            <w:tcBorders>
              <w:top w:val="single" w:sz="4" w:space="0" w:color="auto"/>
              <w:left w:val="nil"/>
              <w:bottom w:val="single" w:sz="4" w:space="0" w:color="000000"/>
              <w:right w:val="nil"/>
            </w:tcBorders>
            <w:vAlign w:val="center"/>
            <w:hideMark/>
          </w:tcPr>
          <w:p w14:paraId="60246115" w14:textId="77777777" w:rsidR="009F0F3A" w:rsidRPr="009F0F3A" w:rsidRDefault="009F0F3A" w:rsidP="009F0F3A">
            <w:pPr>
              <w:spacing w:before="0" w:after="0" w:line="240" w:lineRule="auto"/>
              <w:rPr>
                <w:rFonts w:cs="Arial"/>
                <w:i/>
                <w:iCs/>
                <w:color w:val="000000"/>
                <w:sz w:val="18"/>
                <w:szCs w:val="18"/>
              </w:rPr>
            </w:pPr>
          </w:p>
        </w:tc>
        <w:tc>
          <w:tcPr>
            <w:tcW w:w="5812" w:type="dxa"/>
            <w:tcBorders>
              <w:top w:val="nil"/>
              <w:left w:val="nil"/>
              <w:bottom w:val="nil"/>
              <w:right w:val="nil"/>
            </w:tcBorders>
            <w:shd w:val="clear" w:color="000000" w:fill="FFFFFF"/>
            <w:vAlign w:val="center"/>
            <w:hideMark/>
          </w:tcPr>
          <w:p w14:paraId="6EAD4502" w14:textId="77777777"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Sub-acute care includes the following care types:</w:t>
            </w:r>
          </w:p>
          <w:p w14:paraId="083D4A87" w14:textId="77777777" w:rsidR="00251B58" w:rsidRPr="003F0E35" w:rsidRDefault="00251B58" w:rsidP="009F0F3A">
            <w:pPr>
              <w:spacing w:before="0" w:after="0" w:line="240" w:lineRule="auto"/>
              <w:rPr>
                <w:rFonts w:cs="Arial"/>
                <w:color w:val="000000"/>
                <w:sz w:val="18"/>
                <w:szCs w:val="18"/>
              </w:rPr>
            </w:pPr>
          </w:p>
          <w:p w14:paraId="3260C6A1" w14:textId="77777777" w:rsidR="00251B58" w:rsidRPr="003F0E35" w:rsidRDefault="00251B58" w:rsidP="003F1387">
            <w:pPr>
              <w:pStyle w:val="ListParagraph"/>
              <w:rPr>
                <w:sz w:val="18"/>
                <w:szCs w:val="18"/>
              </w:rPr>
            </w:pPr>
            <w:r w:rsidRPr="003F0E35">
              <w:rPr>
                <w:sz w:val="18"/>
                <w:szCs w:val="18"/>
              </w:rPr>
              <w:t>Rehabilitation care</w:t>
            </w:r>
          </w:p>
          <w:p w14:paraId="45B0E10F" w14:textId="77777777" w:rsidR="00251B58" w:rsidRPr="003F0E35" w:rsidRDefault="00251B58" w:rsidP="003F1387">
            <w:pPr>
              <w:pStyle w:val="ListParagraph"/>
              <w:rPr>
                <w:sz w:val="18"/>
                <w:szCs w:val="18"/>
              </w:rPr>
            </w:pPr>
            <w:r w:rsidRPr="003F0E35">
              <w:rPr>
                <w:sz w:val="18"/>
                <w:szCs w:val="18"/>
              </w:rPr>
              <w:t>Palliative care</w:t>
            </w:r>
          </w:p>
          <w:p w14:paraId="2DB6DCBC" w14:textId="77777777" w:rsidR="00251B58" w:rsidRPr="003F0E35" w:rsidRDefault="00251B58" w:rsidP="003F1387">
            <w:pPr>
              <w:pStyle w:val="ListParagraph"/>
              <w:rPr>
                <w:sz w:val="18"/>
                <w:szCs w:val="18"/>
              </w:rPr>
            </w:pPr>
            <w:r w:rsidRPr="003F0E35">
              <w:rPr>
                <w:sz w:val="18"/>
                <w:szCs w:val="18"/>
              </w:rPr>
              <w:t>Geriatric evaluation and management (GEM) care</w:t>
            </w:r>
          </w:p>
          <w:p w14:paraId="5B3EDB6E" w14:textId="77777777" w:rsidR="00251B58" w:rsidRPr="003F0E35" w:rsidRDefault="00251B58" w:rsidP="003F1387">
            <w:pPr>
              <w:pStyle w:val="ListParagraph"/>
            </w:pPr>
            <w:r w:rsidRPr="003F0E35">
              <w:rPr>
                <w:sz w:val="18"/>
                <w:szCs w:val="18"/>
              </w:rPr>
              <w:t>Psychogeriatric care</w:t>
            </w:r>
          </w:p>
        </w:tc>
        <w:tc>
          <w:tcPr>
            <w:tcW w:w="2126" w:type="dxa"/>
            <w:vMerge/>
            <w:tcBorders>
              <w:top w:val="single" w:sz="4" w:space="0" w:color="auto"/>
              <w:left w:val="nil"/>
              <w:bottom w:val="single" w:sz="4" w:space="0" w:color="000000"/>
              <w:right w:val="nil"/>
            </w:tcBorders>
            <w:vAlign w:val="center"/>
            <w:hideMark/>
          </w:tcPr>
          <w:p w14:paraId="15750193" w14:textId="77777777" w:rsidR="009F0F3A" w:rsidRPr="003F0E35" w:rsidRDefault="009F0F3A" w:rsidP="009F0F3A">
            <w:pPr>
              <w:spacing w:before="0" w:after="0" w:line="240" w:lineRule="auto"/>
              <w:rPr>
                <w:rFonts w:cs="Arial"/>
                <w:color w:val="000000"/>
                <w:sz w:val="18"/>
                <w:szCs w:val="18"/>
              </w:rPr>
            </w:pPr>
          </w:p>
        </w:tc>
      </w:tr>
      <w:tr w:rsidR="009F0F3A" w:rsidRPr="009F0F3A" w14:paraId="3C54AEDD" w14:textId="77777777" w:rsidTr="00A82262">
        <w:trPr>
          <w:trHeight w:val="836"/>
        </w:trPr>
        <w:tc>
          <w:tcPr>
            <w:tcW w:w="1433" w:type="dxa"/>
            <w:vMerge/>
            <w:tcBorders>
              <w:top w:val="single" w:sz="4" w:space="0" w:color="auto"/>
              <w:left w:val="nil"/>
              <w:bottom w:val="single" w:sz="4" w:space="0" w:color="000000"/>
              <w:right w:val="nil"/>
            </w:tcBorders>
            <w:vAlign w:val="center"/>
            <w:hideMark/>
          </w:tcPr>
          <w:p w14:paraId="1B1960D9" w14:textId="77777777" w:rsidR="009F0F3A" w:rsidRPr="009F0F3A" w:rsidRDefault="009F0F3A" w:rsidP="009F0F3A">
            <w:pPr>
              <w:spacing w:before="0" w:after="0" w:line="240" w:lineRule="auto"/>
              <w:rPr>
                <w:rFonts w:cs="Arial"/>
                <w:i/>
                <w:iCs/>
                <w:color w:val="000000"/>
                <w:sz w:val="18"/>
                <w:szCs w:val="18"/>
              </w:rPr>
            </w:pPr>
          </w:p>
        </w:tc>
        <w:tc>
          <w:tcPr>
            <w:tcW w:w="5812" w:type="dxa"/>
            <w:tcBorders>
              <w:top w:val="nil"/>
              <w:left w:val="nil"/>
              <w:bottom w:val="single" w:sz="4" w:space="0" w:color="auto"/>
              <w:right w:val="nil"/>
            </w:tcBorders>
            <w:shd w:val="clear" w:color="000000" w:fill="FFFFFF"/>
            <w:vAlign w:val="center"/>
            <w:hideMark/>
          </w:tcPr>
          <w:p w14:paraId="37A52978" w14:textId="77777777"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Non-acute care relates to maintenance care in which the treatment goal is to support a patient with impairment, activity limitation or participation restriction due to a health condition. </w:t>
            </w:r>
          </w:p>
        </w:tc>
        <w:tc>
          <w:tcPr>
            <w:tcW w:w="2126" w:type="dxa"/>
            <w:vMerge/>
            <w:tcBorders>
              <w:top w:val="single" w:sz="4" w:space="0" w:color="auto"/>
              <w:left w:val="nil"/>
              <w:bottom w:val="single" w:sz="4" w:space="0" w:color="000000"/>
              <w:right w:val="nil"/>
            </w:tcBorders>
            <w:vAlign w:val="center"/>
            <w:hideMark/>
          </w:tcPr>
          <w:p w14:paraId="5634A2C1" w14:textId="77777777" w:rsidR="009F0F3A" w:rsidRPr="003F0E35" w:rsidRDefault="009F0F3A" w:rsidP="009F0F3A">
            <w:pPr>
              <w:spacing w:before="0" w:after="0" w:line="240" w:lineRule="auto"/>
              <w:rPr>
                <w:rFonts w:cs="Arial"/>
                <w:color w:val="000000"/>
                <w:sz w:val="18"/>
                <w:szCs w:val="18"/>
              </w:rPr>
            </w:pPr>
          </w:p>
        </w:tc>
      </w:tr>
      <w:tr w:rsidR="009F0F3A" w:rsidRPr="009F0F3A" w14:paraId="6D4D7B55" w14:textId="77777777" w:rsidTr="00886525">
        <w:trPr>
          <w:trHeight w:val="480"/>
        </w:trPr>
        <w:tc>
          <w:tcPr>
            <w:tcW w:w="1433" w:type="dxa"/>
            <w:vMerge w:val="restart"/>
            <w:tcBorders>
              <w:top w:val="nil"/>
              <w:left w:val="nil"/>
              <w:bottom w:val="single" w:sz="4" w:space="0" w:color="000000"/>
              <w:right w:val="nil"/>
            </w:tcBorders>
            <w:shd w:val="clear" w:color="000000" w:fill="FFFFFF"/>
            <w:vAlign w:val="center"/>
            <w:hideMark/>
          </w:tcPr>
          <w:p w14:paraId="17C52B94"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Non-admitted care</w:t>
            </w:r>
          </w:p>
        </w:tc>
        <w:tc>
          <w:tcPr>
            <w:tcW w:w="5812" w:type="dxa"/>
            <w:tcBorders>
              <w:top w:val="nil"/>
              <w:left w:val="nil"/>
              <w:bottom w:val="nil"/>
              <w:right w:val="nil"/>
            </w:tcBorders>
            <w:shd w:val="clear" w:color="000000" w:fill="FFFFFF"/>
            <w:hideMark/>
          </w:tcPr>
          <w:p w14:paraId="022597B3" w14:textId="77777777" w:rsidR="009F0F3A" w:rsidRPr="003F0E35" w:rsidRDefault="009F0F3A" w:rsidP="000067E1">
            <w:pPr>
              <w:spacing w:before="0" w:after="0" w:line="240" w:lineRule="auto"/>
              <w:rPr>
                <w:rFonts w:cs="Arial"/>
                <w:color w:val="000000"/>
                <w:sz w:val="18"/>
                <w:szCs w:val="18"/>
              </w:rPr>
            </w:pPr>
            <w:r w:rsidRPr="003F0E35">
              <w:rPr>
                <w:rFonts w:cs="Arial"/>
                <w:color w:val="000000"/>
                <w:sz w:val="18"/>
                <w:szCs w:val="18"/>
              </w:rPr>
              <w:t xml:space="preserve">Services provided to patients who do not undergo a formal admission process and do not occupy a hospital bed. </w:t>
            </w:r>
          </w:p>
        </w:tc>
        <w:tc>
          <w:tcPr>
            <w:tcW w:w="2126" w:type="dxa"/>
            <w:vMerge w:val="restart"/>
            <w:tcBorders>
              <w:top w:val="nil"/>
              <w:left w:val="nil"/>
              <w:bottom w:val="single" w:sz="4" w:space="0" w:color="000000"/>
              <w:right w:val="nil"/>
            </w:tcBorders>
            <w:shd w:val="clear" w:color="auto" w:fill="auto"/>
            <w:hideMark/>
          </w:tcPr>
          <w:p w14:paraId="773953B7" w14:textId="77777777"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Non-admitted Tier 2 Classification Version 4</w:t>
            </w:r>
          </w:p>
        </w:tc>
      </w:tr>
      <w:tr w:rsidR="009F0F3A" w:rsidRPr="009F0F3A" w14:paraId="211DA020" w14:textId="77777777" w:rsidTr="00A82262">
        <w:trPr>
          <w:trHeight w:val="1029"/>
        </w:trPr>
        <w:tc>
          <w:tcPr>
            <w:tcW w:w="1433" w:type="dxa"/>
            <w:vMerge/>
            <w:tcBorders>
              <w:top w:val="nil"/>
              <w:left w:val="nil"/>
              <w:bottom w:val="single" w:sz="4" w:space="0" w:color="000000"/>
              <w:right w:val="nil"/>
            </w:tcBorders>
            <w:vAlign w:val="center"/>
            <w:hideMark/>
          </w:tcPr>
          <w:p w14:paraId="5081535B" w14:textId="77777777" w:rsidR="009F0F3A" w:rsidRPr="009F0F3A" w:rsidRDefault="009F0F3A" w:rsidP="009F0F3A">
            <w:pPr>
              <w:spacing w:before="0" w:after="0" w:line="240" w:lineRule="auto"/>
              <w:rPr>
                <w:rFonts w:cs="Arial"/>
                <w:i/>
                <w:iCs/>
                <w:color w:val="000000"/>
                <w:sz w:val="18"/>
                <w:szCs w:val="18"/>
              </w:rPr>
            </w:pPr>
          </w:p>
        </w:tc>
        <w:tc>
          <w:tcPr>
            <w:tcW w:w="5812" w:type="dxa"/>
            <w:tcBorders>
              <w:top w:val="nil"/>
              <w:left w:val="nil"/>
              <w:bottom w:val="single" w:sz="4" w:space="0" w:color="auto"/>
              <w:right w:val="nil"/>
            </w:tcBorders>
            <w:shd w:val="clear" w:color="000000" w:fill="FFFFFF"/>
            <w:vAlign w:val="center"/>
            <w:hideMark/>
          </w:tcPr>
          <w:p w14:paraId="0C679E0F" w14:textId="77777777" w:rsidR="009F0F3A" w:rsidRPr="003F0E35" w:rsidRDefault="009F0F3A" w:rsidP="009F0F3A">
            <w:pPr>
              <w:spacing w:before="0" w:after="0" w:line="240" w:lineRule="auto"/>
              <w:rPr>
                <w:rFonts w:cs="Arial"/>
                <w:color w:val="000000"/>
                <w:sz w:val="18"/>
                <w:szCs w:val="18"/>
              </w:rPr>
            </w:pPr>
            <w:r w:rsidRPr="003F0E35">
              <w:rPr>
                <w:rFonts w:cs="Arial"/>
                <w:color w:val="000000"/>
                <w:sz w:val="18"/>
                <w:szCs w:val="18"/>
              </w:rPr>
              <w:t>Includes:</w:t>
            </w:r>
          </w:p>
          <w:p w14:paraId="7E274A4F" w14:textId="77777777" w:rsidR="00251B58" w:rsidRPr="003F0E35" w:rsidRDefault="00251B58" w:rsidP="003F1387">
            <w:pPr>
              <w:pStyle w:val="ListParagraph"/>
              <w:rPr>
                <w:sz w:val="18"/>
                <w:szCs w:val="18"/>
              </w:rPr>
            </w:pPr>
            <w:r w:rsidRPr="003F0E35">
              <w:rPr>
                <w:sz w:val="18"/>
                <w:szCs w:val="18"/>
              </w:rPr>
              <w:t>Hospital outpatient clinics</w:t>
            </w:r>
          </w:p>
          <w:p w14:paraId="445AC6FD" w14:textId="77777777" w:rsidR="00251B58" w:rsidRPr="003F0E35" w:rsidRDefault="00251B58" w:rsidP="003F1387">
            <w:pPr>
              <w:pStyle w:val="ListParagraph"/>
              <w:rPr>
                <w:sz w:val="18"/>
                <w:szCs w:val="18"/>
              </w:rPr>
            </w:pPr>
            <w:r w:rsidRPr="003F0E35">
              <w:rPr>
                <w:sz w:val="18"/>
                <w:szCs w:val="18"/>
              </w:rPr>
              <w:t>Community based clinics</w:t>
            </w:r>
          </w:p>
          <w:p w14:paraId="6990AF59" w14:textId="77777777" w:rsidR="00A82262" w:rsidRPr="003F0E35" w:rsidRDefault="00251B58" w:rsidP="003F1387">
            <w:pPr>
              <w:pStyle w:val="ListParagraph"/>
            </w:pPr>
            <w:r w:rsidRPr="003F0E35">
              <w:rPr>
                <w:sz w:val="18"/>
                <w:szCs w:val="18"/>
              </w:rPr>
              <w:t>Patients’ homes</w:t>
            </w:r>
          </w:p>
        </w:tc>
        <w:tc>
          <w:tcPr>
            <w:tcW w:w="2126" w:type="dxa"/>
            <w:vMerge/>
            <w:tcBorders>
              <w:top w:val="nil"/>
              <w:left w:val="nil"/>
              <w:bottom w:val="single" w:sz="4" w:space="0" w:color="000000"/>
              <w:right w:val="nil"/>
            </w:tcBorders>
            <w:vAlign w:val="center"/>
            <w:hideMark/>
          </w:tcPr>
          <w:p w14:paraId="6EA3E88F" w14:textId="77777777" w:rsidR="009F0F3A" w:rsidRPr="003F0E35" w:rsidRDefault="009F0F3A" w:rsidP="009F0F3A">
            <w:pPr>
              <w:spacing w:before="0" w:after="0" w:line="240" w:lineRule="auto"/>
              <w:rPr>
                <w:rFonts w:cs="Arial"/>
                <w:color w:val="000000"/>
                <w:sz w:val="18"/>
                <w:szCs w:val="18"/>
              </w:rPr>
            </w:pPr>
          </w:p>
        </w:tc>
      </w:tr>
      <w:tr w:rsidR="009F0F3A" w:rsidRPr="009F0F3A" w14:paraId="6E543BFC" w14:textId="77777777" w:rsidTr="00886525">
        <w:trPr>
          <w:trHeight w:val="510"/>
        </w:trPr>
        <w:tc>
          <w:tcPr>
            <w:tcW w:w="1433" w:type="dxa"/>
            <w:tcBorders>
              <w:top w:val="nil"/>
              <w:left w:val="nil"/>
              <w:bottom w:val="single" w:sz="4" w:space="0" w:color="auto"/>
              <w:right w:val="nil"/>
            </w:tcBorders>
            <w:shd w:val="clear" w:color="000000" w:fill="FFFFFF"/>
            <w:vAlign w:val="center"/>
            <w:hideMark/>
          </w:tcPr>
          <w:p w14:paraId="0894ADF1"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Emergency care</w:t>
            </w:r>
          </w:p>
        </w:tc>
        <w:tc>
          <w:tcPr>
            <w:tcW w:w="5812" w:type="dxa"/>
            <w:tcBorders>
              <w:top w:val="single" w:sz="4" w:space="0" w:color="auto"/>
              <w:left w:val="nil"/>
              <w:bottom w:val="single" w:sz="4" w:space="0" w:color="auto"/>
              <w:right w:val="nil"/>
            </w:tcBorders>
            <w:shd w:val="clear" w:color="000000" w:fill="FFFFFF"/>
            <w:hideMark/>
          </w:tcPr>
          <w:p w14:paraId="4AE1A083" w14:textId="77777777" w:rsidR="009F0F3A" w:rsidRPr="003F0E35" w:rsidRDefault="009F0F3A" w:rsidP="000067E1">
            <w:pPr>
              <w:spacing w:before="0" w:after="0" w:line="240" w:lineRule="auto"/>
              <w:rPr>
                <w:rFonts w:cs="Arial"/>
                <w:color w:val="000000"/>
                <w:sz w:val="18"/>
                <w:szCs w:val="18"/>
              </w:rPr>
            </w:pPr>
            <w:r w:rsidRPr="003F0E35">
              <w:rPr>
                <w:rFonts w:cs="Arial"/>
                <w:color w:val="000000"/>
                <w:sz w:val="18"/>
                <w:szCs w:val="18"/>
              </w:rPr>
              <w:t>Services provided to patients in a hospital’s emergency department</w:t>
            </w:r>
          </w:p>
        </w:tc>
        <w:tc>
          <w:tcPr>
            <w:tcW w:w="2126" w:type="dxa"/>
            <w:tcBorders>
              <w:top w:val="nil"/>
              <w:left w:val="nil"/>
              <w:bottom w:val="single" w:sz="4" w:space="0" w:color="auto"/>
              <w:right w:val="nil"/>
            </w:tcBorders>
            <w:shd w:val="clear" w:color="auto" w:fill="auto"/>
            <w:hideMark/>
          </w:tcPr>
          <w:p w14:paraId="4CD790A4" w14:textId="77777777" w:rsidR="008C65D7" w:rsidRPr="003F0E35" w:rsidRDefault="009F0F3A" w:rsidP="0003038D">
            <w:pPr>
              <w:spacing w:before="0" w:after="0" w:line="240" w:lineRule="auto"/>
              <w:rPr>
                <w:rFonts w:cs="Arial"/>
                <w:color w:val="000000"/>
                <w:sz w:val="18"/>
                <w:szCs w:val="18"/>
              </w:rPr>
            </w:pPr>
            <w:r w:rsidRPr="003F0E35">
              <w:rPr>
                <w:rFonts w:cs="Arial"/>
                <w:color w:val="000000"/>
                <w:sz w:val="18"/>
                <w:szCs w:val="18"/>
              </w:rPr>
              <w:t xml:space="preserve">Urgency Related Groups (URG) </w:t>
            </w:r>
          </w:p>
          <w:p w14:paraId="04D4AF42" w14:textId="4B1BAE25" w:rsidR="008C65D7" w:rsidRPr="003F0E35" w:rsidRDefault="009F0F3A" w:rsidP="0003038D">
            <w:pPr>
              <w:spacing w:before="0" w:after="0" w:line="240" w:lineRule="auto"/>
              <w:rPr>
                <w:rFonts w:cs="Arial"/>
                <w:color w:val="000000"/>
                <w:sz w:val="18"/>
                <w:szCs w:val="18"/>
              </w:rPr>
            </w:pPr>
            <w:r w:rsidRPr="003F0E35">
              <w:rPr>
                <w:rFonts w:cs="Arial"/>
                <w:color w:val="000000"/>
                <w:sz w:val="18"/>
                <w:szCs w:val="18"/>
              </w:rPr>
              <w:t>Version 1.4</w:t>
            </w:r>
            <w:r w:rsidR="007B17C2">
              <w:rPr>
                <w:rFonts w:cs="Arial"/>
                <w:color w:val="000000"/>
                <w:sz w:val="18"/>
                <w:szCs w:val="18"/>
              </w:rPr>
              <w:t>5</w:t>
            </w:r>
          </w:p>
        </w:tc>
      </w:tr>
      <w:tr w:rsidR="009F0F3A" w:rsidRPr="009F0F3A" w14:paraId="07A47FC0" w14:textId="77777777" w:rsidTr="00886525">
        <w:trPr>
          <w:trHeight w:val="300"/>
        </w:trPr>
        <w:tc>
          <w:tcPr>
            <w:tcW w:w="1433" w:type="dxa"/>
            <w:vMerge w:val="restart"/>
            <w:tcBorders>
              <w:top w:val="single" w:sz="4" w:space="0" w:color="auto"/>
              <w:left w:val="nil"/>
              <w:bottom w:val="single" w:sz="4" w:space="0" w:color="000000"/>
              <w:right w:val="nil"/>
            </w:tcBorders>
            <w:shd w:val="clear" w:color="000000" w:fill="FFFFFF"/>
            <w:vAlign w:val="center"/>
            <w:hideMark/>
          </w:tcPr>
          <w:p w14:paraId="308E178D"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Mental Health care</w:t>
            </w:r>
          </w:p>
        </w:tc>
        <w:tc>
          <w:tcPr>
            <w:tcW w:w="5812" w:type="dxa"/>
            <w:vMerge w:val="restart"/>
            <w:tcBorders>
              <w:top w:val="single" w:sz="4" w:space="0" w:color="auto"/>
              <w:left w:val="nil"/>
              <w:bottom w:val="single" w:sz="4" w:space="0" w:color="000000"/>
              <w:right w:val="nil"/>
            </w:tcBorders>
            <w:shd w:val="clear" w:color="000000" w:fill="FFFFFF"/>
            <w:hideMark/>
          </w:tcPr>
          <w:p w14:paraId="562A505E" w14:textId="77777777" w:rsidR="009F0F3A" w:rsidRPr="003F0E35" w:rsidRDefault="009F0F3A" w:rsidP="000067E1">
            <w:pPr>
              <w:spacing w:before="0" w:after="0" w:line="240" w:lineRule="auto"/>
              <w:rPr>
                <w:rFonts w:cs="Arial"/>
                <w:color w:val="000000"/>
                <w:sz w:val="18"/>
                <w:szCs w:val="18"/>
              </w:rPr>
            </w:pPr>
            <w:r w:rsidRPr="003F0E35">
              <w:rPr>
                <w:rFonts w:cs="Arial"/>
                <w:color w:val="000000"/>
                <w:sz w:val="18"/>
                <w:szCs w:val="18"/>
              </w:rPr>
              <w:t>Mental Health services provided to patients. Includes services provided both in admitted and community settings.</w:t>
            </w:r>
          </w:p>
        </w:tc>
        <w:tc>
          <w:tcPr>
            <w:tcW w:w="2126" w:type="dxa"/>
            <w:vMerge w:val="restart"/>
            <w:tcBorders>
              <w:top w:val="single" w:sz="4" w:space="0" w:color="auto"/>
              <w:left w:val="nil"/>
              <w:bottom w:val="single" w:sz="4" w:space="0" w:color="000000"/>
              <w:right w:val="nil"/>
            </w:tcBorders>
            <w:shd w:val="clear" w:color="auto" w:fill="auto"/>
            <w:hideMark/>
          </w:tcPr>
          <w:p w14:paraId="3059FF50" w14:textId="77777777" w:rsidR="008C65D7" w:rsidRPr="003F0E35" w:rsidRDefault="009F0F3A" w:rsidP="0003038D">
            <w:pPr>
              <w:spacing w:before="0" w:after="0" w:line="240" w:lineRule="auto"/>
              <w:rPr>
                <w:rFonts w:cs="Arial"/>
                <w:color w:val="000000"/>
                <w:sz w:val="18"/>
                <w:szCs w:val="18"/>
              </w:rPr>
            </w:pPr>
            <w:r w:rsidRPr="003F0E35">
              <w:rPr>
                <w:rFonts w:cs="Arial"/>
                <w:color w:val="000000"/>
                <w:sz w:val="18"/>
                <w:szCs w:val="18"/>
              </w:rPr>
              <w:t>Australian Mental Health Care Classification (AMHCC) v1.0</w:t>
            </w:r>
          </w:p>
        </w:tc>
      </w:tr>
      <w:tr w:rsidR="009F0F3A" w:rsidRPr="009F0F3A" w14:paraId="68096411" w14:textId="77777777" w:rsidTr="00A82262">
        <w:trPr>
          <w:trHeight w:val="300"/>
        </w:trPr>
        <w:tc>
          <w:tcPr>
            <w:tcW w:w="1433" w:type="dxa"/>
            <w:vMerge/>
            <w:tcBorders>
              <w:top w:val="single" w:sz="4" w:space="0" w:color="auto"/>
              <w:left w:val="nil"/>
              <w:bottom w:val="single" w:sz="4" w:space="0" w:color="000000"/>
              <w:right w:val="nil"/>
            </w:tcBorders>
            <w:vAlign w:val="center"/>
            <w:hideMark/>
          </w:tcPr>
          <w:p w14:paraId="4CC59A80" w14:textId="77777777" w:rsidR="009F0F3A" w:rsidRPr="009F0F3A" w:rsidRDefault="009F0F3A" w:rsidP="009F0F3A">
            <w:pPr>
              <w:spacing w:before="0" w:after="0" w:line="240" w:lineRule="auto"/>
              <w:rPr>
                <w:rFonts w:cs="Arial"/>
                <w:i/>
                <w:iCs/>
                <w:color w:val="000000"/>
                <w:sz w:val="18"/>
                <w:szCs w:val="18"/>
              </w:rPr>
            </w:pPr>
          </w:p>
        </w:tc>
        <w:tc>
          <w:tcPr>
            <w:tcW w:w="5812" w:type="dxa"/>
            <w:vMerge/>
            <w:tcBorders>
              <w:top w:val="single" w:sz="4" w:space="0" w:color="auto"/>
              <w:left w:val="nil"/>
              <w:bottom w:val="single" w:sz="4" w:space="0" w:color="000000"/>
              <w:right w:val="nil"/>
            </w:tcBorders>
            <w:vAlign w:val="center"/>
            <w:hideMark/>
          </w:tcPr>
          <w:p w14:paraId="53C511B7" w14:textId="77777777" w:rsidR="009F0F3A" w:rsidRPr="009F0F3A" w:rsidRDefault="009F0F3A" w:rsidP="009F0F3A">
            <w:pPr>
              <w:spacing w:before="0" w:after="0" w:line="240" w:lineRule="auto"/>
              <w:rPr>
                <w:rFonts w:cs="Arial"/>
                <w:color w:val="000000"/>
                <w:sz w:val="18"/>
                <w:szCs w:val="18"/>
              </w:rPr>
            </w:pPr>
          </w:p>
        </w:tc>
        <w:tc>
          <w:tcPr>
            <w:tcW w:w="2126" w:type="dxa"/>
            <w:vMerge/>
            <w:tcBorders>
              <w:top w:val="single" w:sz="4" w:space="0" w:color="auto"/>
              <w:left w:val="nil"/>
              <w:bottom w:val="single" w:sz="4" w:space="0" w:color="000000"/>
              <w:right w:val="nil"/>
            </w:tcBorders>
            <w:vAlign w:val="center"/>
            <w:hideMark/>
          </w:tcPr>
          <w:p w14:paraId="4A4584ED" w14:textId="77777777" w:rsidR="009F0F3A" w:rsidRPr="009F0F3A" w:rsidRDefault="009F0F3A" w:rsidP="009F0F3A">
            <w:pPr>
              <w:spacing w:before="0" w:after="0" w:line="240" w:lineRule="auto"/>
              <w:rPr>
                <w:rFonts w:cs="Arial"/>
                <w:color w:val="000000"/>
                <w:sz w:val="18"/>
                <w:szCs w:val="18"/>
              </w:rPr>
            </w:pPr>
          </w:p>
        </w:tc>
      </w:tr>
      <w:tr w:rsidR="009F0F3A" w:rsidRPr="009F0F3A" w14:paraId="49F35B15" w14:textId="77777777" w:rsidTr="00886525">
        <w:trPr>
          <w:trHeight w:val="1150"/>
        </w:trPr>
        <w:tc>
          <w:tcPr>
            <w:tcW w:w="1433" w:type="dxa"/>
            <w:tcBorders>
              <w:top w:val="nil"/>
              <w:left w:val="nil"/>
              <w:bottom w:val="single" w:sz="4" w:space="0" w:color="auto"/>
              <w:right w:val="nil"/>
            </w:tcBorders>
            <w:shd w:val="clear" w:color="000000" w:fill="FFFFFF"/>
            <w:vAlign w:val="center"/>
            <w:hideMark/>
          </w:tcPr>
          <w:p w14:paraId="4B50D690" w14:textId="77777777" w:rsidR="009F0F3A" w:rsidRPr="009F0F3A" w:rsidRDefault="009F0F3A" w:rsidP="009F0F3A">
            <w:pPr>
              <w:spacing w:before="0" w:after="0" w:line="240" w:lineRule="auto"/>
              <w:rPr>
                <w:rFonts w:cs="Arial"/>
                <w:i/>
                <w:iCs/>
                <w:color w:val="000000"/>
                <w:sz w:val="18"/>
                <w:szCs w:val="18"/>
              </w:rPr>
            </w:pPr>
            <w:r w:rsidRPr="009F0F3A">
              <w:rPr>
                <w:rFonts w:cs="Arial"/>
                <w:i/>
                <w:iCs/>
                <w:color w:val="000000"/>
                <w:sz w:val="18"/>
                <w:szCs w:val="18"/>
              </w:rPr>
              <w:t>Teaching Training and Research</w:t>
            </w:r>
          </w:p>
        </w:tc>
        <w:tc>
          <w:tcPr>
            <w:tcW w:w="5812" w:type="dxa"/>
            <w:tcBorders>
              <w:top w:val="nil"/>
              <w:left w:val="nil"/>
              <w:bottom w:val="single" w:sz="4" w:space="0" w:color="auto"/>
              <w:right w:val="nil"/>
            </w:tcBorders>
            <w:shd w:val="clear" w:color="000000" w:fill="FFFFFF"/>
            <w:hideMark/>
          </w:tcPr>
          <w:p w14:paraId="77442BD9" w14:textId="77777777" w:rsidR="009F0F3A" w:rsidRPr="009F0F3A" w:rsidRDefault="009F0F3A" w:rsidP="000067E1">
            <w:pPr>
              <w:spacing w:before="0" w:after="0" w:line="240" w:lineRule="auto"/>
              <w:rPr>
                <w:rFonts w:cs="Arial"/>
                <w:color w:val="000000"/>
                <w:sz w:val="18"/>
                <w:szCs w:val="18"/>
              </w:rPr>
            </w:pPr>
            <w:r w:rsidRPr="009F0F3A">
              <w:rPr>
                <w:rFonts w:cs="Arial"/>
                <w:color w:val="000000"/>
                <w:sz w:val="18"/>
                <w:szCs w:val="18"/>
              </w:rPr>
              <w:t xml:space="preserve">Teaching and training activities which occur in public hospital services. </w:t>
            </w:r>
          </w:p>
        </w:tc>
        <w:tc>
          <w:tcPr>
            <w:tcW w:w="2126" w:type="dxa"/>
            <w:tcBorders>
              <w:top w:val="nil"/>
              <w:left w:val="nil"/>
              <w:bottom w:val="single" w:sz="4" w:space="0" w:color="auto"/>
              <w:right w:val="nil"/>
            </w:tcBorders>
            <w:shd w:val="clear" w:color="auto" w:fill="auto"/>
            <w:hideMark/>
          </w:tcPr>
          <w:p w14:paraId="0D53265C" w14:textId="77777777" w:rsidR="008C65D7" w:rsidRPr="009F0F3A" w:rsidRDefault="009F0F3A" w:rsidP="0003038D">
            <w:pPr>
              <w:spacing w:before="0" w:after="0" w:line="240" w:lineRule="auto"/>
              <w:rPr>
                <w:rFonts w:cs="Arial"/>
                <w:color w:val="000000"/>
                <w:sz w:val="18"/>
                <w:szCs w:val="18"/>
              </w:rPr>
            </w:pPr>
            <w:r w:rsidRPr="009F0F3A">
              <w:rPr>
                <w:rFonts w:cs="Arial"/>
                <w:color w:val="000000"/>
                <w:sz w:val="18"/>
                <w:szCs w:val="18"/>
              </w:rPr>
              <w:t>Australian Teaching and Training Class</w:t>
            </w:r>
            <w:r w:rsidR="0003038D">
              <w:rPr>
                <w:rFonts w:cs="Arial"/>
                <w:color w:val="000000"/>
                <w:sz w:val="18"/>
                <w:szCs w:val="18"/>
              </w:rPr>
              <w:t>ification (released 1 July 2018)</w:t>
            </w:r>
          </w:p>
        </w:tc>
      </w:tr>
    </w:tbl>
    <w:p w14:paraId="17FA0F4B" w14:textId="03B75B9C" w:rsidR="00C85A5B" w:rsidRDefault="00C85A5B" w:rsidP="003059E1">
      <w:pPr>
        <w:rPr>
          <w:b/>
        </w:rPr>
      </w:pPr>
    </w:p>
    <w:p w14:paraId="5F1637FA" w14:textId="3ED19FB1" w:rsidR="00ED3661" w:rsidRDefault="00ED3661" w:rsidP="00ED3661">
      <w:pPr>
        <w:rPr>
          <w:b/>
        </w:rPr>
      </w:pPr>
      <w:r>
        <w:rPr>
          <w:b/>
        </w:rPr>
        <w:t>Admitted activity reporting scope</w:t>
      </w:r>
    </w:p>
    <w:p w14:paraId="0AE8259E" w14:textId="17301E6C" w:rsidR="00ED3661" w:rsidRPr="00D82C5B" w:rsidRDefault="00ED3661" w:rsidP="00ED3661">
      <w:pPr>
        <w:rPr>
          <w:b/>
          <w:i/>
          <w:strike/>
        </w:rPr>
      </w:pPr>
      <w:r w:rsidRPr="00D82C5B">
        <w:rPr>
          <w:b/>
          <w:i/>
        </w:rPr>
        <w:t>Work in Progress patients</w:t>
      </w:r>
    </w:p>
    <w:p w14:paraId="792EB1EA" w14:textId="5D75C1DF" w:rsidR="000330B0" w:rsidRPr="00C86DBF" w:rsidRDefault="000330B0" w:rsidP="000330B0">
      <w:r>
        <w:t xml:space="preserve">A Work in Progress (WIP) patient is defined as a patient that is not admitted and discharged within the reference financial year. For </w:t>
      </w:r>
      <w:r w:rsidR="00C86DBF">
        <w:t>the Round 22 NHCDC</w:t>
      </w:r>
      <w:r>
        <w:t xml:space="preserve">, the only WIP patients that are in-scope are the ones admitted in the previous financial year (2016-17) and discharged in 2017-18. Patients who </w:t>
      </w:r>
      <w:r w:rsidR="00C86DBF">
        <w:t>were not</w:t>
      </w:r>
      <w:r>
        <w:t xml:space="preserve"> discharged in 2017-18 are ‘out-of-scope’</w:t>
      </w:r>
      <w:r w:rsidR="00C86DBF">
        <w:t>.</w:t>
      </w:r>
    </w:p>
    <w:p w14:paraId="01F45A01" w14:textId="053D26C2" w:rsidR="000330B0" w:rsidRDefault="000330B0" w:rsidP="00B87182">
      <w:pPr>
        <w:rPr>
          <w:rFonts w:cs="Arial"/>
        </w:rPr>
      </w:pPr>
    </w:p>
    <w:p w14:paraId="160493F5" w14:textId="77777777" w:rsidR="003A0527" w:rsidRDefault="003A0527" w:rsidP="00B87182">
      <w:pPr>
        <w:rPr>
          <w:rFonts w:cs="Arial"/>
        </w:rPr>
      </w:pPr>
    </w:p>
    <w:p w14:paraId="2074B1A8" w14:textId="538949A6" w:rsidR="00ED3661" w:rsidRPr="003F043A" w:rsidRDefault="00297F07" w:rsidP="00ED3661">
      <w:pPr>
        <w:rPr>
          <w:b/>
          <w:i/>
          <w:strike/>
        </w:rPr>
      </w:pPr>
      <w:r w:rsidRPr="003F043A">
        <w:rPr>
          <w:b/>
          <w:i/>
        </w:rPr>
        <w:lastRenderedPageBreak/>
        <w:t>A</w:t>
      </w:r>
      <w:r w:rsidR="00F20D9A" w:rsidRPr="003F043A">
        <w:rPr>
          <w:b/>
          <w:i/>
        </w:rPr>
        <w:t xml:space="preserve">dmitted </w:t>
      </w:r>
      <w:r w:rsidR="008D2A10">
        <w:rPr>
          <w:b/>
          <w:i/>
        </w:rPr>
        <w:t xml:space="preserve">via </w:t>
      </w:r>
      <w:r w:rsidR="00F20D9A" w:rsidRPr="003F043A">
        <w:rPr>
          <w:b/>
          <w:i/>
        </w:rPr>
        <w:t>e</w:t>
      </w:r>
      <w:r w:rsidR="00ED3661" w:rsidRPr="003F043A">
        <w:rPr>
          <w:b/>
          <w:i/>
        </w:rPr>
        <w:t xml:space="preserve">mergency </w:t>
      </w:r>
      <w:r w:rsidR="00F20D9A" w:rsidRPr="003F043A">
        <w:rPr>
          <w:b/>
          <w:i/>
        </w:rPr>
        <w:t>d</w:t>
      </w:r>
      <w:r w:rsidR="00D75CC7" w:rsidRPr="003F043A">
        <w:rPr>
          <w:b/>
          <w:i/>
        </w:rPr>
        <w:t xml:space="preserve">epartment </w:t>
      </w:r>
      <w:r w:rsidR="00ED3661" w:rsidRPr="003F043A">
        <w:rPr>
          <w:b/>
          <w:i/>
        </w:rPr>
        <w:t>patients</w:t>
      </w:r>
    </w:p>
    <w:p w14:paraId="45E9279A" w14:textId="03953A4B" w:rsidR="00040276" w:rsidRDefault="00040276" w:rsidP="00D75CC7">
      <w:pPr>
        <w:rPr>
          <w:rFonts w:cs="Arial"/>
        </w:rPr>
      </w:pPr>
      <w:r>
        <w:rPr>
          <w:rFonts w:cs="Arial"/>
        </w:rPr>
        <w:t xml:space="preserve">In past </w:t>
      </w:r>
      <w:r w:rsidR="00382F46">
        <w:rPr>
          <w:rFonts w:cs="Arial"/>
        </w:rPr>
        <w:t>NHCDC Reports</w:t>
      </w:r>
      <w:r>
        <w:rPr>
          <w:rFonts w:cs="Arial"/>
        </w:rPr>
        <w:t xml:space="preserve">, </w:t>
      </w:r>
      <w:r w:rsidR="005A19CE">
        <w:rPr>
          <w:rFonts w:cs="Arial"/>
        </w:rPr>
        <w:t xml:space="preserve">the </w:t>
      </w:r>
      <w:r w:rsidR="0099392A">
        <w:rPr>
          <w:rFonts w:cs="Arial"/>
        </w:rPr>
        <w:t xml:space="preserve">total </w:t>
      </w:r>
      <w:r w:rsidR="00B541E3">
        <w:rPr>
          <w:rFonts w:cs="Arial"/>
        </w:rPr>
        <w:t xml:space="preserve">reported </w:t>
      </w:r>
      <w:r w:rsidR="005A19CE">
        <w:rPr>
          <w:rFonts w:cs="Arial"/>
        </w:rPr>
        <w:t>cost of</w:t>
      </w:r>
      <w:r w:rsidR="0099392A">
        <w:rPr>
          <w:rFonts w:cs="Arial"/>
        </w:rPr>
        <w:t xml:space="preserve"> an</w:t>
      </w:r>
      <w:r w:rsidR="005A19CE">
        <w:rPr>
          <w:rFonts w:cs="Arial"/>
        </w:rPr>
        <w:t xml:space="preserve"> </w:t>
      </w:r>
      <w:r w:rsidR="0099392A">
        <w:rPr>
          <w:rFonts w:cs="Arial"/>
        </w:rPr>
        <w:t xml:space="preserve">acute or sub-acute </w:t>
      </w:r>
      <w:r w:rsidR="00382F46">
        <w:rPr>
          <w:rFonts w:cs="Arial"/>
        </w:rPr>
        <w:t xml:space="preserve">patient </w:t>
      </w:r>
      <w:r w:rsidR="0099392A">
        <w:rPr>
          <w:rFonts w:cs="Arial"/>
        </w:rPr>
        <w:t xml:space="preserve">who was admitted to hospital </w:t>
      </w:r>
      <w:r w:rsidR="00382F46">
        <w:rPr>
          <w:rFonts w:cs="Arial"/>
        </w:rPr>
        <w:t xml:space="preserve">via the emergency department </w:t>
      </w:r>
      <w:r>
        <w:rPr>
          <w:rFonts w:cs="Arial"/>
        </w:rPr>
        <w:t xml:space="preserve">included </w:t>
      </w:r>
      <w:r w:rsidR="00382F46">
        <w:rPr>
          <w:rFonts w:cs="Arial"/>
        </w:rPr>
        <w:t xml:space="preserve">all </w:t>
      </w:r>
      <w:r>
        <w:rPr>
          <w:rFonts w:cs="Arial"/>
        </w:rPr>
        <w:t xml:space="preserve">costs associated with </w:t>
      </w:r>
      <w:r w:rsidR="00382F46">
        <w:rPr>
          <w:rFonts w:cs="Arial"/>
        </w:rPr>
        <w:t>the</w:t>
      </w:r>
      <w:r w:rsidR="005A19CE">
        <w:rPr>
          <w:rFonts w:cs="Arial"/>
        </w:rPr>
        <w:t xml:space="preserve"> patient’s </w:t>
      </w:r>
      <w:r>
        <w:rPr>
          <w:rFonts w:cs="Arial"/>
        </w:rPr>
        <w:t>emergency department</w:t>
      </w:r>
      <w:r w:rsidR="005A19CE">
        <w:rPr>
          <w:rFonts w:cs="Arial"/>
        </w:rPr>
        <w:t xml:space="preserve"> (ED)</w:t>
      </w:r>
      <w:r w:rsidR="0099392A">
        <w:rPr>
          <w:rFonts w:cs="Arial"/>
        </w:rPr>
        <w:t xml:space="preserve"> treatment</w:t>
      </w:r>
      <w:r w:rsidR="00382F46">
        <w:rPr>
          <w:rFonts w:cs="Arial"/>
        </w:rPr>
        <w:t>.</w:t>
      </w:r>
      <w:r w:rsidR="00EE4C4B">
        <w:rPr>
          <w:rFonts w:cs="Arial"/>
        </w:rPr>
        <w:t xml:space="preserve"> </w:t>
      </w:r>
      <w:r w:rsidR="00382F46">
        <w:rPr>
          <w:rFonts w:cs="Arial"/>
        </w:rPr>
        <w:t>T</w:t>
      </w:r>
      <w:r w:rsidR="005A19CE">
        <w:rPr>
          <w:rFonts w:cs="Arial"/>
        </w:rPr>
        <w:t>h</w:t>
      </w:r>
      <w:r w:rsidR="0099392A">
        <w:rPr>
          <w:rFonts w:cs="Arial"/>
        </w:rPr>
        <w:t>is meant th</w:t>
      </w:r>
      <w:r w:rsidR="00B541E3">
        <w:rPr>
          <w:rFonts w:cs="Arial"/>
        </w:rPr>
        <w:t>at an admitted acut</w:t>
      </w:r>
      <w:r w:rsidR="005A19CE">
        <w:rPr>
          <w:rFonts w:cs="Arial"/>
        </w:rPr>
        <w:t xml:space="preserve">e </w:t>
      </w:r>
      <w:r w:rsidR="00B541E3">
        <w:rPr>
          <w:rFonts w:cs="Arial"/>
        </w:rPr>
        <w:t xml:space="preserve">patient’s </w:t>
      </w:r>
      <w:r w:rsidR="005A19CE">
        <w:rPr>
          <w:rFonts w:cs="Arial"/>
        </w:rPr>
        <w:t xml:space="preserve">ED </w:t>
      </w:r>
      <w:r w:rsidR="00382F46" w:rsidRPr="003F043A">
        <w:rPr>
          <w:rFonts w:cs="Arial"/>
        </w:rPr>
        <w:t xml:space="preserve">costs were </w:t>
      </w:r>
      <w:r w:rsidR="00B541E3">
        <w:rPr>
          <w:rFonts w:cs="Arial"/>
        </w:rPr>
        <w:t xml:space="preserve">reported twice: </w:t>
      </w:r>
      <w:r w:rsidR="00382F46" w:rsidRPr="003F043A">
        <w:rPr>
          <w:rFonts w:cs="Arial"/>
        </w:rPr>
        <w:t>in the</w:t>
      </w:r>
      <w:r w:rsidR="00382F46">
        <w:rPr>
          <w:rFonts w:cs="Arial"/>
        </w:rPr>
        <w:t xml:space="preserve"> </w:t>
      </w:r>
      <w:r w:rsidR="00B541E3">
        <w:rPr>
          <w:rFonts w:cs="Arial"/>
        </w:rPr>
        <w:t>admitted acute activity stream</w:t>
      </w:r>
      <w:r w:rsidR="00382F46">
        <w:rPr>
          <w:rStyle w:val="FootnoteReference"/>
          <w:rFonts w:cs="Arial"/>
        </w:rPr>
        <w:footnoteReference w:id="3"/>
      </w:r>
      <w:r w:rsidR="00382F46">
        <w:rPr>
          <w:rFonts w:cs="Arial"/>
        </w:rPr>
        <w:t xml:space="preserve"> and the</w:t>
      </w:r>
      <w:r w:rsidR="005A19CE">
        <w:rPr>
          <w:rFonts w:cs="Arial"/>
        </w:rPr>
        <w:t xml:space="preserve"> </w:t>
      </w:r>
      <w:r w:rsidR="00382F46">
        <w:rPr>
          <w:rFonts w:cs="Arial"/>
        </w:rPr>
        <w:t xml:space="preserve">emergency department </w:t>
      </w:r>
      <w:r w:rsidR="00B541E3">
        <w:rPr>
          <w:rFonts w:cs="Arial"/>
        </w:rPr>
        <w:t>activity stream</w:t>
      </w:r>
      <w:r w:rsidR="00382F46">
        <w:rPr>
          <w:rFonts w:cs="Arial"/>
        </w:rPr>
        <w:t xml:space="preserve">. </w:t>
      </w:r>
    </w:p>
    <w:p w14:paraId="5FEDC33D" w14:textId="533343F3" w:rsidR="00466D70" w:rsidRDefault="005A19CE" w:rsidP="00D75CC7">
      <w:pPr>
        <w:rPr>
          <w:rFonts w:cs="Arial"/>
        </w:rPr>
      </w:pPr>
      <w:r w:rsidRPr="003F043A">
        <w:rPr>
          <w:rFonts w:cs="Arial"/>
        </w:rPr>
        <w:t xml:space="preserve">The purpose was to a) reflect </w:t>
      </w:r>
      <w:r>
        <w:rPr>
          <w:rFonts w:cs="Arial"/>
        </w:rPr>
        <w:t xml:space="preserve">in the admitted cost record </w:t>
      </w:r>
      <w:r w:rsidRPr="003F043A">
        <w:rPr>
          <w:rFonts w:cs="Arial"/>
        </w:rPr>
        <w:t>the full cost of treatment for patients admitted to hospital following a presentation at ED, and b) address challenges faced by some jurisdictions in separately identifying hospital costs between ED and admitted areas.</w:t>
      </w:r>
      <w:r w:rsidR="00EE4C4B">
        <w:rPr>
          <w:rFonts w:cs="Arial"/>
        </w:rPr>
        <w:t xml:space="preserve"> </w:t>
      </w:r>
    </w:p>
    <w:p w14:paraId="398737D8" w14:textId="746D7DEA" w:rsidR="00A95940" w:rsidRDefault="005A19CE" w:rsidP="00D75CC7">
      <w:pPr>
        <w:rPr>
          <w:rFonts w:cs="Arial"/>
        </w:rPr>
      </w:pPr>
      <w:r>
        <w:rPr>
          <w:rFonts w:cs="Arial"/>
        </w:rPr>
        <w:t>F</w:t>
      </w:r>
      <w:r w:rsidR="00382F46">
        <w:rPr>
          <w:rFonts w:cs="Arial"/>
        </w:rPr>
        <w:t>or Round 22,</w:t>
      </w:r>
      <w:r w:rsidR="00A95940">
        <w:rPr>
          <w:rFonts w:cs="Arial"/>
        </w:rPr>
        <w:t xml:space="preserve"> IHPA has adjusted the method it uses to calculate</w:t>
      </w:r>
      <w:r w:rsidR="00382F46">
        <w:rPr>
          <w:rFonts w:cs="Arial"/>
        </w:rPr>
        <w:t xml:space="preserve"> </w:t>
      </w:r>
      <w:r w:rsidR="00A95940">
        <w:rPr>
          <w:rFonts w:cs="Arial"/>
        </w:rPr>
        <w:t xml:space="preserve">the total cost of admitted patients. In this report, </w:t>
      </w:r>
      <w:r>
        <w:rPr>
          <w:rFonts w:cs="Arial"/>
        </w:rPr>
        <w:t>the ED</w:t>
      </w:r>
      <w:r w:rsidR="00B541E3">
        <w:rPr>
          <w:rFonts w:cs="Arial"/>
        </w:rPr>
        <w:t xml:space="preserve"> cost</w:t>
      </w:r>
      <w:r w:rsidR="00382F46">
        <w:rPr>
          <w:rFonts w:cs="Arial"/>
        </w:rPr>
        <w:t xml:space="preserve"> </w:t>
      </w:r>
      <w:r w:rsidR="0099392A">
        <w:rPr>
          <w:rFonts w:cs="Arial"/>
        </w:rPr>
        <w:t xml:space="preserve">of </w:t>
      </w:r>
      <w:r w:rsidR="00B541E3">
        <w:rPr>
          <w:rFonts w:cs="Arial"/>
        </w:rPr>
        <w:t xml:space="preserve">a </w:t>
      </w:r>
      <w:r w:rsidR="0099392A">
        <w:rPr>
          <w:rFonts w:cs="Arial"/>
        </w:rPr>
        <w:t>patient</w:t>
      </w:r>
      <w:r w:rsidR="00B541E3">
        <w:rPr>
          <w:rFonts w:cs="Arial"/>
        </w:rPr>
        <w:t xml:space="preserve"> who was</w:t>
      </w:r>
      <w:r w:rsidR="0099392A">
        <w:rPr>
          <w:rFonts w:cs="Arial"/>
        </w:rPr>
        <w:t xml:space="preserve"> subsequently</w:t>
      </w:r>
      <w:r>
        <w:rPr>
          <w:rFonts w:cs="Arial"/>
        </w:rPr>
        <w:t xml:space="preserve"> admitted </w:t>
      </w:r>
      <w:r w:rsidR="0099392A">
        <w:rPr>
          <w:rFonts w:cs="Arial"/>
        </w:rPr>
        <w:t xml:space="preserve">to hospital </w:t>
      </w:r>
      <w:r w:rsidR="00B541E3">
        <w:rPr>
          <w:rFonts w:cs="Arial"/>
        </w:rPr>
        <w:t>is</w:t>
      </w:r>
      <w:r w:rsidR="00382F46">
        <w:rPr>
          <w:rFonts w:cs="Arial"/>
        </w:rPr>
        <w:t xml:space="preserve"> </w:t>
      </w:r>
      <w:r>
        <w:rPr>
          <w:rFonts w:cs="Arial"/>
        </w:rPr>
        <w:t xml:space="preserve">reported on </w:t>
      </w:r>
      <w:r w:rsidR="00382F46">
        <w:rPr>
          <w:rFonts w:cs="Arial"/>
        </w:rPr>
        <w:t xml:space="preserve">solely in the ED </w:t>
      </w:r>
      <w:r>
        <w:rPr>
          <w:rFonts w:cs="Arial"/>
        </w:rPr>
        <w:t xml:space="preserve">activity </w:t>
      </w:r>
      <w:r w:rsidR="00382F46">
        <w:rPr>
          <w:rFonts w:cs="Arial"/>
        </w:rPr>
        <w:t>stream.</w:t>
      </w:r>
      <w:r>
        <w:rPr>
          <w:rFonts w:cs="Arial"/>
        </w:rPr>
        <w:t xml:space="preserve"> </w:t>
      </w:r>
      <w:r w:rsidR="0099392A">
        <w:rPr>
          <w:rFonts w:cs="Arial"/>
        </w:rPr>
        <w:t xml:space="preserve">The </w:t>
      </w:r>
      <w:r w:rsidR="00A95940">
        <w:rPr>
          <w:rFonts w:cs="Arial"/>
        </w:rPr>
        <w:t>change</w:t>
      </w:r>
      <w:r w:rsidR="0099392A">
        <w:rPr>
          <w:rFonts w:cs="Arial"/>
        </w:rPr>
        <w:t xml:space="preserve"> </w:t>
      </w:r>
      <w:r w:rsidR="00A95940">
        <w:rPr>
          <w:rFonts w:cs="Arial"/>
        </w:rPr>
        <w:t>reflects</w:t>
      </w:r>
      <w:r w:rsidR="00D75CC7" w:rsidRPr="003F043A">
        <w:rPr>
          <w:rFonts w:cs="Arial"/>
        </w:rPr>
        <w:t xml:space="preserve"> improvements in the </w:t>
      </w:r>
      <w:r w:rsidR="00EE019B">
        <w:rPr>
          <w:rFonts w:cs="Arial"/>
        </w:rPr>
        <w:t xml:space="preserve">quality of </w:t>
      </w:r>
      <w:r w:rsidR="00D75CC7" w:rsidRPr="003F043A">
        <w:rPr>
          <w:rFonts w:cs="Arial"/>
        </w:rPr>
        <w:t>costing data</w:t>
      </w:r>
      <w:r w:rsidR="00EE019B">
        <w:rPr>
          <w:rFonts w:cs="Arial"/>
        </w:rPr>
        <w:t>. Jurisdictions and hospitals have developed costing processes to enable both activities to be counted and costed separately.</w:t>
      </w:r>
      <w:r w:rsidR="00EE4C4B">
        <w:rPr>
          <w:rFonts w:cs="Arial"/>
        </w:rPr>
        <w:t xml:space="preserve"> </w:t>
      </w:r>
    </w:p>
    <w:p w14:paraId="4F32D0B9" w14:textId="71C85ECC" w:rsidR="003F043A" w:rsidRDefault="00D75CC7" w:rsidP="00D75CC7">
      <w:pPr>
        <w:rPr>
          <w:rFonts w:cs="Arial"/>
        </w:rPr>
      </w:pPr>
      <w:r w:rsidRPr="003F043A">
        <w:rPr>
          <w:rFonts w:cs="Arial"/>
        </w:rPr>
        <w:t>As a result</w:t>
      </w:r>
      <w:r w:rsidR="00A95940">
        <w:rPr>
          <w:rFonts w:cs="Arial"/>
        </w:rPr>
        <w:t xml:space="preserve"> of this change</w:t>
      </w:r>
      <w:r w:rsidRPr="003F043A">
        <w:rPr>
          <w:rFonts w:cs="Arial"/>
        </w:rPr>
        <w:t xml:space="preserve">, the total admitted costs presented in this report for past years </w:t>
      </w:r>
      <w:r w:rsidR="00A95940">
        <w:rPr>
          <w:rFonts w:cs="Arial"/>
        </w:rPr>
        <w:t xml:space="preserve">(i.e. figures for Rounds 20 and 21) </w:t>
      </w:r>
      <w:r w:rsidRPr="003F043A">
        <w:rPr>
          <w:rFonts w:cs="Arial"/>
        </w:rPr>
        <w:t xml:space="preserve">do not </w:t>
      </w:r>
      <w:r w:rsidR="00940305">
        <w:rPr>
          <w:rFonts w:cs="Arial"/>
        </w:rPr>
        <w:t>reconcile to</w:t>
      </w:r>
      <w:r w:rsidRPr="003F043A">
        <w:rPr>
          <w:rFonts w:cs="Arial"/>
        </w:rPr>
        <w:t xml:space="preserve"> </w:t>
      </w:r>
      <w:r w:rsidR="00A95940">
        <w:rPr>
          <w:rFonts w:cs="Arial"/>
        </w:rPr>
        <w:t xml:space="preserve">the </w:t>
      </w:r>
      <w:r w:rsidRPr="003F043A">
        <w:rPr>
          <w:rFonts w:cs="Arial"/>
        </w:rPr>
        <w:t>figures presented in past reports.</w:t>
      </w:r>
      <w:r w:rsidR="00EE4C4B">
        <w:rPr>
          <w:rFonts w:cs="Arial"/>
        </w:rPr>
        <w:t xml:space="preserve"> </w:t>
      </w:r>
      <w:r w:rsidRPr="003F043A">
        <w:rPr>
          <w:rFonts w:cs="Arial"/>
        </w:rPr>
        <w:t>For example, the</w:t>
      </w:r>
      <w:r w:rsidR="006B2FFD" w:rsidRPr="003F043A">
        <w:rPr>
          <w:rFonts w:cs="Arial"/>
        </w:rPr>
        <w:t xml:space="preserve"> Round 21 NHCDC Report</w:t>
      </w:r>
      <w:r w:rsidRPr="003F043A">
        <w:rPr>
          <w:rFonts w:cs="Arial"/>
        </w:rPr>
        <w:t xml:space="preserve"> </w:t>
      </w:r>
      <w:r w:rsidR="006B2FFD" w:rsidRPr="003F043A">
        <w:rPr>
          <w:rFonts w:cs="Arial"/>
        </w:rPr>
        <w:t xml:space="preserve">reported that the </w:t>
      </w:r>
      <w:r w:rsidRPr="003F043A">
        <w:rPr>
          <w:rFonts w:cs="Arial"/>
        </w:rPr>
        <w:t>average cost for admitted acut</w:t>
      </w:r>
      <w:r w:rsidR="008B6BFE" w:rsidRPr="003F043A">
        <w:rPr>
          <w:rFonts w:cs="Arial"/>
        </w:rPr>
        <w:t>e patients in 2016-17</w:t>
      </w:r>
      <w:r w:rsidRPr="003F043A">
        <w:rPr>
          <w:rFonts w:cs="Arial"/>
        </w:rPr>
        <w:t xml:space="preserve"> was $5,171 (including </w:t>
      </w:r>
      <w:r w:rsidR="008B6BFE" w:rsidRPr="003F043A">
        <w:rPr>
          <w:rFonts w:cs="Arial"/>
        </w:rPr>
        <w:t>$379 of EDP</w:t>
      </w:r>
      <w:r w:rsidRPr="003F043A">
        <w:rPr>
          <w:rFonts w:cs="Arial"/>
        </w:rPr>
        <w:t>ro costs).</w:t>
      </w:r>
      <w:r w:rsidR="00EE4C4B">
        <w:rPr>
          <w:rFonts w:cs="Arial"/>
        </w:rPr>
        <w:t xml:space="preserve"> </w:t>
      </w:r>
      <w:r w:rsidRPr="003F043A">
        <w:rPr>
          <w:rFonts w:cs="Arial"/>
        </w:rPr>
        <w:t>Th</w:t>
      </w:r>
      <w:r w:rsidR="00940305">
        <w:rPr>
          <w:rFonts w:cs="Arial"/>
        </w:rPr>
        <w:t>is is now reported as $4,792.</w:t>
      </w:r>
    </w:p>
    <w:p w14:paraId="3F5C4673" w14:textId="67FCF198" w:rsidR="000A4D2B" w:rsidRPr="007B2777" w:rsidRDefault="000A4D2B" w:rsidP="000A4D2B">
      <w:pPr>
        <w:rPr>
          <w:b/>
          <w:i/>
        </w:rPr>
      </w:pPr>
      <w:r w:rsidRPr="007B2777">
        <w:rPr>
          <w:b/>
          <w:i/>
        </w:rPr>
        <w:t xml:space="preserve">Unqualified baby adjustment </w:t>
      </w:r>
    </w:p>
    <w:p w14:paraId="49EED71B" w14:textId="77777777" w:rsidR="00A01500" w:rsidRPr="004300FF" w:rsidRDefault="00A01500" w:rsidP="00A01500">
      <w:pPr>
        <w:spacing w:after="200" w:line="240" w:lineRule="auto"/>
        <w:rPr>
          <w:rFonts w:asciiTheme="majorHAnsi" w:hAnsiTheme="majorHAnsi"/>
          <w:szCs w:val="20"/>
        </w:rPr>
      </w:pPr>
      <w:r>
        <w:t>IHPA includes the</w:t>
      </w:r>
      <w:r w:rsidR="00C01C4F">
        <w:t xml:space="preserve"> costs associated with unqualified </w:t>
      </w:r>
      <w:r>
        <w:t>babies (UQBs)</w:t>
      </w:r>
      <w:r w:rsidR="00C01C4F">
        <w:t xml:space="preserve"> on an adjusted basis</w:t>
      </w:r>
      <w:r>
        <w:t xml:space="preserve">. </w:t>
      </w:r>
      <w:r w:rsidRPr="004300FF">
        <w:rPr>
          <w:rFonts w:asciiTheme="majorHAnsi" w:hAnsiTheme="majorHAnsi"/>
          <w:szCs w:val="20"/>
        </w:rPr>
        <w:t xml:space="preserve">Unqualified babies are those without care interventions following birth, and are less than ten days old when they are discharged. Unqualified babies with lengths of stay over ten days incur ‘qualified’ days which need to be recorded for the activity data submission within the NB care type. </w:t>
      </w:r>
    </w:p>
    <w:p w14:paraId="1D872A39" w14:textId="155BC5C4" w:rsidR="00A01500" w:rsidRPr="007B2777" w:rsidRDefault="002138B5" w:rsidP="007B2777">
      <w:pPr>
        <w:spacing w:after="200" w:line="240" w:lineRule="auto"/>
        <w:rPr>
          <w:rFonts w:asciiTheme="majorHAnsi" w:hAnsiTheme="majorHAnsi"/>
          <w:szCs w:val="20"/>
        </w:rPr>
      </w:pPr>
      <w:r>
        <w:rPr>
          <w:rFonts w:asciiTheme="majorHAnsi" w:hAnsiTheme="majorHAnsi"/>
          <w:szCs w:val="20"/>
        </w:rPr>
        <w:t>IHPA links</w:t>
      </w:r>
      <w:r w:rsidR="00A01500" w:rsidRPr="004300FF">
        <w:rPr>
          <w:rFonts w:asciiTheme="majorHAnsi" w:hAnsiTheme="majorHAnsi"/>
          <w:szCs w:val="20"/>
        </w:rPr>
        <w:t xml:space="preserve"> costs </w:t>
      </w:r>
      <w:r>
        <w:rPr>
          <w:rFonts w:asciiTheme="majorHAnsi" w:hAnsiTheme="majorHAnsi"/>
          <w:szCs w:val="20"/>
        </w:rPr>
        <w:t>associated with UQBs to the mother’s separation. This</w:t>
      </w:r>
      <w:r w:rsidR="00A01500" w:rsidRPr="004300FF">
        <w:rPr>
          <w:rFonts w:asciiTheme="majorHAnsi" w:hAnsiTheme="majorHAnsi"/>
          <w:szCs w:val="20"/>
        </w:rPr>
        <w:t xml:space="preserve"> r</w:t>
      </w:r>
      <w:r>
        <w:rPr>
          <w:rFonts w:asciiTheme="majorHAnsi" w:hAnsiTheme="majorHAnsi"/>
          <w:szCs w:val="20"/>
        </w:rPr>
        <w:t>esults</w:t>
      </w:r>
      <w:r w:rsidR="00A01500" w:rsidRPr="004300FF">
        <w:rPr>
          <w:rFonts w:asciiTheme="majorHAnsi" w:hAnsiTheme="majorHAnsi"/>
          <w:szCs w:val="20"/>
        </w:rPr>
        <w:t xml:space="preserve"> in UQB activity being removed from the newborn (NB) care type and the costs transferred from the newborn</w:t>
      </w:r>
      <w:r>
        <w:rPr>
          <w:rFonts w:asciiTheme="majorHAnsi" w:hAnsiTheme="majorHAnsi"/>
          <w:szCs w:val="20"/>
        </w:rPr>
        <w:t xml:space="preserve"> care</w:t>
      </w:r>
      <w:r w:rsidR="00A01500" w:rsidRPr="004300FF">
        <w:rPr>
          <w:rFonts w:asciiTheme="majorHAnsi" w:hAnsiTheme="majorHAnsi"/>
          <w:szCs w:val="20"/>
        </w:rPr>
        <w:t xml:space="preserve"> to the </w:t>
      </w:r>
      <w:r w:rsidR="00300265">
        <w:rPr>
          <w:rFonts w:asciiTheme="majorHAnsi" w:hAnsiTheme="majorHAnsi"/>
          <w:szCs w:val="20"/>
        </w:rPr>
        <w:t xml:space="preserve">mother’s </w:t>
      </w:r>
      <w:r w:rsidR="00A01500" w:rsidRPr="004300FF">
        <w:rPr>
          <w:rFonts w:asciiTheme="majorHAnsi" w:hAnsiTheme="majorHAnsi"/>
          <w:szCs w:val="20"/>
        </w:rPr>
        <w:t xml:space="preserve">admitted </w:t>
      </w:r>
      <w:r>
        <w:rPr>
          <w:rFonts w:asciiTheme="majorHAnsi" w:hAnsiTheme="majorHAnsi"/>
          <w:szCs w:val="20"/>
        </w:rPr>
        <w:t>care</w:t>
      </w:r>
      <w:r w:rsidR="00300265">
        <w:rPr>
          <w:rFonts w:asciiTheme="majorHAnsi" w:hAnsiTheme="majorHAnsi"/>
          <w:szCs w:val="20"/>
        </w:rPr>
        <w:t xml:space="preserve"> separation</w:t>
      </w:r>
      <w:r w:rsidR="00A01500" w:rsidRPr="004300FF">
        <w:rPr>
          <w:rFonts w:asciiTheme="majorHAnsi" w:hAnsiTheme="majorHAnsi"/>
          <w:szCs w:val="20"/>
        </w:rPr>
        <w:t xml:space="preserve">. </w:t>
      </w:r>
    </w:p>
    <w:p w14:paraId="41B9BECA" w14:textId="77777777" w:rsidR="003059E1" w:rsidRPr="005344EF" w:rsidRDefault="003059E1" w:rsidP="003059E1">
      <w:pPr>
        <w:rPr>
          <w:b/>
        </w:rPr>
      </w:pPr>
      <w:r w:rsidRPr="005344EF">
        <w:rPr>
          <w:b/>
        </w:rPr>
        <w:t xml:space="preserve">Independent Financial Review </w:t>
      </w:r>
    </w:p>
    <w:p w14:paraId="0DD91F75" w14:textId="30D4383B" w:rsidR="00762A03" w:rsidRDefault="003059E1" w:rsidP="003E6438">
      <w:pPr>
        <w:rPr>
          <w:rFonts w:cs="Arial"/>
        </w:rPr>
      </w:pPr>
      <w:r w:rsidRPr="000B2F16">
        <w:rPr>
          <w:rFonts w:cs="Arial"/>
        </w:rPr>
        <w:t xml:space="preserve">The Independent Financial Review is a data review, performed by an independent consultancy, </w:t>
      </w:r>
      <w:r w:rsidR="00940305">
        <w:rPr>
          <w:rFonts w:cs="Arial"/>
        </w:rPr>
        <w:t>based on</w:t>
      </w:r>
      <w:r w:rsidRPr="000B2F16">
        <w:rPr>
          <w:rFonts w:cs="Arial"/>
        </w:rPr>
        <w:t xml:space="preserve"> a sample selection of hospitals within each jurisdiction. </w:t>
      </w:r>
      <w:r>
        <w:rPr>
          <w:rFonts w:cs="Arial"/>
        </w:rPr>
        <w:t xml:space="preserve">Activity and financial data is reviewed from source systems within hospitals </w:t>
      </w:r>
      <w:r w:rsidR="003B4C44">
        <w:rPr>
          <w:rFonts w:cs="Arial"/>
        </w:rPr>
        <w:t xml:space="preserve">and followed </w:t>
      </w:r>
      <w:r>
        <w:rPr>
          <w:rFonts w:cs="Arial"/>
        </w:rPr>
        <w:t xml:space="preserve">through the costing and submission process, </w:t>
      </w:r>
      <w:r w:rsidR="003B4C44">
        <w:rPr>
          <w:rFonts w:cs="Arial"/>
        </w:rPr>
        <w:t xml:space="preserve">leading </w:t>
      </w:r>
      <w:r>
        <w:rPr>
          <w:rFonts w:cs="Arial"/>
        </w:rPr>
        <w:t xml:space="preserve">to its inclusion in the national cost data set. </w:t>
      </w:r>
      <w:r w:rsidRPr="000B2F16">
        <w:rPr>
          <w:rFonts w:cs="Arial"/>
        </w:rPr>
        <w:t xml:space="preserve">The Independent Financial Review report is published on IHPA’s website each year alongside </w:t>
      </w:r>
      <w:r>
        <w:rPr>
          <w:rFonts w:cs="Arial"/>
        </w:rPr>
        <w:t xml:space="preserve">the </w:t>
      </w:r>
      <w:r w:rsidR="005A3868">
        <w:rPr>
          <w:rFonts w:cs="Arial"/>
        </w:rPr>
        <w:t>NHCDC</w:t>
      </w:r>
      <w:r w:rsidRPr="000B2F16">
        <w:rPr>
          <w:rFonts w:cs="Arial"/>
        </w:rPr>
        <w:t xml:space="preserve"> </w:t>
      </w:r>
      <w:r>
        <w:rPr>
          <w:rFonts w:cs="Arial"/>
        </w:rPr>
        <w:t>R</w:t>
      </w:r>
      <w:r w:rsidRPr="000B2F16">
        <w:rPr>
          <w:rFonts w:cs="Arial"/>
        </w:rPr>
        <w:t>eport.</w:t>
      </w:r>
      <w:bookmarkStart w:id="15" w:name="_Toc524173850"/>
    </w:p>
    <w:p w14:paraId="376EE4BE" w14:textId="515AD258" w:rsidR="00E15056" w:rsidRDefault="00E15056">
      <w:pPr>
        <w:spacing w:before="0" w:after="0" w:line="240" w:lineRule="auto"/>
      </w:pPr>
      <w:r>
        <w:br w:type="page"/>
      </w:r>
    </w:p>
    <w:p w14:paraId="344A2A29" w14:textId="5CE7EBDC" w:rsidR="002371BB" w:rsidRPr="008D3CF2" w:rsidRDefault="002371BB" w:rsidP="0096034C">
      <w:pPr>
        <w:pStyle w:val="Heading1"/>
        <w:numPr>
          <w:ilvl w:val="0"/>
          <w:numId w:val="23"/>
        </w:numPr>
      </w:pPr>
      <w:bookmarkStart w:id="16" w:name="_Toc25759686"/>
      <w:r w:rsidRPr="00C7496A">
        <w:lastRenderedPageBreak/>
        <w:t xml:space="preserve">Key </w:t>
      </w:r>
      <w:r w:rsidR="003B4C44" w:rsidRPr="008D3CF2">
        <w:t>r</w:t>
      </w:r>
      <w:r w:rsidRPr="008D3CF2">
        <w:t>esults in Round 2</w:t>
      </w:r>
      <w:bookmarkEnd w:id="15"/>
      <w:r w:rsidR="004D7953" w:rsidRPr="008D3CF2">
        <w:t>2</w:t>
      </w:r>
      <w:bookmarkEnd w:id="16"/>
      <w:r w:rsidRPr="008D3CF2">
        <w:tab/>
      </w:r>
    </w:p>
    <w:p w14:paraId="1C403845" w14:textId="77777777" w:rsidR="002371BB" w:rsidRPr="008D3CF2" w:rsidRDefault="002371BB" w:rsidP="002371BB">
      <w:pPr>
        <w:rPr>
          <w:rFonts w:cs="Arial"/>
          <w:szCs w:val="22"/>
        </w:rPr>
      </w:pPr>
      <w:r w:rsidRPr="008D3CF2">
        <w:rPr>
          <w:rFonts w:cs="Arial"/>
          <w:szCs w:val="22"/>
        </w:rPr>
        <w:t xml:space="preserve">In Round </w:t>
      </w:r>
      <w:r w:rsidR="004D7953" w:rsidRPr="008D3CF2">
        <w:rPr>
          <w:rFonts w:cs="Arial"/>
          <w:szCs w:val="22"/>
        </w:rPr>
        <w:t>22</w:t>
      </w:r>
      <w:r w:rsidRPr="008D3CF2">
        <w:rPr>
          <w:rFonts w:cs="Arial"/>
          <w:szCs w:val="22"/>
        </w:rPr>
        <w:t>:</w:t>
      </w:r>
    </w:p>
    <w:p w14:paraId="66BB6C95" w14:textId="51C4EB9C" w:rsidR="002371BB" w:rsidRPr="008D3CF2" w:rsidRDefault="008D2A10" w:rsidP="003F1387">
      <w:pPr>
        <w:pStyle w:val="ListParagraph"/>
      </w:pPr>
      <w:r>
        <w:t>T</w:t>
      </w:r>
      <w:r w:rsidRPr="008D3CF2">
        <w:t xml:space="preserve">he </w:t>
      </w:r>
      <w:r w:rsidR="001805F3" w:rsidRPr="008D3CF2">
        <w:t>NHCDC sample comprised 453</w:t>
      </w:r>
      <w:r w:rsidR="002371BB" w:rsidRPr="008D3CF2">
        <w:t xml:space="preserve"> public hospitals, an increase of </w:t>
      </w:r>
      <w:r w:rsidR="001805F3" w:rsidRPr="008D3CF2">
        <w:t>two from Round 21</w:t>
      </w:r>
      <w:r w:rsidR="002371BB" w:rsidRPr="008D3CF2">
        <w:t>.</w:t>
      </w:r>
    </w:p>
    <w:p w14:paraId="3F416ED7" w14:textId="454E223D" w:rsidR="000902C8" w:rsidRPr="008D3CF2" w:rsidRDefault="008D2A10" w:rsidP="003F1387">
      <w:pPr>
        <w:pStyle w:val="ListParagraph"/>
      </w:pPr>
      <w:r>
        <w:t>I</w:t>
      </w:r>
      <w:r w:rsidRPr="008D3CF2">
        <w:t xml:space="preserve">n </w:t>
      </w:r>
      <w:r w:rsidR="001805F3" w:rsidRPr="008D3CF2">
        <w:t>total, $47.1</w:t>
      </w:r>
      <w:r w:rsidR="00B63029">
        <w:t>5</w:t>
      </w:r>
      <w:r w:rsidR="002371BB" w:rsidRPr="008D3CF2">
        <w:t xml:space="preserve"> billion of hospital expenditure was submitted for the </w:t>
      </w:r>
      <w:r w:rsidR="000902C8" w:rsidRPr="008D3CF2">
        <w:t xml:space="preserve">financial year </w:t>
      </w:r>
      <w:r w:rsidR="000827B6" w:rsidRPr="008D3CF2">
        <w:br/>
      </w:r>
      <w:r w:rsidR="001805F3" w:rsidRPr="008D3CF2">
        <w:t>1 July 2017 – 30 June 2018</w:t>
      </w:r>
      <w:r w:rsidR="002371BB" w:rsidRPr="008D3CF2">
        <w:t>.</w:t>
      </w:r>
    </w:p>
    <w:p w14:paraId="4C45F85C" w14:textId="5CEBAE21" w:rsidR="002371BB" w:rsidRPr="008D3CF2" w:rsidRDefault="008D2A10" w:rsidP="003F1387">
      <w:pPr>
        <w:pStyle w:val="ListParagraph"/>
      </w:pPr>
      <w:r>
        <w:t>T</w:t>
      </w:r>
      <w:r w:rsidRPr="008D3CF2">
        <w:t xml:space="preserve">his </w:t>
      </w:r>
      <w:r w:rsidR="001805F3" w:rsidRPr="008D3CF2">
        <w:t>expenditure was linked to 35,857,766</w:t>
      </w:r>
      <w:r w:rsidR="002371BB" w:rsidRPr="008D3CF2">
        <w:t xml:space="preserve"> patient-level </w:t>
      </w:r>
      <w:r w:rsidR="000902C8" w:rsidRPr="008D3CF2">
        <w:t xml:space="preserve">encounters </w:t>
      </w:r>
      <w:r w:rsidR="002371BB" w:rsidRPr="008D3CF2">
        <w:t>across all hospital activity streams.</w:t>
      </w:r>
    </w:p>
    <w:p w14:paraId="3355BB7D" w14:textId="307CB433" w:rsidR="002371BB" w:rsidRPr="008D3CF2" w:rsidRDefault="003B4C44" w:rsidP="002371BB">
      <w:pPr>
        <w:rPr>
          <w:rFonts w:cs="Arial"/>
          <w:szCs w:val="22"/>
        </w:rPr>
      </w:pPr>
      <w:r w:rsidRPr="008D3CF2">
        <w:rPr>
          <w:rFonts w:cs="Arial"/>
          <w:szCs w:val="22"/>
        </w:rPr>
        <w:fldChar w:fldCharType="begin"/>
      </w:r>
      <w:r w:rsidRPr="008D3CF2">
        <w:rPr>
          <w:rFonts w:cs="Arial"/>
          <w:szCs w:val="22"/>
        </w:rPr>
        <w:instrText xml:space="preserve"> REF _Ref527368699 \h </w:instrText>
      </w:r>
      <w:r w:rsidR="001C245B" w:rsidRPr="008D3CF2">
        <w:rPr>
          <w:rFonts w:cs="Arial"/>
          <w:szCs w:val="22"/>
        </w:rPr>
        <w:instrText xml:space="preserve"> \* MERGEFORMAT </w:instrText>
      </w:r>
      <w:r w:rsidRPr="008D3CF2">
        <w:rPr>
          <w:rFonts w:cs="Arial"/>
          <w:szCs w:val="22"/>
        </w:rPr>
      </w:r>
      <w:r w:rsidRPr="008D3CF2">
        <w:rPr>
          <w:rFonts w:cs="Arial"/>
          <w:szCs w:val="22"/>
        </w:rPr>
        <w:fldChar w:fldCharType="separate"/>
      </w:r>
      <w:r w:rsidR="00423E34">
        <w:t xml:space="preserve">Table </w:t>
      </w:r>
      <w:r w:rsidR="00423E34">
        <w:rPr>
          <w:noProof/>
        </w:rPr>
        <w:t>3</w:t>
      </w:r>
      <w:r w:rsidR="00423E34" w:rsidRPr="00FA6249">
        <w:t xml:space="preserve"> Summary NHCDC results by activity stream, Round 22</w:t>
      </w:r>
      <w:r w:rsidRPr="008D3CF2">
        <w:rPr>
          <w:rFonts w:cs="Arial"/>
          <w:szCs w:val="22"/>
        </w:rPr>
        <w:fldChar w:fldCharType="end"/>
      </w:r>
      <w:r w:rsidR="009C47B3" w:rsidRPr="008D3CF2">
        <w:rPr>
          <w:rFonts w:cs="Arial"/>
          <w:szCs w:val="22"/>
        </w:rPr>
        <w:t xml:space="preserve"> </w:t>
      </w:r>
      <w:r w:rsidR="004D7953" w:rsidRPr="008D3CF2">
        <w:rPr>
          <w:rFonts w:cs="Arial"/>
          <w:szCs w:val="22"/>
        </w:rPr>
        <w:t>summarises the Round 22</w:t>
      </w:r>
      <w:r w:rsidR="002371BB" w:rsidRPr="008D3CF2">
        <w:rPr>
          <w:rFonts w:cs="Arial"/>
          <w:szCs w:val="22"/>
        </w:rPr>
        <w:t xml:space="preserve"> results at the national level for each activity stream.</w:t>
      </w:r>
    </w:p>
    <w:p w14:paraId="7B066A9F" w14:textId="051A8EFA" w:rsidR="006F7C01" w:rsidRPr="008D3CF2" w:rsidRDefault="00C20022" w:rsidP="00D111B6">
      <w:pPr>
        <w:pStyle w:val="Caption"/>
      </w:pPr>
      <w:bookmarkStart w:id="17" w:name="_Ref524337061"/>
      <w:bookmarkStart w:id="18" w:name="_Ref527368699"/>
      <w:bookmarkStart w:id="19" w:name="_Toc31880533"/>
      <w:r>
        <w:t xml:space="preserve">Table </w:t>
      </w:r>
      <w:fldSimple w:instr=" SEQ Table \* ARABIC ">
        <w:r w:rsidR="00423E34">
          <w:rPr>
            <w:noProof/>
          </w:rPr>
          <w:t>3</w:t>
        </w:r>
      </w:fldSimple>
      <w:r w:rsidRPr="00FA6249">
        <w:t xml:space="preserve"> Summary NHCDC results by activity stream, Round 22</w:t>
      </w:r>
      <w:bookmarkEnd w:id="17"/>
      <w:bookmarkEnd w:id="18"/>
      <w:bookmarkEnd w:id="19"/>
    </w:p>
    <w:tbl>
      <w:tblPr>
        <w:tblW w:w="9200" w:type="dxa"/>
        <w:jc w:val="center"/>
        <w:tblLook w:val="04A0" w:firstRow="1" w:lastRow="0" w:firstColumn="1" w:lastColumn="0" w:noHBand="0" w:noVBand="1"/>
        <w:tblCaption w:val="Table 3 Summary NHCDC results by activity stream, Round 22"/>
        <w:tblDescription w:val="The table displays the Round 22 results by activity stream."/>
      </w:tblPr>
      <w:tblGrid>
        <w:gridCol w:w="2620"/>
        <w:gridCol w:w="1040"/>
        <w:gridCol w:w="1180"/>
        <w:gridCol w:w="1300"/>
        <w:gridCol w:w="1380"/>
        <w:gridCol w:w="1680"/>
      </w:tblGrid>
      <w:tr w:rsidR="003A46E7" w:rsidRPr="008D3CF2" w14:paraId="7BA10CCA" w14:textId="77777777" w:rsidTr="008C0576">
        <w:trPr>
          <w:trHeight w:val="720"/>
          <w:jc w:val="center"/>
        </w:trPr>
        <w:tc>
          <w:tcPr>
            <w:tcW w:w="2620" w:type="dxa"/>
            <w:tcBorders>
              <w:top w:val="single" w:sz="4" w:space="0" w:color="auto"/>
              <w:left w:val="nil"/>
              <w:bottom w:val="single" w:sz="4" w:space="0" w:color="auto"/>
              <w:right w:val="nil"/>
            </w:tcBorders>
            <w:shd w:val="clear" w:color="000000" w:fill="FFFFFF"/>
            <w:vAlign w:val="center"/>
            <w:hideMark/>
          </w:tcPr>
          <w:p w14:paraId="40354927" w14:textId="77777777" w:rsidR="003A46E7" w:rsidRPr="008D3CF2" w:rsidRDefault="003A46E7" w:rsidP="003A46E7">
            <w:pPr>
              <w:spacing w:before="0" w:after="0" w:line="240" w:lineRule="auto"/>
              <w:jc w:val="center"/>
              <w:rPr>
                <w:rFonts w:cs="Arial"/>
                <w:color w:val="000000"/>
                <w:sz w:val="18"/>
                <w:szCs w:val="18"/>
              </w:rPr>
            </w:pPr>
            <w:r w:rsidRPr="008D3CF2">
              <w:rPr>
                <w:rFonts w:cs="Arial"/>
                <w:color w:val="000000"/>
                <w:sz w:val="18"/>
                <w:szCs w:val="18"/>
              </w:rPr>
              <w:t> </w:t>
            </w:r>
          </w:p>
        </w:tc>
        <w:tc>
          <w:tcPr>
            <w:tcW w:w="1040" w:type="dxa"/>
            <w:tcBorders>
              <w:top w:val="single" w:sz="4" w:space="0" w:color="auto"/>
              <w:left w:val="nil"/>
              <w:bottom w:val="single" w:sz="4" w:space="0" w:color="auto"/>
              <w:right w:val="nil"/>
            </w:tcBorders>
            <w:shd w:val="clear" w:color="000000" w:fill="FFFFFF"/>
            <w:vAlign w:val="center"/>
            <w:hideMark/>
          </w:tcPr>
          <w:p w14:paraId="57442C84" w14:textId="77777777" w:rsidR="003A46E7" w:rsidRPr="008D3CF2" w:rsidRDefault="003A46E7" w:rsidP="000827B6">
            <w:pPr>
              <w:spacing w:before="0" w:after="0" w:line="240" w:lineRule="auto"/>
              <w:jc w:val="right"/>
              <w:rPr>
                <w:rFonts w:cs="Arial"/>
                <w:b/>
                <w:bCs/>
                <w:color w:val="000000"/>
                <w:sz w:val="18"/>
                <w:szCs w:val="18"/>
              </w:rPr>
            </w:pPr>
            <w:r w:rsidRPr="008D3CF2">
              <w:rPr>
                <w:rFonts w:cs="Arial"/>
                <w:b/>
                <w:bCs/>
                <w:color w:val="000000"/>
                <w:sz w:val="18"/>
                <w:szCs w:val="18"/>
              </w:rPr>
              <w:t>Number of Hospitals</w:t>
            </w:r>
          </w:p>
        </w:tc>
        <w:tc>
          <w:tcPr>
            <w:tcW w:w="1180" w:type="dxa"/>
            <w:tcBorders>
              <w:top w:val="single" w:sz="4" w:space="0" w:color="auto"/>
              <w:left w:val="nil"/>
              <w:bottom w:val="single" w:sz="4" w:space="0" w:color="auto"/>
              <w:right w:val="nil"/>
            </w:tcBorders>
            <w:shd w:val="clear" w:color="000000" w:fill="FFFFFF"/>
            <w:vAlign w:val="center"/>
            <w:hideMark/>
          </w:tcPr>
          <w:p w14:paraId="6D6CAB80" w14:textId="77777777" w:rsidR="003A46E7" w:rsidRPr="008D3CF2" w:rsidRDefault="003A46E7" w:rsidP="000827B6">
            <w:pPr>
              <w:spacing w:before="0" w:after="0" w:line="240" w:lineRule="auto"/>
              <w:jc w:val="right"/>
              <w:rPr>
                <w:rFonts w:cs="Arial"/>
                <w:b/>
                <w:bCs/>
                <w:color w:val="000000"/>
                <w:sz w:val="18"/>
                <w:szCs w:val="18"/>
              </w:rPr>
            </w:pPr>
            <w:r w:rsidRPr="008D3CF2">
              <w:rPr>
                <w:rFonts w:cs="Arial"/>
                <w:b/>
                <w:bCs/>
                <w:color w:val="000000"/>
                <w:sz w:val="18"/>
                <w:szCs w:val="18"/>
              </w:rPr>
              <w:t>Number of Episodes</w:t>
            </w:r>
          </w:p>
        </w:tc>
        <w:tc>
          <w:tcPr>
            <w:tcW w:w="1300" w:type="dxa"/>
            <w:tcBorders>
              <w:top w:val="single" w:sz="4" w:space="0" w:color="auto"/>
              <w:left w:val="nil"/>
              <w:bottom w:val="single" w:sz="4" w:space="0" w:color="auto"/>
              <w:right w:val="nil"/>
            </w:tcBorders>
            <w:shd w:val="clear" w:color="000000" w:fill="FFFFFF"/>
            <w:vAlign w:val="center"/>
            <w:hideMark/>
          </w:tcPr>
          <w:p w14:paraId="7CFC4EBF" w14:textId="77777777" w:rsidR="003A46E7" w:rsidRPr="008D3CF2" w:rsidRDefault="003A46E7" w:rsidP="000827B6">
            <w:pPr>
              <w:spacing w:before="0" w:after="0" w:line="240" w:lineRule="auto"/>
              <w:jc w:val="right"/>
              <w:rPr>
                <w:rFonts w:cs="Arial"/>
                <w:b/>
                <w:bCs/>
                <w:color w:val="000000"/>
                <w:sz w:val="18"/>
                <w:szCs w:val="18"/>
              </w:rPr>
            </w:pPr>
            <w:r w:rsidRPr="008D3CF2">
              <w:rPr>
                <w:rFonts w:cs="Arial"/>
                <w:b/>
                <w:bCs/>
                <w:color w:val="000000"/>
                <w:sz w:val="18"/>
                <w:szCs w:val="18"/>
              </w:rPr>
              <w:t>Total Expenditure</w:t>
            </w:r>
          </w:p>
        </w:tc>
        <w:tc>
          <w:tcPr>
            <w:tcW w:w="1380" w:type="dxa"/>
            <w:tcBorders>
              <w:top w:val="single" w:sz="4" w:space="0" w:color="auto"/>
              <w:left w:val="nil"/>
              <w:bottom w:val="single" w:sz="4" w:space="0" w:color="auto"/>
              <w:right w:val="nil"/>
            </w:tcBorders>
            <w:shd w:val="clear" w:color="000000" w:fill="FFFFFF"/>
            <w:vAlign w:val="center"/>
            <w:hideMark/>
          </w:tcPr>
          <w:p w14:paraId="76660253" w14:textId="77777777" w:rsidR="003A46E7" w:rsidRPr="008D3CF2" w:rsidRDefault="003A46E7" w:rsidP="000827B6">
            <w:pPr>
              <w:spacing w:before="0" w:after="0" w:line="240" w:lineRule="auto"/>
              <w:jc w:val="right"/>
              <w:rPr>
                <w:rFonts w:cs="Arial"/>
                <w:b/>
                <w:bCs/>
                <w:color w:val="000000"/>
                <w:sz w:val="18"/>
                <w:szCs w:val="18"/>
              </w:rPr>
            </w:pPr>
            <w:r w:rsidRPr="008D3CF2">
              <w:rPr>
                <w:rFonts w:cs="Arial"/>
                <w:b/>
                <w:bCs/>
                <w:color w:val="000000"/>
                <w:sz w:val="18"/>
                <w:szCs w:val="18"/>
              </w:rPr>
              <w:t>Average Cost per Episode</w:t>
            </w:r>
          </w:p>
        </w:tc>
        <w:tc>
          <w:tcPr>
            <w:tcW w:w="1680" w:type="dxa"/>
            <w:tcBorders>
              <w:top w:val="single" w:sz="4" w:space="0" w:color="auto"/>
              <w:left w:val="nil"/>
              <w:bottom w:val="single" w:sz="4" w:space="0" w:color="auto"/>
              <w:right w:val="nil"/>
            </w:tcBorders>
            <w:shd w:val="clear" w:color="000000" w:fill="FFFFFF"/>
            <w:vAlign w:val="center"/>
            <w:hideMark/>
          </w:tcPr>
          <w:p w14:paraId="42741D9E" w14:textId="4887B4B4" w:rsidR="003A46E7" w:rsidRPr="008D3CF2" w:rsidRDefault="003A46E7" w:rsidP="000827B6">
            <w:pPr>
              <w:spacing w:before="0" w:after="0" w:line="240" w:lineRule="auto"/>
              <w:jc w:val="right"/>
              <w:rPr>
                <w:rFonts w:cs="Arial"/>
                <w:b/>
                <w:bCs/>
                <w:color w:val="000000"/>
                <w:sz w:val="18"/>
                <w:szCs w:val="18"/>
              </w:rPr>
            </w:pPr>
            <w:r w:rsidRPr="008D3CF2">
              <w:rPr>
                <w:rFonts w:cs="Arial"/>
                <w:b/>
                <w:bCs/>
                <w:color w:val="000000"/>
                <w:sz w:val="18"/>
                <w:szCs w:val="18"/>
              </w:rPr>
              <w:t>Percent Chang</w:t>
            </w:r>
            <w:r w:rsidR="008F0A0F" w:rsidRPr="008D3CF2">
              <w:rPr>
                <w:rFonts w:cs="Arial"/>
                <w:b/>
                <w:bCs/>
                <w:color w:val="000000"/>
                <w:sz w:val="18"/>
                <w:szCs w:val="18"/>
              </w:rPr>
              <w:t>e in Average Cost Since Round 21</w:t>
            </w:r>
          </w:p>
        </w:tc>
      </w:tr>
      <w:tr w:rsidR="003A46E7" w:rsidRPr="008D3CF2" w14:paraId="1F791A51" w14:textId="77777777" w:rsidTr="008C0576">
        <w:trPr>
          <w:trHeight w:val="300"/>
          <w:jc w:val="center"/>
        </w:trPr>
        <w:tc>
          <w:tcPr>
            <w:tcW w:w="2620" w:type="dxa"/>
            <w:tcBorders>
              <w:top w:val="nil"/>
              <w:left w:val="nil"/>
              <w:bottom w:val="single" w:sz="4" w:space="0" w:color="auto"/>
              <w:right w:val="nil"/>
            </w:tcBorders>
            <w:shd w:val="clear" w:color="000000" w:fill="FFFFFF"/>
            <w:noWrap/>
            <w:vAlign w:val="bottom"/>
            <w:hideMark/>
          </w:tcPr>
          <w:p w14:paraId="6C748BC7" w14:textId="77777777" w:rsidR="003A46E7" w:rsidRPr="008D3CF2" w:rsidRDefault="003A46E7" w:rsidP="003A46E7">
            <w:pPr>
              <w:spacing w:before="0" w:after="0" w:line="240" w:lineRule="auto"/>
              <w:rPr>
                <w:rFonts w:cs="Arial"/>
                <w:color w:val="000000"/>
                <w:sz w:val="18"/>
                <w:szCs w:val="18"/>
              </w:rPr>
            </w:pPr>
            <w:r w:rsidRPr="008D3CF2">
              <w:rPr>
                <w:rFonts w:cs="Arial"/>
                <w:color w:val="000000"/>
                <w:sz w:val="18"/>
                <w:szCs w:val="18"/>
              </w:rPr>
              <w:t> </w:t>
            </w:r>
          </w:p>
        </w:tc>
        <w:tc>
          <w:tcPr>
            <w:tcW w:w="1040" w:type="dxa"/>
            <w:tcBorders>
              <w:top w:val="nil"/>
              <w:left w:val="nil"/>
              <w:bottom w:val="single" w:sz="4" w:space="0" w:color="auto"/>
              <w:right w:val="nil"/>
            </w:tcBorders>
            <w:shd w:val="clear" w:color="000000" w:fill="FFFFFF"/>
            <w:noWrap/>
            <w:vAlign w:val="center"/>
            <w:hideMark/>
          </w:tcPr>
          <w:p w14:paraId="4E234ECC" w14:textId="77777777" w:rsidR="003A46E7" w:rsidRPr="008D3CF2" w:rsidRDefault="003A46E7" w:rsidP="000827B6">
            <w:pPr>
              <w:spacing w:before="0" w:after="0" w:line="240" w:lineRule="auto"/>
              <w:jc w:val="right"/>
              <w:rPr>
                <w:rFonts w:cs="Arial"/>
                <w:color w:val="000000"/>
                <w:sz w:val="18"/>
                <w:szCs w:val="18"/>
              </w:rPr>
            </w:pPr>
            <w:r w:rsidRPr="008D3CF2">
              <w:rPr>
                <w:rFonts w:cs="Arial"/>
                <w:color w:val="000000"/>
                <w:sz w:val="18"/>
                <w:szCs w:val="18"/>
              </w:rPr>
              <w:t> </w:t>
            </w:r>
          </w:p>
        </w:tc>
        <w:tc>
          <w:tcPr>
            <w:tcW w:w="1180" w:type="dxa"/>
            <w:tcBorders>
              <w:top w:val="nil"/>
              <w:left w:val="nil"/>
              <w:bottom w:val="single" w:sz="4" w:space="0" w:color="auto"/>
              <w:right w:val="nil"/>
            </w:tcBorders>
            <w:shd w:val="clear" w:color="000000" w:fill="FFFFFF"/>
            <w:noWrap/>
            <w:vAlign w:val="center"/>
            <w:hideMark/>
          </w:tcPr>
          <w:p w14:paraId="3B92CB8A" w14:textId="77777777" w:rsidR="003A46E7" w:rsidRPr="008D3CF2" w:rsidRDefault="003A46E7" w:rsidP="000827B6">
            <w:pPr>
              <w:spacing w:before="0" w:after="0" w:line="240" w:lineRule="auto"/>
              <w:jc w:val="right"/>
              <w:rPr>
                <w:rFonts w:cs="Arial"/>
                <w:color w:val="000000"/>
                <w:sz w:val="18"/>
                <w:szCs w:val="18"/>
              </w:rPr>
            </w:pPr>
            <w:r w:rsidRPr="008D3CF2">
              <w:rPr>
                <w:rFonts w:cs="Arial"/>
                <w:color w:val="000000"/>
                <w:sz w:val="18"/>
                <w:szCs w:val="18"/>
              </w:rPr>
              <w:t> </w:t>
            </w:r>
          </w:p>
        </w:tc>
        <w:tc>
          <w:tcPr>
            <w:tcW w:w="1300" w:type="dxa"/>
            <w:tcBorders>
              <w:top w:val="nil"/>
              <w:left w:val="nil"/>
              <w:bottom w:val="single" w:sz="4" w:space="0" w:color="auto"/>
              <w:right w:val="nil"/>
            </w:tcBorders>
            <w:shd w:val="clear" w:color="000000" w:fill="FFFFFF"/>
            <w:noWrap/>
            <w:vAlign w:val="center"/>
            <w:hideMark/>
          </w:tcPr>
          <w:p w14:paraId="09974866" w14:textId="77777777" w:rsidR="003A46E7" w:rsidRPr="008D3CF2" w:rsidRDefault="003A46E7" w:rsidP="000827B6">
            <w:pPr>
              <w:spacing w:before="0" w:after="0" w:line="240" w:lineRule="auto"/>
              <w:jc w:val="right"/>
              <w:rPr>
                <w:rFonts w:cs="Arial"/>
                <w:color w:val="000000"/>
                <w:sz w:val="18"/>
                <w:szCs w:val="18"/>
              </w:rPr>
            </w:pPr>
            <w:r w:rsidRPr="008D3CF2">
              <w:rPr>
                <w:rFonts w:cs="Arial"/>
                <w:color w:val="000000"/>
                <w:sz w:val="18"/>
                <w:szCs w:val="18"/>
              </w:rPr>
              <w:t>($m)</w:t>
            </w:r>
          </w:p>
        </w:tc>
        <w:tc>
          <w:tcPr>
            <w:tcW w:w="1380" w:type="dxa"/>
            <w:tcBorders>
              <w:top w:val="nil"/>
              <w:left w:val="nil"/>
              <w:bottom w:val="single" w:sz="4" w:space="0" w:color="auto"/>
              <w:right w:val="nil"/>
            </w:tcBorders>
            <w:shd w:val="clear" w:color="000000" w:fill="FFFFFF"/>
            <w:noWrap/>
            <w:vAlign w:val="center"/>
            <w:hideMark/>
          </w:tcPr>
          <w:p w14:paraId="0BC12DAD" w14:textId="77777777" w:rsidR="003A46E7" w:rsidRPr="008D3CF2" w:rsidRDefault="003A46E7" w:rsidP="000827B6">
            <w:pPr>
              <w:spacing w:before="0" w:after="0" w:line="240" w:lineRule="auto"/>
              <w:jc w:val="right"/>
              <w:rPr>
                <w:rFonts w:cs="Arial"/>
                <w:color w:val="000000"/>
                <w:sz w:val="18"/>
                <w:szCs w:val="18"/>
              </w:rPr>
            </w:pPr>
            <w:r w:rsidRPr="008D3CF2">
              <w:rPr>
                <w:rFonts w:cs="Arial"/>
                <w:color w:val="000000"/>
                <w:sz w:val="18"/>
                <w:szCs w:val="18"/>
              </w:rPr>
              <w:t>($)</w:t>
            </w:r>
          </w:p>
        </w:tc>
        <w:tc>
          <w:tcPr>
            <w:tcW w:w="1680" w:type="dxa"/>
            <w:tcBorders>
              <w:top w:val="nil"/>
              <w:left w:val="nil"/>
              <w:bottom w:val="single" w:sz="4" w:space="0" w:color="auto"/>
              <w:right w:val="nil"/>
            </w:tcBorders>
            <w:shd w:val="clear" w:color="000000" w:fill="FFFFFF"/>
            <w:noWrap/>
            <w:vAlign w:val="center"/>
            <w:hideMark/>
          </w:tcPr>
          <w:p w14:paraId="0D01F74E" w14:textId="77777777" w:rsidR="003A46E7" w:rsidRPr="008D3CF2" w:rsidRDefault="003A46E7" w:rsidP="000827B6">
            <w:pPr>
              <w:spacing w:before="0" w:after="0" w:line="240" w:lineRule="auto"/>
              <w:jc w:val="right"/>
              <w:rPr>
                <w:rFonts w:cs="Arial"/>
                <w:color w:val="000000"/>
                <w:sz w:val="18"/>
                <w:szCs w:val="18"/>
              </w:rPr>
            </w:pPr>
            <w:r w:rsidRPr="008D3CF2">
              <w:rPr>
                <w:rFonts w:cs="Arial"/>
                <w:color w:val="000000"/>
                <w:sz w:val="18"/>
                <w:szCs w:val="18"/>
              </w:rPr>
              <w:t>(%)</w:t>
            </w:r>
          </w:p>
        </w:tc>
      </w:tr>
      <w:tr w:rsidR="006C6F6A" w:rsidRPr="003A46E7" w14:paraId="5DFBC6F9" w14:textId="77777777" w:rsidTr="00176E42">
        <w:trPr>
          <w:trHeight w:val="300"/>
          <w:jc w:val="center"/>
        </w:trPr>
        <w:tc>
          <w:tcPr>
            <w:tcW w:w="2620" w:type="dxa"/>
            <w:tcBorders>
              <w:top w:val="nil"/>
              <w:left w:val="nil"/>
              <w:bottom w:val="nil"/>
              <w:right w:val="nil"/>
            </w:tcBorders>
            <w:shd w:val="clear" w:color="000000" w:fill="FFFFFF"/>
            <w:noWrap/>
            <w:vAlign w:val="center"/>
            <w:hideMark/>
          </w:tcPr>
          <w:p w14:paraId="03F36AFF" w14:textId="77777777" w:rsidR="006C6F6A" w:rsidRPr="008D3CF2" w:rsidRDefault="006C6F6A" w:rsidP="006C6F6A">
            <w:pPr>
              <w:spacing w:before="0" w:after="0" w:line="240" w:lineRule="auto"/>
              <w:rPr>
                <w:rFonts w:cs="Arial"/>
                <w:color w:val="000000"/>
                <w:sz w:val="18"/>
                <w:szCs w:val="18"/>
              </w:rPr>
            </w:pPr>
            <w:r w:rsidRPr="008D3CF2">
              <w:rPr>
                <w:rFonts w:cs="Arial"/>
                <w:color w:val="000000"/>
                <w:sz w:val="18"/>
                <w:szCs w:val="18"/>
              </w:rPr>
              <w:t>Admitted Acute</w:t>
            </w:r>
          </w:p>
        </w:tc>
        <w:tc>
          <w:tcPr>
            <w:tcW w:w="1040" w:type="dxa"/>
            <w:tcBorders>
              <w:top w:val="nil"/>
              <w:left w:val="nil"/>
              <w:bottom w:val="nil"/>
              <w:right w:val="nil"/>
            </w:tcBorders>
            <w:shd w:val="clear" w:color="000000" w:fill="FFFFFF"/>
            <w:noWrap/>
            <w:vAlign w:val="center"/>
          </w:tcPr>
          <w:p w14:paraId="2C5C7CC0" w14:textId="695D4100" w:rsidR="006C6F6A" w:rsidRPr="008D3CF2" w:rsidRDefault="006C6F6A" w:rsidP="006C6F6A">
            <w:pPr>
              <w:spacing w:before="0" w:after="0" w:line="240" w:lineRule="auto"/>
              <w:jc w:val="right"/>
              <w:rPr>
                <w:rFonts w:cs="Arial"/>
                <w:color w:val="000000"/>
                <w:sz w:val="18"/>
                <w:szCs w:val="18"/>
              </w:rPr>
            </w:pPr>
            <w:r w:rsidRPr="008D3CF2">
              <w:rPr>
                <w:rFonts w:cs="Arial"/>
                <w:color w:val="000000"/>
                <w:sz w:val="18"/>
                <w:szCs w:val="18"/>
              </w:rPr>
              <w:t>342</w:t>
            </w:r>
          </w:p>
        </w:tc>
        <w:tc>
          <w:tcPr>
            <w:tcW w:w="1180" w:type="dxa"/>
            <w:tcBorders>
              <w:top w:val="nil"/>
              <w:left w:val="nil"/>
              <w:bottom w:val="nil"/>
              <w:right w:val="nil"/>
            </w:tcBorders>
            <w:shd w:val="clear" w:color="000000" w:fill="FFFFFF"/>
            <w:noWrap/>
            <w:vAlign w:val="center"/>
          </w:tcPr>
          <w:p w14:paraId="732A897E" w14:textId="39937B1C" w:rsidR="006C6F6A" w:rsidRPr="008D3CF2" w:rsidRDefault="006C6F6A" w:rsidP="006C6F6A">
            <w:pPr>
              <w:spacing w:before="0" w:after="0" w:line="240" w:lineRule="auto"/>
              <w:jc w:val="right"/>
              <w:rPr>
                <w:rFonts w:cs="Arial"/>
                <w:color w:val="000000"/>
                <w:sz w:val="18"/>
                <w:szCs w:val="18"/>
              </w:rPr>
            </w:pPr>
            <w:r w:rsidRPr="008D3CF2">
              <w:rPr>
                <w:rFonts w:cs="Arial"/>
                <w:color w:val="000000"/>
                <w:sz w:val="18"/>
                <w:szCs w:val="18"/>
              </w:rPr>
              <w:t>6,019,172</w:t>
            </w:r>
          </w:p>
        </w:tc>
        <w:tc>
          <w:tcPr>
            <w:tcW w:w="1300" w:type="dxa"/>
            <w:tcBorders>
              <w:top w:val="nil"/>
              <w:left w:val="nil"/>
              <w:bottom w:val="nil"/>
              <w:right w:val="nil"/>
            </w:tcBorders>
            <w:shd w:val="clear" w:color="000000" w:fill="FFFFFF"/>
            <w:noWrap/>
            <w:vAlign w:val="center"/>
          </w:tcPr>
          <w:p w14:paraId="41E9AC5F" w14:textId="3E5EC6DC" w:rsidR="006C6F6A" w:rsidRPr="008D3CF2" w:rsidRDefault="006C6F6A" w:rsidP="006C6F6A">
            <w:pPr>
              <w:spacing w:before="0" w:after="0" w:line="240" w:lineRule="auto"/>
              <w:jc w:val="right"/>
              <w:rPr>
                <w:rFonts w:cs="Arial"/>
                <w:color w:val="000000"/>
                <w:sz w:val="18"/>
                <w:szCs w:val="18"/>
              </w:rPr>
            </w:pPr>
            <w:r w:rsidRPr="008D3CF2">
              <w:rPr>
                <w:rFonts w:cs="Arial"/>
                <w:color w:val="000000"/>
                <w:sz w:val="18"/>
                <w:szCs w:val="18"/>
              </w:rPr>
              <w:t>29,406</w:t>
            </w:r>
          </w:p>
        </w:tc>
        <w:tc>
          <w:tcPr>
            <w:tcW w:w="1380" w:type="dxa"/>
            <w:tcBorders>
              <w:top w:val="nil"/>
              <w:left w:val="nil"/>
              <w:bottom w:val="nil"/>
              <w:right w:val="nil"/>
            </w:tcBorders>
            <w:shd w:val="clear" w:color="000000" w:fill="FFFFFF"/>
            <w:noWrap/>
            <w:vAlign w:val="center"/>
          </w:tcPr>
          <w:p w14:paraId="3C868D42" w14:textId="54702A73" w:rsidR="006C6F6A" w:rsidRPr="008D3CF2" w:rsidRDefault="006C6F6A" w:rsidP="006C6F6A">
            <w:pPr>
              <w:spacing w:before="0" w:after="0" w:line="240" w:lineRule="auto"/>
              <w:jc w:val="right"/>
              <w:rPr>
                <w:rFonts w:cs="Arial"/>
                <w:color w:val="000000"/>
                <w:sz w:val="18"/>
                <w:szCs w:val="18"/>
              </w:rPr>
            </w:pPr>
            <w:r w:rsidRPr="008D3CF2">
              <w:rPr>
                <w:rFonts w:cs="Arial"/>
                <w:color w:val="000000"/>
                <w:sz w:val="18"/>
                <w:szCs w:val="18"/>
              </w:rPr>
              <w:t>4,885</w:t>
            </w:r>
          </w:p>
        </w:tc>
        <w:tc>
          <w:tcPr>
            <w:tcW w:w="1680" w:type="dxa"/>
            <w:tcBorders>
              <w:top w:val="nil"/>
              <w:left w:val="nil"/>
              <w:bottom w:val="nil"/>
              <w:right w:val="nil"/>
            </w:tcBorders>
            <w:shd w:val="clear" w:color="000000" w:fill="FFFFFF"/>
            <w:noWrap/>
            <w:vAlign w:val="center"/>
          </w:tcPr>
          <w:p w14:paraId="10E5E12A" w14:textId="6E19615B" w:rsidR="006C6F6A" w:rsidRPr="008D3CF2" w:rsidRDefault="006C6F6A" w:rsidP="006C6F6A">
            <w:pPr>
              <w:spacing w:before="0" w:after="0" w:line="240" w:lineRule="auto"/>
              <w:jc w:val="right"/>
              <w:rPr>
                <w:rFonts w:cs="Arial"/>
                <w:color w:val="000000"/>
                <w:sz w:val="18"/>
                <w:szCs w:val="18"/>
              </w:rPr>
            </w:pPr>
            <w:r w:rsidRPr="008D3CF2">
              <w:rPr>
                <w:rFonts w:cs="Arial"/>
                <w:color w:val="000000"/>
                <w:sz w:val="18"/>
                <w:szCs w:val="18"/>
              </w:rPr>
              <w:t>1.9</w:t>
            </w:r>
          </w:p>
        </w:tc>
      </w:tr>
      <w:tr w:rsidR="006C6F6A" w:rsidRPr="00BC0BDC" w14:paraId="33B4EA5F" w14:textId="77777777" w:rsidTr="00176E42">
        <w:trPr>
          <w:trHeight w:val="300"/>
          <w:jc w:val="center"/>
        </w:trPr>
        <w:tc>
          <w:tcPr>
            <w:tcW w:w="2620" w:type="dxa"/>
            <w:tcBorders>
              <w:top w:val="nil"/>
              <w:left w:val="nil"/>
              <w:bottom w:val="nil"/>
              <w:right w:val="nil"/>
            </w:tcBorders>
            <w:shd w:val="clear" w:color="000000" w:fill="FFFFFF"/>
            <w:noWrap/>
            <w:vAlign w:val="center"/>
            <w:hideMark/>
          </w:tcPr>
          <w:p w14:paraId="1F0D1992" w14:textId="77777777" w:rsidR="006C6F6A" w:rsidRPr="00BC0BDC" w:rsidRDefault="006C6F6A" w:rsidP="006C6F6A">
            <w:pPr>
              <w:spacing w:before="0" w:after="0" w:line="240" w:lineRule="auto"/>
              <w:rPr>
                <w:rFonts w:cs="Arial"/>
                <w:color w:val="000000"/>
                <w:sz w:val="18"/>
                <w:szCs w:val="18"/>
              </w:rPr>
            </w:pPr>
            <w:r w:rsidRPr="00BC0BDC">
              <w:rPr>
                <w:rFonts w:cs="Arial"/>
                <w:color w:val="000000"/>
                <w:sz w:val="18"/>
                <w:szCs w:val="18"/>
              </w:rPr>
              <w:t>Emergency Department</w:t>
            </w:r>
          </w:p>
        </w:tc>
        <w:tc>
          <w:tcPr>
            <w:tcW w:w="1040" w:type="dxa"/>
            <w:tcBorders>
              <w:top w:val="nil"/>
              <w:left w:val="nil"/>
              <w:bottom w:val="nil"/>
              <w:right w:val="nil"/>
            </w:tcBorders>
            <w:shd w:val="clear" w:color="000000" w:fill="FFFFFF"/>
            <w:noWrap/>
            <w:vAlign w:val="center"/>
          </w:tcPr>
          <w:p w14:paraId="549ACB15" w14:textId="5EB8C942"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274</w:t>
            </w:r>
          </w:p>
        </w:tc>
        <w:tc>
          <w:tcPr>
            <w:tcW w:w="1180" w:type="dxa"/>
            <w:tcBorders>
              <w:top w:val="nil"/>
              <w:left w:val="nil"/>
              <w:bottom w:val="nil"/>
              <w:right w:val="nil"/>
            </w:tcBorders>
            <w:shd w:val="clear" w:color="000000" w:fill="FFFFFF"/>
            <w:noWrap/>
            <w:vAlign w:val="center"/>
          </w:tcPr>
          <w:p w14:paraId="516DC4B0" w14:textId="720DC3B6"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7,877,053</w:t>
            </w:r>
          </w:p>
        </w:tc>
        <w:tc>
          <w:tcPr>
            <w:tcW w:w="1300" w:type="dxa"/>
            <w:tcBorders>
              <w:top w:val="nil"/>
              <w:left w:val="nil"/>
              <w:bottom w:val="nil"/>
              <w:right w:val="nil"/>
            </w:tcBorders>
            <w:shd w:val="clear" w:color="000000" w:fill="FFFFFF"/>
            <w:noWrap/>
            <w:vAlign w:val="center"/>
          </w:tcPr>
          <w:p w14:paraId="7B1F6887" w14:textId="0EC8D611"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5,554</w:t>
            </w:r>
          </w:p>
        </w:tc>
        <w:tc>
          <w:tcPr>
            <w:tcW w:w="1380" w:type="dxa"/>
            <w:tcBorders>
              <w:top w:val="nil"/>
              <w:left w:val="nil"/>
              <w:bottom w:val="nil"/>
              <w:right w:val="nil"/>
            </w:tcBorders>
            <w:shd w:val="clear" w:color="000000" w:fill="FFFFFF"/>
            <w:noWrap/>
            <w:vAlign w:val="center"/>
          </w:tcPr>
          <w:p w14:paraId="7EFA0604" w14:textId="25B2C6D0"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705</w:t>
            </w:r>
          </w:p>
        </w:tc>
        <w:tc>
          <w:tcPr>
            <w:tcW w:w="1680" w:type="dxa"/>
            <w:tcBorders>
              <w:top w:val="nil"/>
              <w:left w:val="nil"/>
              <w:bottom w:val="nil"/>
              <w:right w:val="nil"/>
            </w:tcBorders>
            <w:shd w:val="clear" w:color="000000" w:fill="FFFFFF"/>
            <w:noWrap/>
            <w:vAlign w:val="center"/>
          </w:tcPr>
          <w:p w14:paraId="58C5B4C6" w14:textId="5681D3DB"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5.9</w:t>
            </w:r>
          </w:p>
        </w:tc>
      </w:tr>
      <w:tr w:rsidR="006C6F6A" w:rsidRPr="00BC0BDC" w14:paraId="33E88CF4" w14:textId="77777777" w:rsidTr="00176E42">
        <w:trPr>
          <w:trHeight w:val="300"/>
          <w:jc w:val="center"/>
        </w:trPr>
        <w:tc>
          <w:tcPr>
            <w:tcW w:w="2620" w:type="dxa"/>
            <w:tcBorders>
              <w:top w:val="nil"/>
              <w:left w:val="nil"/>
              <w:bottom w:val="nil"/>
              <w:right w:val="nil"/>
            </w:tcBorders>
            <w:shd w:val="clear" w:color="000000" w:fill="FFFFFF"/>
            <w:noWrap/>
            <w:vAlign w:val="center"/>
            <w:hideMark/>
          </w:tcPr>
          <w:p w14:paraId="3E8FFB34" w14:textId="77777777" w:rsidR="006C6F6A" w:rsidRPr="00BC0BDC" w:rsidRDefault="006C6F6A" w:rsidP="006C6F6A">
            <w:pPr>
              <w:spacing w:before="0" w:after="0" w:line="240" w:lineRule="auto"/>
              <w:rPr>
                <w:rFonts w:cs="Arial"/>
                <w:color w:val="000000"/>
                <w:sz w:val="18"/>
                <w:szCs w:val="18"/>
              </w:rPr>
            </w:pPr>
            <w:r w:rsidRPr="00BC0BDC">
              <w:rPr>
                <w:rFonts w:cs="Arial"/>
                <w:color w:val="000000"/>
                <w:sz w:val="18"/>
                <w:szCs w:val="18"/>
              </w:rPr>
              <w:t>Non-Admitted</w:t>
            </w:r>
          </w:p>
        </w:tc>
        <w:tc>
          <w:tcPr>
            <w:tcW w:w="1040" w:type="dxa"/>
            <w:tcBorders>
              <w:top w:val="nil"/>
              <w:left w:val="nil"/>
              <w:bottom w:val="nil"/>
              <w:right w:val="nil"/>
            </w:tcBorders>
            <w:shd w:val="clear" w:color="000000" w:fill="FFFFFF"/>
            <w:noWrap/>
            <w:vAlign w:val="center"/>
          </w:tcPr>
          <w:p w14:paraId="34A4D8AD" w14:textId="4DA95E89"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315</w:t>
            </w:r>
          </w:p>
        </w:tc>
        <w:tc>
          <w:tcPr>
            <w:tcW w:w="1180" w:type="dxa"/>
            <w:tcBorders>
              <w:top w:val="nil"/>
              <w:left w:val="nil"/>
              <w:bottom w:val="nil"/>
              <w:right w:val="nil"/>
            </w:tcBorders>
            <w:shd w:val="clear" w:color="000000" w:fill="FFFFFF"/>
            <w:noWrap/>
            <w:vAlign w:val="center"/>
          </w:tcPr>
          <w:p w14:paraId="33193612" w14:textId="759C8FC6"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21,529,952</w:t>
            </w:r>
          </w:p>
        </w:tc>
        <w:tc>
          <w:tcPr>
            <w:tcW w:w="1300" w:type="dxa"/>
            <w:tcBorders>
              <w:top w:val="nil"/>
              <w:left w:val="nil"/>
              <w:bottom w:val="nil"/>
              <w:right w:val="nil"/>
            </w:tcBorders>
            <w:shd w:val="clear" w:color="000000" w:fill="FFFFFF"/>
            <w:noWrap/>
            <w:vAlign w:val="center"/>
          </w:tcPr>
          <w:p w14:paraId="693C267B" w14:textId="69D7CD8E"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6,820</w:t>
            </w:r>
          </w:p>
        </w:tc>
        <w:tc>
          <w:tcPr>
            <w:tcW w:w="1380" w:type="dxa"/>
            <w:tcBorders>
              <w:top w:val="nil"/>
              <w:left w:val="nil"/>
              <w:bottom w:val="nil"/>
              <w:right w:val="nil"/>
            </w:tcBorders>
            <w:shd w:val="clear" w:color="000000" w:fill="FFFFFF"/>
            <w:noWrap/>
            <w:vAlign w:val="center"/>
          </w:tcPr>
          <w:p w14:paraId="439D23A3" w14:textId="6B384883"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317</w:t>
            </w:r>
          </w:p>
        </w:tc>
        <w:tc>
          <w:tcPr>
            <w:tcW w:w="1680" w:type="dxa"/>
            <w:tcBorders>
              <w:top w:val="nil"/>
              <w:left w:val="nil"/>
              <w:bottom w:val="nil"/>
              <w:right w:val="nil"/>
            </w:tcBorders>
            <w:shd w:val="clear" w:color="000000" w:fill="FFFFFF"/>
            <w:noWrap/>
            <w:vAlign w:val="center"/>
          </w:tcPr>
          <w:p w14:paraId="7E6CEDB7" w14:textId="6942C79E"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2.6</w:t>
            </w:r>
          </w:p>
        </w:tc>
      </w:tr>
      <w:tr w:rsidR="006C6F6A" w:rsidRPr="00BC0BDC" w14:paraId="39F65A0A" w14:textId="77777777" w:rsidTr="00176E42">
        <w:trPr>
          <w:trHeight w:val="300"/>
          <w:jc w:val="center"/>
        </w:trPr>
        <w:tc>
          <w:tcPr>
            <w:tcW w:w="2620" w:type="dxa"/>
            <w:tcBorders>
              <w:top w:val="nil"/>
              <w:left w:val="nil"/>
              <w:bottom w:val="nil"/>
              <w:right w:val="nil"/>
            </w:tcBorders>
            <w:shd w:val="clear" w:color="000000" w:fill="FFFFFF"/>
            <w:noWrap/>
            <w:vAlign w:val="center"/>
            <w:hideMark/>
          </w:tcPr>
          <w:p w14:paraId="7B742FB3" w14:textId="77777777" w:rsidR="006C6F6A" w:rsidRPr="00BC0BDC" w:rsidRDefault="006C6F6A" w:rsidP="006C6F6A">
            <w:pPr>
              <w:spacing w:before="0" w:after="0" w:line="240" w:lineRule="auto"/>
              <w:rPr>
                <w:rFonts w:cs="Arial"/>
                <w:color w:val="000000"/>
                <w:sz w:val="18"/>
                <w:szCs w:val="18"/>
              </w:rPr>
            </w:pPr>
            <w:r w:rsidRPr="00BC0BDC">
              <w:rPr>
                <w:rFonts w:cs="Arial"/>
                <w:color w:val="000000"/>
                <w:sz w:val="18"/>
                <w:szCs w:val="18"/>
              </w:rPr>
              <w:t>Sub-Acute</w:t>
            </w:r>
          </w:p>
        </w:tc>
        <w:tc>
          <w:tcPr>
            <w:tcW w:w="1040" w:type="dxa"/>
            <w:tcBorders>
              <w:top w:val="nil"/>
              <w:left w:val="nil"/>
              <w:bottom w:val="nil"/>
              <w:right w:val="nil"/>
            </w:tcBorders>
            <w:shd w:val="clear" w:color="000000" w:fill="FFFFFF"/>
            <w:noWrap/>
            <w:vAlign w:val="center"/>
          </w:tcPr>
          <w:p w14:paraId="3356D5AC" w14:textId="41F0E652"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333</w:t>
            </w:r>
          </w:p>
        </w:tc>
        <w:tc>
          <w:tcPr>
            <w:tcW w:w="1180" w:type="dxa"/>
            <w:tcBorders>
              <w:top w:val="nil"/>
              <w:left w:val="nil"/>
              <w:bottom w:val="nil"/>
              <w:right w:val="nil"/>
            </w:tcBorders>
            <w:shd w:val="clear" w:color="000000" w:fill="FFFFFF"/>
            <w:noWrap/>
            <w:vAlign w:val="center"/>
          </w:tcPr>
          <w:p w14:paraId="254FF3D7" w14:textId="51C09D2C"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218,482</w:t>
            </w:r>
          </w:p>
        </w:tc>
        <w:tc>
          <w:tcPr>
            <w:tcW w:w="1300" w:type="dxa"/>
            <w:tcBorders>
              <w:top w:val="nil"/>
              <w:left w:val="nil"/>
              <w:bottom w:val="nil"/>
              <w:right w:val="nil"/>
            </w:tcBorders>
            <w:shd w:val="clear" w:color="000000" w:fill="FFFFFF"/>
            <w:noWrap/>
            <w:vAlign w:val="center"/>
          </w:tcPr>
          <w:p w14:paraId="074A361B" w14:textId="3064817C"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2,927</w:t>
            </w:r>
          </w:p>
        </w:tc>
        <w:tc>
          <w:tcPr>
            <w:tcW w:w="1380" w:type="dxa"/>
            <w:tcBorders>
              <w:top w:val="nil"/>
              <w:left w:val="nil"/>
              <w:bottom w:val="nil"/>
              <w:right w:val="nil"/>
            </w:tcBorders>
            <w:shd w:val="clear" w:color="000000" w:fill="FFFFFF"/>
            <w:noWrap/>
            <w:vAlign w:val="center"/>
          </w:tcPr>
          <w:p w14:paraId="450A69B9" w14:textId="5C4BF522"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13,397</w:t>
            </w:r>
          </w:p>
        </w:tc>
        <w:tc>
          <w:tcPr>
            <w:tcW w:w="1680" w:type="dxa"/>
            <w:tcBorders>
              <w:top w:val="nil"/>
              <w:left w:val="nil"/>
              <w:bottom w:val="nil"/>
              <w:right w:val="nil"/>
            </w:tcBorders>
            <w:shd w:val="clear" w:color="000000" w:fill="FFFFFF"/>
            <w:noWrap/>
            <w:vAlign w:val="center"/>
          </w:tcPr>
          <w:p w14:paraId="3B86B5B9" w14:textId="6907F463"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-4.2</w:t>
            </w:r>
          </w:p>
        </w:tc>
      </w:tr>
      <w:tr w:rsidR="006C6F6A" w:rsidRPr="00BC0BDC" w14:paraId="05FAD03E" w14:textId="77777777" w:rsidTr="00176E42">
        <w:trPr>
          <w:trHeight w:val="300"/>
          <w:jc w:val="center"/>
        </w:trPr>
        <w:tc>
          <w:tcPr>
            <w:tcW w:w="2620" w:type="dxa"/>
            <w:tcBorders>
              <w:top w:val="nil"/>
              <w:left w:val="nil"/>
              <w:bottom w:val="nil"/>
              <w:right w:val="nil"/>
            </w:tcBorders>
            <w:shd w:val="clear" w:color="000000" w:fill="FFFFFF"/>
            <w:noWrap/>
            <w:vAlign w:val="center"/>
            <w:hideMark/>
          </w:tcPr>
          <w:p w14:paraId="3AE917B0" w14:textId="77777777" w:rsidR="006C6F6A" w:rsidRPr="00BC0BDC" w:rsidRDefault="006C6F6A" w:rsidP="006C6F6A">
            <w:pPr>
              <w:spacing w:before="0" w:after="0" w:line="240" w:lineRule="auto"/>
              <w:rPr>
                <w:rFonts w:cs="Arial"/>
                <w:color w:val="000000"/>
                <w:sz w:val="18"/>
                <w:szCs w:val="18"/>
              </w:rPr>
            </w:pPr>
            <w:r w:rsidRPr="00BC0BDC">
              <w:rPr>
                <w:rFonts w:cs="Arial"/>
                <w:color w:val="000000"/>
                <w:sz w:val="18"/>
                <w:szCs w:val="18"/>
              </w:rPr>
              <w:t>Mental Health</w:t>
            </w:r>
          </w:p>
        </w:tc>
        <w:tc>
          <w:tcPr>
            <w:tcW w:w="1040" w:type="dxa"/>
            <w:tcBorders>
              <w:top w:val="nil"/>
              <w:left w:val="nil"/>
              <w:bottom w:val="nil"/>
              <w:right w:val="nil"/>
            </w:tcBorders>
            <w:shd w:val="clear" w:color="000000" w:fill="FFFFFF"/>
            <w:noWrap/>
            <w:vAlign w:val="center"/>
          </w:tcPr>
          <w:p w14:paraId="1B3E7D8D" w14:textId="2DAFE57D" w:rsidR="006C6F6A" w:rsidRPr="00BC0BDC" w:rsidRDefault="006C6F6A" w:rsidP="006C6F6A">
            <w:pPr>
              <w:spacing w:before="0" w:after="0" w:line="240" w:lineRule="auto"/>
              <w:jc w:val="right"/>
              <w:rPr>
                <w:rFonts w:cs="Arial"/>
                <w:color w:val="000000"/>
                <w:sz w:val="18"/>
                <w:szCs w:val="18"/>
              </w:rPr>
            </w:pPr>
          </w:p>
        </w:tc>
        <w:tc>
          <w:tcPr>
            <w:tcW w:w="1180" w:type="dxa"/>
            <w:tcBorders>
              <w:top w:val="nil"/>
              <w:left w:val="nil"/>
              <w:bottom w:val="nil"/>
              <w:right w:val="nil"/>
            </w:tcBorders>
            <w:shd w:val="clear" w:color="000000" w:fill="FFFFFF"/>
            <w:noWrap/>
            <w:vAlign w:val="center"/>
          </w:tcPr>
          <w:p w14:paraId="4763500E" w14:textId="5003B251" w:rsidR="006C6F6A" w:rsidRPr="00BC0BDC" w:rsidRDefault="006C6F6A" w:rsidP="006C6F6A">
            <w:pPr>
              <w:spacing w:before="0" w:after="0" w:line="240" w:lineRule="auto"/>
              <w:jc w:val="right"/>
              <w:rPr>
                <w:rFonts w:cs="Arial"/>
                <w:color w:val="000000"/>
                <w:sz w:val="18"/>
                <w:szCs w:val="18"/>
              </w:rPr>
            </w:pPr>
          </w:p>
        </w:tc>
        <w:tc>
          <w:tcPr>
            <w:tcW w:w="1300" w:type="dxa"/>
            <w:tcBorders>
              <w:top w:val="nil"/>
              <w:left w:val="nil"/>
              <w:bottom w:val="nil"/>
              <w:right w:val="nil"/>
            </w:tcBorders>
            <w:shd w:val="clear" w:color="000000" w:fill="FFFFFF"/>
            <w:noWrap/>
            <w:vAlign w:val="center"/>
          </w:tcPr>
          <w:p w14:paraId="48030E04" w14:textId="38DCB953" w:rsidR="006C6F6A" w:rsidRPr="00BC0BDC" w:rsidRDefault="006C6F6A" w:rsidP="006C6F6A">
            <w:pPr>
              <w:spacing w:before="0" w:after="0" w:line="240" w:lineRule="auto"/>
              <w:jc w:val="right"/>
              <w:rPr>
                <w:rFonts w:cs="Arial"/>
                <w:color w:val="000000"/>
                <w:sz w:val="18"/>
                <w:szCs w:val="18"/>
              </w:rPr>
            </w:pPr>
          </w:p>
        </w:tc>
        <w:tc>
          <w:tcPr>
            <w:tcW w:w="1380" w:type="dxa"/>
            <w:tcBorders>
              <w:top w:val="nil"/>
              <w:left w:val="nil"/>
              <w:bottom w:val="nil"/>
              <w:right w:val="nil"/>
            </w:tcBorders>
            <w:shd w:val="clear" w:color="000000" w:fill="FFFFFF"/>
            <w:noWrap/>
            <w:vAlign w:val="center"/>
          </w:tcPr>
          <w:p w14:paraId="383D7CA1" w14:textId="06BE6E36" w:rsidR="006C6F6A" w:rsidRPr="00BC0BDC" w:rsidRDefault="006C6F6A" w:rsidP="006C6F6A">
            <w:pPr>
              <w:spacing w:before="0" w:after="0" w:line="240" w:lineRule="auto"/>
              <w:jc w:val="right"/>
              <w:rPr>
                <w:rFonts w:cs="Arial"/>
                <w:color w:val="000000"/>
                <w:sz w:val="18"/>
                <w:szCs w:val="18"/>
              </w:rPr>
            </w:pPr>
          </w:p>
        </w:tc>
        <w:tc>
          <w:tcPr>
            <w:tcW w:w="1680" w:type="dxa"/>
            <w:tcBorders>
              <w:top w:val="nil"/>
              <w:left w:val="nil"/>
              <w:bottom w:val="nil"/>
              <w:right w:val="nil"/>
            </w:tcBorders>
            <w:shd w:val="clear" w:color="000000" w:fill="FFFFFF"/>
            <w:noWrap/>
            <w:vAlign w:val="center"/>
          </w:tcPr>
          <w:p w14:paraId="29E309C7" w14:textId="5296C4EA" w:rsidR="006C6F6A" w:rsidRPr="00BC0BDC" w:rsidRDefault="006C6F6A" w:rsidP="006C6F6A">
            <w:pPr>
              <w:spacing w:before="0" w:after="0" w:line="240" w:lineRule="auto"/>
              <w:jc w:val="right"/>
              <w:rPr>
                <w:rFonts w:cs="Arial"/>
                <w:color w:val="000000"/>
                <w:sz w:val="18"/>
                <w:szCs w:val="18"/>
              </w:rPr>
            </w:pPr>
          </w:p>
        </w:tc>
      </w:tr>
      <w:tr w:rsidR="009C2461" w:rsidRPr="009A4E73" w14:paraId="729F5BC4" w14:textId="77777777" w:rsidTr="00176E42">
        <w:trPr>
          <w:trHeight w:val="300"/>
          <w:jc w:val="center"/>
        </w:trPr>
        <w:tc>
          <w:tcPr>
            <w:tcW w:w="2620" w:type="dxa"/>
            <w:tcBorders>
              <w:top w:val="nil"/>
              <w:left w:val="nil"/>
              <w:bottom w:val="nil"/>
              <w:right w:val="nil"/>
            </w:tcBorders>
            <w:shd w:val="clear" w:color="000000" w:fill="FFFFFF"/>
            <w:noWrap/>
            <w:vAlign w:val="center"/>
          </w:tcPr>
          <w:p w14:paraId="752883F8" w14:textId="03E3FE35" w:rsidR="009C2461" w:rsidRPr="00D111B6" w:rsidRDefault="00EE4C4B" w:rsidP="006C6F6A">
            <w:pPr>
              <w:spacing w:before="0" w:after="0" w:line="240" w:lineRule="auto"/>
              <w:rPr>
                <w:rFonts w:cs="Arial"/>
                <w:i/>
                <w:color w:val="000000"/>
                <w:sz w:val="18"/>
                <w:szCs w:val="18"/>
              </w:rPr>
            </w:pPr>
            <w:r>
              <w:rPr>
                <w:rFonts w:cs="Arial"/>
                <w:i/>
                <w:color w:val="000000"/>
                <w:sz w:val="18"/>
                <w:szCs w:val="18"/>
              </w:rPr>
              <w:t xml:space="preserve">  </w:t>
            </w:r>
            <w:r w:rsidR="009C2461" w:rsidRPr="00D111B6">
              <w:rPr>
                <w:rFonts w:cs="Arial"/>
                <w:i/>
                <w:color w:val="000000"/>
                <w:sz w:val="18"/>
                <w:szCs w:val="18"/>
              </w:rPr>
              <w:t>Admitted Mental Health</w:t>
            </w:r>
          </w:p>
        </w:tc>
        <w:tc>
          <w:tcPr>
            <w:tcW w:w="1040" w:type="dxa"/>
            <w:tcBorders>
              <w:top w:val="nil"/>
              <w:left w:val="nil"/>
              <w:bottom w:val="nil"/>
              <w:right w:val="nil"/>
            </w:tcBorders>
            <w:shd w:val="clear" w:color="000000" w:fill="FFFFFF"/>
            <w:noWrap/>
            <w:vAlign w:val="center"/>
          </w:tcPr>
          <w:p w14:paraId="2E5BB60F" w14:textId="6B806804"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169</w:t>
            </w:r>
          </w:p>
        </w:tc>
        <w:tc>
          <w:tcPr>
            <w:tcW w:w="1180" w:type="dxa"/>
            <w:tcBorders>
              <w:top w:val="nil"/>
              <w:left w:val="nil"/>
              <w:bottom w:val="nil"/>
              <w:right w:val="nil"/>
            </w:tcBorders>
            <w:shd w:val="clear" w:color="000000" w:fill="FFFFFF"/>
            <w:noWrap/>
            <w:vAlign w:val="center"/>
          </w:tcPr>
          <w:p w14:paraId="0F6425C2" w14:textId="5398B3C9"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134,613</w:t>
            </w:r>
          </w:p>
        </w:tc>
        <w:tc>
          <w:tcPr>
            <w:tcW w:w="1300" w:type="dxa"/>
            <w:tcBorders>
              <w:top w:val="nil"/>
              <w:left w:val="nil"/>
              <w:bottom w:val="nil"/>
              <w:right w:val="nil"/>
            </w:tcBorders>
            <w:shd w:val="clear" w:color="000000" w:fill="FFFFFF"/>
            <w:noWrap/>
            <w:vAlign w:val="center"/>
          </w:tcPr>
          <w:p w14:paraId="100941D2" w14:textId="44DFFF05"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2,050</w:t>
            </w:r>
          </w:p>
        </w:tc>
        <w:tc>
          <w:tcPr>
            <w:tcW w:w="1380" w:type="dxa"/>
            <w:tcBorders>
              <w:top w:val="nil"/>
              <w:left w:val="nil"/>
              <w:bottom w:val="nil"/>
              <w:right w:val="nil"/>
            </w:tcBorders>
            <w:shd w:val="clear" w:color="000000" w:fill="FFFFFF"/>
            <w:noWrap/>
            <w:vAlign w:val="center"/>
          </w:tcPr>
          <w:p w14:paraId="4E2ECD8F" w14:textId="144C5BE7"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15,229</w:t>
            </w:r>
          </w:p>
        </w:tc>
        <w:tc>
          <w:tcPr>
            <w:tcW w:w="1680" w:type="dxa"/>
            <w:tcBorders>
              <w:top w:val="nil"/>
              <w:left w:val="nil"/>
              <w:bottom w:val="nil"/>
              <w:right w:val="nil"/>
            </w:tcBorders>
            <w:shd w:val="clear" w:color="000000" w:fill="FFFFFF"/>
            <w:noWrap/>
            <w:vAlign w:val="center"/>
          </w:tcPr>
          <w:p w14:paraId="7490D098" w14:textId="5EF737F5"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-5.7</w:t>
            </w:r>
          </w:p>
        </w:tc>
      </w:tr>
      <w:tr w:rsidR="009C2461" w:rsidRPr="009A4E73" w14:paraId="354D0431" w14:textId="77777777" w:rsidTr="00176E42">
        <w:trPr>
          <w:trHeight w:val="300"/>
          <w:jc w:val="center"/>
        </w:trPr>
        <w:tc>
          <w:tcPr>
            <w:tcW w:w="2620" w:type="dxa"/>
            <w:tcBorders>
              <w:top w:val="nil"/>
              <w:left w:val="nil"/>
              <w:bottom w:val="nil"/>
              <w:right w:val="nil"/>
            </w:tcBorders>
            <w:shd w:val="clear" w:color="000000" w:fill="FFFFFF"/>
            <w:noWrap/>
            <w:vAlign w:val="center"/>
          </w:tcPr>
          <w:p w14:paraId="745FF70E" w14:textId="7755E1E3" w:rsidR="009C2461" w:rsidRPr="00D111B6" w:rsidRDefault="00EE4C4B" w:rsidP="006C6F6A">
            <w:pPr>
              <w:spacing w:before="0" w:after="0" w:line="240" w:lineRule="auto"/>
              <w:rPr>
                <w:rFonts w:cs="Arial"/>
                <w:i/>
                <w:color w:val="000000"/>
                <w:sz w:val="18"/>
                <w:szCs w:val="18"/>
              </w:rPr>
            </w:pPr>
            <w:r>
              <w:rPr>
                <w:rFonts w:cs="Arial"/>
                <w:i/>
                <w:color w:val="000000"/>
                <w:sz w:val="18"/>
                <w:szCs w:val="18"/>
              </w:rPr>
              <w:t xml:space="preserve">  </w:t>
            </w:r>
            <w:r w:rsidR="009C2461" w:rsidRPr="00D111B6">
              <w:rPr>
                <w:rFonts w:cs="Arial"/>
                <w:i/>
                <w:color w:val="000000"/>
                <w:sz w:val="18"/>
                <w:szCs w:val="18"/>
              </w:rPr>
              <w:t>Community Mental Health</w:t>
            </w:r>
          </w:p>
        </w:tc>
        <w:tc>
          <w:tcPr>
            <w:tcW w:w="1040" w:type="dxa"/>
            <w:tcBorders>
              <w:top w:val="nil"/>
              <w:left w:val="nil"/>
              <w:bottom w:val="nil"/>
              <w:right w:val="nil"/>
            </w:tcBorders>
            <w:shd w:val="clear" w:color="000000" w:fill="FFFFFF"/>
            <w:noWrap/>
            <w:vAlign w:val="center"/>
          </w:tcPr>
          <w:p w14:paraId="2095D33E" w14:textId="0DBEF91B"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80</w:t>
            </w:r>
          </w:p>
        </w:tc>
        <w:tc>
          <w:tcPr>
            <w:tcW w:w="1180" w:type="dxa"/>
            <w:tcBorders>
              <w:top w:val="nil"/>
              <w:left w:val="nil"/>
              <w:bottom w:val="nil"/>
              <w:right w:val="nil"/>
            </w:tcBorders>
            <w:shd w:val="clear" w:color="000000" w:fill="FFFFFF"/>
            <w:noWrap/>
            <w:vAlign w:val="center"/>
          </w:tcPr>
          <w:p w14:paraId="2ED5AE71" w14:textId="1E44DDA0"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58,545</w:t>
            </w:r>
          </w:p>
        </w:tc>
        <w:tc>
          <w:tcPr>
            <w:tcW w:w="1300" w:type="dxa"/>
            <w:tcBorders>
              <w:top w:val="nil"/>
              <w:left w:val="nil"/>
              <w:bottom w:val="nil"/>
              <w:right w:val="nil"/>
            </w:tcBorders>
            <w:shd w:val="clear" w:color="000000" w:fill="FFFFFF"/>
            <w:noWrap/>
            <w:vAlign w:val="center"/>
          </w:tcPr>
          <w:p w14:paraId="5691F260" w14:textId="1328F3D8"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335</w:t>
            </w:r>
          </w:p>
        </w:tc>
        <w:tc>
          <w:tcPr>
            <w:tcW w:w="1380" w:type="dxa"/>
            <w:tcBorders>
              <w:top w:val="nil"/>
              <w:left w:val="nil"/>
              <w:bottom w:val="nil"/>
              <w:right w:val="nil"/>
            </w:tcBorders>
            <w:shd w:val="clear" w:color="000000" w:fill="FFFFFF"/>
            <w:noWrap/>
            <w:vAlign w:val="center"/>
          </w:tcPr>
          <w:p w14:paraId="380C3819" w14:textId="7A8C5337" w:rsidR="009C2461" w:rsidRPr="00D111B6" w:rsidRDefault="009C2461" w:rsidP="006C6F6A">
            <w:pPr>
              <w:spacing w:before="0" w:after="0" w:line="240" w:lineRule="auto"/>
              <w:jc w:val="right"/>
              <w:rPr>
                <w:rFonts w:cs="Arial"/>
                <w:i/>
                <w:color w:val="000000"/>
                <w:sz w:val="18"/>
                <w:szCs w:val="18"/>
              </w:rPr>
            </w:pPr>
            <w:r w:rsidRPr="00D111B6">
              <w:rPr>
                <w:rFonts w:cs="Arial"/>
                <w:i/>
                <w:color w:val="000000"/>
                <w:sz w:val="18"/>
                <w:szCs w:val="18"/>
              </w:rPr>
              <w:t>5,725</w:t>
            </w:r>
          </w:p>
        </w:tc>
        <w:tc>
          <w:tcPr>
            <w:tcW w:w="1680" w:type="dxa"/>
            <w:tcBorders>
              <w:top w:val="nil"/>
              <w:left w:val="nil"/>
              <w:bottom w:val="nil"/>
              <w:right w:val="nil"/>
            </w:tcBorders>
            <w:shd w:val="clear" w:color="000000" w:fill="FFFFFF"/>
            <w:noWrap/>
            <w:vAlign w:val="center"/>
          </w:tcPr>
          <w:p w14:paraId="47D0EE26" w14:textId="1161ABB8" w:rsidR="009C2461" w:rsidRPr="00D111B6" w:rsidRDefault="00D210EB" w:rsidP="006C6F6A">
            <w:pPr>
              <w:spacing w:before="0" w:after="0" w:line="240" w:lineRule="auto"/>
              <w:jc w:val="right"/>
              <w:rPr>
                <w:rFonts w:cs="Arial"/>
                <w:i/>
                <w:color w:val="000000"/>
                <w:sz w:val="18"/>
                <w:szCs w:val="18"/>
              </w:rPr>
            </w:pPr>
            <w:r>
              <w:rPr>
                <w:rFonts w:cs="Arial"/>
                <w:i/>
                <w:color w:val="000000"/>
                <w:sz w:val="18"/>
                <w:szCs w:val="18"/>
              </w:rPr>
              <w:t>n/a</w:t>
            </w:r>
            <w:r w:rsidR="007A1B37">
              <w:rPr>
                <w:rStyle w:val="FootnoteReference"/>
                <w:rFonts w:cs="Arial"/>
                <w:i/>
                <w:color w:val="000000"/>
                <w:sz w:val="18"/>
                <w:szCs w:val="18"/>
              </w:rPr>
              <w:footnoteReference w:id="4"/>
            </w:r>
          </w:p>
        </w:tc>
      </w:tr>
      <w:tr w:rsidR="006C6F6A" w:rsidRPr="003A46E7" w14:paraId="079223B5" w14:textId="77777777" w:rsidTr="00176E42">
        <w:trPr>
          <w:trHeight w:val="300"/>
          <w:jc w:val="center"/>
        </w:trPr>
        <w:tc>
          <w:tcPr>
            <w:tcW w:w="2620" w:type="dxa"/>
            <w:tcBorders>
              <w:top w:val="nil"/>
              <w:left w:val="nil"/>
              <w:bottom w:val="single" w:sz="4" w:space="0" w:color="auto"/>
              <w:right w:val="nil"/>
            </w:tcBorders>
            <w:shd w:val="clear" w:color="000000" w:fill="FFFFFF"/>
            <w:noWrap/>
            <w:vAlign w:val="center"/>
            <w:hideMark/>
          </w:tcPr>
          <w:p w14:paraId="02138FCD" w14:textId="77777777" w:rsidR="006C6F6A" w:rsidRPr="00BC0BDC" w:rsidRDefault="006C6F6A" w:rsidP="006C6F6A">
            <w:pPr>
              <w:spacing w:before="0" w:after="0" w:line="240" w:lineRule="auto"/>
              <w:rPr>
                <w:rFonts w:cs="Arial"/>
                <w:color w:val="000000"/>
                <w:sz w:val="18"/>
                <w:szCs w:val="18"/>
              </w:rPr>
            </w:pPr>
            <w:r w:rsidRPr="00BC0BDC">
              <w:rPr>
                <w:rFonts w:cs="Arial"/>
                <w:color w:val="000000"/>
                <w:sz w:val="18"/>
                <w:szCs w:val="18"/>
              </w:rPr>
              <w:t>Other activity</w:t>
            </w:r>
          </w:p>
        </w:tc>
        <w:tc>
          <w:tcPr>
            <w:tcW w:w="1040" w:type="dxa"/>
            <w:tcBorders>
              <w:top w:val="nil"/>
              <w:left w:val="nil"/>
              <w:bottom w:val="single" w:sz="4" w:space="0" w:color="auto"/>
              <w:right w:val="nil"/>
            </w:tcBorders>
            <w:shd w:val="clear" w:color="000000" w:fill="FFFFFF"/>
            <w:noWrap/>
            <w:vAlign w:val="center"/>
          </w:tcPr>
          <w:p w14:paraId="43806491" w14:textId="6A855498"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167</w:t>
            </w:r>
          </w:p>
        </w:tc>
        <w:tc>
          <w:tcPr>
            <w:tcW w:w="1180" w:type="dxa"/>
            <w:tcBorders>
              <w:top w:val="nil"/>
              <w:left w:val="nil"/>
              <w:bottom w:val="single" w:sz="4" w:space="0" w:color="auto"/>
              <w:right w:val="nil"/>
            </w:tcBorders>
            <w:shd w:val="clear" w:color="000000" w:fill="FFFFFF"/>
            <w:noWrap/>
            <w:vAlign w:val="center"/>
          </w:tcPr>
          <w:p w14:paraId="2F9EF841" w14:textId="180B35C5"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19,949</w:t>
            </w:r>
          </w:p>
        </w:tc>
        <w:tc>
          <w:tcPr>
            <w:tcW w:w="1300" w:type="dxa"/>
            <w:tcBorders>
              <w:top w:val="nil"/>
              <w:left w:val="nil"/>
              <w:bottom w:val="single" w:sz="4" w:space="0" w:color="auto"/>
              <w:right w:val="nil"/>
            </w:tcBorders>
            <w:shd w:val="clear" w:color="000000" w:fill="FFFFFF"/>
            <w:noWrap/>
            <w:vAlign w:val="center"/>
          </w:tcPr>
          <w:p w14:paraId="00A69D79" w14:textId="458D37A3"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 xml:space="preserve">       55 </w:t>
            </w:r>
          </w:p>
        </w:tc>
        <w:tc>
          <w:tcPr>
            <w:tcW w:w="1380" w:type="dxa"/>
            <w:tcBorders>
              <w:top w:val="nil"/>
              <w:left w:val="nil"/>
              <w:bottom w:val="single" w:sz="4" w:space="0" w:color="auto"/>
              <w:right w:val="nil"/>
            </w:tcBorders>
            <w:shd w:val="clear" w:color="000000" w:fill="FFFFFF"/>
            <w:noWrap/>
            <w:vAlign w:val="center"/>
          </w:tcPr>
          <w:p w14:paraId="12F3E5DB" w14:textId="7177F644"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2,773</w:t>
            </w:r>
          </w:p>
        </w:tc>
        <w:tc>
          <w:tcPr>
            <w:tcW w:w="1680" w:type="dxa"/>
            <w:tcBorders>
              <w:top w:val="nil"/>
              <w:left w:val="nil"/>
              <w:bottom w:val="single" w:sz="4" w:space="0" w:color="auto"/>
              <w:right w:val="nil"/>
            </w:tcBorders>
            <w:shd w:val="clear" w:color="000000" w:fill="FFFFFF"/>
            <w:noWrap/>
            <w:vAlign w:val="center"/>
          </w:tcPr>
          <w:p w14:paraId="31C5AD32" w14:textId="222F8A1D" w:rsidR="006C6F6A" w:rsidRPr="00BC0BDC" w:rsidRDefault="006C6F6A" w:rsidP="006C6F6A">
            <w:pPr>
              <w:spacing w:before="0" w:after="0" w:line="240" w:lineRule="auto"/>
              <w:jc w:val="right"/>
              <w:rPr>
                <w:rFonts w:cs="Arial"/>
                <w:color w:val="000000"/>
                <w:sz w:val="18"/>
                <w:szCs w:val="18"/>
              </w:rPr>
            </w:pPr>
            <w:r w:rsidRPr="00BC0BDC">
              <w:rPr>
                <w:rFonts w:cs="Arial"/>
                <w:color w:val="000000"/>
                <w:sz w:val="18"/>
                <w:szCs w:val="18"/>
              </w:rPr>
              <w:t>79.2</w:t>
            </w:r>
          </w:p>
        </w:tc>
      </w:tr>
    </w:tbl>
    <w:p w14:paraId="4080638E" w14:textId="46307E63" w:rsidR="002371BB" w:rsidRPr="00A92BBB" w:rsidRDefault="0096034C" w:rsidP="00440E76">
      <w:pPr>
        <w:pStyle w:val="Heading2"/>
      </w:pPr>
      <w:bookmarkStart w:id="20" w:name="_Toc524173851"/>
      <w:bookmarkStart w:id="21" w:name="_Toc25759687"/>
      <w:r>
        <w:t xml:space="preserve">5.1 </w:t>
      </w:r>
      <w:r w:rsidR="002371BB" w:rsidRPr="00A92BBB">
        <w:t>Participation</w:t>
      </w:r>
      <w:bookmarkEnd w:id="20"/>
      <w:bookmarkEnd w:id="21"/>
      <w:r w:rsidR="002371BB" w:rsidRPr="00A92BBB">
        <w:tab/>
      </w:r>
    </w:p>
    <w:p w14:paraId="1D28A13F" w14:textId="0729C30A" w:rsidR="000456F8" w:rsidRDefault="00EC707B" w:rsidP="000456F8">
      <w:pPr>
        <w:rPr>
          <w:rFonts w:cs="Arial"/>
          <w:szCs w:val="22"/>
        </w:rPr>
      </w:pPr>
      <w:r w:rsidRPr="00EC707B">
        <w:rPr>
          <w:rFonts w:cs="Arial"/>
          <w:szCs w:val="22"/>
        </w:rPr>
        <w:t xml:space="preserve">Between </w:t>
      </w:r>
      <w:r w:rsidRPr="00573411">
        <w:rPr>
          <w:rFonts w:cs="Arial"/>
          <w:szCs w:val="22"/>
        </w:rPr>
        <w:t xml:space="preserve">Round 21 and </w:t>
      </w:r>
      <w:r w:rsidR="00FC5C10">
        <w:rPr>
          <w:rFonts w:cs="Arial"/>
          <w:szCs w:val="22"/>
        </w:rPr>
        <w:t xml:space="preserve">Round </w:t>
      </w:r>
      <w:r w:rsidRPr="00573411">
        <w:rPr>
          <w:rFonts w:cs="Arial"/>
          <w:szCs w:val="22"/>
        </w:rPr>
        <w:t>22</w:t>
      </w:r>
      <w:r w:rsidR="002371BB" w:rsidRPr="00573411">
        <w:rPr>
          <w:rFonts w:cs="Arial"/>
          <w:szCs w:val="22"/>
        </w:rPr>
        <w:t>, the number of unique hospitals that submitted cost data to the NH</w:t>
      </w:r>
      <w:r w:rsidRPr="00573411">
        <w:rPr>
          <w:rFonts w:cs="Arial"/>
          <w:szCs w:val="22"/>
        </w:rPr>
        <w:t>CDC increased from 451 to 453</w:t>
      </w:r>
      <w:r w:rsidR="002371BB" w:rsidRPr="00573411">
        <w:rPr>
          <w:rFonts w:cs="Arial"/>
          <w:szCs w:val="22"/>
        </w:rPr>
        <w:t>.</w:t>
      </w:r>
      <w:r w:rsidR="00EE4C4B">
        <w:rPr>
          <w:rFonts w:cs="Arial"/>
          <w:szCs w:val="22"/>
        </w:rPr>
        <w:t xml:space="preserve"> </w:t>
      </w:r>
      <w:r w:rsidR="008D54CA">
        <w:rPr>
          <w:rFonts w:cs="Arial"/>
          <w:szCs w:val="22"/>
        </w:rPr>
        <w:t xml:space="preserve">Despite the small </w:t>
      </w:r>
      <w:r w:rsidR="00F94A26">
        <w:rPr>
          <w:rFonts w:cs="Arial"/>
          <w:szCs w:val="22"/>
        </w:rPr>
        <w:t xml:space="preserve">overall </w:t>
      </w:r>
      <w:r w:rsidR="008D54CA">
        <w:rPr>
          <w:rFonts w:cs="Arial"/>
          <w:szCs w:val="22"/>
        </w:rPr>
        <w:t xml:space="preserve">increase, the </w:t>
      </w:r>
      <w:r w:rsidR="00F94A26">
        <w:rPr>
          <w:rFonts w:cs="Arial"/>
          <w:szCs w:val="22"/>
        </w:rPr>
        <w:t xml:space="preserve">group of </w:t>
      </w:r>
      <w:r w:rsidR="0017004C">
        <w:rPr>
          <w:rFonts w:cs="Arial"/>
          <w:szCs w:val="22"/>
        </w:rPr>
        <w:t xml:space="preserve">submitting </w:t>
      </w:r>
      <w:r w:rsidR="00F94A26">
        <w:rPr>
          <w:rFonts w:cs="Arial"/>
          <w:szCs w:val="22"/>
        </w:rPr>
        <w:t xml:space="preserve">hospitals changed considerably– particularly </w:t>
      </w:r>
      <w:r w:rsidR="008D2A10">
        <w:rPr>
          <w:rFonts w:cs="Arial"/>
          <w:szCs w:val="22"/>
        </w:rPr>
        <w:t xml:space="preserve">from </w:t>
      </w:r>
      <w:r w:rsidR="00F94A26" w:rsidRPr="0017004C">
        <w:rPr>
          <w:rFonts w:cs="Arial"/>
          <w:szCs w:val="22"/>
        </w:rPr>
        <w:t>Queensland.</w:t>
      </w:r>
      <w:r w:rsidR="00EE4C4B">
        <w:rPr>
          <w:rFonts w:cs="Arial"/>
          <w:szCs w:val="22"/>
        </w:rPr>
        <w:t xml:space="preserve"> </w:t>
      </w:r>
      <w:r w:rsidR="00FC5C10">
        <w:rPr>
          <w:rFonts w:cs="Arial"/>
          <w:szCs w:val="22"/>
        </w:rPr>
        <w:t>Twenty-one of the 453 hospitals which participated in Round 22 did not participate in Round 21.</w:t>
      </w:r>
      <w:r w:rsidR="00EE4C4B">
        <w:rPr>
          <w:rFonts w:cs="Arial"/>
          <w:szCs w:val="22"/>
        </w:rPr>
        <w:t xml:space="preserve"> </w:t>
      </w:r>
      <w:r w:rsidR="00FC5C10">
        <w:rPr>
          <w:rFonts w:cs="Arial"/>
          <w:szCs w:val="22"/>
        </w:rPr>
        <w:t>Of these</w:t>
      </w:r>
      <w:r w:rsidR="00A71406">
        <w:rPr>
          <w:rFonts w:cs="Arial"/>
          <w:szCs w:val="22"/>
        </w:rPr>
        <w:t xml:space="preserve"> hospitals</w:t>
      </w:r>
      <w:r w:rsidR="00FC5C10">
        <w:rPr>
          <w:rFonts w:cs="Arial"/>
          <w:szCs w:val="22"/>
        </w:rPr>
        <w:t>, 19 were located in Queensland</w:t>
      </w:r>
      <w:r w:rsidR="00A71406">
        <w:rPr>
          <w:rFonts w:cs="Arial"/>
          <w:szCs w:val="22"/>
        </w:rPr>
        <w:t>.</w:t>
      </w:r>
      <w:r w:rsidR="00EE4C4B">
        <w:rPr>
          <w:rFonts w:cs="Arial"/>
          <w:szCs w:val="22"/>
        </w:rPr>
        <w:t xml:space="preserve"> </w:t>
      </w:r>
      <w:r w:rsidR="00FC5C10">
        <w:rPr>
          <w:rFonts w:cs="Arial"/>
          <w:szCs w:val="22"/>
        </w:rPr>
        <w:t>Similarly, Queensland’s Round 22 submission did not include 17 of the hospitals in</w:t>
      </w:r>
      <w:r w:rsidR="000456F8">
        <w:rPr>
          <w:rFonts w:cs="Arial"/>
          <w:szCs w:val="22"/>
        </w:rPr>
        <w:t>cluded in their</w:t>
      </w:r>
      <w:r w:rsidR="00FC5C10">
        <w:rPr>
          <w:rFonts w:cs="Arial"/>
          <w:szCs w:val="22"/>
        </w:rPr>
        <w:t xml:space="preserve"> Round 21</w:t>
      </w:r>
      <w:r w:rsidR="000456F8">
        <w:rPr>
          <w:rFonts w:cs="Arial"/>
          <w:szCs w:val="22"/>
        </w:rPr>
        <w:t xml:space="preserve"> submission.</w:t>
      </w:r>
      <w:r w:rsidR="00EE4C4B">
        <w:rPr>
          <w:rFonts w:cs="Arial"/>
          <w:szCs w:val="22"/>
        </w:rPr>
        <w:t xml:space="preserve"> </w:t>
      </w:r>
      <w:r w:rsidR="000456F8" w:rsidRPr="00886525">
        <w:rPr>
          <w:rFonts w:cs="Arial"/>
          <w:szCs w:val="22"/>
        </w:rPr>
        <w:t xml:space="preserve">Between </w:t>
      </w:r>
      <w:r w:rsidR="009A24FA">
        <w:rPr>
          <w:rFonts w:cs="Arial"/>
          <w:szCs w:val="22"/>
        </w:rPr>
        <w:t>the rounds,</w:t>
      </w:r>
      <w:r w:rsidR="000456F8" w:rsidRPr="00886525">
        <w:rPr>
          <w:rFonts w:cs="Arial"/>
          <w:szCs w:val="22"/>
        </w:rPr>
        <w:t xml:space="preserve"> the number of Public Community Mental Health facilities</w:t>
      </w:r>
      <w:r w:rsidR="000456F8">
        <w:rPr>
          <w:rFonts w:cs="Arial"/>
          <w:szCs w:val="22"/>
        </w:rPr>
        <w:t xml:space="preserve"> submitted by Queensland</w:t>
      </w:r>
      <w:r w:rsidR="000456F8" w:rsidRPr="00886525">
        <w:rPr>
          <w:rFonts w:cs="Arial"/>
          <w:szCs w:val="22"/>
        </w:rPr>
        <w:t xml:space="preserve"> decreased from 79 to 65, and the number of Primary Health Centres increased from 6 to 22.</w:t>
      </w:r>
    </w:p>
    <w:p w14:paraId="7CF1E812" w14:textId="77777777" w:rsidR="000456F8" w:rsidRDefault="000456F8" w:rsidP="00F94A26">
      <w:pPr>
        <w:rPr>
          <w:rFonts w:cs="Arial"/>
          <w:szCs w:val="22"/>
        </w:rPr>
      </w:pPr>
    </w:p>
    <w:p w14:paraId="5194849F" w14:textId="66DCA170" w:rsidR="006F7C01" w:rsidRPr="00573411" w:rsidRDefault="00FF323C" w:rsidP="00C525BF">
      <w:pPr>
        <w:pStyle w:val="Caption"/>
      </w:pPr>
      <w:bookmarkStart w:id="22" w:name="_Toc31880534"/>
      <w:r>
        <w:lastRenderedPageBreak/>
        <w:t xml:space="preserve">Table </w:t>
      </w:r>
      <w:fldSimple w:instr=" SEQ Table \* ARABIC ">
        <w:r w:rsidR="00423E34">
          <w:rPr>
            <w:noProof/>
          </w:rPr>
          <w:t>4</w:t>
        </w:r>
      </w:fldSimple>
      <w:r>
        <w:t xml:space="preserve"> </w:t>
      </w:r>
      <w:r w:rsidRPr="00E63FAF">
        <w:t>Number of hospitals, by jurisdiction, Round 20-22</w:t>
      </w:r>
      <w:bookmarkEnd w:id="22"/>
    </w:p>
    <w:tbl>
      <w:tblPr>
        <w:tblW w:w="5160" w:type="dxa"/>
        <w:jc w:val="center"/>
        <w:tblLook w:val="04A0" w:firstRow="1" w:lastRow="0" w:firstColumn="1" w:lastColumn="0" w:noHBand="0" w:noVBand="1"/>
        <w:tblCaption w:val="Table 4 Number of hospitals, by jurisdiction, Round 20-22"/>
        <w:tblDescription w:val="The table displays the number of participating hospitals between Round 20 to 22 by jurisdiciton."/>
      </w:tblPr>
      <w:tblGrid>
        <w:gridCol w:w="1440"/>
        <w:gridCol w:w="1240"/>
        <w:gridCol w:w="1240"/>
        <w:gridCol w:w="1240"/>
      </w:tblGrid>
      <w:tr w:rsidR="005D3133" w:rsidRPr="00573411" w14:paraId="08C88025" w14:textId="77777777" w:rsidTr="008C0576">
        <w:trPr>
          <w:trHeight w:val="300"/>
          <w:jc w:val="center"/>
        </w:trPr>
        <w:tc>
          <w:tcPr>
            <w:tcW w:w="1440" w:type="dxa"/>
            <w:tcBorders>
              <w:top w:val="single" w:sz="4" w:space="0" w:color="auto"/>
              <w:left w:val="nil"/>
              <w:bottom w:val="nil"/>
              <w:right w:val="nil"/>
            </w:tcBorders>
            <w:shd w:val="clear" w:color="auto" w:fill="auto"/>
            <w:noWrap/>
            <w:vAlign w:val="center"/>
            <w:hideMark/>
          </w:tcPr>
          <w:p w14:paraId="49B0B53B" w14:textId="77777777" w:rsidR="005D3133" w:rsidRPr="00573411" w:rsidRDefault="005D3133" w:rsidP="00417163">
            <w:pPr>
              <w:keepNext/>
              <w:spacing w:before="0" w:after="0" w:line="240" w:lineRule="auto"/>
              <w:rPr>
                <w:rFonts w:cs="Arial"/>
                <w:b/>
                <w:bCs/>
                <w:color w:val="000000"/>
                <w:sz w:val="18"/>
                <w:szCs w:val="18"/>
              </w:rPr>
            </w:pPr>
            <w:r w:rsidRPr="00573411">
              <w:rPr>
                <w:rFonts w:cs="Arial"/>
                <w:b/>
                <w:bCs/>
                <w:color w:val="000000"/>
                <w:sz w:val="18"/>
                <w:szCs w:val="18"/>
              </w:rPr>
              <w:t> </w:t>
            </w:r>
          </w:p>
        </w:tc>
        <w:tc>
          <w:tcPr>
            <w:tcW w:w="3720" w:type="dxa"/>
            <w:gridSpan w:val="3"/>
            <w:tcBorders>
              <w:top w:val="single" w:sz="4" w:space="0" w:color="auto"/>
              <w:left w:val="nil"/>
              <w:bottom w:val="single" w:sz="4" w:space="0" w:color="auto"/>
              <w:right w:val="nil"/>
            </w:tcBorders>
            <w:shd w:val="clear" w:color="000000" w:fill="FFFFFF"/>
            <w:noWrap/>
            <w:vAlign w:val="center"/>
            <w:hideMark/>
          </w:tcPr>
          <w:p w14:paraId="1B2580BD" w14:textId="77777777" w:rsidR="005D3133" w:rsidRPr="00573411" w:rsidRDefault="005D3133" w:rsidP="00417163">
            <w:pPr>
              <w:keepNext/>
              <w:spacing w:before="0" w:after="0" w:line="240" w:lineRule="auto"/>
              <w:jc w:val="center"/>
              <w:rPr>
                <w:rFonts w:cs="Arial"/>
                <w:b/>
                <w:bCs/>
                <w:color w:val="000000"/>
                <w:sz w:val="18"/>
                <w:szCs w:val="18"/>
              </w:rPr>
            </w:pPr>
            <w:r w:rsidRPr="00573411">
              <w:rPr>
                <w:rFonts w:cs="Arial"/>
                <w:b/>
                <w:bCs/>
                <w:color w:val="000000"/>
                <w:sz w:val="18"/>
                <w:szCs w:val="18"/>
              </w:rPr>
              <w:t>Number of participating hospitals</w:t>
            </w:r>
          </w:p>
        </w:tc>
      </w:tr>
      <w:tr w:rsidR="00EC707B" w:rsidRPr="00573411" w14:paraId="3056EEE5" w14:textId="77777777" w:rsidTr="008C0576">
        <w:trPr>
          <w:trHeight w:val="300"/>
          <w:jc w:val="center"/>
        </w:trPr>
        <w:tc>
          <w:tcPr>
            <w:tcW w:w="1440" w:type="dxa"/>
            <w:tcBorders>
              <w:top w:val="nil"/>
              <w:left w:val="nil"/>
              <w:bottom w:val="single" w:sz="4" w:space="0" w:color="auto"/>
              <w:right w:val="nil"/>
            </w:tcBorders>
            <w:shd w:val="clear" w:color="auto" w:fill="auto"/>
            <w:noWrap/>
            <w:vAlign w:val="center"/>
            <w:hideMark/>
          </w:tcPr>
          <w:p w14:paraId="0EE8C8BC" w14:textId="77777777" w:rsidR="00EC707B" w:rsidRPr="00573411" w:rsidRDefault="00EC707B" w:rsidP="00EC707B">
            <w:pPr>
              <w:keepNext/>
              <w:spacing w:before="0" w:after="0" w:line="240" w:lineRule="auto"/>
              <w:rPr>
                <w:rFonts w:cs="Arial"/>
                <w:b/>
                <w:bCs/>
                <w:color w:val="000000"/>
                <w:sz w:val="18"/>
                <w:szCs w:val="18"/>
              </w:rPr>
            </w:pPr>
            <w:r w:rsidRPr="00573411">
              <w:rPr>
                <w:rFonts w:cs="Arial"/>
                <w:b/>
                <w:bCs/>
                <w:color w:val="000000"/>
                <w:sz w:val="18"/>
                <w:szCs w:val="18"/>
              </w:rPr>
              <w:t>Jurisdiction</w:t>
            </w:r>
          </w:p>
        </w:tc>
        <w:tc>
          <w:tcPr>
            <w:tcW w:w="1240" w:type="dxa"/>
            <w:tcBorders>
              <w:top w:val="nil"/>
              <w:left w:val="nil"/>
              <w:bottom w:val="single" w:sz="4" w:space="0" w:color="auto"/>
              <w:right w:val="nil"/>
            </w:tcBorders>
            <w:shd w:val="clear" w:color="000000" w:fill="FFFFFF"/>
            <w:noWrap/>
            <w:vAlign w:val="center"/>
            <w:hideMark/>
          </w:tcPr>
          <w:p w14:paraId="13699E1B" w14:textId="77777777" w:rsidR="00EC707B" w:rsidRPr="00573411" w:rsidRDefault="00EC707B" w:rsidP="00EC707B">
            <w:pPr>
              <w:keepNext/>
              <w:spacing w:before="0" w:after="0" w:line="240" w:lineRule="auto"/>
              <w:jc w:val="center"/>
              <w:rPr>
                <w:rFonts w:cs="Arial"/>
                <w:color w:val="000000"/>
                <w:sz w:val="18"/>
                <w:szCs w:val="18"/>
              </w:rPr>
            </w:pPr>
            <w:r w:rsidRPr="00573411">
              <w:rPr>
                <w:rFonts w:cs="Arial"/>
                <w:color w:val="000000"/>
                <w:sz w:val="18"/>
                <w:szCs w:val="18"/>
              </w:rPr>
              <w:t>Round 20</w:t>
            </w:r>
          </w:p>
        </w:tc>
        <w:tc>
          <w:tcPr>
            <w:tcW w:w="1240" w:type="dxa"/>
            <w:tcBorders>
              <w:top w:val="nil"/>
              <w:left w:val="nil"/>
              <w:bottom w:val="single" w:sz="4" w:space="0" w:color="auto"/>
              <w:right w:val="nil"/>
            </w:tcBorders>
            <w:shd w:val="clear" w:color="000000" w:fill="FFFFFF"/>
            <w:noWrap/>
            <w:vAlign w:val="center"/>
            <w:hideMark/>
          </w:tcPr>
          <w:p w14:paraId="55E32210" w14:textId="77777777" w:rsidR="00EC707B" w:rsidRPr="00573411" w:rsidRDefault="00EC707B" w:rsidP="00EC707B">
            <w:pPr>
              <w:keepNext/>
              <w:spacing w:before="0" w:after="0" w:line="240" w:lineRule="auto"/>
              <w:jc w:val="center"/>
              <w:rPr>
                <w:rFonts w:cs="Arial"/>
                <w:color w:val="000000"/>
                <w:sz w:val="18"/>
                <w:szCs w:val="18"/>
              </w:rPr>
            </w:pPr>
            <w:r w:rsidRPr="00573411">
              <w:rPr>
                <w:rFonts w:cs="Arial"/>
                <w:color w:val="000000"/>
                <w:sz w:val="18"/>
                <w:szCs w:val="18"/>
              </w:rPr>
              <w:t>Round 21</w:t>
            </w:r>
          </w:p>
        </w:tc>
        <w:tc>
          <w:tcPr>
            <w:tcW w:w="1240" w:type="dxa"/>
            <w:tcBorders>
              <w:top w:val="nil"/>
              <w:left w:val="nil"/>
              <w:bottom w:val="single" w:sz="4" w:space="0" w:color="auto"/>
              <w:right w:val="nil"/>
            </w:tcBorders>
            <w:shd w:val="clear" w:color="000000" w:fill="FFFFFF"/>
            <w:noWrap/>
            <w:vAlign w:val="center"/>
            <w:hideMark/>
          </w:tcPr>
          <w:p w14:paraId="059E98C2" w14:textId="77777777" w:rsidR="00EC707B" w:rsidRPr="00573411" w:rsidRDefault="00EC707B" w:rsidP="00EC707B">
            <w:pPr>
              <w:keepNext/>
              <w:spacing w:before="0" w:after="0" w:line="240" w:lineRule="auto"/>
              <w:jc w:val="center"/>
              <w:rPr>
                <w:rFonts w:cs="Arial"/>
                <w:color w:val="000000"/>
                <w:sz w:val="18"/>
                <w:szCs w:val="18"/>
              </w:rPr>
            </w:pPr>
            <w:r w:rsidRPr="00573411">
              <w:rPr>
                <w:rFonts w:cs="Arial"/>
                <w:color w:val="000000"/>
                <w:sz w:val="18"/>
                <w:szCs w:val="18"/>
              </w:rPr>
              <w:t>Round 22</w:t>
            </w:r>
          </w:p>
        </w:tc>
      </w:tr>
      <w:tr w:rsidR="00EC707B" w:rsidRPr="00573411" w14:paraId="37F1B7B4"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1217854F" w14:textId="77777777" w:rsidR="00EC707B" w:rsidRPr="00573411" w:rsidRDefault="00EC707B" w:rsidP="00EC707B">
            <w:pPr>
              <w:keepNext/>
              <w:spacing w:before="0" w:after="0" w:line="240" w:lineRule="auto"/>
              <w:rPr>
                <w:rFonts w:cs="Arial"/>
                <w:color w:val="000000"/>
                <w:sz w:val="18"/>
                <w:szCs w:val="18"/>
              </w:rPr>
            </w:pPr>
            <w:r w:rsidRPr="00573411">
              <w:rPr>
                <w:rFonts w:cs="Arial"/>
                <w:color w:val="000000"/>
                <w:sz w:val="18"/>
                <w:szCs w:val="18"/>
              </w:rPr>
              <w:t>NSW</w:t>
            </w:r>
          </w:p>
        </w:tc>
        <w:tc>
          <w:tcPr>
            <w:tcW w:w="1240" w:type="dxa"/>
            <w:tcBorders>
              <w:top w:val="nil"/>
              <w:left w:val="nil"/>
              <w:bottom w:val="nil"/>
              <w:right w:val="nil"/>
            </w:tcBorders>
            <w:shd w:val="clear" w:color="000000" w:fill="FFFFFF"/>
            <w:noWrap/>
            <w:vAlign w:val="center"/>
            <w:hideMark/>
          </w:tcPr>
          <w:p w14:paraId="2B61F16E" w14:textId="77777777" w:rsidR="00EC707B" w:rsidRPr="00573411" w:rsidRDefault="00EC707B" w:rsidP="00EC707B">
            <w:pPr>
              <w:keepNext/>
              <w:spacing w:before="0" w:after="0" w:line="240" w:lineRule="auto"/>
              <w:jc w:val="right"/>
              <w:rPr>
                <w:rFonts w:cs="Arial"/>
                <w:color w:val="000000"/>
                <w:sz w:val="18"/>
                <w:szCs w:val="18"/>
              </w:rPr>
            </w:pPr>
            <w:r w:rsidRPr="00573411">
              <w:rPr>
                <w:rFonts w:cs="Arial"/>
                <w:color w:val="000000"/>
                <w:sz w:val="18"/>
                <w:szCs w:val="18"/>
              </w:rPr>
              <w:t>98</w:t>
            </w:r>
          </w:p>
        </w:tc>
        <w:tc>
          <w:tcPr>
            <w:tcW w:w="1240" w:type="dxa"/>
            <w:tcBorders>
              <w:top w:val="nil"/>
              <w:left w:val="nil"/>
              <w:bottom w:val="nil"/>
              <w:right w:val="nil"/>
            </w:tcBorders>
            <w:shd w:val="clear" w:color="000000" w:fill="FFFFFF"/>
            <w:noWrap/>
            <w:vAlign w:val="center"/>
            <w:hideMark/>
          </w:tcPr>
          <w:p w14:paraId="6777D89C" w14:textId="77777777" w:rsidR="00EC707B" w:rsidRPr="00573411" w:rsidRDefault="00EC707B" w:rsidP="00EC707B">
            <w:pPr>
              <w:keepNext/>
              <w:spacing w:before="0" w:after="0" w:line="240" w:lineRule="auto"/>
              <w:jc w:val="right"/>
              <w:rPr>
                <w:rFonts w:cs="Arial"/>
                <w:color w:val="000000"/>
                <w:sz w:val="18"/>
                <w:szCs w:val="18"/>
              </w:rPr>
            </w:pPr>
            <w:r w:rsidRPr="00573411">
              <w:rPr>
                <w:rFonts w:cs="Arial"/>
                <w:color w:val="000000"/>
                <w:sz w:val="18"/>
                <w:szCs w:val="18"/>
              </w:rPr>
              <w:t>95</w:t>
            </w:r>
          </w:p>
        </w:tc>
        <w:tc>
          <w:tcPr>
            <w:tcW w:w="1240" w:type="dxa"/>
            <w:tcBorders>
              <w:top w:val="nil"/>
              <w:left w:val="nil"/>
              <w:bottom w:val="nil"/>
              <w:right w:val="nil"/>
            </w:tcBorders>
            <w:shd w:val="clear" w:color="000000" w:fill="FFFFFF"/>
            <w:noWrap/>
            <w:vAlign w:val="center"/>
            <w:hideMark/>
          </w:tcPr>
          <w:p w14:paraId="7BBDB5BB" w14:textId="77777777" w:rsidR="00EC707B" w:rsidRPr="00573411" w:rsidRDefault="00EC707B" w:rsidP="00EC707B">
            <w:pPr>
              <w:keepNext/>
              <w:spacing w:before="0" w:after="0" w:line="240" w:lineRule="auto"/>
              <w:jc w:val="right"/>
              <w:rPr>
                <w:rFonts w:cs="Arial"/>
                <w:color w:val="000000"/>
                <w:sz w:val="18"/>
                <w:szCs w:val="18"/>
              </w:rPr>
            </w:pPr>
            <w:r w:rsidRPr="00573411">
              <w:rPr>
                <w:rFonts w:cs="Arial"/>
                <w:color w:val="000000"/>
                <w:sz w:val="18"/>
                <w:szCs w:val="18"/>
              </w:rPr>
              <w:t>95</w:t>
            </w:r>
          </w:p>
        </w:tc>
      </w:tr>
      <w:tr w:rsidR="00EC707B" w:rsidRPr="00573411" w14:paraId="3790050D"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4F21361A"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Vic</w:t>
            </w:r>
          </w:p>
        </w:tc>
        <w:tc>
          <w:tcPr>
            <w:tcW w:w="1240" w:type="dxa"/>
            <w:tcBorders>
              <w:top w:val="nil"/>
              <w:left w:val="nil"/>
              <w:bottom w:val="nil"/>
              <w:right w:val="nil"/>
            </w:tcBorders>
            <w:shd w:val="clear" w:color="000000" w:fill="FFFFFF"/>
            <w:noWrap/>
            <w:vAlign w:val="center"/>
            <w:hideMark/>
          </w:tcPr>
          <w:p w14:paraId="482568C0"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73</w:t>
            </w:r>
          </w:p>
        </w:tc>
        <w:tc>
          <w:tcPr>
            <w:tcW w:w="1240" w:type="dxa"/>
            <w:tcBorders>
              <w:top w:val="nil"/>
              <w:left w:val="nil"/>
              <w:bottom w:val="nil"/>
              <w:right w:val="nil"/>
            </w:tcBorders>
            <w:shd w:val="clear" w:color="000000" w:fill="FFFFFF"/>
            <w:noWrap/>
            <w:vAlign w:val="center"/>
            <w:hideMark/>
          </w:tcPr>
          <w:p w14:paraId="5E305767"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79</w:t>
            </w:r>
          </w:p>
        </w:tc>
        <w:tc>
          <w:tcPr>
            <w:tcW w:w="1240" w:type="dxa"/>
            <w:tcBorders>
              <w:top w:val="nil"/>
              <w:left w:val="nil"/>
              <w:bottom w:val="nil"/>
              <w:right w:val="nil"/>
            </w:tcBorders>
            <w:shd w:val="clear" w:color="000000" w:fill="FFFFFF"/>
            <w:noWrap/>
            <w:vAlign w:val="center"/>
            <w:hideMark/>
          </w:tcPr>
          <w:p w14:paraId="7F95F975"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79</w:t>
            </w:r>
          </w:p>
        </w:tc>
      </w:tr>
      <w:tr w:rsidR="00EC707B" w:rsidRPr="00573411" w14:paraId="2FC735C6"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2B1E8DD4"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Qld</w:t>
            </w:r>
          </w:p>
        </w:tc>
        <w:tc>
          <w:tcPr>
            <w:tcW w:w="1240" w:type="dxa"/>
            <w:tcBorders>
              <w:top w:val="nil"/>
              <w:left w:val="nil"/>
              <w:bottom w:val="nil"/>
              <w:right w:val="nil"/>
            </w:tcBorders>
            <w:shd w:val="clear" w:color="000000" w:fill="FFFFFF"/>
            <w:noWrap/>
            <w:vAlign w:val="center"/>
            <w:hideMark/>
          </w:tcPr>
          <w:p w14:paraId="4E33CA24"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111</w:t>
            </w:r>
          </w:p>
        </w:tc>
        <w:tc>
          <w:tcPr>
            <w:tcW w:w="1240" w:type="dxa"/>
            <w:tcBorders>
              <w:top w:val="nil"/>
              <w:left w:val="nil"/>
              <w:bottom w:val="nil"/>
              <w:right w:val="nil"/>
            </w:tcBorders>
            <w:shd w:val="clear" w:color="000000" w:fill="FFFFFF"/>
            <w:noWrap/>
            <w:vAlign w:val="center"/>
            <w:hideMark/>
          </w:tcPr>
          <w:p w14:paraId="33DEB5E6"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195</w:t>
            </w:r>
          </w:p>
        </w:tc>
        <w:tc>
          <w:tcPr>
            <w:tcW w:w="1240" w:type="dxa"/>
            <w:tcBorders>
              <w:top w:val="nil"/>
              <w:left w:val="nil"/>
              <w:bottom w:val="nil"/>
              <w:right w:val="nil"/>
            </w:tcBorders>
            <w:shd w:val="clear" w:color="000000" w:fill="FFFFFF"/>
            <w:noWrap/>
            <w:vAlign w:val="center"/>
            <w:hideMark/>
          </w:tcPr>
          <w:p w14:paraId="01F504D6"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196</w:t>
            </w:r>
          </w:p>
        </w:tc>
      </w:tr>
      <w:tr w:rsidR="00EC707B" w:rsidRPr="00573411" w14:paraId="75053666"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0866B0F8"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SA</w:t>
            </w:r>
          </w:p>
        </w:tc>
        <w:tc>
          <w:tcPr>
            <w:tcW w:w="1240" w:type="dxa"/>
            <w:tcBorders>
              <w:top w:val="nil"/>
              <w:left w:val="nil"/>
              <w:bottom w:val="nil"/>
              <w:right w:val="nil"/>
            </w:tcBorders>
            <w:shd w:val="clear" w:color="000000" w:fill="FFFFFF"/>
            <w:noWrap/>
            <w:vAlign w:val="center"/>
            <w:hideMark/>
          </w:tcPr>
          <w:p w14:paraId="669FE1DF"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16</w:t>
            </w:r>
          </w:p>
        </w:tc>
        <w:tc>
          <w:tcPr>
            <w:tcW w:w="1240" w:type="dxa"/>
            <w:tcBorders>
              <w:top w:val="nil"/>
              <w:left w:val="nil"/>
              <w:bottom w:val="nil"/>
              <w:right w:val="nil"/>
            </w:tcBorders>
            <w:shd w:val="clear" w:color="000000" w:fill="FFFFFF"/>
            <w:noWrap/>
            <w:vAlign w:val="center"/>
            <w:hideMark/>
          </w:tcPr>
          <w:p w14:paraId="1EA928AA"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20</w:t>
            </w:r>
          </w:p>
        </w:tc>
        <w:tc>
          <w:tcPr>
            <w:tcW w:w="1240" w:type="dxa"/>
            <w:tcBorders>
              <w:top w:val="nil"/>
              <w:left w:val="nil"/>
              <w:bottom w:val="nil"/>
              <w:right w:val="nil"/>
            </w:tcBorders>
            <w:shd w:val="clear" w:color="000000" w:fill="FFFFFF"/>
            <w:noWrap/>
            <w:vAlign w:val="center"/>
            <w:hideMark/>
          </w:tcPr>
          <w:p w14:paraId="5A89D6E0"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20</w:t>
            </w:r>
          </w:p>
        </w:tc>
      </w:tr>
      <w:tr w:rsidR="00EC707B" w:rsidRPr="00573411" w14:paraId="44B020F0"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6404DDE4"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WA</w:t>
            </w:r>
          </w:p>
        </w:tc>
        <w:tc>
          <w:tcPr>
            <w:tcW w:w="1240" w:type="dxa"/>
            <w:tcBorders>
              <w:top w:val="nil"/>
              <w:left w:val="nil"/>
              <w:bottom w:val="nil"/>
              <w:right w:val="nil"/>
            </w:tcBorders>
            <w:shd w:val="clear" w:color="000000" w:fill="FFFFFF"/>
            <w:noWrap/>
            <w:vAlign w:val="center"/>
            <w:hideMark/>
          </w:tcPr>
          <w:p w14:paraId="29C150F7"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34</w:t>
            </w:r>
          </w:p>
        </w:tc>
        <w:tc>
          <w:tcPr>
            <w:tcW w:w="1240" w:type="dxa"/>
            <w:tcBorders>
              <w:top w:val="nil"/>
              <w:left w:val="nil"/>
              <w:bottom w:val="nil"/>
              <w:right w:val="nil"/>
            </w:tcBorders>
            <w:shd w:val="clear" w:color="000000" w:fill="FFFFFF"/>
            <w:noWrap/>
            <w:vAlign w:val="center"/>
            <w:hideMark/>
          </w:tcPr>
          <w:p w14:paraId="784BE519"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33</w:t>
            </w:r>
          </w:p>
        </w:tc>
        <w:tc>
          <w:tcPr>
            <w:tcW w:w="1240" w:type="dxa"/>
            <w:tcBorders>
              <w:top w:val="nil"/>
              <w:left w:val="nil"/>
              <w:bottom w:val="nil"/>
              <w:right w:val="nil"/>
            </w:tcBorders>
            <w:shd w:val="clear" w:color="000000" w:fill="FFFFFF"/>
            <w:noWrap/>
            <w:vAlign w:val="center"/>
            <w:hideMark/>
          </w:tcPr>
          <w:p w14:paraId="12A0FA54"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33</w:t>
            </w:r>
          </w:p>
        </w:tc>
      </w:tr>
      <w:tr w:rsidR="00EC707B" w:rsidRPr="00573411" w14:paraId="77F5A6FA"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33EC6869"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Tas</w:t>
            </w:r>
          </w:p>
        </w:tc>
        <w:tc>
          <w:tcPr>
            <w:tcW w:w="1240" w:type="dxa"/>
            <w:tcBorders>
              <w:top w:val="nil"/>
              <w:left w:val="nil"/>
              <w:bottom w:val="nil"/>
              <w:right w:val="nil"/>
            </w:tcBorders>
            <w:shd w:val="clear" w:color="000000" w:fill="FFFFFF"/>
            <w:noWrap/>
            <w:vAlign w:val="center"/>
            <w:hideMark/>
          </w:tcPr>
          <w:p w14:paraId="0F6E5A17"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4</w:t>
            </w:r>
          </w:p>
        </w:tc>
        <w:tc>
          <w:tcPr>
            <w:tcW w:w="1240" w:type="dxa"/>
            <w:tcBorders>
              <w:top w:val="nil"/>
              <w:left w:val="nil"/>
              <w:bottom w:val="nil"/>
              <w:right w:val="nil"/>
            </w:tcBorders>
            <w:shd w:val="clear" w:color="000000" w:fill="FFFFFF"/>
            <w:noWrap/>
            <w:vAlign w:val="center"/>
            <w:hideMark/>
          </w:tcPr>
          <w:p w14:paraId="1782E4F2"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22</w:t>
            </w:r>
          </w:p>
        </w:tc>
        <w:tc>
          <w:tcPr>
            <w:tcW w:w="1240" w:type="dxa"/>
            <w:tcBorders>
              <w:top w:val="nil"/>
              <w:left w:val="nil"/>
              <w:bottom w:val="nil"/>
              <w:right w:val="nil"/>
            </w:tcBorders>
            <w:shd w:val="clear" w:color="000000" w:fill="FFFFFF"/>
            <w:noWrap/>
            <w:vAlign w:val="center"/>
            <w:hideMark/>
          </w:tcPr>
          <w:p w14:paraId="1395E16C"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23</w:t>
            </w:r>
          </w:p>
        </w:tc>
      </w:tr>
      <w:tr w:rsidR="00EC707B" w:rsidRPr="00573411" w14:paraId="02CA22B4"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2613AE3F"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NT</w:t>
            </w:r>
          </w:p>
        </w:tc>
        <w:tc>
          <w:tcPr>
            <w:tcW w:w="1240" w:type="dxa"/>
            <w:tcBorders>
              <w:top w:val="nil"/>
              <w:left w:val="nil"/>
              <w:bottom w:val="nil"/>
              <w:right w:val="nil"/>
            </w:tcBorders>
            <w:shd w:val="clear" w:color="000000" w:fill="FFFFFF"/>
            <w:noWrap/>
            <w:vAlign w:val="center"/>
            <w:hideMark/>
          </w:tcPr>
          <w:p w14:paraId="5C10703D"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5</w:t>
            </w:r>
          </w:p>
        </w:tc>
        <w:tc>
          <w:tcPr>
            <w:tcW w:w="1240" w:type="dxa"/>
            <w:tcBorders>
              <w:top w:val="nil"/>
              <w:left w:val="nil"/>
              <w:bottom w:val="nil"/>
              <w:right w:val="nil"/>
            </w:tcBorders>
            <w:shd w:val="clear" w:color="000000" w:fill="FFFFFF"/>
            <w:noWrap/>
            <w:vAlign w:val="center"/>
            <w:hideMark/>
          </w:tcPr>
          <w:p w14:paraId="7DAECDB1"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5</w:t>
            </w:r>
          </w:p>
        </w:tc>
        <w:tc>
          <w:tcPr>
            <w:tcW w:w="1240" w:type="dxa"/>
            <w:tcBorders>
              <w:top w:val="nil"/>
              <w:left w:val="nil"/>
              <w:bottom w:val="nil"/>
              <w:right w:val="nil"/>
            </w:tcBorders>
            <w:shd w:val="clear" w:color="000000" w:fill="FFFFFF"/>
            <w:noWrap/>
            <w:vAlign w:val="center"/>
            <w:hideMark/>
          </w:tcPr>
          <w:p w14:paraId="3615F0F8"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5</w:t>
            </w:r>
          </w:p>
        </w:tc>
      </w:tr>
      <w:tr w:rsidR="00EC707B" w:rsidRPr="00573411" w14:paraId="1EB46D39" w14:textId="77777777" w:rsidTr="008C0576">
        <w:trPr>
          <w:trHeight w:val="300"/>
          <w:jc w:val="center"/>
        </w:trPr>
        <w:tc>
          <w:tcPr>
            <w:tcW w:w="1440" w:type="dxa"/>
            <w:tcBorders>
              <w:top w:val="nil"/>
              <w:left w:val="nil"/>
              <w:bottom w:val="nil"/>
              <w:right w:val="nil"/>
            </w:tcBorders>
            <w:shd w:val="clear" w:color="000000" w:fill="FFFFFF"/>
            <w:noWrap/>
            <w:vAlign w:val="center"/>
            <w:hideMark/>
          </w:tcPr>
          <w:p w14:paraId="1FA2073E" w14:textId="77777777" w:rsidR="00EC707B" w:rsidRPr="00573411" w:rsidRDefault="00EC707B" w:rsidP="00EC707B">
            <w:pPr>
              <w:spacing w:before="0" w:after="0" w:line="240" w:lineRule="auto"/>
              <w:rPr>
                <w:rFonts w:cs="Arial"/>
                <w:color w:val="000000"/>
                <w:sz w:val="18"/>
                <w:szCs w:val="18"/>
              </w:rPr>
            </w:pPr>
            <w:r w:rsidRPr="00573411">
              <w:rPr>
                <w:rFonts w:cs="Arial"/>
                <w:color w:val="000000"/>
                <w:sz w:val="18"/>
                <w:szCs w:val="18"/>
              </w:rPr>
              <w:t>ACT</w:t>
            </w:r>
          </w:p>
        </w:tc>
        <w:tc>
          <w:tcPr>
            <w:tcW w:w="1240" w:type="dxa"/>
            <w:tcBorders>
              <w:top w:val="nil"/>
              <w:left w:val="nil"/>
              <w:bottom w:val="nil"/>
              <w:right w:val="nil"/>
            </w:tcBorders>
            <w:shd w:val="clear" w:color="000000" w:fill="FFFFFF"/>
            <w:noWrap/>
            <w:vAlign w:val="center"/>
            <w:hideMark/>
          </w:tcPr>
          <w:p w14:paraId="25FCA3AE"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w:t>
            </w:r>
          </w:p>
        </w:tc>
        <w:tc>
          <w:tcPr>
            <w:tcW w:w="1240" w:type="dxa"/>
            <w:tcBorders>
              <w:top w:val="nil"/>
              <w:left w:val="nil"/>
              <w:bottom w:val="nil"/>
              <w:right w:val="nil"/>
            </w:tcBorders>
            <w:shd w:val="clear" w:color="000000" w:fill="FFFFFF"/>
            <w:noWrap/>
            <w:vAlign w:val="center"/>
            <w:hideMark/>
          </w:tcPr>
          <w:p w14:paraId="681FFFA2"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w:t>
            </w:r>
          </w:p>
        </w:tc>
        <w:tc>
          <w:tcPr>
            <w:tcW w:w="1240" w:type="dxa"/>
            <w:tcBorders>
              <w:top w:val="nil"/>
              <w:left w:val="nil"/>
              <w:bottom w:val="nil"/>
              <w:right w:val="nil"/>
            </w:tcBorders>
            <w:shd w:val="clear" w:color="000000" w:fill="FFFFFF"/>
            <w:noWrap/>
            <w:vAlign w:val="center"/>
            <w:hideMark/>
          </w:tcPr>
          <w:p w14:paraId="2E9ED740" w14:textId="77777777" w:rsidR="00EC707B" w:rsidRPr="00573411" w:rsidRDefault="00EC707B" w:rsidP="00EC707B">
            <w:pPr>
              <w:spacing w:before="0" w:after="0" w:line="240" w:lineRule="auto"/>
              <w:jc w:val="right"/>
              <w:rPr>
                <w:rFonts w:cs="Arial"/>
                <w:color w:val="000000"/>
                <w:sz w:val="18"/>
                <w:szCs w:val="18"/>
              </w:rPr>
            </w:pPr>
            <w:r w:rsidRPr="00573411">
              <w:rPr>
                <w:rFonts w:cs="Arial"/>
                <w:color w:val="000000"/>
                <w:sz w:val="18"/>
                <w:szCs w:val="18"/>
              </w:rPr>
              <w:t>2</w:t>
            </w:r>
          </w:p>
        </w:tc>
      </w:tr>
      <w:tr w:rsidR="00EC707B" w:rsidRPr="00573411" w14:paraId="6B70DCD7" w14:textId="77777777" w:rsidTr="008C0576">
        <w:trPr>
          <w:trHeight w:val="300"/>
          <w:jc w:val="center"/>
        </w:trPr>
        <w:tc>
          <w:tcPr>
            <w:tcW w:w="1440" w:type="dxa"/>
            <w:tcBorders>
              <w:top w:val="single" w:sz="4" w:space="0" w:color="auto"/>
              <w:left w:val="nil"/>
              <w:bottom w:val="single" w:sz="4" w:space="0" w:color="auto"/>
              <w:right w:val="nil"/>
            </w:tcBorders>
            <w:shd w:val="clear" w:color="000000" w:fill="FFFFFF"/>
            <w:noWrap/>
            <w:vAlign w:val="center"/>
            <w:hideMark/>
          </w:tcPr>
          <w:p w14:paraId="0ACED550" w14:textId="77777777" w:rsidR="00EC707B" w:rsidRPr="00573411" w:rsidRDefault="00EC707B" w:rsidP="00EC707B">
            <w:pPr>
              <w:spacing w:before="0" w:after="0" w:line="240" w:lineRule="auto"/>
              <w:rPr>
                <w:rFonts w:cs="Arial"/>
                <w:b/>
                <w:bCs/>
                <w:color w:val="000000"/>
                <w:sz w:val="18"/>
                <w:szCs w:val="18"/>
              </w:rPr>
            </w:pPr>
            <w:r w:rsidRPr="00573411">
              <w:rPr>
                <w:rFonts w:cs="Arial"/>
                <w:b/>
                <w:bCs/>
                <w:color w:val="000000"/>
                <w:sz w:val="18"/>
                <w:szCs w:val="18"/>
              </w:rPr>
              <w:t>National</w:t>
            </w:r>
          </w:p>
        </w:tc>
        <w:tc>
          <w:tcPr>
            <w:tcW w:w="1240" w:type="dxa"/>
            <w:tcBorders>
              <w:top w:val="single" w:sz="4" w:space="0" w:color="auto"/>
              <w:left w:val="nil"/>
              <w:bottom w:val="single" w:sz="4" w:space="0" w:color="auto"/>
              <w:right w:val="nil"/>
            </w:tcBorders>
            <w:shd w:val="clear" w:color="000000" w:fill="FFFFFF"/>
            <w:noWrap/>
            <w:vAlign w:val="center"/>
            <w:hideMark/>
          </w:tcPr>
          <w:p w14:paraId="3BDA1AFB" w14:textId="77777777" w:rsidR="00EC707B" w:rsidRPr="00573411" w:rsidRDefault="00EC707B" w:rsidP="00EC707B">
            <w:pPr>
              <w:spacing w:before="0" w:after="0" w:line="240" w:lineRule="auto"/>
              <w:jc w:val="right"/>
              <w:rPr>
                <w:rFonts w:cs="Arial"/>
                <w:b/>
                <w:bCs/>
                <w:color w:val="000000"/>
                <w:sz w:val="18"/>
                <w:szCs w:val="18"/>
              </w:rPr>
            </w:pPr>
            <w:r w:rsidRPr="00573411">
              <w:rPr>
                <w:rFonts w:cs="Arial"/>
                <w:b/>
                <w:bCs/>
                <w:color w:val="000000"/>
                <w:sz w:val="18"/>
                <w:szCs w:val="18"/>
              </w:rPr>
              <w:t>343</w:t>
            </w:r>
          </w:p>
        </w:tc>
        <w:tc>
          <w:tcPr>
            <w:tcW w:w="1240" w:type="dxa"/>
            <w:tcBorders>
              <w:top w:val="single" w:sz="4" w:space="0" w:color="auto"/>
              <w:left w:val="nil"/>
              <w:bottom w:val="single" w:sz="4" w:space="0" w:color="auto"/>
              <w:right w:val="nil"/>
            </w:tcBorders>
            <w:shd w:val="clear" w:color="000000" w:fill="FFFFFF"/>
            <w:noWrap/>
            <w:vAlign w:val="center"/>
            <w:hideMark/>
          </w:tcPr>
          <w:p w14:paraId="3949DC83" w14:textId="77777777" w:rsidR="00EC707B" w:rsidRPr="00573411" w:rsidRDefault="00EC707B" w:rsidP="00EC707B">
            <w:pPr>
              <w:spacing w:before="0" w:after="0" w:line="240" w:lineRule="auto"/>
              <w:jc w:val="right"/>
              <w:rPr>
                <w:rFonts w:cs="Arial"/>
                <w:b/>
                <w:bCs/>
                <w:color w:val="000000"/>
                <w:sz w:val="18"/>
                <w:szCs w:val="18"/>
              </w:rPr>
            </w:pPr>
            <w:r w:rsidRPr="00573411">
              <w:rPr>
                <w:rFonts w:cs="Arial"/>
                <w:b/>
                <w:bCs/>
                <w:color w:val="000000"/>
                <w:sz w:val="18"/>
                <w:szCs w:val="18"/>
              </w:rPr>
              <w:t>451</w:t>
            </w:r>
          </w:p>
        </w:tc>
        <w:tc>
          <w:tcPr>
            <w:tcW w:w="1240" w:type="dxa"/>
            <w:tcBorders>
              <w:top w:val="single" w:sz="4" w:space="0" w:color="auto"/>
              <w:left w:val="nil"/>
              <w:bottom w:val="single" w:sz="4" w:space="0" w:color="auto"/>
              <w:right w:val="nil"/>
            </w:tcBorders>
            <w:shd w:val="clear" w:color="000000" w:fill="FFFFFF"/>
            <w:noWrap/>
            <w:vAlign w:val="center"/>
            <w:hideMark/>
          </w:tcPr>
          <w:p w14:paraId="619D5272" w14:textId="77777777" w:rsidR="00EC707B" w:rsidRPr="00573411" w:rsidRDefault="00EC707B" w:rsidP="00EC707B">
            <w:pPr>
              <w:spacing w:before="0" w:after="0" w:line="240" w:lineRule="auto"/>
              <w:jc w:val="right"/>
              <w:rPr>
                <w:rFonts w:cs="Arial"/>
                <w:b/>
                <w:bCs/>
                <w:color w:val="000000"/>
                <w:sz w:val="18"/>
                <w:szCs w:val="18"/>
              </w:rPr>
            </w:pPr>
            <w:r w:rsidRPr="00573411">
              <w:rPr>
                <w:rFonts w:cs="Arial"/>
                <w:b/>
                <w:bCs/>
                <w:color w:val="000000"/>
                <w:sz w:val="18"/>
                <w:szCs w:val="18"/>
              </w:rPr>
              <w:t>453</w:t>
            </w:r>
          </w:p>
        </w:tc>
      </w:tr>
    </w:tbl>
    <w:p w14:paraId="63D526DA" w14:textId="6A2F23D9" w:rsidR="002371BB" w:rsidRPr="00573411" w:rsidRDefault="0096034C" w:rsidP="00440E76">
      <w:pPr>
        <w:pStyle w:val="Heading2"/>
      </w:pPr>
      <w:bookmarkStart w:id="23" w:name="_Toc524173852"/>
      <w:bookmarkStart w:id="24" w:name="_Toc25759688"/>
      <w:r>
        <w:t xml:space="preserve">5.2 </w:t>
      </w:r>
      <w:r w:rsidR="002371BB" w:rsidRPr="00573411">
        <w:t xml:space="preserve">Costed </w:t>
      </w:r>
      <w:r w:rsidR="00033C8D" w:rsidRPr="00573411">
        <w:t>a</w:t>
      </w:r>
      <w:r w:rsidR="002371BB" w:rsidRPr="00573411">
        <w:t>ctivity</w:t>
      </w:r>
      <w:bookmarkEnd w:id="23"/>
      <w:bookmarkEnd w:id="24"/>
    </w:p>
    <w:p w14:paraId="5B4A520E" w14:textId="6A0B53E7" w:rsidR="002371BB" w:rsidRPr="00573411" w:rsidRDefault="002371BB" w:rsidP="002371BB">
      <w:pPr>
        <w:rPr>
          <w:rFonts w:cs="Arial"/>
          <w:szCs w:val="22"/>
        </w:rPr>
      </w:pPr>
      <w:r w:rsidRPr="00573411">
        <w:rPr>
          <w:rFonts w:cs="Arial"/>
          <w:szCs w:val="22"/>
        </w:rPr>
        <w:t xml:space="preserve">To report on the NHCDC’s level of completeness, </w:t>
      </w:r>
      <w:r w:rsidR="003B4C44" w:rsidRPr="00573411">
        <w:rPr>
          <w:rFonts w:cs="Arial"/>
          <w:szCs w:val="22"/>
        </w:rPr>
        <w:t>IHPA</w:t>
      </w:r>
      <w:r w:rsidR="00A21106" w:rsidRPr="00573411">
        <w:rPr>
          <w:rFonts w:cs="Arial"/>
          <w:szCs w:val="22"/>
        </w:rPr>
        <w:t xml:space="preserve"> examine</w:t>
      </w:r>
      <w:r w:rsidR="003B4C44" w:rsidRPr="00573411">
        <w:rPr>
          <w:rFonts w:cs="Arial"/>
          <w:szCs w:val="22"/>
        </w:rPr>
        <w:t>s</w:t>
      </w:r>
      <w:r w:rsidR="00A21106" w:rsidRPr="00573411">
        <w:rPr>
          <w:rFonts w:cs="Arial"/>
          <w:szCs w:val="22"/>
        </w:rPr>
        <w:t xml:space="preserve"> the linkage between the</w:t>
      </w:r>
      <w:r w:rsidR="001B27A1" w:rsidRPr="00573411">
        <w:rPr>
          <w:rFonts w:cs="Arial"/>
          <w:szCs w:val="22"/>
        </w:rPr>
        <w:t xml:space="preserve"> </w:t>
      </w:r>
      <w:r w:rsidR="00A21106" w:rsidRPr="00573411">
        <w:rPr>
          <w:rFonts w:cs="Arial"/>
          <w:szCs w:val="22"/>
        </w:rPr>
        <w:t xml:space="preserve">patient </w:t>
      </w:r>
      <w:r w:rsidR="008D2A10">
        <w:rPr>
          <w:rFonts w:cs="Arial"/>
          <w:szCs w:val="22"/>
        </w:rPr>
        <w:t>activity</w:t>
      </w:r>
      <w:r w:rsidR="008D2A10" w:rsidRPr="00573411">
        <w:rPr>
          <w:rFonts w:cs="Arial"/>
          <w:szCs w:val="22"/>
        </w:rPr>
        <w:t xml:space="preserve"> </w:t>
      </w:r>
      <w:r w:rsidR="00A21106" w:rsidRPr="00573411">
        <w:rPr>
          <w:rFonts w:cs="Arial"/>
          <w:szCs w:val="22"/>
        </w:rPr>
        <w:t xml:space="preserve">for which </w:t>
      </w:r>
      <w:r w:rsidR="001B27A1" w:rsidRPr="00573411">
        <w:rPr>
          <w:rFonts w:cs="Arial"/>
          <w:szCs w:val="22"/>
        </w:rPr>
        <w:t xml:space="preserve">cost data </w:t>
      </w:r>
      <w:r w:rsidR="00A21106" w:rsidRPr="00573411">
        <w:rPr>
          <w:rFonts w:cs="Arial"/>
          <w:szCs w:val="22"/>
        </w:rPr>
        <w:t xml:space="preserve">were </w:t>
      </w:r>
      <w:r w:rsidR="001B27A1" w:rsidRPr="00573411">
        <w:rPr>
          <w:rFonts w:cs="Arial"/>
          <w:szCs w:val="22"/>
        </w:rPr>
        <w:t>submitted</w:t>
      </w:r>
      <w:r w:rsidR="00A21106" w:rsidRPr="00573411">
        <w:rPr>
          <w:rFonts w:cs="Arial"/>
          <w:szCs w:val="22"/>
        </w:rPr>
        <w:t xml:space="preserve"> via the NHCDC and </w:t>
      </w:r>
      <w:r w:rsidR="008D2A10">
        <w:rPr>
          <w:rFonts w:cs="Arial"/>
          <w:szCs w:val="22"/>
        </w:rPr>
        <w:t>records</w:t>
      </w:r>
      <w:r w:rsidR="008D2A10" w:rsidRPr="00573411">
        <w:rPr>
          <w:rFonts w:cs="Arial"/>
          <w:szCs w:val="22"/>
        </w:rPr>
        <w:t xml:space="preserve"> </w:t>
      </w:r>
      <w:r w:rsidR="00A21106" w:rsidRPr="00573411">
        <w:rPr>
          <w:rFonts w:cs="Arial"/>
          <w:szCs w:val="22"/>
        </w:rPr>
        <w:t>for which activity data were submitted to IHPA (</w:t>
      </w:r>
      <w:r w:rsidR="008D2A10">
        <w:rPr>
          <w:rFonts w:cs="Arial"/>
          <w:szCs w:val="22"/>
        </w:rPr>
        <w:t>using</w:t>
      </w:r>
      <w:r w:rsidR="00D52CF5">
        <w:rPr>
          <w:rFonts w:cs="Arial"/>
          <w:szCs w:val="22"/>
        </w:rPr>
        <w:t xml:space="preserve"> the</w:t>
      </w:r>
      <w:r w:rsidR="008D2A10">
        <w:rPr>
          <w:rFonts w:cs="Arial"/>
          <w:szCs w:val="22"/>
        </w:rPr>
        <w:t xml:space="preserve"> A</w:t>
      </w:r>
      <w:r w:rsidR="00D52CF5">
        <w:rPr>
          <w:rFonts w:cs="Arial"/>
          <w:szCs w:val="22"/>
        </w:rPr>
        <w:t xml:space="preserve">ctivity </w:t>
      </w:r>
      <w:r w:rsidR="008D2A10">
        <w:rPr>
          <w:rFonts w:cs="Arial"/>
          <w:szCs w:val="22"/>
        </w:rPr>
        <w:t>B</w:t>
      </w:r>
      <w:r w:rsidR="00D52CF5">
        <w:rPr>
          <w:rFonts w:cs="Arial"/>
          <w:szCs w:val="22"/>
        </w:rPr>
        <w:t xml:space="preserve">ased </w:t>
      </w:r>
      <w:r w:rsidR="008D2A10">
        <w:rPr>
          <w:rFonts w:cs="Arial"/>
          <w:szCs w:val="22"/>
        </w:rPr>
        <w:t>F</w:t>
      </w:r>
      <w:r w:rsidR="00D52CF5">
        <w:rPr>
          <w:rFonts w:cs="Arial"/>
          <w:szCs w:val="22"/>
        </w:rPr>
        <w:t>unding</w:t>
      </w:r>
      <w:r w:rsidR="008D2A10">
        <w:rPr>
          <w:rFonts w:cs="Arial"/>
          <w:szCs w:val="22"/>
        </w:rPr>
        <w:t xml:space="preserve"> D</w:t>
      </w:r>
      <w:r w:rsidR="00D52CF5">
        <w:rPr>
          <w:rFonts w:cs="Arial"/>
          <w:szCs w:val="22"/>
        </w:rPr>
        <w:t xml:space="preserve">ata </w:t>
      </w:r>
      <w:r w:rsidR="008D2A10">
        <w:rPr>
          <w:rFonts w:cs="Arial"/>
          <w:szCs w:val="22"/>
        </w:rPr>
        <w:t>R</w:t>
      </w:r>
      <w:r w:rsidR="00D52CF5">
        <w:rPr>
          <w:rFonts w:cs="Arial"/>
          <w:szCs w:val="22"/>
        </w:rPr>
        <w:t xml:space="preserve">equest </w:t>
      </w:r>
      <w:r w:rsidR="008D2A10">
        <w:rPr>
          <w:rFonts w:cs="Arial"/>
          <w:szCs w:val="22"/>
        </w:rPr>
        <w:t>S</w:t>
      </w:r>
      <w:r w:rsidR="00D52CF5">
        <w:rPr>
          <w:rFonts w:cs="Arial"/>
          <w:szCs w:val="22"/>
        </w:rPr>
        <w:t>pecifications</w:t>
      </w:r>
      <w:r w:rsidR="00D52CF5">
        <w:rPr>
          <w:rStyle w:val="FootnoteReference"/>
          <w:rFonts w:cs="Arial"/>
          <w:szCs w:val="22"/>
        </w:rPr>
        <w:footnoteReference w:id="5"/>
      </w:r>
      <w:r w:rsidR="00A21106" w:rsidRPr="00573411">
        <w:rPr>
          <w:rFonts w:cs="Arial"/>
          <w:szCs w:val="22"/>
        </w:rPr>
        <w:t>)</w:t>
      </w:r>
      <w:r w:rsidR="001B27A1" w:rsidRPr="00573411">
        <w:rPr>
          <w:rFonts w:cs="Arial"/>
          <w:szCs w:val="22"/>
        </w:rPr>
        <w:t xml:space="preserve">. </w:t>
      </w:r>
      <w:r w:rsidR="006F2747" w:rsidRPr="00573411">
        <w:rPr>
          <w:rFonts w:cs="Arial"/>
          <w:szCs w:val="22"/>
        </w:rPr>
        <w:t>IHPA receives the following types of episode level data:</w:t>
      </w:r>
    </w:p>
    <w:p w14:paraId="4D3AB9EE" w14:textId="77777777" w:rsidR="002371BB" w:rsidRPr="00573411" w:rsidRDefault="002371BB" w:rsidP="003F1387">
      <w:pPr>
        <w:pStyle w:val="ListParagraph"/>
        <w:numPr>
          <w:ilvl w:val="0"/>
          <w:numId w:val="13"/>
        </w:numPr>
      </w:pPr>
      <w:r w:rsidRPr="00573411">
        <w:t xml:space="preserve">Cost data, submitted annually via the NHCDC, </w:t>
      </w:r>
      <w:r w:rsidR="001C52C9" w:rsidRPr="00573411">
        <w:t xml:space="preserve">which </w:t>
      </w:r>
      <w:r w:rsidRPr="00573411">
        <w:t xml:space="preserve">contains detailed information about the actual costs associated with a patient’s episode. </w:t>
      </w:r>
    </w:p>
    <w:p w14:paraId="60FBBDF2" w14:textId="505D1558" w:rsidR="006F2747" w:rsidRPr="00573411" w:rsidRDefault="006F2747" w:rsidP="003F1387">
      <w:pPr>
        <w:pStyle w:val="ListParagraph"/>
        <w:numPr>
          <w:ilvl w:val="0"/>
          <w:numId w:val="13"/>
        </w:numPr>
      </w:pPr>
      <w:r w:rsidRPr="00573411">
        <w:t>Activity data, which is submitted</w:t>
      </w:r>
      <w:r w:rsidR="003B2573" w:rsidRPr="00573411">
        <w:t xml:space="preserve"> </w:t>
      </w:r>
      <w:r w:rsidR="00A20437" w:rsidRPr="00573411">
        <w:t>quarterly</w:t>
      </w:r>
      <w:r w:rsidRPr="00573411">
        <w:t xml:space="preserve"> </w:t>
      </w:r>
      <w:r w:rsidR="00100787">
        <w:t>in line with data set specifications unique to each activity stream</w:t>
      </w:r>
      <w:r w:rsidR="00100787">
        <w:rPr>
          <w:rStyle w:val="FootnoteReference"/>
        </w:rPr>
        <w:footnoteReference w:id="6"/>
      </w:r>
      <w:r w:rsidRPr="00573411">
        <w:t xml:space="preserve">. From these data, patient episodes are categorised according to IHPA’s classifications which represent each of the activity streams. </w:t>
      </w:r>
    </w:p>
    <w:p w14:paraId="34B2C8A1" w14:textId="7D8C7AF0" w:rsidR="002371BB" w:rsidRPr="00E12C55" w:rsidRDefault="002371BB" w:rsidP="002371BB">
      <w:pPr>
        <w:rPr>
          <w:rFonts w:cs="Arial"/>
          <w:szCs w:val="22"/>
        </w:rPr>
      </w:pPr>
      <w:r w:rsidRPr="00573411">
        <w:rPr>
          <w:rFonts w:cs="Arial"/>
          <w:szCs w:val="22"/>
        </w:rPr>
        <w:t>When both activity and cost data relating to a particular patient episode are submitted, IHPA links the data</w:t>
      </w:r>
      <w:r w:rsidR="009552F1" w:rsidRPr="00573411">
        <w:rPr>
          <w:rFonts w:cs="Arial"/>
          <w:szCs w:val="22"/>
        </w:rPr>
        <w:t xml:space="preserve">. </w:t>
      </w:r>
      <w:r w:rsidRPr="00573411">
        <w:rPr>
          <w:rFonts w:cs="Arial"/>
          <w:szCs w:val="22"/>
        </w:rPr>
        <w:t>‘Costed Activity’ refers to this linkage</w:t>
      </w:r>
      <w:r w:rsidR="009552F1" w:rsidRPr="00573411">
        <w:rPr>
          <w:rFonts w:cs="Arial"/>
          <w:szCs w:val="22"/>
        </w:rPr>
        <w:t xml:space="preserve">. </w:t>
      </w:r>
      <w:r w:rsidR="006F2747" w:rsidRPr="00573411">
        <w:rPr>
          <w:rFonts w:cs="Arial"/>
          <w:szCs w:val="22"/>
        </w:rPr>
        <w:t>The ‘per</w:t>
      </w:r>
      <w:r w:rsidRPr="00573411">
        <w:rPr>
          <w:rFonts w:cs="Arial"/>
          <w:szCs w:val="22"/>
        </w:rPr>
        <w:t xml:space="preserve">cent of Costed Activity’ represents the </w:t>
      </w:r>
      <w:r w:rsidR="00250188">
        <w:rPr>
          <w:rFonts w:cs="Arial"/>
          <w:szCs w:val="22"/>
        </w:rPr>
        <w:t>number of</w:t>
      </w:r>
      <w:r w:rsidR="00C35F49">
        <w:rPr>
          <w:rFonts w:cs="Arial"/>
          <w:szCs w:val="22"/>
        </w:rPr>
        <w:t xml:space="preserve"> public sector</w:t>
      </w:r>
      <w:r w:rsidR="00250188">
        <w:rPr>
          <w:rFonts w:cs="Arial"/>
          <w:szCs w:val="22"/>
        </w:rPr>
        <w:t xml:space="preserve"> episodes in</w:t>
      </w:r>
      <w:r w:rsidR="00C35F49">
        <w:rPr>
          <w:rFonts w:cs="Arial"/>
          <w:szCs w:val="22"/>
        </w:rPr>
        <w:t xml:space="preserve"> the</w:t>
      </w:r>
      <w:r w:rsidR="00250188">
        <w:rPr>
          <w:rFonts w:cs="Arial"/>
          <w:szCs w:val="22"/>
        </w:rPr>
        <w:t xml:space="preserve"> </w:t>
      </w:r>
      <w:r w:rsidRPr="00573411">
        <w:rPr>
          <w:rFonts w:cs="Arial"/>
          <w:szCs w:val="22"/>
        </w:rPr>
        <w:t>activity data</w:t>
      </w:r>
      <w:r w:rsidR="00BF23B1">
        <w:rPr>
          <w:rFonts w:cs="Arial"/>
          <w:szCs w:val="22"/>
        </w:rPr>
        <w:t xml:space="preserve"> </w:t>
      </w:r>
      <w:r w:rsidR="00C35F49">
        <w:rPr>
          <w:rFonts w:cs="Arial"/>
          <w:szCs w:val="22"/>
        </w:rPr>
        <w:t xml:space="preserve">with costs submitted via </w:t>
      </w:r>
      <w:r w:rsidR="00BF23B1">
        <w:rPr>
          <w:rFonts w:cs="Arial"/>
          <w:szCs w:val="22"/>
        </w:rPr>
        <w:t>the NHCDC</w:t>
      </w:r>
      <w:r w:rsidRPr="00573411">
        <w:rPr>
          <w:rFonts w:cs="Arial"/>
          <w:szCs w:val="22"/>
        </w:rPr>
        <w:t>.</w:t>
      </w:r>
    </w:p>
    <w:p w14:paraId="49C7888D" w14:textId="53ED7C04" w:rsidR="002B2FD3" w:rsidRPr="00573411" w:rsidRDefault="008F0A0F" w:rsidP="002371BB">
      <w:pPr>
        <w:rPr>
          <w:rFonts w:cs="Arial"/>
          <w:szCs w:val="22"/>
        </w:rPr>
      </w:pPr>
      <w:r w:rsidRPr="00573411">
        <w:rPr>
          <w:rFonts w:cs="Arial"/>
          <w:szCs w:val="22"/>
        </w:rPr>
        <w:t>In Round 22, 96</w:t>
      </w:r>
      <w:r w:rsidR="002371BB" w:rsidRPr="00573411">
        <w:rPr>
          <w:rFonts w:cs="Arial"/>
          <w:szCs w:val="22"/>
        </w:rPr>
        <w:t xml:space="preserve"> percent of the admitted acute </w:t>
      </w:r>
      <w:r w:rsidR="00121088">
        <w:rPr>
          <w:rFonts w:cs="Arial"/>
          <w:szCs w:val="22"/>
        </w:rPr>
        <w:t>activity</w:t>
      </w:r>
      <w:r w:rsidR="00121088" w:rsidRPr="00573411" w:rsidDel="00121088">
        <w:rPr>
          <w:rFonts w:cs="Arial"/>
          <w:szCs w:val="22"/>
        </w:rPr>
        <w:t xml:space="preserve"> </w:t>
      </w:r>
      <w:r w:rsidR="00BF23B1">
        <w:rPr>
          <w:rFonts w:cs="Arial"/>
          <w:szCs w:val="22"/>
        </w:rPr>
        <w:t>data</w:t>
      </w:r>
      <w:r w:rsidR="006B27E8" w:rsidRPr="00573411">
        <w:rPr>
          <w:rFonts w:cs="Arial"/>
          <w:szCs w:val="22"/>
        </w:rPr>
        <w:t xml:space="preserve"> </w:t>
      </w:r>
      <w:r w:rsidR="002371BB" w:rsidRPr="00573411">
        <w:rPr>
          <w:rFonts w:cs="Arial"/>
          <w:szCs w:val="22"/>
        </w:rPr>
        <w:t xml:space="preserve">had matching </w:t>
      </w:r>
      <w:r w:rsidR="00121088">
        <w:rPr>
          <w:rFonts w:cs="Arial"/>
          <w:szCs w:val="22"/>
        </w:rPr>
        <w:t>cost</w:t>
      </w:r>
      <w:r w:rsidR="00BF23B1" w:rsidRPr="00573411">
        <w:rPr>
          <w:rFonts w:cs="Arial"/>
          <w:szCs w:val="22"/>
        </w:rPr>
        <w:t xml:space="preserve"> </w:t>
      </w:r>
      <w:r w:rsidR="002371BB" w:rsidRPr="00573411">
        <w:rPr>
          <w:rFonts w:cs="Arial"/>
          <w:szCs w:val="22"/>
        </w:rPr>
        <w:t xml:space="preserve">data. </w:t>
      </w:r>
      <w:r w:rsidR="00352196">
        <w:rPr>
          <w:rFonts w:cs="Arial"/>
          <w:szCs w:val="22"/>
        </w:rPr>
        <w:t xml:space="preserve">Table </w:t>
      </w:r>
      <w:r w:rsidR="004D2DE1">
        <w:rPr>
          <w:rFonts w:cs="Arial"/>
          <w:szCs w:val="22"/>
        </w:rPr>
        <w:t>5</w:t>
      </w:r>
      <w:r w:rsidR="002371BB" w:rsidRPr="00573411">
        <w:rPr>
          <w:rFonts w:cs="Arial"/>
          <w:szCs w:val="22"/>
        </w:rPr>
        <w:t xml:space="preserve"> shows the completeness of the NHCDC </w:t>
      </w:r>
      <w:r w:rsidR="00611371" w:rsidRPr="00573411">
        <w:rPr>
          <w:rFonts w:cs="Arial"/>
          <w:szCs w:val="22"/>
        </w:rPr>
        <w:t>data</w:t>
      </w:r>
      <w:r w:rsidR="00F563BC" w:rsidRPr="00573411">
        <w:rPr>
          <w:rFonts w:cs="Arial"/>
          <w:szCs w:val="22"/>
        </w:rPr>
        <w:t xml:space="preserve"> for four </w:t>
      </w:r>
      <w:r w:rsidR="003833F5" w:rsidRPr="00573411">
        <w:rPr>
          <w:rFonts w:cs="Arial"/>
          <w:szCs w:val="22"/>
        </w:rPr>
        <w:t>activity strea</w:t>
      </w:r>
      <w:r w:rsidR="00100787">
        <w:rPr>
          <w:rFonts w:cs="Arial"/>
          <w:szCs w:val="22"/>
        </w:rPr>
        <w:t>ms.</w:t>
      </w:r>
      <w:r w:rsidR="00F563BC" w:rsidRPr="00573411">
        <w:rPr>
          <w:rFonts w:cs="Arial"/>
          <w:szCs w:val="22"/>
        </w:rPr>
        <w:t xml:space="preserve"> This is represented by </w:t>
      </w:r>
      <w:r w:rsidR="003833F5" w:rsidRPr="00573411">
        <w:rPr>
          <w:rFonts w:cs="Arial"/>
          <w:szCs w:val="22"/>
        </w:rPr>
        <w:t>the percentage of activity</w:t>
      </w:r>
      <w:r w:rsidR="00611371" w:rsidRPr="00573411">
        <w:rPr>
          <w:rFonts w:cs="Arial"/>
          <w:szCs w:val="22"/>
        </w:rPr>
        <w:t xml:space="preserve"> </w:t>
      </w:r>
      <w:r w:rsidR="003833F5" w:rsidRPr="00573411">
        <w:rPr>
          <w:rFonts w:cs="Arial"/>
          <w:szCs w:val="22"/>
        </w:rPr>
        <w:t>with costs over the past three rounds.</w:t>
      </w:r>
      <w:r w:rsidR="00EE4C4B">
        <w:rPr>
          <w:rFonts w:cs="Arial"/>
          <w:szCs w:val="22"/>
        </w:rPr>
        <w:t xml:space="preserve"> </w:t>
      </w:r>
      <w:r w:rsidR="003833F5" w:rsidRPr="00573411">
        <w:rPr>
          <w:rFonts w:cs="Arial"/>
          <w:szCs w:val="22"/>
        </w:rPr>
        <w:t xml:space="preserve">The </w:t>
      </w:r>
      <w:r w:rsidR="00573411" w:rsidRPr="00573411">
        <w:rPr>
          <w:rFonts w:cs="Arial"/>
          <w:szCs w:val="22"/>
        </w:rPr>
        <w:t xml:space="preserve">greater </w:t>
      </w:r>
      <w:r w:rsidR="00F563BC" w:rsidRPr="00573411">
        <w:rPr>
          <w:rFonts w:cs="Arial"/>
          <w:szCs w:val="22"/>
        </w:rPr>
        <w:t>variation</w:t>
      </w:r>
      <w:r w:rsidR="003833F5" w:rsidRPr="00573411">
        <w:rPr>
          <w:rFonts w:cs="Arial"/>
          <w:szCs w:val="22"/>
        </w:rPr>
        <w:t xml:space="preserve"> in the non-admitted stream reflects ongoing development of the definitions of the Tier 2 classes</w:t>
      </w:r>
      <w:r w:rsidR="006B27E8" w:rsidRPr="00573411">
        <w:rPr>
          <w:rFonts w:cs="Arial"/>
          <w:szCs w:val="22"/>
        </w:rPr>
        <w:t xml:space="preserve">. </w:t>
      </w:r>
    </w:p>
    <w:p w14:paraId="4578230D" w14:textId="74A2E298" w:rsidR="00FF323C" w:rsidRDefault="00FF323C" w:rsidP="00D111B6">
      <w:pPr>
        <w:pStyle w:val="Caption"/>
      </w:pPr>
      <w:bookmarkStart w:id="25" w:name="_Toc31880535"/>
      <w:r>
        <w:lastRenderedPageBreak/>
        <w:t xml:space="preserve">Table </w:t>
      </w:r>
      <w:fldSimple w:instr=" SEQ Table \* ARABIC ">
        <w:r w:rsidR="00423E34">
          <w:rPr>
            <w:noProof/>
          </w:rPr>
          <w:t>5</w:t>
        </w:r>
      </w:fldSimple>
      <w:r>
        <w:t xml:space="preserve"> </w:t>
      </w:r>
      <w:r w:rsidRPr="009550AF">
        <w:t xml:space="preserve">Percentage of submitted </w:t>
      </w:r>
      <w:r w:rsidR="00C5277A" w:rsidRPr="009550AF">
        <w:t xml:space="preserve">activity data </w:t>
      </w:r>
      <w:r w:rsidRPr="009550AF">
        <w:t xml:space="preserve">with matching </w:t>
      </w:r>
      <w:r w:rsidR="00C5277A" w:rsidRPr="009550AF">
        <w:t>cost data</w:t>
      </w:r>
      <w:r w:rsidRPr="009550AF">
        <w:t>, Round 20-22</w:t>
      </w:r>
      <w:bookmarkEnd w:id="25"/>
    </w:p>
    <w:tbl>
      <w:tblPr>
        <w:tblW w:w="5980" w:type="dxa"/>
        <w:jc w:val="center"/>
        <w:tblLook w:val="04A0" w:firstRow="1" w:lastRow="0" w:firstColumn="1" w:lastColumn="0" w:noHBand="0" w:noVBand="1"/>
        <w:tblCaption w:val="Table 5 Percentage of submitted activity data with matching cost data submitted, Round 20-22, public hospitals"/>
        <w:tblDescription w:val="The table displays the percentage of submitted activity data by activity streams for round 20 to round 22."/>
      </w:tblPr>
      <w:tblGrid>
        <w:gridCol w:w="2260"/>
        <w:gridCol w:w="1240"/>
        <w:gridCol w:w="1240"/>
        <w:gridCol w:w="1240"/>
      </w:tblGrid>
      <w:tr w:rsidR="00176E42" w:rsidRPr="003A3B96" w14:paraId="75F7ED50" w14:textId="77777777" w:rsidTr="008C0576">
        <w:trPr>
          <w:trHeight w:val="300"/>
          <w:jc w:val="center"/>
        </w:trPr>
        <w:tc>
          <w:tcPr>
            <w:tcW w:w="2260" w:type="dxa"/>
            <w:tcBorders>
              <w:top w:val="single" w:sz="4" w:space="0" w:color="auto"/>
              <w:left w:val="nil"/>
              <w:bottom w:val="single" w:sz="4" w:space="0" w:color="auto"/>
              <w:right w:val="nil"/>
            </w:tcBorders>
            <w:shd w:val="clear" w:color="000000" w:fill="FFFFFF"/>
            <w:vAlign w:val="center"/>
            <w:hideMark/>
          </w:tcPr>
          <w:p w14:paraId="3878BA71" w14:textId="77777777" w:rsidR="00176E42" w:rsidRPr="002B0FD2" w:rsidRDefault="00176E42" w:rsidP="00176E42">
            <w:pPr>
              <w:keepNext/>
              <w:spacing w:before="0" w:after="0" w:line="240" w:lineRule="auto"/>
              <w:rPr>
                <w:rFonts w:cs="Arial"/>
                <w:b/>
                <w:bCs/>
                <w:color w:val="000000"/>
                <w:sz w:val="18"/>
                <w:szCs w:val="18"/>
              </w:rPr>
            </w:pPr>
            <w:r w:rsidRPr="002B0FD2">
              <w:rPr>
                <w:rFonts w:cs="Arial"/>
                <w:b/>
                <w:bCs/>
                <w:color w:val="000000"/>
                <w:sz w:val="18"/>
                <w:szCs w:val="18"/>
              </w:rPr>
              <w:t>Activity stream</w:t>
            </w:r>
          </w:p>
        </w:tc>
        <w:tc>
          <w:tcPr>
            <w:tcW w:w="1240" w:type="dxa"/>
            <w:tcBorders>
              <w:top w:val="single" w:sz="4" w:space="0" w:color="auto"/>
              <w:left w:val="nil"/>
              <w:bottom w:val="single" w:sz="4" w:space="0" w:color="auto"/>
              <w:right w:val="nil"/>
            </w:tcBorders>
            <w:shd w:val="clear" w:color="000000" w:fill="FFFFFF"/>
            <w:vAlign w:val="center"/>
            <w:hideMark/>
          </w:tcPr>
          <w:p w14:paraId="0A95417E" w14:textId="77777777" w:rsidR="00176E42" w:rsidRPr="006817A5" w:rsidRDefault="00176E42" w:rsidP="00176E42">
            <w:pPr>
              <w:keepNext/>
              <w:spacing w:before="0" w:after="0" w:line="240" w:lineRule="auto"/>
              <w:jc w:val="right"/>
              <w:rPr>
                <w:rFonts w:cs="Arial"/>
                <w:b/>
                <w:bCs/>
                <w:color w:val="000000"/>
                <w:sz w:val="18"/>
                <w:szCs w:val="18"/>
              </w:rPr>
            </w:pPr>
            <w:r w:rsidRPr="006817A5">
              <w:rPr>
                <w:rFonts w:cs="Arial"/>
                <w:b/>
                <w:bCs/>
                <w:color w:val="000000"/>
                <w:sz w:val="18"/>
                <w:szCs w:val="18"/>
              </w:rPr>
              <w:t>Round 20</w:t>
            </w:r>
          </w:p>
        </w:tc>
        <w:tc>
          <w:tcPr>
            <w:tcW w:w="1240" w:type="dxa"/>
            <w:tcBorders>
              <w:top w:val="single" w:sz="4" w:space="0" w:color="auto"/>
              <w:left w:val="nil"/>
              <w:bottom w:val="single" w:sz="4" w:space="0" w:color="auto"/>
              <w:right w:val="nil"/>
            </w:tcBorders>
            <w:shd w:val="clear" w:color="000000" w:fill="FFFFFF"/>
            <w:vAlign w:val="center"/>
            <w:hideMark/>
          </w:tcPr>
          <w:p w14:paraId="1AFE3A58" w14:textId="77777777" w:rsidR="00176E42" w:rsidRPr="006817A5" w:rsidRDefault="00176E42" w:rsidP="00176E42">
            <w:pPr>
              <w:keepNext/>
              <w:spacing w:before="0" w:after="0" w:line="240" w:lineRule="auto"/>
              <w:jc w:val="right"/>
              <w:rPr>
                <w:rFonts w:cs="Arial"/>
                <w:b/>
                <w:bCs/>
                <w:color w:val="000000"/>
                <w:sz w:val="18"/>
                <w:szCs w:val="18"/>
              </w:rPr>
            </w:pPr>
            <w:r w:rsidRPr="006817A5">
              <w:rPr>
                <w:rFonts w:cs="Arial"/>
                <w:b/>
                <w:bCs/>
                <w:color w:val="000000"/>
                <w:sz w:val="18"/>
                <w:szCs w:val="18"/>
              </w:rPr>
              <w:t>Round 21</w:t>
            </w:r>
          </w:p>
        </w:tc>
        <w:tc>
          <w:tcPr>
            <w:tcW w:w="1240" w:type="dxa"/>
            <w:tcBorders>
              <w:top w:val="single" w:sz="4" w:space="0" w:color="auto"/>
              <w:left w:val="nil"/>
              <w:bottom w:val="single" w:sz="4" w:space="0" w:color="auto"/>
              <w:right w:val="nil"/>
            </w:tcBorders>
            <w:shd w:val="clear" w:color="000000" w:fill="FFFFFF"/>
            <w:vAlign w:val="center"/>
            <w:hideMark/>
          </w:tcPr>
          <w:p w14:paraId="261104F5" w14:textId="77777777" w:rsidR="00176E42" w:rsidRPr="003A3B96" w:rsidRDefault="00176E42" w:rsidP="00176E42">
            <w:pPr>
              <w:keepNext/>
              <w:spacing w:before="0" w:after="0" w:line="240" w:lineRule="auto"/>
              <w:jc w:val="right"/>
              <w:rPr>
                <w:rFonts w:cs="Arial"/>
                <w:b/>
                <w:bCs/>
                <w:color w:val="000000"/>
                <w:sz w:val="18"/>
                <w:szCs w:val="18"/>
              </w:rPr>
            </w:pPr>
            <w:r w:rsidRPr="003A3B96">
              <w:rPr>
                <w:rFonts w:cs="Arial"/>
                <w:b/>
                <w:bCs/>
                <w:color w:val="000000"/>
                <w:sz w:val="18"/>
                <w:szCs w:val="18"/>
              </w:rPr>
              <w:t>Round 22</w:t>
            </w:r>
          </w:p>
        </w:tc>
      </w:tr>
      <w:tr w:rsidR="00D52CF5" w:rsidRPr="003A3B96" w14:paraId="1B4FFF9A" w14:textId="77777777" w:rsidTr="00176E42">
        <w:trPr>
          <w:trHeight w:val="300"/>
          <w:jc w:val="center"/>
        </w:trPr>
        <w:tc>
          <w:tcPr>
            <w:tcW w:w="2260" w:type="dxa"/>
            <w:tcBorders>
              <w:top w:val="single" w:sz="4" w:space="0" w:color="auto"/>
              <w:left w:val="nil"/>
              <w:bottom w:val="single" w:sz="4" w:space="0" w:color="auto"/>
              <w:right w:val="nil"/>
            </w:tcBorders>
            <w:shd w:val="clear" w:color="000000" w:fill="FFFFFF"/>
            <w:noWrap/>
            <w:vAlign w:val="center"/>
          </w:tcPr>
          <w:p w14:paraId="41A00F33" w14:textId="77777777" w:rsidR="00D52CF5" w:rsidRPr="002B0FD2" w:rsidRDefault="00D52CF5" w:rsidP="00176E42">
            <w:pPr>
              <w:keepNext/>
              <w:spacing w:before="0" w:after="0" w:line="240" w:lineRule="auto"/>
              <w:rPr>
                <w:rFonts w:cs="Arial"/>
                <w:color w:val="000000"/>
                <w:sz w:val="18"/>
                <w:szCs w:val="18"/>
              </w:rPr>
            </w:pPr>
          </w:p>
        </w:tc>
        <w:tc>
          <w:tcPr>
            <w:tcW w:w="1240" w:type="dxa"/>
            <w:tcBorders>
              <w:top w:val="single" w:sz="4" w:space="0" w:color="auto"/>
              <w:left w:val="nil"/>
              <w:bottom w:val="single" w:sz="4" w:space="0" w:color="auto"/>
              <w:right w:val="nil"/>
            </w:tcBorders>
            <w:shd w:val="clear" w:color="000000" w:fill="FFFFFF"/>
            <w:noWrap/>
            <w:vAlign w:val="center"/>
          </w:tcPr>
          <w:p w14:paraId="3473F052" w14:textId="24396BEC" w:rsidR="00D52CF5" w:rsidRPr="001655DD" w:rsidRDefault="00D52CF5" w:rsidP="00267982">
            <w:pPr>
              <w:keepNext/>
              <w:spacing w:before="0" w:after="0" w:line="240" w:lineRule="auto"/>
              <w:jc w:val="right"/>
              <w:rPr>
                <w:rFonts w:cs="Arial"/>
                <w:color w:val="000000"/>
                <w:sz w:val="18"/>
                <w:szCs w:val="18"/>
              </w:rPr>
            </w:pPr>
            <w:r>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5ED736A1" w14:textId="32C553CA" w:rsidR="00D52CF5" w:rsidRPr="001655DD" w:rsidRDefault="00D52CF5" w:rsidP="00267982">
            <w:pPr>
              <w:keepNext/>
              <w:spacing w:before="0" w:after="0" w:line="240" w:lineRule="auto"/>
              <w:jc w:val="right"/>
              <w:rPr>
                <w:rFonts w:cs="Arial"/>
                <w:color w:val="000000"/>
                <w:sz w:val="18"/>
                <w:szCs w:val="18"/>
              </w:rPr>
            </w:pPr>
            <w:r>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0157AB37" w14:textId="2162C076" w:rsidR="00D52CF5" w:rsidRPr="001655DD" w:rsidRDefault="00D52CF5" w:rsidP="00176E42">
            <w:pPr>
              <w:keepNext/>
              <w:spacing w:before="0" w:after="0" w:line="240" w:lineRule="auto"/>
              <w:jc w:val="right"/>
              <w:rPr>
                <w:rFonts w:cs="Arial"/>
                <w:color w:val="000000"/>
                <w:sz w:val="18"/>
                <w:szCs w:val="18"/>
              </w:rPr>
            </w:pPr>
            <w:r>
              <w:rPr>
                <w:rFonts w:cs="Arial"/>
                <w:color w:val="000000"/>
                <w:sz w:val="18"/>
                <w:szCs w:val="18"/>
              </w:rPr>
              <w:t>(%)</w:t>
            </w:r>
          </w:p>
        </w:tc>
      </w:tr>
      <w:tr w:rsidR="00176E42" w:rsidRPr="003A3B96" w14:paraId="0CE9006E" w14:textId="77777777" w:rsidTr="00176E42">
        <w:trPr>
          <w:trHeight w:val="300"/>
          <w:jc w:val="center"/>
        </w:trPr>
        <w:tc>
          <w:tcPr>
            <w:tcW w:w="2260" w:type="dxa"/>
            <w:tcBorders>
              <w:top w:val="single" w:sz="4" w:space="0" w:color="auto"/>
              <w:left w:val="nil"/>
              <w:bottom w:val="single" w:sz="4" w:space="0" w:color="auto"/>
              <w:right w:val="nil"/>
            </w:tcBorders>
            <w:shd w:val="clear" w:color="000000" w:fill="FFFFFF"/>
            <w:noWrap/>
            <w:vAlign w:val="center"/>
            <w:hideMark/>
          </w:tcPr>
          <w:p w14:paraId="43580CC0" w14:textId="77777777" w:rsidR="00176E42" w:rsidRPr="002B0FD2" w:rsidRDefault="00176E42" w:rsidP="00176E42">
            <w:pPr>
              <w:keepNext/>
              <w:spacing w:before="0" w:after="0" w:line="240" w:lineRule="auto"/>
              <w:rPr>
                <w:rFonts w:cs="Arial"/>
                <w:color w:val="000000"/>
                <w:sz w:val="18"/>
                <w:szCs w:val="18"/>
              </w:rPr>
            </w:pPr>
            <w:r w:rsidRPr="002B0FD2">
              <w:rPr>
                <w:rFonts w:cs="Arial"/>
                <w:color w:val="000000"/>
                <w:sz w:val="18"/>
                <w:szCs w:val="18"/>
              </w:rPr>
              <w:t>Acute</w:t>
            </w:r>
            <w:r>
              <w:rPr>
                <w:rFonts w:cs="Arial"/>
                <w:color w:val="000000"/>
                <w:sz w:val="18"/>
                <w:szCs w:val="18"/>
              </w:rPr>
              <w:t xml:space="preserve"> admitted</w:t>
            </w:r>
          </w:p>
        </w:tc>
        <w:tc>
          <w:tcPr>
            <w:tcW w:w="1240" w:type="dxa"/>
            <w:tcBorders>
              <w:top w:val="single" w:sz="4" w:space="0" w:color="auto"/>
              <w:left w:val="nil"/>
              <w:bottom w:val="single" w:sz="4" w:space="0" w:color="auto"/>
              <w:right w:val="nil"/>
            </w:tcBorders>
            <w:shd w:val="clear" w:color="000000" w:fill="FFFFFF"/>
            <w:noWrap/>
            <w:vAlign w:val="center"/>
            <w:hideMark/>
          </w:tcPr>
          <w:p w14:paraId="23EDF0CD" w14:textId="5FD4687E" w:rsidR="00176E42" w:rsidRPr="001655DD" w:rsidRDefault="00176E42" w:rsidP="00267982">
            <w:pPr>
              <w:keepNext/>
              <w:spacing w:before="0" w:after="0" w:line="240" w:lineRule="auto"/>
              <w:jc w:val="right"/>
              <w:rPr>
                <w:rFonts w:cs="Arial"/>
                <w:color w:val="000000"/>
                <w:sz w:val="18"/>
                <w:szCs w:val="18"/>
              </w:rPr>
            </w:pPr>
            <w:r w:rsidRPr="001655DD">
              <w:rPr>
                <w:rFonts w:cs="Arial"/>
                <w:color w:val="000000"/>
                <w:sz w:val="18"/>
                <w:szCs w:val="18"/>
              </w:rPr>
              <w:t>9</w:t>
            </w:r>
            <w:r w:rsidR="00267982" w:rsidRPr="001655DD">
              <w:rPr>
                <w:rFonts w:cs="Arial"/>
                <w:color w:val="000000"/>
                <w:sz w:val="18"/>
                <w:szCs w:val="18"/>
              </w:rPr>
              <w:t>3</w:t>
            </w:r>
          </w:p>
        </w:tc>
        <w:tc>
          <w:tcPr>
            <w:tcW w:w="1240" w:type="dxa"/>
            <w:tcBorders>
              <w:top w:val="single" w:sz="4" w:space="0" w:color="auto"/>
              <w:left w:val="nil"/>
              <w:bottom w:val="single" w:sz="4" w:space="0" w:color="auto"/>
              <w:right w:val="nil"/>
            </w:tcBorders>
            <w:shd w:val="clear" w:color="000000" w:fill="FFFFFF"/>
            <w:noWrap/>
            <w:vAlign w:val="center"/>
            <w:hideMark/>
          </w:tcPr>
          <w:p w14:paraId="7A3BB426" w14:textId="72B994EB" w:rsidR="00176E42" w:rsidRPr="001655DD" w:rsidRDefault="00176E42" w:rsidP="00267982">
            <w:pPr>
              <w:keepNext/>
              <w:spacing w:before="0" w:after="0" w:line="240" w:lineRule="auto"/>
              <w:jc w:val="right"/>
              <w:rPr>
                <w:rFonts w:cs="Arial"/>
                <w:color w:val="000000"/>
                <w:sz w:val="18"/>
                <w:szCs w:val="18"/>
              </w:rPr>
            </w:pPr>
            <w:r w:rsidRPr="001655DD">
              <w:rPr>
                <w:rFonts w:cs="Arial"/>
                <w:color w:val="000000"/>
                <w:sz w:val="18"/>
                <w:szCs w:val="18"/>
              </w:rPr>
              <w:t>9</w:t>
            </w:r>
            <w:r w:rsidR="007B2777">
              <w:rPr>
                <w:rFonts w:cs="Arial"/>
                <w:color w:val="000000"/>
                <w:sz w:val="18"/>
                <w:szCs w:val="18"/>
              </w:rPr>
              <w:t>6</w:t>
            </w:r>
          </w:p>
        </w:tc>
        <w:tc>
          <w:tcPr>
            <w:tcW w:w="1240" w:type="dxa"/>
            <w:tcBorders>
              <w:top w:val="single" w:sz="4" w:space="0" w:color="auto"/>
              <w:left w:val="nil"/>
              <w:bottom w:val="single" w:sz="4" w:space="0" w:color="auto"/>
              <w:right w:val="nil"/>
            </w:tcBorders>
            <w:shd w:val="clear" w:color="000000" w:fill="FFFFFF"/>
            <w:noWrap/>
            <w:vAlign w:val="center"/>
          </w:tcPr>
          <w:p w14:paraId="5F7B012D" w14:textId="5492F1D5" w:rsidR="00176E42" w:rsidRPr="001655DD" w:rsidRDefault="006C6F6A" w:rsidP="00176E42">
            <w:pPr>
              <w:keepNext/>
              <w:spacing w:before="0" w:after="0" w:line="240" w:lineRule="auto"/>
              <w:jc w:val="right"/>
              <w:rPr>
                <w:rFonts w:cs="Arial"/>
                <w:color w:val="000000"/>
                <w:sz w:val="18"/>
                <w:szCs w:val="18"/>
              </w:rPr>
            </w:pPr>
            <w:r w:rsidRPr="001655DD">
              <w:rPr>
                <w:rFonts w:cs="Arial"/>
                <w:color w:val="000000"/>
                <w:sz w:val="18"/>
                <w:szCs w:val="18"/>
              </w:rPr>
              <w:t>96</w:t>
            </w:r>
          </w:p>
        </w:tc>
      </w:tr>
      <w:tr w:rsidR="00176E42" w:rsidRPr="00267982" w14:paraId="27A72627" w14:textId="77777777" w:rsidTr="008C0576">
        <w:trPr>
          <w:trHeight w:val="300"/>
          <w:jc w:val="center"/>
        </w:trPr>
        <w:tc>
          <w:tcPr>
            <w:tcW w:w="2260" w:type="dxa"/>
            <w:tcBorders>
              <w:top w:val="single" w:sz="4" w:space="0" w:color="auto"/>
              <w:left w:val="nil"/>
              <w:bottom w:val="single" w:sz="4" w:space="0" w:color="auto"/>
              <w:right w:val="nil"/>
            </w:tcBorders>
            <w:shd w:val="clear" w:color="000000" w:fill="FFFFFF"/>
            <w:noWrap/>
            <w:vAlign w:val="center"/>
          </w:tcPr>
          <w:p w14:paraId="61C230B5" w14:textId="436985AD" w:rsidR="00176E42" w:rsidRPr="002B0FD2" w:rsidRDefault="006966E2" w:rsidP="00176E42">
            <w:pPr>
              <w:keepNext/>
              <w:spacing w:before="0" w:after="0" w:line="240" w:lineRule="auto"/>
              <w:rPr>
                <w:rFonts w:cs="Arial"/>
                <w:color w:val="000000"/>
                <w:sz w:val="18"/>
                <w:szCs w:val="18"/>
              </w:rPr>
            </w:pPr>
            <w:r>
              <w:rPr>
                <w:rFonts w:cs="Arial"/>
                <w:color w:val="000000"/>
                <w:sz w:val="18"/>
                <w:szCs w:val="18"/>
              </w:rPr>
              <w:t>Sub-a</w:t>
            </w:r>
            <w:r w:rsidR="00176E42">
              <w:rPr>
                <w:rFonts w:cs="Arial"/>
                <w:color w:val="000000"/>
                <w:sz w:val="18"/>
                <w:szCs w:val="18"/>
              </w:rPr>
              <w:t>cute</w:t>
            </w:r>
          </w:p>
        </w:tc>
        <w:tc>
          <w:tcPr>
            <w:tcW w:w="1240" w:type="dxa"/>
            <w:tcBorders>
              <w:top w:val="single" w:sz="4" w:space="0" w:color="auto"/>
              <w:left w:val="nil"/>
              <w:bottom w:val="single" w:sz="4" w:space="0" w:color="auto"/>
              <w:right w:val="nil"/>
            </w:tcBorders>
            <w:shd w:val="clear" w:color="000000" w:fill="FFFFFF"/>
            <w:noWrap/>
            <w:vAlign w:val="center"/>
          </w:tcPr>
          <w:p w14:paraId="71D38B28" w14:textId="245458F7" w:rsidR="00176E42" w:rsidRPr="001655DD" w:rsidRDefault="007B2777" w:rsidP="00176E42">
            <w:pPr>
              <w:keepNext/>
              <w:spacing w:before="0" w:after="0" w:line="240" w:lineRule="auto"/>
              <w:jc w:val="right"/>
              <w:rPr>
                <w:rFonts w:cs="Arial"/>
                <w:color w:val="000000"/>
                <w:sz w:val="18"/>
                <w:szCs w:val="18"/>
              </w:rPr>
            </w:pPr>
            <w:r>
              <w:rPr>
                <w:rFonts w:cs="Arial"/>
                <w:color w:val="000000"/>
                <w:sz w:val="18"/>
                <w:szCs w:val="18"/>
              </w:rPr>
              <w:t>69</w:t>
            </w:r>
          </w:p>
        </w:tc>
        <w:tc>
          <w:tcPr>
            <w:tcW w:w="1240" w:type="dxa"/>
            <w:tcBorders>
              <w:top w:val="single" w:sz="4" w:space="0" w:color="auto"/>
              <w:left w:val="nil"/>
              <w:bottom w:val="single" w:sz="4" w:space="0" w:color="auto"/>
              <w:right w:val="nil"/>
            </w:tcBorders>
            <w:shd w:val="clear" w:color="000000" w:fill="FFFFFF"/>
            <w:noWrap/>
            <w:vAlign w:val="center"/>
          </w:tcPr>
          <w:p w14:paraId="5B8E83F4" w14:textId="52E5B460" w:rsidR="00176E42" w:rsidRPr="001655DD" w:rsidRDefault="007B2777" w:rsidP="00176E42">
            <w:pPr>
              <w:keepNext/>
              <w:spacing w:before="0" w:after="0" w:line="240" w:lineRule="auto"/>
              <w:jc w:val="right"/>
              <w:rPr>
                <w:rFonts w:cs="Arial"/>
                <w:color w:val="000000"/>
                <w:sz w:val="18"/>
                <w:szCs w:val="18"/>
              </w:rPr>
            </w:pPr>
            <w:r>
              <w:rPr>
                <w:rFonts w:cs="Arial"/>
                <w:color w:val="000000"/>
                <w:sz w:val="18"/>
                <w:szCs w:val="18"/>
              </w:rPr>
              <w:t>69</w:t>
            </w:r>
          </w:p>
        </w:tc>
        <w:tc>
          <w:tcPr>
            <w:tcW w:w="1240" w:type="dxa"/>
            <w:tcBorders>
              <w:top w:val="single" w:sz="4" w:space="0" w:color="auto"/>
              <w:left w:val="nil"/>
              <w:bottom w:val="single" w:sz="4" w:space="0" w:color="auto"/>
              <w:right w:val="nil"/>
            </w:tcBorders>
            <w:shd w:val="clear" w:color="000000" w:fill="FFFFFF"/>
            <w:noWrap/>
            <w:vAlign w:val="center"/>
          </w:tcPr>
          <w:p w14:paraId="0568FC63" w14:textId="5145AD00" w:rsidR="00176E42" w:rsidRPr="001655DD" w:rsidRDefault="007B2777" w:rsidP="00267982">
            <w:pPr>
              <w:keepNext/>
              <w:spacing w:before="0" w:after="0" w:line="240" w:lineRule="auto"/>
              <w:jc w:val="right"/>
              <w:rPr>
                <w:rFonts w:cs="Arial"/>
                <w:color w:val="000000"/>
                <w:sz w:val="18"/>
                <w:szCs w:val="18"/>
              </w:rPr>
            </w:pPr>
            <w:r>
              <w:rPr>
                <w:rFonts w:cs="Arial"/>
                <w:color w:val="000000"/>
                <w:sz w:val="18"/>
                <w:szCs w:val="18"/>
              </w:rPr>
              <w:t>66</w:t>
            </w:r>
          </w:p>
        </w:tc>
      </w:tr>
      <w:tr w:rsidR="00176E42" w:rsidRPr="003A3B96" w14:paraId="1BAC12E8" w14:textId="77777777" w:rsidTr="008C0576">
        <w:trPr>
          <w:trHeight w:val="300"/>
          <w:jc w:val="center"/>
        </w:trPr>
        <w:tc>
          <w:tcPr>
            <w:tcW w:w="2260" w:type="dxa"/>
            <w:tcBorders>
              <w:top w:val="single" w:sz="4" w:space="0" w:color="auto"/>
              <w:left w:val="nil"/>
              <w:bottom w:val="single" w:sz="4" w:space="0" w:color="auto"/>
              <w:right w:val="nil"/>
            </w:tcBorders>
            <w:shd w:val="clear" w:color="000000" w:fill="FFFFFF"/>
            <w:noWrap/>
            <w:vAlign w:val="center"/>
          </w:tcPr>
          <w:p w14:paraId="526F64E2" w14:textId="77777777" w:rsidR="00176E42" w:rsidRPr="002B0FD2" w:rsidRDefault="00176E42" w:rsidP="00176E42">
            <w:pPr>
              <w:keepNext/>
              <w:spacing w:before="0" w:after="0" w:line="240" w:lineRule="auto"/>
              <w:rPr>
                <w:rFonts w:cs="Arial"/>
                <w:color w:val="000000"/>
                <w:sz w:val="18"/>
                <w:szCs w:val="18"/>
              </w:rPr>
            </w:pPr>
            <w:r>
              <w:rPr>
                <w:rFonts w:cs="Arial"/>
                <w:color w:val="000000"/>
                <w:sz w:val="18"/>
                <w:szCs w:val="18"/>
              </w:rPr>
              <w:t>Emergency Department</w:t>
            </w:r>
          </w:p>
        </w:tc>
        <w:tc>
          <w:tcPr>
            <w:tcW w:w="1240" w:type="dxa"/>
            <w:tcBorders>
              <w:top w:val="single" w:sz="4" w:space="0" w:color="auto"/>
              <w:left w:val="nil"/>
              <w:bottom w:val="single" w:sz="4" w:space="0" w:color="auto"/>
              <w:right w:val="nil"/>
            </w:tcBorders>
            <w:shd w:val="clear" w:color="000000" w:fill="FFFFFF"/>
            <w:noWrap/>
            <w:vAlign w:val="center"/>
          </w:tcPr>
          <w:p w14:paraId="167E0D38" w14:textId="790AC8F1" w:rsidR="00176E42" w:rsidRPr="001655DD" w:rsidRDefault="00176E42" w:rsidP="00176E42">
            <w:pPr>
              <w:keepNext/>
              <w:spacing w:before="0" w:after="0" w:line="240" w:lineRule="auto"/>
              <w:jc w:val="right"/>
              <w:rPr>
                <w:rFonts w:cs="Arial"/>
                <w:color w:val="000000"/>
                <w:sz w:val="18"/>
                <w:szCs w:val="18"/>
              </w:rPr>
            </w:pPr>
            <w:r w:rsidRPr="001655DD">
              <w:rPr>
                <w:rFonts w:cs="Arial"/>
                <w:color w:val="000000"/>
                <w:sz w:val="18"/>
                <w:szCs w:val="18"/>
              </w:rPr>
              <w:t>9</w:t>
            </w:r>
            <w:r w:rsidR="007B2777">
              <w:rPr>
                <w:rFonts w:cs="Arial"/>
                <w:color w:val="000000"/>
                <w:sz w:val="18"/>
                <w:szCs w:val="18"/>
              </w:rPr>
              <w:t>0</w:t>
            </w:r>
          </w:p>
        </w:tc>
        <w:tc>
          <w:tcPr>
            <w:tcW w:w="1240" w:type="dxa"/>
            <w:tcBorders>
              <w:top w:val="single" w:sz="4" w:space="0" w:color="auto"/>
              <w:left w:val="nil"/>
              <w:bottom w:val="single" w:sz="4" w:space="0" w:color="auto"/>
              <w:right w:val="nil"/>
            </w:tcBorders>
            <w:shd w:val="clear" w:color="000000" w:fill="FFFFFF"/>
            <w:noWrap/>
            <w:vAlign w:val="center"/>
          </w:tcPr>
          <w:p w14:paraId="7CCDCC05" w14:textId="2DCBADA1" w:rsidR="00176E42" w:rsidRPr="001655DD" w:rsidRDefault="00176E42" w:rsidP="00176E42">
            <w:pPr>
              <w:keepNext/>
              <w:spacing w:before="0" w:after="0" w:line="240" w:lineRule="auto"/>
              <w:jc w:val="right"/>
              <w:rPr>
                <w:rFonts w:cs="Arial"/>
                <w:color w:val="000000"/>
                <w:sz w:val="18"/>
                <w:szCs w:val="18"/>
              </w:rPr>
            </w:pPr>
            <w:r w:rsidRPr="001655DD">
              <w:rPr>
                <w:rFonts w:cs="Arial"/>
                <w:color w:val="000000"/>
                <w:sz w:val="18"/>
                <w:szCs w:val="18"/>
              </w:rPr>
              <w:t>9</w:t>
            </w:r>
            <w:r w:rsidR="007B2777">
              <w:rPr>
                <w:rFonts w:cs="Arial"/>
                <w:color w:val="000000"/>
                <w:sz w:val="18"/>
                <w:szCs w:val="18"/>
              </w:rPr>
              <w:t>2</w:t>
            </w:r>
          </w:p>
        </w:tc>
        <w:tc>
          <w:tcPr>
            <w:tcW w:w="1240" w:type="dxa"/>
            <w:tcBorders>
              <w:top w:val="single" w:sz="4" w:space="0" w:color="auto"/>
              <w:left w:val="nil"/>
              <w:bottom w:val="single" w:sz="4" w:space="0" w:color="auto"/>
              <w:right w:val="nil"/>
            </w:tcBorders>
            <w:shd w:val="clear" w:color="000000" w:fill="FFFFFF"/>
            <w:noWrap/>
            <w:vAlign w:val="center"/>
          </w:tcPr>
          <w:p w14:paraId="7E18E23C" w14:textId="79D0B880" w:rsidR="00176E42" w:rsidRPr="001655DD" w:rsidRDefault="006C6F6A" w:rsidP="00176E42">
            <w:pPr>
              <w:keepNext/>
              <w:spacing w:before="0" w:after="0" w:line="240" w:lineRule="auto"/>
              <w:jc w:val="right"/>
              <w:rPr>
                <w:rFonts w:cs="Arial"/>
                <w:color w:val="000000"/>
                <w:sz w:val="18"/>
                <w:szCs w:val="18"/>
              </w:rPr>
            </w:pPr>
            <w:r w:rsidRPr="001655DD">
              <w:rPr>
                <w:rFonts w:cs="Arial"/>
                <w:color w:val="000000"/>
                <w:sz w:val="18"/>
                <w:szCs w:val="18"/>
              </w:rPr>
              <w:t>9</w:t>
            </w:r>
            <w:r w:rsidR="007B2777">
              <w:rPr>
                <w:rFonts w:cs="Arial"/>
                <w:color w:val="000000"/>
                <w:sz w:val="18"/>
                <w:szCs w:val="18"/>
              </w:rPr>
              <w:t>0</w:t>
            </w:r>
          </w:p>
        </w:tc>
      </w:tr>
      <w:tr w:rsidR="00176E42" w:rsidRPr="003A3B96" w14:paraId="78C53EBC" w14:textId="77777777" w:rsidTr="008C0576">
        <w:trPr>
          <w:trHeight w:val="300"/>
          <w:jc w:val="center"/>
        </w:trPr>
        <w:tc>
          <w:tcPr>
            <w:tcW w:w="2260" w:type="dxa"/>
            <w:tcBorders>
              <w:top w:val="single" w:sz="4" w:space="0" w:color="auto"/>
              <w:left w:val="nil"/>
              <w:bottom w:val="single" w:sz="4" w:space="0" w:color="auto"/>
              <w:right w:val="nil"/>
            </w:tcBorders>
            <w:shd w:val="clear" w:color="000000" w:fill="FFFFFF"/>
            <w:noWrap/>
            <w:vAlign w:val="center"/>
          </w:tcPr>
          <w:p w14:paraId="335E128B" w14:textId="77777777" w:rsidR="00176E42" w:rsidRPr="002B0FD2" w:rsidRDefault="00176E42" w:rsidP="00176E42">
            <w:pPr>
              <w:keepNext/>
              <w:spacing w:before="0" w:after="0" w:line="240" w:lineRule="auto"/>
              <w:rPr>
                <w:rFonts w:cs="Arial"/>
                <w:color w:val="000000"/>
                <w:sz w:val="18"/>
                <w:szCs w:val="18"/>
              </w:rPr>
            </w:pPr>
            <w:r>
              <w:rPr>
                <w:rFonts w:cs="Arial"/>
                <w:color w:val="000000"/>
                <w:sz w:val="18"/>
                <w:szCs w:val="18"/>
              </w:rPr>
              <w:t>Non-admitted</w:t>
            </w:r>
          </w:p>
        </w:tc>
        <w:tc>
          <w:tcPr>
            <w:tcW w:w="1240" w:type="dxa"/>
            <w:tcBorders>
              <w:top w:val="single" w:sz="4" w:space="0" w:color="auto"/>
              <w:left w:val="nil"/>
              <w:bottom w:val="single" w:sz="4" w:space="0" w:color="auto"/>
              <w:right w:val="nil"/>
            </w:tcBorders>
            <w:shd w:val="clear" w:color="000000" w:fill="FFFFFF"/>
            <w:noWrap/>
            <w:vAlign w:val="center"/>
          </w:tcPr>
          <w:p w14:paraId="3AFA242E" w14:textId="5742FD7C" w:rsidR="00176E42" w:rsidRPr="001655DD" w:rsidRDefault="00176E42" w:rsidP="00176E42">
            <w:pPr>
              <w:keepNext/>
              <w:spacing w:before="0" w:after="0" w:line="240" w:lineRule="auto"/>
              <w:jc w:val="right"/>
              <w:rPr>
                <w:rFonts w:cs="Arial"/>
                <w:color w:val="000000"/>
                <w:sz w:val="18"/>
                <w:szCs w:val="18"/>
              </w:rPr>
            </w:pPr>
            <w:r w:rsidRPr="001655DD">
              <w:rPr>
                <w:rFonts w:cs="Arial"/>
                <w:color w:val="000000"/>
                <w:sz w:val="18"/>
                <w:szCs w:val="18"/>
              </w:rPr>
              <w:t>73</w:t>
            </w:r>
          </w:p>
        </w:tc>
        <w:tc>
          <w:tcPr>
            <w:tcW w:w="1240" w:type="dxa"/>
            <w:tcBorders>
              <w:top w:val="single" w:sz="4" w:space="0" w:color="auto"/>
              <w:left w:val="nil"/>
              <w:bottom w:val="single" w:sz="4" w:space="0" w:color="auto"/>
              <w:right w:val="nil"/>
            </w:tcBorders>
            <w:shd w:val="clear" w:color="000000" w:fill="FFFFFF"/>
            <w:noWrap/>
            <w:vAlign w:val="center"/>
          </w:tcPr>
          <w:p w14:paraId="294ACFB4" w14:textId="400368F8" w:rsidR="00176E42" w:rsidRPr="001655DD" w:rsidRDefault="00267982" w:rsidP="00176E42">
            <w:pPr>
              <w:keepNext/>
              <w:spacing w:before="0" w:after="0" w:line="240" w:lineRule="auto"/>
              <w:jc w:val="right"/>
              <w:rPr>
                <w:rFonts w:cs="Arial"/>
                <w:color w:val="000000"/>
                <w:sz w:val="18"/>
                <w:szCs w:val="18"/>
              </w:rPr>
            </w:pPr>
            <w:r w:rsidRPr="001655DD">
              <w:rPr>
                <w:rFonts w:cs="Arial"/>
                <w:color w:val="000000"/>
                <w:sz w:val="18"/>
                <w:szCs w:val="18"/>
              </w:rPr>
              <w:t>5</w:t>
            </w:r>
            <w:r w:rsidR="00176E42" w:rsidRPr="001655DD">
              <w:rPr>
                <w:rFonts w:cs="Arial"/>
                <w:color w:val="000000"/>
                <w:sz w:val="18"/>
                <w:szCs w:val="18"/>
              </w:rPr>
              <w:t>7</w:t>
            </w:r>
          </w:p>
        </w:tc>
        <w:tc>
          <w:tcPr>
            <w:tcW w:w="1240" w:type="dxa"/>
            <w:tcBorders>
              <w:top w:val="single" w:sz="4" w:space="0" w:color="auto"/>
              <w:left w:val="nil"/>
              <w:bottom w:val="single" w:sz="4" w:space="0" w:color="auto"/>
              <w:right w:val="nil"/>
            </w:tcBorders>
            <w:shd w:val="clear" w:color="000000" w:fill="FFFFFF"/>
            <w:noWrap/>
            <w:vAlign w:val="center"/>
          </w:tcPr>
          <w:p w14:paraId="360F01CF" w14:textId="5DDED3A6" w:rsidR="00176E42" w:rsidRPr="001655DD" w:rsidRDefault="006C6F6A" w:rsidP="00176E42">
            <w:pPr>
              <w:keepNext/>
              <w:spacing w:before="0" w:after="0" w:line="240" w:lineRule="auto"/>
              <w:jc w:val="right"/>
              <w:rPr>
                <w:rFonts w:cs="Arial"/>
                <w:color w:val="000000"/>
                <w:sz w:val="18"/>
                <w:szCs w:val="18"/>
              </w:rPr>
            </w:pPr>
            <w:r w:rsidRPr="001655DD">
              <w:rPr>
                <w:rFonts w:cs="Arial"/>
                <w:color w:val="000000"/>
                <w:sz w:val="18"/>
                <w:szCs w:val="18"/>
              </w:rPr>
              <w:t>7</w:t>
            </w:r>
            <w:r w:rsidR="007B2777">
              <w:rPr>
                <w:rFonts w:cs="Arial"/>
                <w:color w:val="000000"/>
                <w:sz w:val="18"/>
                <w:szCs w:val="18"/>
              </w:rPr>
              <w:t>3</w:t>
            </w:r>
          </w:p>
        </w:tc>
      </w:tr>
    </w:tbl>
    <w:p w14:paraId="5DA60745" w14:textId="2E051C65" w:rsidR="002371BB" w:rsidRPr="00C7496A" w:rsidRDefault="0096034C" w:rsidP="00440E76">
      <w:pPr>
        <w:pStyle w:val="Heading2"/>
      </w:pPr>
      <w:bookmarkStart w:id="26" w:name="_Toc524173853"/>
      <w:bookmarkStart w:id="27" w:name="_Toc25759689"/>
      <w:r>
        <w:t xml:space="preserve">5.3 </w:t>
      </w:r>
      <w:r w:rsidR="002371BB" w:rsidRPr="00C7496A">
        <w:t xml:space="preserve">Total </w:t>
      </w:r>
      <w:r w:rsidR="00033C8D">
        <w:t>e</w:t>
      </w:r>
      <w:r w:rsidR="002371BB" w:rsidRPr="00C7496A">
        <w:t>xpenditure</w:t>
      </w:r>
      <w:bookmarkEnd w:id="26"/>
      <w:bookmarkEnd w:id="27"/>
    </w:p>
    <w:p w14:paraId="4571C7BE" w14:textId="27B6A35D" w:rsidR="00E77330" w:rsidRPr="004D2DE1" w:rsidRDefault="008F0A0F" w:rsidP="0053195F">
      <w:r w:rsidRPr="003A3B96">
        <w:rPr>
          <w:rFonts w:cs="Arial"/>
          <w:szCs w:val="22"/>
        </w:rPr>
        <w:t>In Round 22</w:t>
      </w:r>
      <w:r w:rsidR="002371BB" w:rsidRPr="003A3B96">
        <w:rPr>
          <w:rFonts w:cs="Arial"/>
          <w:szCs w:val="22"/>
        </w:rPr>
        <w:t xml:space="preserve"> of the NHCDC, $</w:t>
      </w:r>
      <w:r w:rsidR="00B63029">
        <w:rPr>
          <w:rFonts w:cs="Arial"/>
          <w:szCs w:val="22"/>
        </w:rPr>
        <w:t>47.15</w:t>
      </w:r>
      <w:r w:rsidR="002371BB" w:rsidRPr="003A3B96">
        <w:rPr>
          <w:rFonts w:cs="Arial"/>
          <w:szCs w:val="22"/>
        </w:rPr>
        <w:t xml:space="preserve"> billion of hospital expenditure was submitted for the </w:t>
      </w:r>
      <w:r w:rsidR="00B3633C" w:rsidRPr="003A3B96">
        <w:rPr>
          <w:rFonts w:cs="Arial"/>
          <w:szCs w:val="22"/>
        </w:rPr>
        <w:t>2017-18</w:t>
      </w:r>
      <w:r w:rsidR="003C33A2" w:rsidRPr="003A3B96">
        <w:rPr>
          <w:rFonts w:cs="Arial"/>
          <w:szCs w:val="22"/>
        </w:rPr>
        <w:t xml:space="preserve"> financial year</w:t>
      </w:r>
      <w:r w:rsidR="00B3633C" w:rsidRPr="003A3B96">
        <w:rPr>
          <w:rFonts w:cs="Arial"/>
          <w:szCs w:val="22"/>
        </w:rPr>
        <w:t xml:space="preserve">. This represents a </w:t>
      </w:r>
      <w:r w:rsidR="0015149F" w:rsidRPr="003A3B96">
        <w:rPr>
          <w:rFonts w:cs="Arial"/>
          <w:szCs w:val="22"/>
        </w:rPr>
        <w:t>7.7</w:t>
      </w:r>
      <w:r w:rsidR="002371BB" w:rsidRPr="003A3B96">
        <w:rPr>
          <w:rFonts w:cs="Arial"/>
          <w:szCs w:val="22"/>
        </w:rPr>
        <w:t xml:space="preserve"> percent increase over the total for Round </w:t>
      </w:r>
      <w:r w:rsidR="00B3633C" w:rsidRPr="003A3B96">
        <w:rPr>
          <w:rFonts w:cs="Arial"/>
          <w:szCs w:val="22"/>
        </w:rPr>
        <w:t>21 ($43.8</w:t>
      </w:r>
      <w:r w:rsidR="00053788">
        <w:rPr>
          <w:rFonts w:cs="Arial"/>
          <w:szCs w:val="22"/>
        </w:rPr>
        <w:t xml:space="preserve"> billion). Table 6 </w:t>
      </w:r>
      <w:r w:rsidR="0053195F" w:rsidRPr="003A3B96">
        <w:rPr>
          <w:rFonts w:cs="Arial"/>
          <w:szCs w:val="22"/>
        </w:rPr>
        <w:t xml:space="preserve">shows the change in expenditure by activity stream. </w:t>
      </w:r>
    </w:p>
    <w:p w14:paraId="4C0B6F54" w14:textId="68C176B6" w:rsidR="00FF323C" w:rsidRDefault="00FF323C" w:rsidP="00D111B6">
      <w:pPr>
        <w:pStyle w:val="Caption"/>
      </w:pPr>
      <w:bookmarkStart w:id="28" w:name="_Toc31880536"/>
      <w:r>
        <w:t xml:space="preserve">Table </w:t>
      </w:r>
      <w:fldSimple w:instr=" SEQ Table \* ARABIC ">
        <w:r w:rsidR="00423E34">
          <w:rPr>
            <w:noProof/>
          </w:rPr>
          <w:t>6</w:t>
        </w:r>
      </w:fldSimple>
      <w:r>
        <w:t xml:space="preserve"> </w:t>
      </w:r>
      <w:r w:rsidRPr="00ED4992">
        <w:t>Total national expenditure, by activity stream, Round 21-22</w:t>
      </w:r>
      <w:bookmarkEnd w:id="28"/>
    </w:p>
    <w:tbl>
      <w:tblPr>
        <w:tblW w:w="8440" w:type="dxa"/>
        <w:jc w:val="center"/>
        <w:tblLayout w:type="fixed"/>
        <w:tblLook w:val="04A0" w:firstRow="1" w:lastRow="0" w:firstColumn="1" w:lastColumn="0" w:noHBand="0" w:noVBand="1"/>
        <w:tblCaption w:val="Table 6 Total national expenditure, by activity stream, Round 21-22"/>
        <w:tblDescription w:val="The table diplays the change in expenditure by activity stream between Round 21 and Round 22. "/>
      </w:tblPr>
      <w:tblGrid>
        <w:gridCol w:w="2410"/>
        <w:gridCol w:w="142"/>
        <w:gridCol w:w="992"/>
        <w:gridCol w:w="1276"/>
        <w:gridCol w:w="980"/>
        <w:gridCol w:w="1320"/>
        <w:gridCol w:w="1320"/>
      </w:tblGrid>
      <w:tr w:rsidR="003B4C44" w:rsidRPr="003A3B96" w14:paraId="52F17A4E" w14:textId="77777777" w:rsidTr="00D111B6">
        <w:trPr>
          <w:trHeight w:val="495"/>
          <w:jc w:val="center"/>
        </w:trPr>
        <w:tc>
          <w:tcPr>
            <w:tcW w:w="2552" w:type="dxa"/>
            <w:gridSpan w:val="2"/>
            <w:tcBorders>
              <w:top w:val="single" w:sz="4" w:space="0" w:color="auto"/>
              <w:left w:val="nil"/>
              <w:bottom w:val="nil"/>
              <w:right w:val="nil"/>
            </w:tcBorders>
            <w:shd w:val="clear" w:color="auto" w:fill="auto"/>
            <w:noWrap/>
            <w:vAlign w:val="center"/>
            <w:hideMark/>
          </w:tcPr>
          <w:p w14:paraId="1D68B8C2" w14:textId="77777777" w:rsidR="003B4C44" w:rsidRPr="003A3B96" w:rsidRDefault="003B4C44" w:rsidP="005D3133">
            <w:pPr>
              <w:spacing w:before="0" w:after="0" w:line="240" w:lineRule="auto"/>
              <w:rPr>
                <w:rFonts w:cs="Arial"/>
                <w:color w:val="000000"/>
                <w:sz w:val="20"/>
                <w:szCs w:val="20"/>
              </w:rPr>
            </w:pPr>
            <w:r w:rsidRPr="003A3B96">
              <w:rPr>
                <w:rFonts w:cs="Arial"/>
                <w:color w:val="000000"/>
                <w:sz w:val="20"/>
                <w:szCs w:val="20"/>
              </w:rPr>
              <w:t> </w:t>
            </w:r>
          </w:p>
        </w:tc>
        <w:tc>
          <w:tcPr>
            <w:tcW w:w="2268" w:type="dxa"/>
            <w:gridSpan w:val="2"/>
            <w:tcBorders>
              <w:top w:val="single" w:sz="4" w:space="0" w:color="auto"/>
              <w:left w:val="nil"/>
              <w:bottom w:val="single" w:sz="4" w:space="0" w:color="auto"/>
              <w:right w:val="nil"/>
            </w:tcBorders>
            <w:shd w:val="clear" w:color="000000" w:fill="FFFFFF"/>
            <w:noWrap/>
            <w:vAlign w:val="center"/>
            <w:hideMark/>
          </w:tcPr>
          <w:p w14:paraId="5584A72B" w14:textId="77777777" w:rsidR="003B4C44" w:rsidRPr="003A3B96" w:rsidRDefault="00895517" w:rsidP="005D3133">
            <w:pPr>
              <w:spacing w:before="0" w:after="0" w:line="240" w:lineRule="auto"/>
              <w:jc w:val="center"/>
              <w:rPr>
                <w:rFonts w:cs="Arial"/>
                <w:b/>
                <w:bCs/>
                <w:color w:val="000000"/>
                <w:szCs w:val="22"/>
              </w:rPr>
            </w:pPr>
            <w:r w:rsidRPr="003A3B96">
              <w:rPr>
                <w:rFonts w:cs="Arial"/>
                <w:b/>
                <w:bCs/>
                <w:color w:val="000000"/>
                <w:szCs w:val="22"/>
              </w:rPr>
              <w:t>Round 21</w:t>
            </w:r>
          </w:p>
        </w:tc>
        <w:tc>
          <w:tcPr>
            <w:tcW w:w="2300" w:type="dxa"/>
            <w:gridSpan w:val="2"/>
            <w:tcBorders>
              <w:top w:val="single" w:sz="4" w:space="0" w:color="auto"/>
              <w:left w:val="nil"/>
              <w:bottom w:val="single" w:sz="4" w:space="0" w:color="000000"/>
              <w:right w:val="nil"/>
            </w:tcBorders>
            <w:shd w:val="clear" w:color="000000" w:fill="FFFFFF"/>
            <w:vAlign w:val="center"/>
          </w:tcPr>
          <w:p w14:paraId="5D0DFB67" w14:textId="77777777" w:rsidR="003B4C44" w:rsidRPr="003A3B96" w:rsidRDefault="00895517" w:rsidP="005D3133">
            <w:pPr>
              <w:spacing w:before="0" w:after="0" w:line="240" w:lineRule="auto"/>
              <w:jc w:val="center"/>
              <w:rPr>
                <w:rFonts w:cs="Arial"/>
                <w:b/>
                <w:bCs/>
                <w:color w:val="000000"/>
                <w:sz w:val="18"/>
                <w:szCs w:val="18"/>
              </w:rPr>
            </w:pPr>
            <w:r w:rsidRPr="003A3B96">
              <w:rPr>
                <w:rFonts w:cs="Arial"/>
                <w:b/>
                <w:bCs/>
                <w:color w:val="000000"/>
                <w:szCs w:val="22"/>
              </w:rPr>
              <w:t>Round 22</w:t>
            </w:r>
          </w:p>
        </w:tc>
        <w:tc>
          <w:tcPr>
            <w:tcW w:w="1320" w:type="dxa"/>
            <w:vMerge w:val="restart"/>
            <w:tcBorders>
              <w:top w:val="single" w:sz="4" w:space="0" w:color="auto"/>
              <w:left w:val="nil"/>
              <w:bottom w:val="single" w:sz="4" w:space="0" w:color="000000"/>
              <w:right w:val="nil"/>
            </w:tcBorders>
            <w:shd w:val="clear" w:color="000000" w:fill="FFFFFF"/>
            <w:vAlign w:val="center"/>
            <w:hideMark/>
          </w:tcPr>
          <w:p w14:paraId="7C729600" w14:textId="77777777" w:rsidR="003B4C44" w:rsidRPr="003A3B96" w:rsidRDefault="003B4C44" w:rsidP="000827B6">
            <w:pPr>
              <w:spacing w:before="0" w:after="0" w:line="240" w:lineRule="auto"/>
              <w:jc w:val="right"/>
              <w:rPr>
                <w:rFonts w:cs="Arial"/>
                <w:b/>
                <w:bCs/>
                <w:color w:val="000000"/>
                <w:sz w:val="18"/>
                <w:szCs w:val="18"/>
              </w:rPr>
            </w:pPr>
            <w:r w:rsidRPr="003A3B96">
              <w:rPr>
                <w:rFonts w:cs="Arial"/>
                <w:b/>
                <w:bCs/>
                <w:color w:val="000000"/>
                <w:sz w:val="18"/>
                <w:szCs w:val="18"/>
              </w:rPr>
              <w:t>Percent Change in Total Expenditure</w:t>
            </w:r>
          </w:p>
        </w:tc>
      </w:tr>
      <w:tr w:rsidR="003B4C44" w:rsidRPr="003A3B96" w14:paraId="579A13B2" w14:textId="77777777" w:rsidTr="00D111B6">
        <w:trPr>
          <w:trHeight w:val="720"/>
          <w:jc w:val="center"/>
        </w:trPr>
        <w:tc>
          <w:tcPr>
            <w:tcW w:w="2552" w:type="dxa"/>
            <w:gridSpan w:val="2"/>
            <w:tcBorders>
              <w:top w:val="nil"/>
              <w:left w:val="nil"/>
              <w:bottom w:val="single" w:sz="4" w:space="0" w:color="auto"/>
              <w:right w:val="nil"/>
            </w:tcBorders>
            <w:shd w:val="clear" w:color="auto" w:fill="auto"/>
            <w:noWrap/>
            <w:vAlign w:val="center"/>
            <w:hideMark/>
          </w:tcPr>
          <w:p w14:paraId="14EDE95E" w14:textId="77777777" w:rsidR="003B4C44" w:rsidRPr="003A3B96" w:rsidRDefault="003B4C44" w:rsidP="005D3133">
            <w:pPr>
              <w:spacing w:before="0" w:after="0" w:line="240" w:lineRule="auto"/>
              <w:rPr>
                <w:rFonts w:cs="Arial"/>
                <w:color w:val="000000"/>
                <w:sz w:val="20"/>
                <w:szCs w:val="20"/>
              </w:rPr>
            </w:pPr>
            <w:r w:rsidRPr="003A3B96">
              <w:rPr>
                <w:rFonts w:cs="Arial"/>
                <w:color w:val="000000"/>
                <w:sz w:val="20"/>
                <w:szCs w:val="20"/>
              </w:rPr>
              <w:t> </w:t>
            </w:r>
          </w:p>
        </w:tc>
        <w:tc>
          <w:tcPr>
            <w:tcW w:w="992" w:type="dxa"/>
            <w:tcBorders>
              <w:top w:val="nil"/>
              <w:left w:val="nil"/>
              <w:bottom w:val="single" w:sz="4" w:space="0" w:color="auto"/>
              <w:right w:val="nil"/>
            </w:tcBorders>
            <w:shd w:val="clear" w:color="000000" w:fill="FFFFFF"/>
            <w:vAlign w:val="center"/>
            <w:hideMark/>
          </w:tcPr>
          <w:p w14:paraId="061E6543"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Number of Hospitals</w:t>
            </w:r>
          </w:p>
        </w:tc>
        <w:tc>
          <w:tcPr>
            <w:tcW w:w="1276" w:type="dxa"/>
            <w:tcBorders>
              <w:top w:val="nil"/>
              <w:left w:val="nil"/>
              <w:bottom w:val="single" w:sz="4" w:space="0" w:color="auto"/>
              <w:right w:val="nil"/>
            </w:tcBorders>
            <w:shd w:val="clear" w:color="000000" w:fill="FFFFFF"/>
            <w:vAlign w:val="center"/>
            <w:hideMark/>
          </w:tcPr>
          <w:p w14:paraId="571F71F6"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Total Expenditure</w:t>
            </w:r>
          </w:p>
        </w:tc>
        <w:tc>
          <w:tcPr>
            <w:tcW w:w="980" w:type="dxa"/>
            <w:tcBorders>
              <w:top w:val="single" w:sz="4" w:space="0" w:color="auto"/>
              <w:left w:val="nil"/>
              <w:bottom w:val="single" w:sz="4" w:space="0" w:color="000000"/>
              <w:right w:val="nil"/>
            </w:tcBorders>
            <w:vAlign w:val="center"/>
          </w:tcPr>
          <w:p w14:paraId="6C63D42A" w14:textId="77777777" w:rsidR="003B4C44" w:rsidRPr="003A3B96" w:rsidRDefault="003B4C44" w:rsidP="000827B6">
            <w:pPr>
              <w:spacing w:before="0" w:after="0" w:line="240" w:lineRule="auto"/>
              <w:jc w:val="right"/>
              <w:rPr>
                <w:rFonts w:cs="Arial"/>
                <w:b/>
                <w:bCs/>
                <w:color w:val="000000"/>
                <w:sz w:val="18"/>
                <w:szCs w:val="18"/>
              </w:rPr>
            </w:pPr>
            <w:r w:rsidRPr="003A3B96">
              <w:rPr>
                <w:rFonts w:cs="Arial"/>
                <w:color w:val="000000"/>
                <w:sz w:val="18"/>
                <w:szCs w:val="18"/>
              </w:rPr>
              <w:t>Number of Hospitals</w:t>
            </w:r>
          </w:p>
        </w:tc>
        <w:tc>
          <w:tcPr>
            <w:tcW w:w="1320" w:type="dxa"/>
            <w:tcBorders>
              <w:top w:val="single" w:sz="4" w:space="0" w:color="auto"/>
              <w:left w:val="nil"/>
              <w:bottom w:val="single" w:sz="4" w:space="0" w:color="000000"/>
              <w:right w:val="nil"/>
            </w:tcBorders>
            <w:vAlign w:val="center"/>
          </w:tcPr>
          <w:p w14:paraId="4CCF3B61" w14:textId="77777777" w:rsidR="003B4C44" w:rsidRPr="003A3B96" w:rsidRDefault="003B4C44" w:rsidP="000827B6">
            <w:pPr>
              <w:spacing w:before="0" w:after="0" w:line="240" w:lineRule="auto"/>
              <w:jc w:val="right"/>
              <w:rPr>
                <w:rFonts w:cs="Arial"/>
                <w:b/>
                <w:bCs/>
                <w:color w:val="000000"/>
                <w:sz w:val="18"/>
                <w:szCs w:val="18"/>
              </w:rPr>
            </w:pPr>
            <w:r w:rsidRPr="003A3B96">
              <w:rPr>
                <w:rFonts w:cs="Arial"/>
                <w:color w:val="000000"/>
                <w:sz w:val="18"/>
                <w:szCs w:val="18"/>
              </w:rPr>
              <w:t>Total Expenditure</w:t>
            </w:r>
          </w:p>
        </w:tc>
        <w:tc>
          <w:tcPr>
            <w:tcW w:w="1320" w:type="dxa"/>
            <w:vMerge/>
            <w:tcBorders>
              <w:top w:val="single" w:sz="4" w:space="0" w:color="auto"/>
              <w:left w:val="nil"/>
              <w:bottom w:val="single" w:sz="4" w:space="0" w:color="000000"/>
              <w:right w:val="nil"/>
            </w:tcBorders>
            <w:vAlign w:val="center"/>
            <w:hideMark/>
          </w:tcPr>
          <w:p w14:paraId="4525D646" w14:textId="77777777" w:rsidR="003B4C44" w:rsidRPr="003A3B96" w:rsidRDefault="003B4C44" w:rsidP="005D3133">
            <w:pPr>
              <w:spacing w:before="0" w:after="0" w:line="240" w:lineRule="auto"/>
              <w:rPr>
                <w:rFonts w:cs="Arial"/>
                <w:b/>
                <w:bCs/>
                <w:color w:val="000000"/>
                <w:sz w:val="18"/>
                <w:szCs w:val="18"/>
              </w:rPr>
            </w:pPr>
          </w:p>
        </w:tc>
      </w:tr>
      <w:tr w:rsidR="003B4C44" w:rsidRPr="003A3B96" w14:paraId="79E7DB75" w14:textId="77777777" w:rsidTr="00D111B6">
        <w:trPr>
          <w:trHeight w:val="300"/>
          <w:jc w:val="center"/>
        </w:trPr>
        <w:tc>
          <w:tcPr>
            <w:tcW w:w="2552" w:type="dxa"/>
            <w:gridSpan w:val="2"/>
            <w:tcBorders>
              <w:top w:val="nil"/>
              <w:left w:val="nil"/>
              <w:bottom w:val="single" w:sz="4" w:space="0" w:color="auto"/>
              <w:right w:val="nil"/>
            </w:tcBorders>
            <w:shd w:val="clear" w:color="000000" w:fill="FFFFFF"/>
            <w:noWrap/>
            <w:vAlign w:val="bottom"/>
            <w:hideMark/>
          </w:tcPr>
          <w:p w14:paraId="4CF26C74" w14:textId="77777777" w:rsidR="003B4C44" w:rsidRPr="003A3B96" w:rsidRDefault="003B4C44" w:rsidP="005D3133">
            <w:pPr>
              <w:spacing w:before="0" w:after="0" w:line="240" w:lineRule="auto"/>
              <w:rPr>
                <w:rFonts w:cs="Arial"/>
                <w:color w:val="000000"/>
                <w:sz w:val="18"/>
                <w:szCs w:val="18"/>
              </w:rPr>
            </w:pPr>
            <w:r w:rsidRPr="003A3B96">
              <w:rPr>
                <w:rFonts w:cs="Arial"/>
                <w:color w:val="000000"/>
                <w:sz w:val="18"/>
                <w:szCs w:val="18"/>
              </w:rPr>
              <w:t> </w:t>
            </w:r>
          </w:p>
        </w:tc>
        <w:tc>
          <w:tcPr>
            <w:tcW w:w="992" w:type="dxa"/>
            <w:tcBorders>
              <w:top w:val="nil"/>
              <w:left w:val="nil"/>
              <w:bottom w:val="single" w:sz="4" w:space="0" w:color="auto"/>
              <w:right w:val="nil"/>
            </w:tcBorders>
            <w:shd w:val="clear" w:color="000000" w:fill="FFFFFF"/>
            <w:noWrap/>
            <w:vAlign w:val="center"/>
            <w:hideMark/>
          </w:tcPr>
          <w:p w14:paraId="0B378159"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 </w:t>
            </w:r>
          </w:p>
        </w:tc>
        <w:tc>
          <w:tcPr>
            <w:tcW w:w="1276" w:type="dxa"/>
            <w:tcBorders>
              <w:top w:val="nil"/>
              <w:left w:val="nil"/>
              <w:bottom w:val="single" w:sz="4" w:space="0" w:color="auto"/>
              <w:right w:val="nil"/>
            </w:tcBorders>
            <w:shd w:val="clear" w:color="000000" w:fill="FFFFFF"/>
            <w:noWrap/>
            <w:vAlign w:val="center"/>
            <w:hideMark/>
          </w:tcPr>
          <w:p w14:paraId="6B69F9B0"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($m)</w:t>
            </w:r>
          </w:p>
        </w:tc>
        <w:tc>
          <w:tcPr>
            <w:tcW w:w="980" w:type="dxa"/>
            <w:tcBorders>
              <w:top w:val="nil"/>
              <w:left w:val="nil"/>
              <w:bottom w:val="single" w:sz="4" w:space="0" w:color="auto"/>
              <w:right w:val="nil"/>
            </w:tcBorders>
            <w:shd w:val="clear" w:color="000000" w:fill="FFFFFF"/>
            <w:vAlign w:val="center"/>
          </w:tcPr>
          <w:p w14:paraId="5B9CC448"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 </w:t>
            </w:r>
          </w:p>
        </w:tc>
        <w:tc>
          <w:tcPr>
            <w:tcW w:w="1320" w:type="dxa"/>
            <w:tcBorders>
              <w:top w:val="nil"/>
              <w:left w:val="nil"/>
              <w:bottom w:val="single" w:sz="4" w:space="0" w:color="auto"/>
              <w:right w:val="nil"/>
            </w:tcBorders>
            <w:shd w:val="clear" w:color="000000" w:fill="FFFFFF"/>
            <w:vAlign w:val="center"/>
          </w:tcPr>
          <w:p w14:paraId="2822D500"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($m)</w:t>
            </w:r>
          </w:p>
        </w:tc>
        <w:tc>
          <w:tcPr>
            <w:tcW w:w="1320" w:type="dxa"/>
            <w:tcBorders>
              <w:top w:val="nil"/>
              <w:left w:val="nil"/>
              <w:bottom w:val="single" w:sz="4" w:space="0" w:color="auto"/>
              <w:right w:val="nil"/>
            </w:tcBorders>
            <w:shd w:val="clear" w:color="000000" w:fill="FFFFFF"/>
            <w:noWrap/>
            <w:vAlign w:val="center"/>
            <w:hideMark/>
          </w:tcPr>
          <w:p w14:paraId="5B52287B" w14:textId="77777777" w:rsidR="003B4C44" w:rsidRPr="003A3B96" w:rsidRDefault="003B4C44" w:rsidP="000827B6">
            <w:pPr>
              <w:spacing w:before="0" w:after="0" w:line="240" w:lineRule="auto"/>
              <w:jc w:val="right"/>
              <w:rPr>
                <w:rFonts w:cs="Arial"/>
                <w:color w:val="000000"/>
                <w:sz w:val="18"/>
                <w:szCs w:val="18"/>
              </w:rPr>
            </w:pPr>
            <w:r w:rsidRPr="003A3B96">
              <w:rPr>
                <w:rFonts w:cs="Arial"/>
                <w:color w:val="000000"/>
                <w:sz w:val="18"/>
                <w:szCs w:val="18"/>
              </w:rPr>
              <w:t>(%)</w:t>
            </w:r>
          </w:p>
        </w:tc>
      </w:tr>
      <w:tr w:rsidR="006C6F6A" w:rsidRPr="003A3B96" w14:paraId="6B3E412C" w14:textId="77777777" w:rsidTr="00D111B6">
        <w:trPr>
          <w:trHeight w:val="300"/>
          <w:jc w:val="center"/>
        </w:trPr>
        <w:tc>
          <w:tcPr>
            <w:tcW w:w="2410" w:type="dxa"/>
            <w:tcBorders>
              <w:top w:val="nil"/>
              <w:left w:val="nil"/>
              <w:bottom w:val="nil"/>
              <w:right w:val="nil"/>
            </w:tcBorders>
            <w:shd w:val="clear" w:color="000000" w:fill="FFFFFF"/>
            <w:noWrap/>
            <w:vAlign w:val="center"/>
            <w:hideMark/>
          </w:tcPr>
          <w:p w14:paraId="4EDB2378"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Admitted Acute</w:t>
            </w:r>
          </w:p>
        </w:tc>
        <w:tc>
          <w:tcPr>
            <w:tcW w:w="1134" w:type="dxa"/>
            <w:gridSpan w:val="2"/>
            <w:tcBorders>
              <w:top w:val="nil"/>
              <w:left w:val="nil"/>
              <w:bottom w:val="nil"/>
              <w:right w:val="nil"/>
            </w:tcBorders>
            <w:shd w:val="clear" w:color="000000" w:fill="FFFFFF"/>
            <w:noWrap/>
            <w:vAlign w:val="center"/>
            <w:hideMark/>
          </w:tcPr>
          <w:p w14:paraId="47EC981F" w14:textId="14D505EC"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344</w:t>
            </w:r>
          </w:p>
        </w:tc>
        <w:tc>
          <w:tcPr>
            <w:tcW w:w="1276" w:type="dxa"/>
            <w:tcBorders>
              <w:top w:val="nil"/>
              <w:left w:val="nil"/>
              <w:bottom w:val="nil"/>
              <w:right w:val="nil"/>
            </w:tcBorders>
            <w:shd w:val="clear" w:color="000000" w:fill="FFFFFF"/>
            <w:noWrap/>
            <w:vAlign w:val="center"/>
            <w:hideMark/>
          </w:tcPr>
          <w:p w14:paraId="5A94BBD2" w14:textId="320065D5" w:rsidR="006C6F6A" w:rsidRPr="003A3B96" w:rsidRDefault="006C6F6A" w:rsidP="00F9684F">
            <w:pPr>
              <w:spacing w:before="0" w:after="0" w:line="240" w:lineRule="auto"/>
              <w:jc w:val="right"/>
              <w:rPr>
                <w:rFonts w:cs="Arial"/>
                <w:color w:val="000000"/>
                <w:sz w:val="18"/>
                <w:szCs w:val="18"/>
              </w:rPr>
            </w:pPr>
            <w:r w:rsidRPr="003A3B96">
              <w:rPr>
                <w:rFonts w:cs="Arial"/>
                <w:color w:val="000000"/>
                <w:sz w:val="18"/>
                <w:szCs w:val="18"/>
              </w:rPr>
              <w:t>27,666</w:t>
            </w:r>
          </w:p>
        </w:tc>
        <w:tc>
          <w:tcPr>
            <w:tcW w:w="980" w:type="dxa"/>
            <w:tcBorders>
              <w:top w:val="nil"/>
              <w:left w:val="nil"/>
              <w:bottom w:val="nil"/>
              <w:right w:val="nil"/>
            </w:tcBorders>
            <w:shd w:val="clear" w:color="000000" w:fill="FFFFFF"/>
            <w:vAlign w:val="center"/>
          </w:tcPr>
          <w:p w14:paraId="16F649F9" w14:textId="050C76EA"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342</w:t>
            </w:r>
          </w:p>
        </w:tc>
        <w:tc>
          <w:tcPr>
            <w:tcW w:w="1320" w:type="dxa"/>
            <w:tcBorders>
              <w:top w:val="nil"/>
              <w:left w:val="nil"/>
              <w:bottom w:val="nil"/>
              <w:right w:val="nil"/>
            </w:tcBorders>
            <w:shd w:val="clear" w:color="000000" w:fill="FFFFFF"/>
            <w:vAlign w:val="center"/>
          </w:tcPr>
          <w:p w14:paraId="01809167" w14:textId="278B2BF5"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29,406</w:t>
            </w:r>
          </w:p>
        </w:tc>
        <w:tc>
          <w:tcPr>
            <w:tcW w:w="1320" w:type="dxa"/>
            <w:tcBorders>
              <w:top w:val="nil"/>
              <w:left w:val="nil"/>
              <w:bottom w:val="nil"/>
              <w:right w:val="nil"/>
            </w:tcBorders>
            <w:shd w:val="clear" w:color="000000" w:fill="FFFFFF"/>
            <w:noWrap/>
            <w:vAlign w:val="center"/>
          </w:tcPr>
          <w:p w14:paraId="3C56DBE2" w14:textId="441C9BE1"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6.3</w:t>
            </w:r>
          </w:p>
        </w:tc>
      </w:tr>
      <w:tr w:rsidR="006C6F6A" w:rsidRPr="003A3B96" w14:paraId="02856FF3" w14:textId="77777777" w:rsidTr="00D111B6">
        <w:trPr>
          <w:trHeight w:val="300"/>
          <w:jc w:val="center"/>
        </w:trPr>
        <w:tc>
          <w:tcPr>
            <w:tcW w:w="2552" w:type="dxa"/>
            <w:gridSpan w:val="2"/>
            <w:tcBorders>
              <w:top w:val="nil"/>
              <w:left w:val="nil"/>
              <w:bottom w:val="nil"/>
              <w:right w:val="nil"/>
            </w:tcBorders>
            <w:shd w:val="clear" w:color="000000" w:fill="FFFFFF"/>
            <w:noWrap/>
            <w:vAlign w:val="center"/>
            <w:hideMark/>
          </w:tcPr>
          <w:p w14:paraId="4E5712A5"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Emergency Department</w:t>
            </w:r>
          </w:p>
        </w:tc>
        <w:tc>
          <w:tcPr>
            <w:tcW w:w="992" w:type="dxa"/>
            <w:tcBorders>
              <w:top w:val="nil"/>
              <w:left w:val="nil"/>
              <w:bottom w:val="nil"/>
              <w:right w:val="nil"/>
            </w:tcBorders>
            <w:shd w:val="clear" w:color="000000" w:fill="FFFFFF"/>
            <w:noWrap/>
            <w:vAlign w:val="center"/>
            <w:hideMark/>
          </w:tcPr>
          <w:p w14:paraId="7D731FE0" w14:textId="1FDD7D71"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265</w:t>
            </w:r>
          </w:p>
        </w:tc>
        <w:tc>
          <w:tcPr>
            <w:tcW w:w="1276" w:type="dxa"/>
            <w:tcBorders>
              <w:top w:val="nil"/>
              <w:left w:val="nil"/>
              <w:bottom w:val="nil"/>
              <w:right w:val="nil"/>
            </w:tcBorders>
            <w:shd w:val="clear" w:color="000000" w:fill="FFFFFF"/>
            <w:noWrap/>
            <w:vAlign w:val="center"/>
            <w:hideMark/>
          </w:tcPr>
          <w:p w14:paraId="449ACFB5" w14:textId="35D76ECD"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5,100</w:t>
            </w:r>
          </w:p>
        </w:tc>
        <w:tc>
          <w:tcPr>
            <w:tcW w:w="980" w:type="dxa"/>
            <w:tcBorders>
              <w:top w:val="nil"/>
              <w:left w:val="nil"/>
              <w:bottom w:val="nil"/>
              <w:right w:val="nil"/>
            </w:tcBorders>
            <w:shd w:val="clear" w:color="000000" w:fill="FFFFFF"/>
            <w:vAlign w:val="center"/>
          </w:tcPr>
          <w:p w14:paraId="021F2BFF" w14:textId="52F805EB"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274</w:t>
            </w:r>
          </w:p>
        </w:tc>
        <w:tc>
          <w:tcPr>
            <w:tcW w:w="1320" w:type="dxa"/>
            <w:tcBorders>
              <w:top w:val="nil"/>
              <w:left w:val="nil"/>
              <w:bottom w:val="nil"/>
              <w:right w:val="nil"/>
            </w:tcBorders>
            <w:shd w:val="clear" w:color="000000" w:fill="FFFFFF"/>
            <w:vAlign w:val="center"/>
          </w:tcPr>
          <w:p w14:paraId="00E795EE" w14:textId="6EDE11E9"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5,554</w:t>
            </w:r>
          </w:p>
        </w:tc>
        <w:tc>
          <w:tcPr>
            <w:tcW w:w="1320" w:type="dxa"/>
            <w:tcBorders>
              <w:top w:val="nil"/>
              <w:left w:val="nil"/>
              <w:bottom w:val="nil"/>
              <w:right w:val="nil"/>
            </w:tcBorders>
            <w:shd w:val="clear" w:color="000000" w:fill="FFFFFF"/>
            <w:noWrap/>
            <w:vAlign w:val="center"/>
          </w:tcPr>
          <w:p w14:paraId="4F6F7918" w14:textId="1AEB12DE"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8.9</w:t>
            </w:r>
          </w:p>
        </w:tc>
      </w:tr>
      <w:tr w:rsidR="006C6F6A" w:rsidRPr="003A3B96" w14:paraId="6EE90469" w14:textId="77777777" w:rsidTr="00D111B6">
        <w:trPr>
          <w:trHeight w:val="300"/>
          <w:jc w:val="center"/>
        </w:trPr>
        <w:tc>
          <w:tcPr>
            <w:tcW w:w="2552" w:type="dxa"/>
            <w:gridSpan w:val="2"/>
            <w:tcBorders>
              <w:top w:val="nil"/>
              <w:left w:val="nil"/>
              <w:bottom w:val="nil"/>
              <w:right w:val="nil"/>
            </w:tcBorders>
            <w:shd w:val="clear" w:color="000000" w:fill="FFFFFF"/>
            <w:noWrap/>
            <w:vAlign w:val="center"/>
            <w:hideMark/>
          </w:tcPr>
          <w:p w14:paraId="542462AA"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Non-Admitted</w:t>
            </w:r>
          </w:p>
        </w:tc>
        <w:tc>
          <w:tcPr>
            <w:tcW w:w="992" w:type="dxa"/>
            <w:tcBorders>
              <w:top w:val="nil"/>
              <w:left w:val="nil"/>
              <w:bottom w:val="nil"/>
              <w:right w:val="nil"/>
            </w:tcBorders>
            <w:shd w:val="clear" w:color="000000" w:fill="FFFFFF"/>
            <w:noWrap/>
            <w:vAlign w:val="center"/>
            <w:hideMark/>
          </w:tcPr>
          <w:p w14:paraId="12EA061B" w14:textId="6C6CA067"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273</w:t>
            </w:r>
          </w:p>
        </w:tc>
        <w:tc>
          <w:tcPr>
            <w:tcW w:w="1276" w:type="dxa"/>
            <w:tcBorders>
              <w:top w:val="nil"/>
              <w:left w:val="nil"/>
              <w:bottom w:val="nil"/>
              <w:right w:val="nil"/>
            </w:tcBorders>
            <w:shd w:val="clear" w:color="000000" w:fill="FFFFFF"/>
            <w:noWrap/>
            <w:vAlign w:val="center"/>
            <w:hideMark/>
          </w:tcPr>
          <w:p w14:paraId="36F8E4F8" w14:textId="22FFA1E7"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5,742</w:t>
            </w:r>
          </w:p>
        </w:tc>
        <w:tc>
          <w:tcPr>
            <w:tcW w:w="980" w:type="dxa"/>
            <w:tcBorders>
              <w:top w:val="nil"/>
              <w:left w:val="nil"/>
              <w:bottom w:val="nil"/>
              <w:right w:val="nil"/>
            </w:tcBorders>
            <w:shd w:val="clear" w:color="000000" w:fill="FFFFFF"/>
            <w:vAlign w:val="center"/>
          </w:tcPr>
          <w:p w14:paraId="0574C98D" w14:textId="41C312E0"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315</w:t>
            </w:r>
          </w:p>
        </w:tc>
        <w:tc>
          <w:tcPr>
            <w:tcW w:w="1320" w:type="dxa"/>
            <w:tcBorders>
              <w:top w:val="nil"/>
              <w:left w:val="nil"/>
              <w:bottom w:val="nil"/>
              <w:right w:val="nil"/>
            </w:tcBorders>
            <w:shd w:val="clear" w:color="000000" w:fill="FFFFFF"/>
            <w:vAlign w:val="center"/>
          </w:tcPr>
          <w:p w14:paraId="6C64D653" w14:textId="2ABBD8BB"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6,820</w:t>
            </w:r>
          </w:p>
        </w:tc>
        <w:tc>
          <w:tcPr>
            <w:tcW w:w="1320" w:type="dxa"/>
            <w:tcBorders>
              <w:top w:val="nil"/>
              <w:left w:val="nil"/>
              <w:bottom w:val="nil"/>
              <w:right w:val="nil"/>
            </w:tcBorders>
            <w:shd w:val="clear" w:color="000000" w:fill="FFFFFF"/>
            <w:noWrap/>
            <w:vAlign w:val="center"/>
          </w:tcPr>
          <w:p w14:paraId="737F1F84" w14:textId="7552391D"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18.8</w:t>
            </w:r>
          </w:p>
        </w:tc>
      </w:tr>
      <w:tr w:rsidR="006C6F6A" w:rsidRPr="003A3B96" w14:paraId="40187F30" w14:textId="77777777" w:rsidTr="00D111B6">
        <w:trPr>
          <w:trHeight w:val="300"/>
          <w:jc w:val="center"/>
        </w:trPr>
        <w:tc>
          <w:tcPr>
            <w:tcW w:w="2552" w:type="dxa"/>
            <w:gridSpan w:val="2"/>
            <w:tcBorders>
              <w:top w:val="nil"/>
              <w:left w:val="nil"/>
              <w:bottom w:val="nil"/>
              <w:right w:val="nil"/>
            </w:tcBorders>
            <w:shd w:val="clear" w:color="000000" w:fill="FFFFFF"/>
            <w:noWrap/>
            <w:vAlign w:val="center"/>
            <w:hideMark/>
          </w:tcPr>
          <w:p w14:paraId="7C5B1AEA"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Sub-Acute</w:t>
            </w:r>
          </w:p>
        </w:tc>
        <w:tc>
          <w:tcPr>
            <w:tcW w:w="992" w:type="dxa"/>
            <w:tcBorders>
              <w:top w:val="nil"/>
              <w:left w:val="nil"/>
              <w:bottom w:val="nil"/>
              <w:right w:val="nil"/>
            </w:tcBorders>
            <w:shd w:val="clear" w:color="000000" w:fill="FFFFFF"/>
            <w:noWrap/>
            <w:vAlign w:val="center"/>
            <w:hideMark/>
          </w:tcPr>
          <w:p w14:paraId="4E247D11" w14:textId="58EE02A7"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331</w:t>
            </w:r>
          </w:p>
        </w:tc>
        <w:tc>
          <w:tcPr>
            <w:tcW w:w="1276" w:type="dxa"/>
            <w:tcBorders>
              <w:top w:val="nil"/>
              <w:left w:val="nil"/>
              <w:bottom w:val="nil"/>
              <w:right w:val="nil"/>
            </w:tcBorders>
            <w:shd w:val="clear" w:color="000000" w:fill="FFFFFF"/>
            <w:noWrap/>
            <w:vAlign w:val="center"/>
            <w:hideMark/>
          </w:tcPr>
          <w:p w14:paraId="68DECAF7" w14:textId="6BBF343A"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2,796</w:t>
            </w:r>
          </w:p>
        </w:tc>
        <w:tc>
          <w:tcPr>
            <w:tcW w:w="980" w:type="dxa"/>
            <w:tcBorders>
              <w:top w:val="nil"/>
              <w:left w:val="nil"/>
              <w:bottom w:val="nil"/>
              <w:right w:val="nil"/>
            </w:tcBorders>
            <w:shd w:val="clear" w:color="000000" w:fill="FFFFFF"/>
            <w:vAlign w:val="center"/>
          </w:tcPr>
          <w:p w14:paraId="461D651C" w14:textId="1BED00D3"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333</w:t>
            </w:r>
          </w:p>
        </w:tc>
        <w:tc>
          <w:tcPr>
            <w:tcW w:w="1320" w:type="dxa"/>
            <w:tcBorders>
              <w:top w:val="nil"/>
              <w:left w:val="nil"/>
              <w:bottom w:val="nil"/>
              <w:right w:val="nil"/>
            </w:tcBorders>
            <w:shd w:val="clear" w:color="000000" w:fill="FFFFFF"/>
            <w:vAlign w:val="center"/>
          </w:tcPr>
          <w:p w14:paraId="70BCB4EA" w14:textId="6AA2E8FF"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2,927</w:t>
            </w:r>
          </w:p>
        </w:tc>
        <w:tc>
          <w:tcPr>
            <w:tcW w:w="1320" w:type="dxa"/>
            <w:tcBorders>
              <w:top w:val="nil"/>
              <w:left w:val="nil"/>
              <w:bottom w:val="nil"/>
              <w:right w:val="nil"/>
            </w:tcBorders>
            <w:shd w:val="clear" w:color="000000" w:fill="FFFFFF"/>
            <w:noWrap/>
            <w:vAlign w:val="center"/>
          </w:tcPr>
          <w:p w14:paraId="12757BBB" w14:textId="75D3DD7E"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4.7</w:t>
            </w:r>
          </w:p>
        </w:tc>
      </w:tr>
      <w:tr w:rsidR="006C6F6A" w:rsidRPr="003A3B96" w14:paraId="4C467DA4" w14:textId="77777777" w:rsidTr="00D111B6">
        <w:trPr>
          <w:trHeight w:val="300"/>
          <w:jc w:val="center"/>
        </w:trPr>
        <w:tc>
          <w:tcPr>
            <w:tcW w:w="2552" w:type="dxa"/>
            <w:gridSpan w:val="2"/>
            <w:tcBorders>
              <w:top w:val="nil"/>
              <w:left w:val="nil"/>
              <w:bottom w:val="nil"/>
              <w:right w:val="nil"/>
            </w:tcBorders>
            <w:shd w:val="clear" w:color="000000" w:fill="FFFFFF"/>
            <w:noWrap/>
            <w:vAlign w:val="center"/>
            <w:hideMark/>
          </w:tcPr>
          <w:p w14:paraId="06D42E81"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Mental Health</w:t>
            </w:r>
          </w:p>
        </w:tc>
        <w:tc>
          <w:tcPr>
            <w:tcW w:w="992" w:type="dxa"/>
            <w:tcBorders>
              <w:top w:val="nil"/>
              <w:left w:val="nil"/>
              <w:bottom w:val="nil"/>
              <w:right w:val="nil"/>
            </w:tcBorders>
            <w:shd w:val="clear" w:color="000000" w:fill="FFFFFF"/>
            <w:noWrap/>
            <w:vAlign w:val="center"/>
            <w:hideMark/>
          </w:tcPr>
          <w:p w14:paraId="1508CB14" w14:textId="7F2AA788"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242</w:t>
            </w:r>
          </w:p>
        </w:tc>
        <w:tc>
          <w:tcPr>
            <w:tcW w:w="1276" w:type="dxa"/>
            <w:tcBorders>
              <w:top w:val="nil"/>
              <w:left w:val="nil"/>
              <w:bottom w:val="nil"/>
              <w:right w:val="nil"/>
            </w:tcBorders>
            <w:shd w:val="clear" w:color="000000" w:fill="FFFFFF"/>
            <w:noWrap/>
            <w:vAlign w:val="center"/>
            <w:hideMark/>
          </w:tcPr>
          <w:p w14:paraId="0D638B4C" w14:textId="524189F3" w:rsidR="006C6F6A" w:rsidRPr="003A3B96" w:rsidRDefault="006C6F6A" w:rsidP="00F9684F">
            <w:pPr>
              <w:spacing w:before="0" w:after="0" w:line="240" w:lineRule="auto"/>
              <w:jc w:val="right"/>
              <w:rPr>
                <w:rFonts w:cs="Arial"/>
                <w:color w:val="000000"/>
                <w:sz w:val="18"/>
                <w:szCs w:val="18"/>
              </w:rPr>
            </w:pPr>
            <w:r w:rsidRPr="003A3B96">
              <w:rPr>
                <w:rFonts w:cs="Arial"/>
                <w:color w:val="000000"/>
                <w:sz w:val="18"/>
                <w:szCs w:val="18"/>
              </w:rPr>
              <w:t>2,436</w:t>
            </w:r>
          </w:p>
        </w:tc>
        <w:tc>
          <w:tcPr>
            <w:tcW w:w="980" w:type="dxa"/>
            <w:tcBorders>
              <w:top w:val="nil"/>
              <w:left w:val="nil"/>
              <w:bottom w:val="nil"/>
              <w:right w:val="nil"/>
            </w:tcBorders>
            <w:shd w:val="clear" w:color="000000" w:fill="FFFFFF"/>
            <w:vAlign w:val="center"/>
          </w:tcPr>
          <w:p w14:paraId="3EE38B98" w14:textId="5D8C9816"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234</w:t>
            </w:r>
          </w:p>
        </w:tc>
        <w:tc>
          <w:tcPr>
            <w:tcW w:w="1320" w:type="dxa"/>
            <w:tcBorders>
              <w:top w:val="nil"/>
              <w:left w:val="nil"/>
              <w:bottom w:val="nil"/>
              <w:right w:val="nil"/>
            </w:tcBorders>
            <w:shd w:val="clear" w:color="000000" w:fill="FFFFFF"/>
            <w:vAlign w:val="center"/>
          </w:tcPr>
          <w:p w14:paraId="3A6F2DC5" w14:textId="008E0410"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2,385</w:t>
            </w:r>
          </w:p>
        </w:tc>
        <w:tc>
          <w:tcPr>
            <w:tcW w:w="1320" w:type="dxa"/>
            <w:tcBorders>
              <w:top w:val="nil"/>
              <w:left w:val="nil"/>
              <w:bottom w:val="nil"/>
              <w:right w:val="nil"/>
            </w:tcBorders>
            <w:shd w:val="clear" w:color="000000" w:fill="FFFFFF"/>
            <w:noWrap/>
            <w:vAlign w:val="center"/>
          </w:tcPr>
          <w:p w14:paraId="563BB974" w14:textId="00D81B61"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-2.1</w:t>
            </w:r>
          </w:p>
        </w:tc>
      </w:tr>
      <w:tr w:rsidR="00965DD5" w:rsidRPr="009A4E73" w14:paraId="0326FED0" w14:textId="77777777" w:rsidTr="00D111B6">
        <w:trPr>
          <w:trHeight w:val="300"/>
          <w:jc w:val="center"/>
        </w:trPr>
        <w:tc>
          <w:tcPr>
            <w:tcW w:w="2552" w:type="dxa"/>
            <w:gridSpan w:val="2"/>
            <w:tcBorders>
              <w:top w:val="nil"/>
              <w:left w:val="nil"/>
              <w:bottom w:val="nil"/>
              <w:right w:val="nil"/>
            </w:tcBorders>
            <w:shd w:val="clear" w:color="000000" w:fill="FFFFFF"/>
            <w:noWrap/>
            <w:vAlign w:val="center"/>
          </w:tcPr>
          <w:p w14:paraId="1A7D75FB" w14:textId="73BF992A" w:rsidR="00965DD5" w:rsidRPr="00D111B6" w:rsidRDefault="00EE4C4B" w:rsidP="006C6F6A">
            <w:pPr>
              <w:spacing w:before="0" w:after="0" w:line="240" w:lineRule="auto"/>
              <w:rPr>
                <w:rFonts w:cs="Arial"/>
                <w:i/>
                <w:color w:val="000000"/>
                <w:sz w:val="18"/>
                <w:szCs w:val="18"/>
              </w:rPr>
            </w:pPr>
            <w:r>
              <w:rPr>
                <w:rFonts w:cs="Arial"/>
                <w:i/>
                <w:color w:val="000000"/>
                <w:sz w:val="18"/>
                <w:szCs w:val="18"/>
              </w:rPr>
              <w:t xml:space="preserve">  </w:t>
            </w:r>
            <w:r w:rsidR="00965DD5" w:rsidRPr="00D111B6">
              <w:rPr>
                <w:rFonts w:cs="Arial"/>
                <w:i/>
                <w:color w:val="000000"/>
                <w:sz w:val="18"/>
                <w:szCs w:val="18"/>
              </w:rPr>
              <w:t>Admitted Mental Health</w:t>
            </w:r>
          </w:p>
        </w:tc>
        <w:tc>
          <w:tcPr>
            <w:tcW w:w="992" w:type="dxa"/>
            <w:tcBorders>
              <w:top w:val="nil"/>
              <w:left w:val="nil"/>
              <w:bottom w:val="nil"/>
              <w:right w:val="nil"/>
            </w:tcBorders>
            <w:shd w:val="clear" w:color="000000" w:fill="FFFFFF"/>
            <w:noWrap/>
            <w:vAlign w:val="center"/>
          </w:tcPr>
          <w:p w14:paraId="5A23D22F" w14:textId="65521EDF" w:rsidR="00965DD5" w:rsidRPr="00D111B6" w:rsidRDefault="00965DD5">
            <w:pPr>
              <w:spacing w:before="0" w:after="0" w:line="240" w:lineRule="auto"/>
              <w:jc w:val="right"/>
              <w:rPr>
                <w:rFonts w:cs="Arial"/>
                <w:i/>
                <w:color w:val="000000"/>
                <w:sz w:val="18"/>
                <w:szCs w:val="18"/>
              </w:rPr>
            </w:pPr>
            <w:r w:rsidRPr="00D111B6">
              <w:rPr>
                <w:rFonts w:cs="Arial"/>
                <w:i/>
                <w:color w:val="000000"/>
                <w:sz w:val="18"/>
                <w:szCs w:val="18"/>
              </w:rPr>
              <w:t>163</w:t>
            </w:r>
          </w:p>
        </w:tc>
        <w:tc>
          <w:tcPr>
            <w:tcW w:w="1276" w:type="dxa"/>
            <w:tcBorders>
              <w:top w:val="nil"/>
              <w:left w:val="nil"/>
              <w:bottom w:val="nil"/>
              <w:right w:val="nil"/>
            </w:tcBorders>
            <w:shd w:val="clear" w:color="000000" w:fill="FFFFFF"/>
            <w:noWrap/>
            <w:vAlign w:val="center"/>
          </w:tcPr>
          <w:p w14:paraId="2B43312A" w14:textId="0E3902B0" w:rsidR="00965DD5" w:rsidRPr="00D111B6" w:rsidRDefault="00965DD5" w:rsidP="00F9684F">
            <w:pPr>
              <w:spacing w:before="0" w:after="0" w:line="240" w:lineRule="auto"/>
              <w:jc w:val="right"/>
              <w:rPr>
                <w:rFonts w:cs="Arial"/>
                <w:i/>
                <w:color w:val="000000"/>
                <w:sz w:val="18"/>
                <w:szCs w:val="18"/>
              </w:rPr>
            </w:pPr>
            <w:r w:rsidRPr="00D111B6">
              <w:rPr>
                <w:rFonts w:cs="Arial"/>
                <w:i/>
                <w:color w:val="000000"/>
                <w:sz w:val="18"/>
                <w:szCs w:val="18"/>
              </w:rPr>
              <w:t>2,116</w:t>
            </w:r>
          </w:p>
        </w:tc>
        <w:tc>
          <w:tcPr>
            <w:tcW w:w="980" w:type="dxa"/>
            <w:tcBorders>
              <w:top w:val="nil"/>
              <w:left w:val="nil"/>
              <w:bottom w:val="nil"/>
              <w:right w:val="nil"/>
            </w:tcBorders>
            <w:shd w:val="clear" w:color="000000" w:fill="FFFFFF"/>
            <w:vAlign w:val="center"/>
          </w:tcPr>
          <w:p w14:paraId="4BC1D4CD" w14:textId="14B9949D" w:rsidR="00965DD5" w:rsidRPr="00D111B6" w:rsidRDefault="00965DD5" w:rsidP="006C6F6A">
            <w:pPr>
              <w:spacing w:before="0" w:after="0" w:line="240" w:lineRule="auto"/>
              <w:jc w:val="right"/>
              <w:rPr>
                <w:rFonts w:cs="Arial"/>
                <w:i/>
                <w:color w:val="000000"/>
                <w:sz w:val="18"/>
                <w:szCs w:val="18"/>
              </w:rPr>
            </w:pPr>
            <w:r w:rsidRPr="00D111B6">
              <w:rPr>
                <w:rFonts w:cs="Arial"/>
                <w:i/>
                <w:color w:val="000000"/>
                <w:sz w:val="18"/>
                <w:szCs w:val="18"/>
              </w:rPr>
              <w:t>169</w:t>
            </w:r>
          </w:p>
        </w:tc>
        <w:tc>
          <w:tcPr>
            <w:tcW w:w="1320" w:type="dxa"/>
            <w:tcBorders>
              <w:top w:val="nil"/>
              <w:left w:val="nil"/>
              <w:bottom w:val="nil"/>
              <w:right w:val="nil"/>
            </w:tcBorders>
            <w:shd w:val="clear" w:color="000000" w:fill="FFFFFF"/>
            <w:vAlign w:val="center"/>
          </w:tcPr>
          <w:p w14:paraId="660D8D51" w14:textId="1161FE7A" w:rsidR="00965DD5" w:rsidRPr="00D111B6" w:rsidRDefault="00965DD5" w:rsidP="00F9684F">
            <w:pPr>
              <w:spacing w:before="0" w:after="0" w:line="240" w:lineRule="auto"/>
              <w:jc w:val="right"/>
              <w:rPr>
                <w:rFonts w:cs="Arial"/>
                <w:i/>
                <w:color w:val="000000"/>
                <w:sz w:val="18"/>
                <w:szCs w:val="18"/>
              </w:rPr>
            </w:pPr>
            <w:r w:rsidRPr="00D111B6">
              <w:rPr>
                <w:rFonts w:cs="Arial"/>
                <w:i/>
                <w:color w:val="000000"/>
                <w:sz w:val="18"/>
                <w:szCs w:val="18"/>
              </w:rPr>
              <w:t>2050</w:t>
            </w:r>
          </w:p>
        </w:tc>
        <w:tc>
          <w:tcPr>
            <w:tcW w:w="1320" w:type="dxa"/>
            <w:tcBorders>
              <w:top w:val="nil"/>
              <w:left w:val="nil"/>
              <w:bottom w:val="nil"/>
              <w:right w:val="nil"/>
            </w:tcBorders>
            <w:shd w:val="clear" w:color="000000" w:fill="FFFFFF"/>
            <w:noWrap/>
            <w:vAlign w:val="center"/>
          </w:tcPr>
          <w:p w14:paraId="30F35C41" w14:textId="11771949" w:rsidR="00965DD5" w:rsidRPr="00D111B6" w:rsidRDefault="00965DD5" w:rsidP="006C6F6A">
            <w:pPr>
              <w:spacing w:before="0" w:after="0" w:line="240" w:lineRule="auto"/>
              <w:jc w:val="right"/>
              <w:rPr>
                <w:rFonts w:cs="Arial"/>
                <w:i/>
                <w:color w:val="000000"/>
                <w:sz w:val="18"/>
                <w:szCs w:val="18"/>
              </w:rPr>
            </w:pPr>
            <w:r w:rsidRPr="00D111B6">
              <w:rPr>
                <w:rFonts w:cs="Arial"/>
                <w:i/>
                <w:color w:val="000000"/>
                <w:sz w:val="18"/>
                <w:szCs w:val="18"/>
              </w:rPr>
              <w:t>-3.1</w:t>
            </w:r>
          </w:p>
        </w:tc>
      </w:tr>
      <w:tr w:rsidR="00965DD5" w:rsidRPr="009A4E73" w14:paraId="671CE1C8" w14:textId="77777777" w:rsidTr="00D111B6">
        <w:trPr>
          <w:trHeight w:val="300"/>
          <w:jc w:val="center"/>
        </w:trPr>
        <w:tc>
          <w:tcPr>
            <w:tcW w:w="2552" w:type="dxa"/>
            <w:gridSpan w:val="2"/>
            <w:tcBorders>
              <w:top w:val="nil"/>
              <w:left w:val="nil"/>
              <w:bottom w:val="nil"/>
              <w:right w:val="nil"/>
            </w:tcBorders>
            <w:shd w:val="clear" w:color="000000" w:fill="FFFFFF"/>
            <w:noWrap/>
            <w:vAlign w:val="center"/>
          </w:tcPr>
          <w:p w14:paraId="5FF7A6C2" w14:textId="35A3EE77" w:rsidR="00965DD5" w:rsidRPr="00D111B6" w:rsidRDefault="00EE4C4B" w:rsidP="006C6F6A">
            <w:pPr>
              <w:spacing w:before="0" w:after="0" w:line="240" w:lineRule="auto"/>
              <w:rPr>
                <w:rFonts w:cs="Arial"/>
                <w:i/>
                <w:color w:val="000000"/>
                <w:sz w:val="18"/>
                <w:szCs w:val="18"/>
              </w:rPr>
            </w:pPr>
            <w:r>
              <w:rPr>
                <w:rFonts w:cs="Arial"/>
                <w:i/>
                <w:color w:val="000000"/>
                <w:sz w:val="18"/>
                <w:szCs w:val="18"/>
              </w:rPr>
              <w:t xml:space="preserve">  </w:t>
            </w:r>
            <w:r w:rsidR="00965DD5" w:rsidRPr="00D111B6">
              <w:rPr>
                <w:rFonts w:cs="Arial"/>
                <w:i/>
                <w:color w:val="000000"/>
                <w:sz w:val="18"/>
                <w:szCs w:val="18"/>
              </w:rPr>
              <w:t>Community Mental Health</w:t>
            </w:r>
          </w:p>
        </w:tc>
        <w:tc>
          <w:tcPr>
            <w:tcW w:w="992" w:type="dxa"/>
            <w:tcBorders>
              <w:top w:val="nil"/>
              <w:left w:val="nil"/>
              <w:bottom w:val="nil"/>
              <w:right w:val="nil"/>
            </w:tcBorders>
            <w:shd w:val="clear" w:color="000000" w:fill="FFFFFF"/>
            <w:noWrap/>
            <w:vAlign w:val="center"/>
          </w:tcPr>
          <w:p w14:paraId="3AC54A80" w14:textId="08FE53F1" w:rsidR="00965DD5" w:rsidRPr="00D111B6" w:rsidRDefault="00965DD5">
            <w:pPr>
              <w:spacing w:before="0" w:after="0" w:line="240" w:lineRule="auto"/>
              <w:jc w:val="right"/>
              <w:rPr>
                <w:rFonts w:cs="Arial"/>
                <w:i/>
                <w:color w:val="000000"/>
                <w:sz w:val="18"/>
                <w:szCs w:val="18"/>
              </w:rPr>
            </w:pPr>
            <w:r w:rsidRPr="00D111B6">
              <w:rPr>
                <w:rFonts w:cs="Arial"/>
                <w:i/>
                <w:color w:val="000000"/>
                <w:sz w:val="18"/>
                <w:szCs w:val="18"/>
              </w:rPr>
              <w:t>99</w:t>
            </w:r>
          </w:p>
        </w:tc>
        <w:tc>
          <w:tcPr>
            <w:tcW w:w="1276" w:type="dxa"/>
            <w:tcBorders>
              <w:top w:val="nil"/>
              <w:left w:val="nil"/>
              <w:bottom w:val="nil"/>
              <w:right w:val="nil"/>
            </w:tcBorders>
            <w:shd w:val="clear" w:color="000000" w:fill="FFFFFF"/>
            <w:noWrap/>
            <w:vAlign w:val="center"/>
          </w:tcPr>
          <w:p w14:paraId="3DC7EB2A" w14:textId="58FC68FA" w:rsidR="00965DD5" w:rsidRPr="00D111B6" w:rsidRDefault="00965DD5" w:rsidP="00F9684F">
            <w:pPr>
              <w:spacing w:before="0" w:after="0" w:line="240" w:lineRule="auto"/>
              <w:jc w:val="right"/>
              <w:rPr>
                <w:rFonts w:cs="Arial"/>
                <w:i/>
                <w:color w:val="000000"/>
                <w:sz w:val="18"/>
                <w:szCs w:val="18"/>
              </w:rPr>
            </w:pPr>
            <w:r w:rsidRPr="00D111B6">
              <w:rPr>
                <w:rFonts w:cs="Arial"/>
                <w:i/>
                <w:color w:val="000000"/>
                <w:sz w:val="18"/>
                <w:szCs w:val="18"/>
              </w:rPr>
              <w:t>320</w:t>
            </w:r>
          </w:p>
        </w:tc>
        <w:tc>
          <w:tcPr>
            <w:tcW w:w="980" w:type="dxa"/>
            <w:tcBorders>
              <w:top w:val="nil"/>
              <w:left w:val="nil"/>
              <w:bottom w:val="nil"/>
              <w:right w:val="nil"/>
            </w:tcBorders>
            <w:shd w:val="clear" w:color="000000" w:fill="FFFFFF"/>
            <w:vAlign w:val="center"/>
          </w:tcPr>
          <w:p w14:paraId="39957BDB" w14:textId="57847ABC" w:rsidR="00965DD5" w:rsidRPr="00D111B6" w:rsidRDefault="00965DD5" w:rsidP="006C6F6A">
            <w:pPr>
              <w:spacing w:before="0" w:after="0" w:line="240" w:lineRule="auto"/>
              <w:jc w:val="right"/>
              <w:rPr>
                <w:rFonts w:cs="Arial"/>
                <w:i/>
                <w:color w:val="000000"/>
                <w:sz w:val="18"/>
                <w:szCs w:val="18"/>
              </w:rPr>
            </w:pPr>
            <w:r w:rsidRPr="00D111B6">
              <w:rPr>
                <w:rFonts w:cs="Arial"/>
                <w:i/>
                <w:color w:val="000000"/>
                <w:sz w:val="18"/>
                <w:szCs w:val="18"/>
              </w:rPr>
              <w:t>80</w:t>
            </w:r>
          </w:p>
        </w:tc>
        <w:tc>
          <w:tcPr>
            <w:tcW w:w="1320" w:type="dxa"/>
            <w:tcBorders>
              <w:top w:val="nil"/>
              <w:left w:val="nil"/>
              <w:bottom w:val="nil"/>
              <w:right w:val="nil"/>
            </w:tcBorders>
            <w:shd w:val="clear" w:color="000000" w:fill="FFFFFF"/>
            <w:vAlign w:val="center"/>
          </w:tcPr>
          <w:p w14:paraId="36BD52FB" w14:textId="6E08A17D" w:rsidR="00965DD5" w:rsidRPr="00D111B6" w:rsidRDefault="00965DD5" w:rsidP="00F9684F">
            <w:pPr>
              <w:spacing w:before="0" w:after="0" w:line="240" w:lineRule="auto"/>
              <w:jc w:val="right"/>
              <w:rPr>
                <w:rFonts w:cs="Arial"/>
                <w:i/>
                <w:color w:val="000000"/>
                <w:sz w:val="18"/>
                <w:szCs w:val="18"/>
              </w:rPr>
            </w:pPr>
            <w:r w:rsidRPr="00D111B6">
              <w:rPr>
                <w:rFonts w:cs="Arial"/>
                <w:i/>
                <w:color w:val="000000"/>
                <w:sz w:val="18"/>
                <w:szCs w:val="18"/>
              </w:rPr>
              <w:t>335</w:t>
            </w:r>
          </w:p>
        </w:tc>
        <w:tc>
          <w:tcPr>
            <w:tcW w:w="1320" w:type="dxa"/>
            <w:tcBorders>
              <w:top w:val="nil"/>
              <w:left w:val="nil"/>
              <w:bottom w:val="nil"/>
              <w:right w:val="nil"/>
            </w:tcBorders>
            <w:shd w:val="clear" w:color="000000" w:fill="FFFFFF"/>
            <w:noWrap/>
            <w:vAlign w:val="center"/>
          </w:tcPr>
          <w:p w14:paraId="18253988" w14:textId="1FFE6CF3" w:rsidR="00965DD5" w:rsidRPr="00D111B6" w:rsidRDefault="00965DD5" w:rsidP="006C6F6A">
            <w:pPr>
              <w:spacing w:before="0" w:after="0" w:line="240" w:lineRule="auto"/>
              <w:jc w:val="right"/>
              <w:rPr>
                <w:rFonts w:cs="Arial"/>
                <w:i/>
                <w:color w:val="000000"/>
                <w:sz w:val="18"/>
                <w:szCs w:val="18"/>
              </w:rPr>
            </w:pPr>
            <w:r w:rsidRPr="00D111B6">
              <w:rPr>
                <w:rFonts w:cs="Arial"/>
                <w:i/>
                <w:color w:val="000000"/>
                <w:sz w:val="18"/>
                <w:szCs w:val="18"/>
              </w:rPr>
              <w:t>4.7</w:t>
            </w:r>
          </w:p>
        </w:tc>
      </w:tr>
      <w:tr w:rsidR="006C6F6A" w:rsidRPr="003A3B96" w14:paraId="166E0F01" w14:textId="77777777" w:rsidTr="00D111B6">
        <w:trPr>
          <w:trHeight w:val="300"/>
          <w:jc w:val="center"/>
        </w:trPr>
        <w:tc>
          <w:tcPr>
            <w:tcW w:w="2552" w:type="dxa"/>
            <w:gridSpan w:val="2"/>
            <w:tcBorders>
              <w:top w:val="nil"/>
              <w:left w:val="nil"/>
              <w:bottom w:val="nil"/>
              <w:right w:val="nil"/>
            </w:tcBorders>
            <w:shd w:val="clear" w:color="000000" w:fill="FFFFFF"/>
            <w:noWrap/>
            <w:vAlign w:val="center"/>
            <w:hideMark/>
          </w:tcPr>
          <w:p w14:paraId="474EE900" w14:textId="77777777" w:rsidR="006C6F6A" w:rsidRPr="003A3B96" w:rsidRDefault="006C6F6A" w:rsidP="006C6F6A">
            <w:pPr>
              <w:spacing w:before="0" w:after="0" w:line="240" w:lineRule="auto"/>
              <w:rPr>
                <w:rFonts w:cs="Arial"/>
                <w:color w:val="000000"/>
                <w:sz w:val="18"/>
                <w:szCs w:val="18"/>
              </w:rPr>
            </w:pPr>
            <w:r w:rsidRPr="003A3B96">
              <w:rPr>
                <w:rFonts w:cs="Arial"/>
                <w:color w:val="000000"/>
                <w:sz w:val="18"/>
                <w:szCs w:val="18"/>
              </w:rPr>
              <w:t>Other Expenditure</w:t>
            </w:r>
          </w:p>
        </w:tc>
        <w:tc>
          <w:tcPr>
            <w:tcW w:w="992" w:type="dxa"/>
            <w:tcBorders>
              <w:top w:val="nil"/>
              <w:left w:val="nil"/>
              <w:bottom w:val="nil"/>
              <w:right w:val="nil"/>
            </w:tcBorders>
            <w:shd w:val="clear" w:color="000000" w:fill="FFFFFF"/>
            <w:noWrap/>
            <w:vAlign w:val="center"/>
            <w:hideMark/>
          </w:tcPr>
          <w:p w14:paraId="394D7879" w14:textId="56EADBAC"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138</w:t>
            </w:r>
          </w:p>
        </w:tc>
        <w:tc>
          <w:tcPr>
            <w:tcW w:w="1276" w:type="dxa"/>
            <w:tcBorders>
              <w:top w:val="nil"/>
              <w:left w:val="nil"/>
              <w:bottom w:val="nil"/>
              <w:right w:val="nil"/>
            </w:tcBorders>
            <w:shd w:val="clear" w:color="000000" w:fill="FFFFFF"/>
            <w:noWrap/>
            <w:vAlign w:val="center"/>
            <w:hideMark/>
          </w:tcPr>
          <w:p w14:paraId="6C137AC5" w14:textId="2C429B34"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 xml:space="preserve">         35</w:t>
            </w:r>
            <w:r w:rsidR="006C6F6A" w:rsidRPr="003A3B96">
              <w:rPr>
                <w:rFonts w:cs="Arial"/>
                <w:color w:val="000000"/>
                <w:sz w:val="18"/>
                <w:szCs w:val="18"/>
              </w:rPr>
              <w:t xml:space="preserve"> </w:t>
            </w:r>
          </w:p>
        </w:tc>
        <w:tc>
          <w:tcPr>
            <w:tcW w:w="980" w:type="dxa"/>
            <w:tcBorders>
              <w:top w:val="nil"/>
              <w:left w:val="nil"/>
              <w:bottom w:val="nil"/>
              <w:right w:val="nil"/>
            </w:tcBorders>
            <w:shd w:val="clear" w:color="000000" w:fill="FFFFFF"/>
            <w:vAlign w:val="center"/>
          </w:tcPr>
          <w:p w14:paraId="4259B5FA" w14:textId="6158A82D"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167</w:t>
            </w:r>
          </w:p>
        </w:tc>
        <w:tc>
          <w:tcPr>
            <w:tcW w:w="1320" w:type="dxa"/>
            <w:tcBorders>
              <w:top w:val="nil"/>
              <w:left w:val="nil"/>
              <w:bottom w:val="nil"/>
              <w:right w:val="nil"/>
            </w:tcBorders>
            <w:shd w:val="clear" w:color="000000" w:fill="FFFFFF"/>
            <w:vAlign w:val="center"/>
          </w:tcPr>
          <w:p w14:paraId="06A70C91" w14:textId="07A1E0A2" w:rsidR="006C6F6A" w:rsidRPr="003A3B96" w:rsidRDefault="00F9684F" w:rsidP="00F9684F">
            <w:pPr>
              <w:spacing w:before="0" w:after="0" w:line="240" w:lineRule="auto"/>
              <w:jc w:val="right"/>
              <w:rPr>
                <w:rFonts w:cs="Arial"/>
                <w:color w:val="000000"/>
                <w:sz w:val="18"/>
                <w:szCs w:val="18"/>
              </w:rPr>
            </w:pPr>
            <w:r w:rsidRPr="003A3B96">
              <w:rPr>
                <w:rFonts w:cs="Arial"/>
                <w:color w:val="000000"/>
                <w:sz w:val="18"/>
                <w:szCs w:val="18"/>
              </w:rPr>
              <w:t>55</w:t>
            </w:r>
            <w:r w:rsidR="006C6F6A" w:rsidRPr="003A3B96">
              <w:rPr>
                <w:rFonts w:cs="Arial"/>
                <w:color w:val="000000"/>
                <w:sz w:val="18"/>
                <w:szCs w:val="18"/>
              </w:rPr>
              <w:t xml:space="preserve"> </w:t>
            </w:r>
          </w:p>
        </w:tc>
        <w:tc>
          <w:tcPr>
            <w:tcW w:w="1320" w:type="dxa"/>
            <w:tcBorders>
              <w:top w:val="nil"/>
              <w:left w:val="nil"/>
              <w:bottom w:val="nil"/>
              <w:right w:val="nil"/>
            </w:tcBorders>
            <w:shd w:val="clear" w:color="000000" w:fill="FFFFFF"/>
            <w:noWrap/>
            <w:vAlign w:val="center"/>
          </w:tcPr>
          <w:p w14:paraId="5199DADC" w14:textId="1993477E" w:rsidR="006C6F6A" w:rsidRPr="003A3B96" w:rsidRDefault="006C6F6A" w:rsidP="006C6F6A">
            <w:pPr>
              <w:spacing w:before="0" w:after="0" w:line="240" w:lineRule="auto"/>
              <w:jc w:val="right"/>
              <w:rPr>
                <w:rFonts w:cs="Arial"/>
                <w:color w:val="000000"/>
                <w:sz w:val="18"/>
                <w:szCs w:val="18"/>
              </w:rPr>
            </w:pPr>
            <w:r w:rsidRPr="003A3B96">
              <w:rPr>
                <w:rFonts w:cs="Arial"/>
                <w:color w:val="000000"/>
                <w:sz w:val="18"/>
                <w:szCs w:val="18"/>
              </w:rPr>
              <w:t>59.0</w:t>
            </w:r>
          </w:p>
        </w:tc>
      </w:tr>
      <w:tr w:rsidR="006C6F6A" w:rsidRPr="003A3B96" w14:paraId="3BCEFBDE" w14:textId="77777777" w:rsidTr="00D111B6">
        <w:trPr>
          <w:trHeight w:val="300"/>
          <w:jc w:val="center"/>
        </w:trPr>
        <w:tc>
          <w:tcPr>
            <w:tcW w:w="2552" w:type="dxa"/>
            <w:gridSpan w:val="2"/>
            <w:tcBorders>
              <w:top w:val="single" w:sz="4" w:space="0" w:color="auto"/>
              <w:left w:val="nil"/>
              <w:bottom w:val="single" w:sz="4" w:space="0" w:color="auto"/>
              <w:right w:val="nil"/>
            </w:tcBorders>
            <w:shd w:val="clear" w:color="000000" w:fill="FFFFFF"/>
            <w:noWrap/>
            <w:vAlign w:val="center"/>
            <w:hideMark/>
          </w:tcPr>
          <w:p w14:paraId="17424E1E" w14:textId="5F67C84D" w:rsidR="006C6F6A" w:rsidRPr="003A3B96" w:rsidRDefault="00B3633C" w:rsidP="006C6F6A">
            <w:pPr>
              <w:spacing w:before="0" w:after="0" w:line="240" w:lineRule="auto"/>
              <w:rPr>
                <w:rFonts w:cs="Arial"/>
                <w:b/>
                <w:bCs/>
                <w:color w:val="000000"/>
                <w:sz w:val="18"/>
                <w:szCs w:val="18"/>
              </w:rPr>
            </w:pPr>
            <w:r w:rsidRPr="003A3B96">
              <w:rPr>
                <w:rFonts w:cs="Arial"/>
                <w:b/>
                <w:bCs/>
                <w:color w:val="000000"/>
                <w:sz w:val="18"/>
                <w:szCs w:val="18"/>
              </w:rPr>
              <w:t>Total</w:t>
            </w:r>
          </w:p>
        </w:tc>
        <w:tc>
          <w:tcPr>
            <w:tcW w:w="992" w:type="dxa"/>
            <w:tcBorders>
              <w:top w:val="single" w:sz="4" w:space="0" w:color="auto"/>
              <w:left w:val="nil"/>
              <w:bottom w:val="single" w:sz="4" w:space="0" w:color="auto"/>
              <w:right w:val="nil"/>
            </w:tcBorders>
            <w:shd w:val="clear" w:color="000000" w:fill="FFFFFF"/>
            <w:noWrap/>
            <w:vAlign w:val="center"/>
            <w:hideMark/>
          </w:tcPr>
          <w:p w14:paraId="65BB8394" w14:textId="716A4A03" w:rsidR="006C6F6A" w:rsidRPr="003A3B96" w:rsidRDefault="006C6F6A" w:rsidP="006C6F6A">
            <w:pPr>
              <w:spacing w:before="0" w:after="0" w:line="240" w:lineRule="auto"/>
              <w:jc w:val="right"/>
              <w:rPr>
                <w:rFonts w:cs="Arial"/>
                <w:b/>
                <w:bCs/>
                <w:color w:val="000000"/>
                <w:sz w:val="18"/>
                <w:szCs w:val="18"/>
              </w:rPr>
            </w:pPr>
            <w:r w:rsidRPr="003A3B96">
              <w:rPr>
                <w:rFonts w:cs="Arial"/>
                <w:b/>
                <w:bCs/>
                <w:color w:val="000000"/>
                <w:sz w:val="18"/>
                <w:szCs w:val="18"/>
              </w:rPr>
              <w:t>451</w:t>
            </w:r>
          </w:p>
        </w:tc>
        <w:tc>
          <w:tcPr>
            <w:tcW w:w="1276" w:type="dxa"/>
            <w:tcBorders>
              <w:top w:val="single" w:sz="4" w:space="0" w:color="auto"/>
              <w:left w:val="nil"/>
              <w:bottom w:val="single" w:sz="4" w:space="0" w:color="auto"/>
              <w:right w:val="nil"/>
            </w:tcBorders>
            <w:shd w:val="clear" w:color="000000" w:fill="FFFFFF"/>
            <w:noWrap/>
            <w:vAlign w:val="center"/>
            <w:hideMark/>
          </w:tcPr>
          <w:p w14:paraId="65B3A4D2" w14:textId="486A742D" w:rsidR="006C6F6A" w:rsidRPr="003A3B96" w:rsidRDefault="00F9684F" w:rsidP="00F9684F">
            <w:pPr>
              <w:spacing w:before="0" w:after="0" w:line="240" w:lineRule="auto"/>
              <w:jc w:val="right"/>
              <w:rPr>
                <w:rFonts w:cs="Arial"/>
                <w:b/>
                <w:bCs/>
                <w:color w:val="000000"/>
                <w:sz w:val="18"/>
                <w:szCs w:val="18"/>
              </w:rPr>
            </w:pPr>
            <w:r w:rsidRPr="003A3B96">
              <w:rPr>
                <w:rFonts w:cs="Arial"/>
                <w:b/>
                <w:bCs/>
                <w:color w:val="000000"/>
                <w:sz w:val="18"/>
                <w:szCs w:val="18"/>
              </w:rPr>
              <w:t>43,775</w:t>
            </w:r>
          </w:p>
        </w:tc>
        <w:tc>
          <w:tcPr>
            <w:tcW w:w="980" w:type="dxa"/>
            <w:tcBorders>
              <w:top w:val="single" w:sz="4" w:space="0" w:color="auto"/>
              <w:left w:val="nil"/>
              <w:bottom w:val="single" w:sz="4" w:space="0" w:color="auto"/>
              <w:right w:val="nil"/>
            </w:tcBorders>
            <w:shd w:val="clear" w:color="000000" w:fill="FFFFFF"/>
            <w:vAlign w:val="center"/>
          </w:tcPr>
          <w:p w14:paraId="37C7073F" w14:textId="09CFB424" w:rsidR="006C6F6A" w:rsidRPr="003A3B96" w:rsidRDefault="006C6F6A" w:rsidP="006C6F6A">
            <w:pPr>
              <w:spacing w:before="0" w:after="0" w:line="240" w:lineRule="auto"/>
              <w:jc w:val="right"/>
              <w:rPr>
                <w:rFonts w:cs="Arial"/>
                <w:b/>
                <w:bCs/>
                <w:color w:val="000000"/>
                <w:sz w:val="18"/>
                <w:szCs w:val="18"/>
              </w:rPr>
            </w:pPr>
            <w:r w:rsidRPr="003A3B96">
              <w:rPr>
                <w:rFonts w:cs="Arial"/>
                <w:b/>
                <w:bCs/>
                <w:color w:val="000000"/>
                <w:sz w:val="18"/>
                <w:szCs w:val="18"/>
              </w:rPr>
              <w:t>453</w:t>
            </w:r>
          </w:p>
        </w:tc>
        <w:tc>
          <w:tcPr>
            <w:tcW w:w="1320" w:type="dxa"/>
            <w:tcBorders>
              <w:top w:val="single" w:sz="4" w:space="0" w:color="auto"/>
              <w:left w:val="nil"/>
              <w:bottom w:val="single" w:sz="4" w:space="0" w:color="auto"/>
              <w:right w:val="nil"/>
            </w:tcBorders>
            <w:shd w:val="clear" w:color="000000" w:fill="FFFFFF"/>
            <w:vAlign w:val="center"/>
          </w:tcPr>
          <w:p w14:paraId="696DD87F" w14:textId="36F7B944" w:rsidR="006C6F6A" w:rsidRPr="003A3B96" w:rsidRDefault="00F9684F" w:rsidP="00F9684F">
            <w:pPr>
              <w:spacing w:before="0" w:after="0" w:line="240" w:lineRule="auto"/>
              <w:jc w:val="right"/>
              <w:rPr>
                <w:rFonts w:cs="Arial"/>
                <w:b/>
                <w:bCs/>
                <w:color w:val="000000"/>
                <w:sz w:val="18"/>
                <w:szCs w:val="18"/>
              </w:rPr>
            </w:pPr>
            <w:r w:rsidRPr="003A3B96">
              <w:rPr>
                <w:rFonts w:cs="Arial"/>
                <w:b/>
                <w:bCs/>
                <w:color w:val="000000"/>
                <w:sz w:val="18"/>
                <w:szCs w:val="18"/>
              </w:rPr>
              <w:t>47,147</w:t>
            </w:r>
          </w:p>
        </w:tc>
        <w:tc>
          <w:tcPr>
            <w:tcW w:w="1320" w:type="dxa"/>
            <w:tcBorders>
              <w:top w:val="single" w:sz="4" w:space="0" w:color="auto"/>
              <w:left w:val="nil"/>
              <w:bottom w:val="single" w:sz="4" w:space="0" w:color="auto"/>
              <w:right w:val="nil"/>
            </w:tcBorders>
            <w:shd w:val="clear" w:color="000000" w:fill="FFFFFF"/>
            <w:noWrap/>
            <w:vAlign w:val="center"/>
          </w:tcPr>
          <w:p w14:paraId="36176D75" w14:textId="79C9D368" w:rsidR="006C6F6A" w:rsidRPr="003A3B96" w:rsidRDefault="006C6F6A" w:rsidP="006C6F6A">
            <w:pPr>
              <w:spacing w:before="0" w:after="0" w:line="240" w:lineRule="auto"/>
              <w:jc w:val="right"/>
              <w:rPr>
                <w:rFonts w:cs="Arial"/>
                <w:b/>
                <w:bCs/>
                <w:color w:val="000000"/>
                <w:sz w:val="18"/>
                <w:szCs w:val="18"/>
              </w:rPr>
            </w:pPr>
            <w:r w:rsidRPr="003A3B96">
              <w:rPr>
                <w:rFonts w:cs="Arial"/>
                <w:b/>
                <w:bCs/>
                <w:color w:val="000000"/>
                <w:sz w:val="18"/>
                <w:szCs w:val="18"/>
              </w:rPr>
              <w:t>7.7</w:t>
            </w:r>
          </w:p>
        </w:tc>
      </w:tr>
    </w:tbl>
    <w:p w14:paraId="31772902" w14:textId="77777777" w:rsidR="00E955BC" w:rsidRDefault="00E955BC" w:rsidP="002371BB">
      <w:pPr>
        <w:rPr>
          <w:rFonts w:cs="Arial"/>
          <w:szCs w:val="22"/>
        </w:rPr>
      </w:pPr>
    </w:p>
    <w:p w14:paraId="40D5CD20" w14:textId="295EB5F4" w:rsidR="002371BB" w:rsidRPr="006C7F28" w:rsidRDefault="00053788" w:rsidP="002371BB">
      <w:pPr>
        <w:rPr>
          <w:rFonts w:cs="Arial"/>
          <w:szCs w:val="22"/>
        </w:rPr>
      </w:pPr>
      <w:r>
        <w:rPr>
          <w:rFonts w:cs="Arial"/>
          <w:szCs w:val="22"/>
        </w:rPr>
        <w:t xml:space="preserve">Table 7 </w:t>
      </w:r>
      <w:r w:rsidR="002371BB" w:rsidRPr="003A3B96">
        <w:rPr>
          <w:rFonts w:cs="Arial"/>
          <w:szCs w:val="22"/>
        </w:rPr>
        <w:t>presents the total hospital expenditure submitted by jurisdictions across the past three NHCDC rounds</w:t>
      </w:r>
      <w:r w:rsidR="009552F1" w:rsidRPr="003A3B96">
        <w:rPr>
          <w:rFonts w:cs="Arial"/>
          <w:szCs w:val="22"/>
        </w:rPr>
        <w:t xml:space="preserve">. </w:t>
      </w:r>
      <w:r w:rsidR="002371BB" w:rsidRPr="003A3B96">
        <w:rPr>
          <w:rFonts w:cs="Arial"/>
          <w:szCs w:val="22"/>
        </w:rPr>
        <w:t xml:space="preserve">While the national </w:t>
      </w:r>
      <w:r w:rsidR="00A17C30" w:rsidRPr="003A3B96">
        <w:rPr>
          <w:rFonts w:cs="Arial"/>
          <w:szCs w:val="22"/>
        </w:rPr>
        <w:t xml:space="preserve">reported </w:t>
      </w:r>
      <w:r w:rsidR="00B3633C" w:rsidRPr="003A3B96">
        <w:rPr>
          <w:rFonts w:cs="Arial"/>
          <w:szCs w:val="22"/>
        </w:rPr>
        <w:t xml:space="preserve">expenditure increased by </w:t>
      </w:r>
      <w:r w:rsidR="00B21A8D" w:rsidRPr="003A3B96">
        <w:rPr>
          <w:rFonts w:cs="Arial"/>
          <w:szCs w:val="22"/>
        </w:rPr>
        <w:t>17</w:t>
      </w:r>
      <w:r w:rsidR="00100787">
        <w:rPr>
          <w:rFonts w:cs="Arial"/>
          <w:szCs w:val="22"/>
        </w:rPr>
        <w:t xml:space="preserve"> percent</w:t>
      </w:r>
      <w:r w:rsidR="00B3633C" w:rsidRPr="003A3B96">
        <w:rPr>
          <w:rFonts w:cs="Arial"/>
          <w:szCs w:val="22"/>
        </w:rPr>
        <w:t xml:space="preserve"> since Round </w:t>
      </w:r>
      <w:r w:rsidR="00B21A8D" w:rsidRPr="003A3B96">
        <w:rPr>
          <w:rFonts w:cs="Arial"/>
          <w:szCs w:val="22"/>
        </w:rPr>
        <w:t>20</w:t>
      </w:r>
      <w:r w:rsidR="002371BB" w:rsidRPr="003A3B96">
        <w:rPr>
          <w:rFonts w:cs="Arial"/>
          <w:szCs w:val="22"/>
        </w:rPr>
        <w:t>, the share of this expenditure at the jurisdictional level has remained</w:t>
      </w:r>
      <w:r w:rsidR="008D2A10">
        <w:rPr>
          <w:rFonts w:cs="Arial"/>
          <w:szCs w:val="22"/>
        </w:rPr>
        <w:t xml:space="preserve"> consistent</w:t>
      </w:r>
      <w:r w:rsidR="009552F1" w:rsidRPr="003B2573">
        <w:rPr>
          <w:rFonts w:cs="Arial"/>
          <w:szCs w:val="22"/>
        </w:rPr>
        <w:t xml:space="preserve">. </w:t>
      </w:r>
      <w:r w:rsidR="002371BB" w:rsidRPr="003B2573">
        <w:rPr>
          <w:rFonts w:cs="Arial"/>
          <w:szCs w:val="22"/>
        </w:rPr>
        <w:t>In each round, NSW, Queensland and Victoria have collectively submitted around 75 percent of the national hospital expenditure</w:t>
      </w:r>
      <w:r w:rsidR="009552F1" w:rsidRPr="003B2573">
        <w:rPr>
          <w:rFonts w:cs="Arial"/>
          <w:szCs w:val="22"/>
        </w:rPr>
        <w:t>.</w:t>
      </w:r>
      <w:r w:rsidR="009552F1">
        <w:rPr>
          <w:rFonts w:cs="Arial"/>
          <w:szCs w:val="22"/>
        </w:rPr>
        <w:t xml:space="preserve"> </w:t>
      </w:r>
    </w:p>
    <w:p w14:paraId="12D8ADDB" w14:textId="77777777" w:rsidR="009B5A4D" w:rsidRDefault="009B5A4D">
      <w:pPr>
        <w:spacing w:before="0" w:after="0" w:line="240" w:lineRule="auto"/>
        <w:rPr>
          <w:rFonts w:asciiTheme="minorHAnsi" w:hAnsiTheme="minorHAnsi" w:cstheme="minorHAnsi"/>
          <w:b/>
          <w:bCs/>
          <w:szCs w:val="18"/>
        </w:rPr>
      </w:pPr>
      <w:r>
        <w:br w:type="page"/>
      </w:r>
    </w:p>
    <w:p w14:paraId="588F06BE" w14:textId="170C8CBA" w:rsidR="00FF323C" w:rsidRDefault="00FF323C" w:rsidP="00D111B6">
      <w:pPr>
        <w:pStyle w:val="Caption"/>
      </w:pPr>
      <w:bookmarkStart w:id="29" w:name="_Toc31880537"/>
      <w:r>
        <w:lastRenderedPageBreak/>
        <w:t xml:space="preserve">Table </w:t>
      </w:r>
      <w:fldSimple w:instr=" SEQ Table \* ARABIC ">
        <w:r w:rsidR="00423E34">
          <w:rPr>
            <w:noProof/>
          </w:rPr>
          <w:t>7</w:t>
        </w:r>
      </w:fldSimple>
      <w:r>
        <w:t xml:space="preserve"> </w:t>
      </w:r>
      <w:r w:rsidRPr="0023264A">
        <w:t>Total expenditure, by jurisdiction, Round 20-22</w:t>
      </w:r>
      <w:bookmarkEnd w:id="29"/>
    </w:p>
    <w:tbl>
      <w:tblPr>
        <w:tblW w:w="8302" w:type="dxa"/>
        <w:jc w:val="center"/>
        <w:tblLook w:val="04A0" w:firstRow="1" w:lastRow="0" w:firstColumn="1" w:lastColumn="0" w:noHBand="0" w:noVBand="1"/>
        <w:tblCaption w:val="Table 7 Total expenditure, by jurisdiction, Round 20-22"/>
        <w:tblDescription w:val="The table diplays the total expenditure by jurisdiction between Round 20 to Round 22. "/>
      </w:tblPr>
      <w:tblGrid>
        <w:gridCol w:w="1240"/>
        <w:gridCol w:w="1177"/>
        <w:gridCol w:w="1177"/>
        <w:gridCol w:w="1177"/>
        <w:gridCol w:w="1177"/>
        <w:gridCol w:w="1177"/>
        <w:gridCol w:w="1177"/>
      </w:tblGrid>
      <w:tr w:rsidR="00985220" w:rsidRPr="00400076" w14:paraId="13CA18B8" w14:textId="77777777" w:rsidTr="00831042">
        <w:trPr>
          <w:trHeight w:val="300"/>
          <w:jc w:val="center"/>
        </w:trPr>
        <w:tc>
          <w:tcPr>
            <w:tcW w:w="1240" w:type="dxa"/>
            <w:tcBorders>
              <w:top w:val="single" w:sz="4" w:space="0" w:color="auto"/>
              <w:left w:val="nil"/>
              <w:bottom w:val="nil"/>
              <w:right w:val="nil"/>
            </w:tcBorders>
            <w:shd w:val="clear" w:color="auto" w:fill="auto"/>
            <w:noWrap/>
            <w:vAlign w:val="center"/>
            <w:hideMark/>
          </w:tcPr>
          <w:p w14:paraId="418A54EC" w14:textId="77777777" w:rsidR="00985220" w:rsidRPr="00400076" w:rsidRDefault="00985220" w:rsidP="00985220">
            <w:pPr>
              <w:spacing w:before="0" w:after="0" w:line="240" w:lineRule="auto"/>
              <w:rPr>
                <w:rFonts w:cs="Arial"/>
                <w:color w:val="000000"/>
                <w:sz w:val="20"/>
                <w:szCs w:val="20"/>
              </w:rPr>
            </w:pPr>
            <w:r w:rsidRPr="00400076">
              <w:rPr>
                <w:rFonts w:cs="Arial"/>
                <w:color w:val="000000"/>
                <w:sz w:val="20"/>
                <w:szCs w:val="20"/>
              </w:rPr>
              <w:t> </w:t>
            </w:r>
          </w:p>
        </w:tc>
        <w:tc>
          <w:tcPr>
            <w:tcW w:w="2354" w:type="dxa"/>
            <w:gridSpan w:val="2"/>
            <w:tcBorders>
              <w:top w:val="single" w:sz="4" w:space="0" w:color="auto"/>
              <w:left w:val="nil"/>
              <w:bottom w:val="single" w:sz="4" w:space="0" w:color="auto"/>
              <w:right w:val="nil"/>
            </w:tcBorders>
            <w:shd w:val="clear" w:color="000000" w:fill="FFFFFF"/>
            <w:noWrap/>
            <w:vAlign w:val="center"/>
            <w:hideMark/>
          </w:tcPr>
          <w:p w14:paraId="72E8AE15" w14:textId="77777777" w:rsidR="00985220" w:rsidRPr="00400076" w:rsidRDefault="009B2BB8" w:rsidP="00985220">
            <w:pPr>
              <w:spacing w:before="0" w:after="0" w:line="240" w:lineRule="auto"/>
              <w:jc w:val="center"/>
              <w:rPr>
                <w:rFonts w:cs="Arial"/>
                <w:b/>
                <w:bCs/>
                <w:color w:val="000000"/>
                <w:szCs w:val="22"/>
              </w:rPr>
            </w:pPr>
            <w:r w:rsidRPr="00400076">
              <w:rPr>
                <w:rFonts w:cs="Arial"/>
                <w:b/>
                <w:bCs/>
                <w:color w:val="000000"/>
                <w:szCs w:val="22"/>
              </w:rPr>
              <w:t>Round 20</w:t>
            </w:r>
          </w:p>
        </w:tc>
        <w:tc>
          <w:tcPr>
            <w:tcW w:w="2354" w:type="dxa"/>
            <w:gridSpan w:val="2"/>
            <w:tcBorders>
              <w:top w:val="single" w:sz="4" w:space="0" w:color="auto"/>
              <w:left w:val="nil"/>
              <w:bottom w:val="single" w:sz="4" w:space="0" w:color="auto"/>
              <w:right w:val="nil"/>
            </w:tcBorders>
            <w:shd w:val="clear" w:color="000000" w:fill="FFFFFF"/>
            <w:noWrap/>
            <w:vAlign w:val="center"/>
            <w:hideMark/>
          </w:tcPr>
          <w:p w14:paraId="636B5F5A" w14:textId="77777777" w:rsidR="00985220" w:rsidRPr="00400076" w:rsidRDefault="009B2BB8" w:rsidP="00985220">
            <w:pPr>
              <w:spacing w:before="0" w:after="0" w:line="240" w:lineRule="auto"/>
              <w:jc w:val="center"/>
              <w:rPr>
                <w:rFonts w:cs="Arial"/>
                <w:b/>
                <w:bCs/>
                <w:color w:val="000000"/>
                <w:szCs w:val="22"/>
              </w:rPr>
            </w:pPr>
            <w:r w:rsidRPr="00400076">
              <w:rPr>
                <w:rFonts w:cs="Arial"/>
                <w:b/>
                <w:bCs/>
                <w:color w:val="000000"/>
                <w:szCs w:val="22"/>
              </w:rPr>
              <w:t>Round 21</w:t>
            </w:r>
          </w:p>
        </w:tc>
        <w:tc>
          <w:tcPr>
            <w:tcW w:w="2354" w:type="dxa"/>
            <w:gridSpan w:val="2"/>
            <w:tcBorders>
              <w:top w:val="single" w:sz="4" w:space="0" w:color="auto"/>
              <w:left w:val="nil"/>
              <w:bottom w:val="single" w:sz="4" w:space="0" w:color="auto"/>
              <w:right w:val="nil"/>
            </w:tcBorders>
            <w:shd w:val="clear" w:color="000000" w:fill="FFFFFF"/>
            <w:noWrap/>
            <w:vAlign w:val="center"/>
            <w:hideMark/>
          </w:tcPr>
          <w:p w14:paraId="2935E620" w14:textId="77777777" w:rsidR="00985220" w:rsidRPr="00400076" w:rsidRDefault="009B2BB8" w:rsidP="00985220">
            <w:pPr>
              <w:spacing w:before="0" w:after="0" w:line="240" w:lineRule="auto"/>
              <w:jc w:val="center"/>
              <w:rPr>
                <w:rFonts w:cs="Arial"/>
                <w:b/>
                <w:bCs/>
                <w:color w:val="000000"/>
                <w:szCs w:val="22"/>
              </w:rPr>
            </w:pPr>
            <w:r w:rsidRPr="00400076">
              <w:rPr>
                <w:rFonts w:cs="Arial"/>
                <w:b/>
                <w:bCs/>
                <w:color w:val="000000"/>
                <w:szCs w:val="22"/>
              </w:rPr>
              <w:t>Round 22</w:t>
            </w:r>
          </w:p>
        </w:tc>
      </w:tr>
      <w:tr w:rsidR="00985220" w:rsidRPr="00400076" w14:paraId="4F741470" w14:textId="77777777" w:rsidTr="00831042">
        <w:trPr>
          <w:trHeight w:val="480"/>
          <w:jc w:val="center"/>
        </w:trPr>
        <w:tc>
          <w:tcPr>
            <w:tcW w:w="1240" w:type="dxa"/>
            <w:tcBorders>
              <w:top w:val="nil"/>
              <w:left w:val="nil"/>
              <w:bottom w:val="single" w:sz="4" w:space="0" w:color="auto"/>
              <w:right w:val="nil"/>
            </w:tcBorders>
            <w:shd w:val="clear" w:color="auto" w:fill="auto"/>
            <w:noWrap/>
            <w:vAlign w:val="center"/>
            <w:hideMark/>
          </w:tcPr>
          <w:p w14:paraId="4B22FC12" w14:textId="77777777" w:rsidR="00985220" w:rsidRPr="00400076" w:rsidRDefault="00985220" w:rsidP="00985220">
            <w:pPr>
              <w:spacing w:before="0" w:after="0" w:line="240" w:lineRule="auto"/>
              <w:rPr>
                <w:rFonts w:cs="Arial"/>
                <w:b/>
                <w:bCs/>
                <w:color w:val="000000"/>
                <w:sz w:val="18"/>
                <w:szCs w:val="18"/>
              </w:rPr>
            </w:pPr>
            <w:r w:rsidRPr="00400076">
              <w:rPr>
                <w:rFonts w:cs="Arial"/>
                <w:b/>
                <w:bCs/>
                <w:color w:val="000000"/>
                <w:sz w:val="18"/>
                <w:szCs w:val="18"/>
              </w:rPr>
              <w:t>Jurisdiction</w:t>
            </w:r>
          </w:p>
        </w:tc>
        <w:tc>
          <w:tcPr>
            <w:tcW w:w="1177" w:type="dxa"/>
            <w:tcBorders>
              <w:top w:val="nil"/>
              <w:left w:val="nil"/>
              <w:bottom w:val="single" w:sz="4" w:space="0" w:color="auto"/>
              <w:right w:val="nil"/>
            </w:tcBorders>
            <w:shd w:val="clear" w:color="000000" w:fill="FFFFFF"/>
            <w:vAlign w:val="center"/>
            <w:hideMark/>
          </w:tcPr>
          <w:p w14:paraId="182D2558"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hideMark/>
          </w:tcPr>
          <w:p w14:paraId="16FE5C8A"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hideMark/>
          </w:tcPr>
          <w:p w14:paraId="3730DD1F"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hideMark/>
          </w:tcPr>
          <w:p w14:paraId="689FB092"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hideMark/>
          </w:tcPr>
          <w:p w14:paraId="5145C7BA"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hideMark/>
          </w:tcPr>
          <w:p w14:paraId="7D0BF99E"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 of Total Expenditure</w:t>
            </w:r>
          </w:p>
        </w:tc>
      </w:tr>
      <w:tr w:rsidR="00985220" w:rsidRPr="00400076" w14:paraId="2A5FE913" w14:textId="77777777" w:rsidTr="00831042">
        <w:trPr>
          <w:trHeight w:val="300"/>
          <w:jc w:val="center"/>
        </w:trPr>
        <w:tc>
          <w:tcPr>
            <w:tcW w:w="1240" w:type="dxa"/>
            <w:tcBorders>
              <w:top w:val="nil"/>
              <w:left w:val="nil"/>
              <w:bottom w:val="single" w:sz="4" w:space="0" w:color="auto"/>
              <w:right w:val="nil"/>
            </w:tcBorders>
            <w:shd w:val="clear" w:color="000000" w:fill="FFFFFF"/>
            <w:noWrap/>
            <w:vAlign w:val="bottom"/>
            <w:hideMark/>
          </w:tcPr>
          <w:p w14:paraId="3340F836" w14:textId="77777777" w:rsidR="00985220" w:rsidRPr="00400076" w:rsidRDefault="00985220" w:rsidP="00985220">
            <w:pPr>
              <w:spacing w:before="0" w:after="0" w:line="240" w:lineRule="auto"/>
              <w:rPr>
                <w:rFonts w:cs="Arial"/>
                <w:color w:val="000000"/>
                <w:sz w:val="18"/>
                <w:szCs w:val="18"/>
              </w:rPr>
            </w:pPr>
            <w:r w:rsidRPr="00400076">
              <w:rPr>
                <w:rFonts w:cs="Arial"/>
                <w:color w:val="000000"/>
                <w:sz w:val="18"/>
                <w:szCs w:val="18"/>
              </w:rPr>
              <w:t> </w:t>
            </w:r>
          </w:p>
        </w:tc>
        <w:tc>
          <w:tcPr>
            <w:tcW w:w="1177" w:type="dxa"/>
            <w:tcBorders>
              <w:top w:val="nil"/>
              <w:left w:val="nil"/>
              <w:bottom w:val="single" w:sz="4" w:space="0" w:color="auto"/>
              <w:right w:val="nil"/>
            </w:tcBorders>
            <w:shd w:val="clear" w:color="000000" w:fill="FFFFFF"/>
            <w:noWrap/>
            <w:vAlign w:val="center"/>
            <w:hideMark/>
          </w:tcPr>
          <w:p w14:paraId="5E7EFC31"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hideMark/>
          </w:tcPr>
          <w:p w14:paraId="489DD611"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hideMark/>
          </w:tcPr>
          <w:p w14:paraId="6A2A2416"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hideMark/>
          </w:tcPr>
          <w:p w14:paraId="6DB75EFE"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hideMark/>
          </w:tcPr>
          <w:p w14:paraId="2EC431E8"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hideMark/>
          </w:tcPr>
          <w:p w14:paraId="37BB6008" w14:textId="77777777" w:rsidR="00985220" w:rsidRPr="00400076" w:rsidRDefault="00985220" w:rsidP="00985220">
            <w:pPr>
              <w:spacing w:before="0" w:after="0" w:line="240" w:lineRule="auto"/>
              <w:jc w:val="right"/>
              <w:rPr>
                <w:rFonts w:cs="Arial"/>
                <w:color w:val="000000"/>
                <w:sz w:val="18"/>
                <w:szCs w:val="18"/>
              </w:rPr>
            </w:pPr>
            <w:r w:rsidRPr="00400076">
              <w:rPr>
                <w:rFonts w:cs="Arial"/>
                <w:color w:val="000000"/>
                <w:sz w:val="18"/>
                <w:szCs w:val="18"/>
              </w:rPr>
              <w:t>(%)</w:t>
            </w:r>
          </w:p>
        </w:tc>
      </w:tr>
      <w:tr w:rsidR="00936E65" w:rsidRPr="00400076" w14:paraId="38053E58"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3C7D5365"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NSW</w:t>
            </w:r>
          </w:p>
        </w:tc>
        <w:tc>
          <w:tcPr>
            <w:tcW w:w="1177" w:type="dxa"/>
            <w:tcBorders>
              <w:top w:val="nil"/>
              <w:left w:val="nil"/>
              <w:bottom w:val="nil"/>
              <w:right w:val="nil"/>
            </w:tcBorders>
            <w:shd w:val="clear" w:color="000000" w:fill="FFFFFF"/>
            <w:noWrap/>
            <w:vAlign w:val="center"/>
            <w:hideMark/>
          </w:tcPr>
          <w:p w14:paraId="2EF52D33" w14:textId="6F5C9CD3"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12,158</w:t>
            </w:r>
          </w:p>
        </w:tc>
        <w:tc>
          <w:tcPr>
            <w:tcW w:w="1177" w:type="dxa"/>
            <w:tcBorders>
              <w:top w:val="nil"/>
              <w:left w:val="nil"/>
              <w:bottom w:val="nil"/>
              <w:right w:val="nil"/>
            </w:tcBorders>
            <w:shd w:val="clear" w:color="000000" w:fill="FFFFFF"/>
            <w:noWrap/>
            <w:vAlign w:val="center"/>
            <w:hideMark/>
          </w:tcPr>
          <w:p w14:paraId="0ED3B966" w14:textId="4EF930A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30</w:t>
            </w:r>
          </w:p>
        </w:tc>
        <w:tc>
          <w:tcPr>
            <w:tcW w:w="1177" w:type="dxa"/>
            <w:tcBorders>
              <w:top w:val="nil"/>
              <w:left w:val="nil"/>
              <w:bottom w:val="nil"/>
              <w:right w:val="nil"/>
            </w:tcBorders>
            <w:shd w:val="clear" w:color="000000" w:fill="FFFFFF"/>
            <w:noWrap/>
            <w:vAlign w:val="center"/>
            <w:hideMark/>
          </w:tcPr>
          <w:p w14:paraId="6B7C368C" w14:textId="48CB7292"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12,757</w:t>
            </w:r>
          </w:p>
        </w:tc>
        <w:tc>
          <w:tcPr>
            <w:tcW w:w="1177" w:type="dxa"/>
            <w:tcBorders>
              <w:top w:val="nil"/>
              <w:left w:val="nil"/>
              <w:bottom w:val="nil"/>
              <w:right w:val="nil"/>
            </w:tcBorders>
            <w:shd w:val="clear" w:color="000000" w:fill="FFFFFF"/>
            <w:noWrap/>
            <w:vAlign w:val="center"/>
            <w:hideMark/>
          </w:tcPr>
          <w:p w14:paraId="1745976B" w14:textId="3FF71BF6"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29</w:t>
            </w:r>
          </w:p>
        </w:tc>
        <w:tc>
          <w:tcPr>
            <w:tcW w:w="1177" w:type="dxa"/>
            <w:tcBorders>
              <w:top w:val="nil"/>
              <w:left w:val="nil"/>
              <w:bottom w:val="nil"/>
              <w:right w:val="nil"/>
            </w:tcBorders>
            <w:shd w:val="clear" w:color="000000" w:fill="FFFFFF"/>
            <w:noWrap/>
            <w:vAlign w:val="center"/>
          </w:tcPr>
          <w:p w14:paraId="63CE8F67" w14:textId="05F88CCE"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13,753</w:t>
            </w:r>
          </w:p>
        </w:tc>
        <w:tc>
          <w:tcPr>
            <w:tcW w:w="1177" w:type="dxa"/>
            <w:tcBorders>
              <w:top w:val="nil"/>
              <w:left w:val="nil"/>
              <w:bottom w:val="nil"/>
              <w:right w:val="nil"/>
            </w:tcBorders>
            <w:shd w:val="clear" w:color="000000" w:fill="FFFFFF"/>
            <w:noWrap/>
            <w:vAlign w:val="center"/>
            <w:hideMark/>
          </w:tcPr>
          <w:p w14:paraId="066050B7" w14:textId="2B3E658C"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29</w:t>
            </w:r>
          </w:p>
        </w:tc>
      </w:tr>
      <w:tr w:rsidR="00936E65" w:rsidRPr="00400076" w14:paraId="29EA4EE5"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3C3582D9"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Vic</w:t>
            </w:r>
          </w:p>
        </w:tc>
        <w:tc>
          <w:tcPr>
            <w:tcW w:w="1177" w:type="dxa"/>
            <w:tcBorders>
              <w:top w:val="nil"/>
              <w:left w:val="nil"/>
              <w:bottom w:val="nil"/>
              <w:right w:val="nil"/>
            </w:tcBorders>
            <w:shd w:val="clear" w:color="000000" w:fill="FFFFFF"/>
            <w:noWrap/>
            <w:vAlign w:val="center"/>
            <w:hideMark/>
          </w:tcPr>
          <w:p w14:paraId="6BE9803E" w14:textId="13CA73DE"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8,765</w:t>
            </w:r>
          </w:p>
        </w:tc>
        <w:tc>
          <w:tcPr>
            <w:tcW w:w="1177" w:type="dxa"/>
            <w:tcBorders>
              <w:top w:val="nil"/>
              <w:left w:val="nil"/>
              <w:bottom w:val="nil"/>
              <w:right w:val="nil"/>
            </w:tcBorders>
            <w:shd w:val="clear" w:color="000000" w:fill="FFFFFF"/>
            <w:noWrap/>
            <w:vAlign w:val="center"/>
            <w:hideMark/>
          </w:tcPr>
          <w:p w14:paraId="77E9BA50" w14:textId="58CBD47A"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22</w:t>
            </w:r>
          </w:p>
        </w:tc>
        <w:tc>
          <w:tcPr>
            <w:tcW w:w="1177" w:type="dxa"/>
            <w:tcBorders>
              <w:top w:val="nil"/>
              <w:left w:val="nil"/>
              <w:bottom w:val="nil"/>
              <w:right w:val="nil"/>
            </w:tcBorders>
            <w:shd w:val="clear" w:color="000000" w:fill="FFFFFF"/>
            <w:noWrap/>
            <w:vAlign w:val="center"/>
            <w:hideMark/>
          </w:tcPr>
          <w:p w14:paraId="5C9D8F90" w14:textId="1EA33B7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9,818</w:t>
            </w:r>
          </w:p>
        </w:tc>
        <w:tc>
          <w:tcPr>
            <w:tcW w:w="1177" w:type="dxa"/>
            <w:tcBorders>
              <w:top w:val="nil"/>
              <w:left w:val="nil"/>
              <w:bottom w:val="nil"/>
              <w:right w:val="nil"/>
            </w:tcBorders>
            <w:shd w:val="clear" w:color="000000" w:fill="FFFFFF"/>
            <w:noWrap/>
            <w:vAlign w:val="center"/>
            <w:hideMark/>
          </w:tcPr>
          <w:p w14:paraId="239974EF" w14:textId="772C1FD6"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22</w:t>
            </w:r>
          </w:p>
        </w:tc>
        <w:tc>
          <w:tcPr>
            <w:tcW w:w="1177" w:type="dxa"/>
            <w:tcBorders>
              <w:top w:val="nil"/>
              <w:left w:val="nil"/>
              <w:bottom w:val="nil"/>
              <w:right w:val="nil"/>
            </w:tcBorders>
            <w:shd w:val="clear" w:color="000000" w:fill="FFFFFF"/>
            <w:noWrap/>
            <w:vAlign w:val="center"/>
          </w:tcPr>
          <w:p w14:paraId="5127C4B2" w14:textId="72CE4103"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10,723</w:t>
            </w:r>
          </w:p>
        </w:tc>
        <w:tc>
          <w:tcPr>
            <w:tcW w:w="1177" w:type="dxa"/>
            <w:tcBorders>
              <w:top w:val="nil"/>
              <w:left w:val="nil"/>
              <w:bottom w:val="nil"/>
              <w:right w:val="nil"/>
            </w:tcBorders>
            <w:shd w:val="clear" w:color="000000" w:fill="FFFFFF"/>
            <w:noWrap/>
            <w:vAlign w:val="center"/>
            <w:hideMark/>
          </w:tcPr>
          <w:p w14:paraId="7DB1D2A0" w14:textId="6DA0FC0F"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23</w:t>
            </w:r>
          </w:p>
        </w:tc>
      </w:tr>
      <w:tr w:rsidR="00936E65" w:rsidRPr="00400076" w14:paraId="4C652EBF"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1CE169F4"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Qld</w:t>
            </w:r>
          </w:p>
        </w:tc>
        <w:tc>
          <w:tcPr>
            <w:tcW w:w="1177" w:type="dxa"/>
            <w:tcBorders>
              <w:top w:val="nil"/>
              <w:left w:val="nil"/>
              <w:bottom w:val="nil"/>
              <w:right w:val="nil"/>
            </w:tcBorders>
            <w:shd w:val="clear" w:color="000000" w:fill="FFFFFF"/>
            <w:noWrap/>
            <w:vAlign w:val="center"/>
            <w:hideMark/>
          </w:tcPr>
          <w:p w14:paraId="0EAA896A" w14:textId="53F2C1E9"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8,571</w:t>
            </w:r>
          </w:p>
        </w:tc>
        <w:tc>
          <w:tcPr>
            <w:tcW w:w="1177" w:type="dxa"/>
            <w:tcBorders>
              <w:top w:val="nil"/>
              <w:left w:val="nil"/>
              <w:bottom w:val="nil"/>
              <w:right w:val="nil"/>
            </w:tcBorders>
            <w:shd w:val="clear" w:color="000000" w:fill="FFFFFF"/>
            <w:noWrap/>
            <w:vAlign w:val="center"/>
            <w:hideMark/>
          </w:tcPr>
          <w:p w14:paraId="3F665DD5" w14:textId="2305E83B"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21</w:t>
            </w:r>
          </w:p>
        </w:tc>
        <w:tc>
          <w:tcPr>
            <w:tcW w:w="1177" w:type="dxa"/>
            <w:tcBorders>
              <w:top w:val="nil"/>
              <w:left w:val="nil"/>
              <w:bottom w:val="nil"/>
              <w:right w:val="nil"/>
            </w:tcBorders>
            <w:shd w:val="clear" w:color="000000" w:fill="FFFFFF"/>
            <w:noWrap/>
            <w:vAlign w:val="center"/>
            <w:hideMark/>
          </w:tcPr>
          <w:p w14:paraId="552A824E" w14:textId="34AAD81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10,117</w:t>
            </w:r>
          </w:p>
        </w:tc>
        <w:tc>
          <w:tcPr>
            <w:tcW w:w="1177" w:type="dxa"/>
            <w:tcBorders>
              <w:top w:val="nil"/>
              <w:left w:val="nil"/>
              <w:bottom w:val="nil"/>
              <w:right w:val="nil"/>
            </w:tcBorders>
            <w:shd w:val="clear" w:color="000000" w:fill="FFFFFF"/>
            <w:noWrap/>
            <w:vAlign w:val="center"/>
            <w:hideMark/>
          </w:tcPr>
          <w:p w14:paraId="5AD5C094" w14:textId="19305D6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5549CA3A" w14:textId="6F7BB54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10,849</w:t>
            </w:r>
          </w:p>
        </w:tc>
        <w:tc>
          <w:tcPr>
            <w:tcW w:w="1177" w:type="dxa"/>
            <w:tcBorders>
              <w:top w:val="nil"/>
              <w:left w:val="nil"/>
              <w:bottom w:val="nil"/>
              <w:right w:val="nil"/>
            </w:tcBorders>
            <w:shd w:val="clear" w:color="000000" w:fill="FFFFFF"/>
            <w:noWrap/>
            <w:vAlign w:val="center"/>
            <w:hideMark/>
          </w:tcPr>
          <w:p w14:paraId="0ADFF275" w14:textId="77E60024"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23</w:t>
            </w:r>
          </w:p>
        </w:tc>
      </w:tr>
      <w:tr w:rsidR="00936E65" w:rsidRPr="00400076" w14:paraId="7BB1EAFA"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60BF30B9"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SA</w:t>
            </w:r>
          </w:p>
        </w:tc>
        <w:tc>
          <w:tcPr>
            <w:tcW w:w="1177" w:type="dxa"/>
            <w:tcBorders>
              <w:top w:val="nil"/>
              <w:left w:val="nil"/>
              <w:bottom w:val="nil"/>
              <w:right w:val="nil"/>
            </w:tcBorders>
            <w:shd w:val="clear" w:color="000000" w:fill="FFFFFF"/>
            <w:noWrap/>
            <w:vAlign w:val="center"/>
            <w:hideMark/>
          </w:tcPr>
          <w:p w14:paraId="21BD1328" w14:textId="4DA04A7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3,255</w:t>
            </w:r>
          </w:p>
        </w:tc>
        <w:tc>
          <w:tcPr>
            <w:tcW w:w="1177" w:type="dxa"/>
            <w:tcBorders>
              <w:top w:val="nil"/>
              <w:left w:val="nil"/>
              <w:bottom w:val="nil"/>
              <w:right w:val="nil"/>
            </w:tcBorders>
            <w:shd w:val="clear" w:color="000000" w:fill="FFFFFF"/>
            <w:noWrap/>
            <w:vAlign w:val="center"/>
            <w:hideMark/>
          </w:tcPr>
          <w:p w14:paraId="6D94B939" w14:textId="19553B34"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w:t>
            </w:r>
          </w:p>
        </w:tc>
        <w:tc>
          <w:tcPr>
            <w:tcW w:w="1177" w:type="dxa"/>
            <w:tcBorders>
              <w:top w:val="nil"/>
              <w:left w:val="nil"/>
              <w:bottom w:val="nil"/>
              <w:right w:val="nil"/>
            </w:tcBorders>
            <w:shd w:val="clear" w:color="000000" w:fill="FFFFFF"/>
            <w:noWrap/>
            <w:vAlign w:val="center"/>
            <w:hideMark/>
          </w:tcPr>
          <w:p w14:paraId="7D92BBC9" w14:textId="75CD056A"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3,345</w:t>
            </w:r>
          </w:p>
        </w:tc>
        <w:tc>
          <w:tcPr>
            <w:tcW w:w="1177" w:type="dxa"/>
            <w:tcBorders>
              <w:top w:val="nil"/>
              <w:left w:val="nil"/>
              <w:bottom w:val="nil"/>
              <w:right w:val="nil"/>
            </w:tcBorders>
            <w:shd w:val="clear" w:color="000000" w:fill="FFFFFF"/>
            <w:noWrap/>
            <w:vAlign w:val="center"/>
            <w:hideMark/>
          </w:tcPr>
          <w:p w14:paraId="013B066F" w14:textId="5555B74E"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w:t>
            </w:r>
          </w:p>
        </w:tc>
        <w:tc>
          <w:tcPr>
            <w:tcW w:w="1177" w:type="dxa"/>
            <w:tcBorders>
              <w:top w:val="nil"/>
              <w:left w:val="nil"/>
              <w:bottom w:val="nil"/>
              <w:right w:val="nil"/>
            </w:tcBorders>
            <w:shd w:val="clear" w:color="000000" w:fill="FFFFFF"/>
            <w:noWrap/>
            <w:vAlign w:val="center"/>
          </w:tcPr>
          <w:p w14:paraId="50727FE7" w14:textId="546618A8"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3,752</w:t>
            </w:r>
          </w:p>
        </w:tc>
        <w:tc>
          <w:tcPr>
            <w:tcW w:w="1177" w:type="dxa"/>
            <w:tcBorders>
              <w:top w:val="nil"/>
              <w:left w:val="nil"/>
              <w:bottom w:val="nil"/>
              <w:right w:val="nil"/>
            </w:tcBorders>
            <w:shd w:val="clear" w:color="000000" w:fill="FFFFFF"/>
            <w:noWrap/>
            <w:vAlign w:val="center"/>
            <w:hideMark/>
          </w:tcPr>
          <w:p w14:paraId="53A1A7DF" w14:textId="6BCCBF64"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w:t>
            </w:r>
          </w:p>
        </w:tc>
      </w:tr>
      <w:tr w:rsidR="00936E65" w:rsidRPr="00400076" w14:paraId="3806F68C"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73907845"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WA</w:t>
            </w:r>
          </w:p>
        </w:tc>
        <w:tc>
          <w:tcPr>
            <w:tcW w:w="1177" w:type="dxa"/>
            <w:tcBorders>
              <w:top w:val="nil"/>
              <w:left w:val="nil"/>
              <w:bottom w:val="nil"/>
              <w:right w:val="nil"/>
            </w:tcBorders>
            <w:shd w:val="clear" w:color="000000" w:fill="FFFFFF"/>
            <w:noWrap/>
            <w:vAlign w:val="center"/>
            <w:hideMark/>
          </w:tcPr>
          <w:p w14:paraId="0862EE39" w14:textId="28D761C8"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4,622</w:t>
            </w:r>
          </w:p>
        </w:tc>
        <w:tc>
          <w:tcPr>
            <w:tcW w:w="1177" w:type="dxa"/>
            <w:tcBorders>
              <w:top w:val="nil"/>
              <w:left w:val="nil"/>
              <w:bottom w:val="nil"/>
              <w:right w:val="nil"/>
            </w:tcBorders>
            <w:shd w:val="clear" w:color="000000" w:fill="FFFFFF"/>
            <w:noWrap/>
            <w:vAlign w:val="center"/>
            <w:hideMark/>
          </w:tcPr>
          <w:p w14:paraId="5659BD9F" w14:textId="69CEF24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11</w:t>
            </w:r>
          </w:p>
        </w:tc>
        <w:tc>
          <w:tcPr>
            <w:tcW w:w="1177" w:type="dxa"/>
            <w:tcBorders>
              <w:top w:val="nil"/>
              <w:left w:val="nil"/>
              <w:bottom w:val="nil"/>
              <w:right w:val="nil"/>
            </w:tcBorders>
            <w:shd w:val="clear" w:color="000000" w:fill="FFFFFF"/>
            <w:noWrap/>
            <w:vAlign w:val="center"/>
            <w:hideMark/>
          </w:tcPr>
          <w:p w14:paraId="4BCC7073" w14:textId="43313F3F"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4,860</w:t>
            </w:r>
          </w:p>
        </w:tc>
        <w:tc>
          <w:tcPr>
            <w:tcW w:w="1177" w:type="dxa"/>
            <w:tcBorders>
              <w:top w:val="nil"/>
              <w:left w:val="nil"/>
              <w:bottom w:val="nil"/>
              <w:right w:val="nil"/>
            </w:tcBorders>
            <w:shd w:val="clear" w:color="000000" w:fill="FFFFFF"/>
            <w:noWrap/>
            <w:vAlign w:val="center"/>
            <w:hideMark/>
          </w:tcPr>
          <w:p w14:paraId="7D02D6FF" w14:textId="5354293B"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11</w:t>
            </w:r>
          </w:p>
        </w:tc>
        <w:tc>
          <w:tcPr>
            <w:tcW w:w="1177" w:type="dxa"/>
            <w:tcBorders>
              <w:top w:val="nil"/>
              <w:left w:val="nil"/>
              <w:bottom w:val="nil"/>
              <w:right w:val="nil"/>
            </w:tcBorders>
            <w:shd w:val="clear" w:color="000000" w:fill="FFFFFF"/>
            <w:noWrap/>
            <w:vAlign w:val="center"/>
          </w:tcPr>
          <w:p w14:paraId="70FEF210" w14:textId="5EBE9200"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4,955</w:t>
            </w:r>
          </w:p>
        </w:tc>
        <w:tc>
          <w:tcPr>
            <w:tcW w:w="1177" w:type="dxa"/>
            <w:tcBorders>
              <w:top w:val="nil"/>
              <w:left w:val="nil"/>
              <w:bottom w:val="nil"/>
              <w:right w:val="nil"/>
            </w:tcBorders>
            <w:shd w:val="clear" w:color="000000" w:fill="FFFFFF"/>
            <w:noWrap/>
            <w:vAlign w:val="center"/>
            <w:hideMark/>
          </w:tcPr>
          <w:p w14:paraId="7F9952B5" w14:textId="4FF3F479"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11</w:t>
            </w:r>
          </w:p>
        </w:tc>
      </w:tr>
      <w:tr w:rsidR="00936E65" w:rsidRPr="00400076" w14:paraId="59CAA047"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7E2D1805"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Tas</w:t>
            </w:r>
          </w:p>
        </w:tc>
        <w:tc>
          <w:tcPr>
            <w:tcW w:w="1177" w:type="dxa"/>
            <w:tcBorders>
              <w:top w:val="nil"/>
              <w:left w:val="nil"/>
              <w:bottom w:val="nil"/>
              <w:right w:val="nil"/>
            </w:tcBorders>
            <w:shd w:val="clear" w:color="000000" w:fill="FFFFFF"/>
            <w:noWrap/>
            <w:vAlign w:val="center"/>
            <w:hideMark/>
          </w:tcPr>
          <w:p w14:paraId="22FF7CBE" w14:textId="5CF6A41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906</w:t>
            </w:r>
          </w:p>
        </w:tc>
        <w:tc>
          <w:tcPr>
            <w:tcW w:w="1177" w:type="dxa"/>
            <w:tcBorders>
              <w:top w:val="nil"/>
              <w:left w:val="nil"/>
              <w:bottom w:val="nil"/>
              <w:right w:val="nil"/>
            </w:tcBorders>
            <w:shd w:val="clear" w:color="000000" w:fill="FFFFFF"/>
            <w:noWrap/>
            <w:vAlign w:val="center"/>
            <w:hideMark/>
          </w:tcPr>
          <w:p w14:paraId="3E61417E" w14:textId="7D00FF68"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c>
          <w:tcPr>
            <w:tcW w:w="1177" w:type="dxa"/>
            <w:tcBorders>
              <w:top w:val="nil"/>
              <w:left w:val="nil"/>
              <w:bottom w:val="nil"/>
              <w:right w:val="nil"/>
            </w:tcBorders>
            <w:shd w:val="clear" w:color="000000" w:fill="FFFFFF"/>
            <w:noWrap/>
            <w:vAlign w:val="center"/>
            <w:hideMark/>
          </w:tcPr>
          <w:p w14:paraId="341A48A7" w14:textId="2A5333D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948</w:t>
            </w:r>
          </w:p>
        </w:tc>
        <w:tc>
          <w:tcPr>
            <w:tcW w:w="1177" w:type="dxa"/>
            <w:tcBorders>
              <w:top w:val="nil"/>
              <w:left w:val="nil"/>
              <w:bottom w:val="nil"/>
              <w:right w:val="nil"/>
            </w:tcBorders>
            <w:shd w:val="clear" w:color="000000" w:fill="FFFFFF"/>
            <w:noWrap/>
            <w:vAlign w:val="center"/>
            <w:hideMark/>
          </w:tcPr>
          <w:p w14:paraId="6F620C40" w14:textId="54F7964B"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1F7CEE6F" w14:textId="394D8C0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1,137</w:t>
            </w:r>
          </w:p>
        </w:tc>
        <w:tc>
          <w:tcPr>
            <w:tcW w:w="1177" w:type="dxa"/>
            <w:tcBorders>
              <w:top w:val="nil"/>
              <w:left w:val="nil"/>
              <w:bottom w:val="nil"/>
              <w:right w:val="nil"/>
            </w:tcBorders>
            <w:shd w:val="clear" w:color="000000" w:fill="FFFFFF"/>
            <w:noWrap/>
            <w:vAlign w:val="center"/>
            <w:hideMark/>
          </w:tcPr>
          <w:p w14:paraId="16D3E37B" w14:textId="6F016E4F"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r>
      <w:tr w:rsidR="00936E65" w:rsidRPr="00400076" w14:paraId="06B05FE6"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4D739F48"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NT</w:t>
            </w:r>
          </w:p>
        </w:tc>
        <w:tc>
          <w:tcPr>
            <w:tcW w:w="1177" w:type="dxa"/>
            <w:tcBorders>
              <w:top w:val="nil"/>
              <w:left w:val="nil"/>
              <w:bottom w:val="nil"/>
              <w:right w:val="nil"/>
            </w:tcBorders>
            <w:shd w:val="clear" w:color="000000" w:fill="FFFFFF"/>
            <w:noWrap/>
            <w:vAlign w:val="center"/>
            <w:hideMark/>
          </w:tcPr>
          <w:p w14:paraId="67B25EAD" w14:textId="24F1CC6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834</w:t>
            </w:r>
          </w:p>
        </w:tc>
        <w:tc>
          <w:tcPr>
            <w:tcW w:w="1177" w:type="dxa"/>
            <w:tcBorders>
              <w:top w:val="nil"/>
              <w:left w:val="nil"/>
              <w:bottom w:val="nil"/>
              <w:right w:val="nil"/>
            </w:tcBorders>
            <w:shd w:val="clear" w:color="000000" w:fill="FFFFFF"/>
            <w:noWrap/>
            <w:vAlign w:val="center"/>
            <w:hideMark/>
          </w:tcPr>
          <w:p w14:paraId="40E704AA" w14:textId="6B3A6C7E"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c>
          <w:tcPr>
            <w:tcW w:w="1177" w:type="dxa"/>
            <w:tcBorders>
              <w:top w:val="nil"/>
              <w:left w:val="nil"/>
              <w:bottom w:val="nil"/>
              <w:right w:val="nil"/>
            </w:tcBorders>
            <w:shd w:val="clear" w:color="000000" w:fill="FFFFFF"/>
            <w:noWrap/>
            <w:vAlign w:val="center"/>
            <w:hideMark/>
          </w:tcPr>
          <w:p w14:paraId="79AAC439" w14:textId="3B611403"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919</w:t>
            </w:r>
          </w:p>
        </w:tc>
        <w:tc>
          <w:tcPr>
            <w:tcW w:w="1177" w:type="dxa"/>
            <w:tcBorders>
              <w:top w:val="nil"/>
              <w:left w:val="nil"/>
              <w:bottom w:val="nil"/>
              <w:right w:val="nil"/>
            </w:tcBorders>
            <w:shd w:val="clear" w:color="000000" w:fill="FFFFFF"/>
            <w:noWrap/>
            <w:vAlign w:val="center"/>
            <w:hideMark/>
          </w:tcPr>
          <w:p w14:paraId="2736B013" w14:textId="164982D8"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780D9BFF" w14:textId="1D2D6473"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965</w:t>
            </w:r>
          </w:p>
        </w:tc>
        <w:tc>
          <w:tcPr>
            <w:tcW w:w="1177" w:type="dxa"/>
            <w:tcBorders>
              <w:top w:val="nil"/>
              <w:left w:val="nil"/>
              <w:bottom w:val="nil"/>
              <w:right w:val="nil"/>
            </w:tcBorders>
            <w:shd w:val="clear" w:color="000000" w:fill="FFFFFF"/>
            <w:noWrap/>
            <w:vAlign w:val="center"/>
            <w:hideMark/>
          </w:tcPr>
          <w:p w14:paraId="3D267056" w14:textId="71734A4B"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r>
      <w:tr w:rsidR="00936E65" w:rsidRPr="00400076" w14:paraId="39C46A7E" w14:textId="77777777" w:rsidTr="00831042">
        <w:trPr>
          <w:trHeight w:val="300"/>
          <w:jc w:val="center"/>
        </w:trPr>
        <w:tc>
          <w:tcPr>
            <w:tcW w:w="1240" w:type="dxa"/>
            <w:tcBorders>
              <w:top w:val="nil"/>
              <w:left w:val="nil"/>
              <w:bottom w:val="nil"/>
              <w:right w:val="nil"/>
            </w:tcBorders>
            <w:shd w:val="clear" w:color="000000" w:fill="FFFFFF"/>
            <w:noWrap/>
            <w:vAlign w:val="bottom"/>
            <w:hideMark/>
          </w:tcPr>
          <w:p w14:paraId="375BA710" w14:textId="77777777" w:rsidR="00936E65" w:rsidRPr="00400076" w:rsidRDefault="00936E65" w:rsidP="00936E65">
            <w:pPr>
              <w:spacing w:before="0" w:after="0" w:line="240" w:lineRule="auto"/>
              <w:rPr>
                <w:rFonts w:cs="Arial"/>
                <w:color w:val="000000"/>
                <w:sz w:val="18"/>
                <w:szCs w:val="18"/>
              </w:rPr>
            </w:pPr>
            <w:r w:rsidRPr="00400076">
              <w:rPr>
                <w:rFonts w:cs="Arial"/>
                <w:color w:val="000000"/>
                <w:sz w:val="18"/>
                <w:szCs w:val="18"/>
              </w:rPr>
              <w:t>ACT</w:t>
            </w:r>
          </w:p>
        </w:tc>
        <w:tc>
          <w:tcPr>
            <w:tcW w:w="1177" w:type="dxa"/>
            <w:tcBorders>
              <w:top w:val="nil"/>
              <w:left w:val="nil"/>
              <w:bottom w:val="nil"/>
              <w:right w:val="nil"/>
            </w:tcBorders>
            <w:shd w:val="clear" w:color="000000" w:fill="FFFFFF"/>
            <w:noWrap/>
            <w:vAlign w:val="center"/>
            <w:hideMark/>
          </w:tcPr>
          <w:p w14:paraId="5224E69B" w14:textId="6EF61A20"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1,182</w:t>
            </w:r>
          </w:p>
        </w:tc>
        <w:tc>
          <w:tcPr>
            <w:tcW w:w="1177" w:type="dxa"/>
            <w:tcBorders>
              <w:top w:val="nil"/>
              <w:left w:val="nil"/>
              <w:bottom w:val="nil"/>
              <w:right w:val="nil"/>
            </w:tcBorders>
            <w:shd w:val="clear" w:color="000000" w:fill="FFFFFF"/>
            <w:noWrap/>
            <w:vAlign w:val="center"/>
            <w:hideMark/>
          </w:tcPr>
          <w:p w14:paraId="6CAFA152" w14:textId="725539A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3</w:t>
            </w:r>
          </w:p>
        </w:tc>
        <w:tc>
          <w:tcPr>
            <w:tcW w:w="1177" w:type="dxa"/>
            <w:tcBorders>
              <w:top w:val="nil"/>
              <w:left w:val="nil"/>
              <w:bottom w:val="nil"/>
              <w:right w:val="nil"/>
            </w:tcBorders>
            <w:shd w:val="clear" w:color="000000" w:fill="FFFFFF"/>
            <w:noWrap/>
            <w:vAlign w:val="center"/>
            <w:hideMark/>
          </w:tcPr>
          <w:p w14:paraId="28CCBEE7" w14:textId="4A90C701"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1,011</w:t>
            </w:r>
          </w:p>
        </w:tc>
        <w:tc>
          <w:tcPr>
            <w:tcW w:w="1177" w:type="dxa"/>
            <w:tcBorders>
              <w:top w:val="nil"/>
              <w:left w:val="nil"/>
              <w:bottom w:val="nil"/>
              <w:right w:val="nil"/>
            </w:tcBorders>
            <w:shd w:val="clear" w:color="000000" w:fill="FFFFFF"/>
            <w:noWrap/>
            <w:vAlign w:val="center"/>
            <w:hideMark/>
          </w:tcPr>
          <w:p w14:paraId="51C45DFD" w14:textId="2F2F5266"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755683FB" w14:textId="4578CF26"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1,013</w:t>
            </w:r>
          </w:p>
        </w:tc>
        <w:tc>
          <w:tcPr>
            <w:tcW w:w="1177" w:type="dxa"/>
            <w:tcBorders>
              <w:top w:val="nil"/>
              <w:left w:val="nil"/>
              <w:bottom w:val="nil"/>
              <w:right w:val="nil"/>
            </w:tcBorders>
            <w:shd w:val="clear" w:color="000000" w:fill="FFFFFF"/>
            <w:noWrap/>
            <w:vAlign w:val="center"/>
            <w:hideMark/>
          </w:tcPr>
          <w:p w14:paraId="1312228E" w14:textId="46AFB235" w:rsidR="00936E65" w:rsidRPr="00400076" w:rsidRDefault="00936E65" w:rsidP="00936E65">
            <w:pPr>
              <w:spacing w:before="0" w:after="0" w:line="240" w:lineRule="auto"/>
              <w:jc w:val="right"/>
              <w:rPr>
                <w:rFonts w:cs="Arial"/>
                <w:color w:val="000000"/>
                <w:sz w:val="18"/>
                <w:szCs w:val="18"/>
              </w:rPr>
            </w:pPr>
            <w:r w:rsidRPr="00400076">
              <w:rPr>
                <w:rFonts w:cs="Arial"/>
                <w:color w:val="000000"/>
                <w:sz w:val="18"/>
                <w:szCs w:val="18"/>
              </w:rPr>
              <w:t>2</w:t>
            </w:r>
          </w:p>
        </w:tc>
      </w:tr>
      <w:tr w:rsidR="00936E65" w:rsidRPr="00985220" w14:paraId="24A27DAB" w14:textId="77777777" w:rsidTr="00831042">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3F36337F" w14:textId="77777777" w:rsidR="00936E65" w:rsidRPr="00400076" w:rsidRDefault="00936E65" w:rsidP="00936E65">
            <w:pPr>
              <w:spacing w:before="0" w:after="0" w:line="240" w:lineRule="auto"/>
              <w:rPr>
                <w:rFonts w:cs="Arial"/>
                <w:b/>
                <w:bCs/>
                <w:color w:val="000000"/>
                <w:sz w:val="18"/>
                <w:szCs w:val="18"/>
              </w:rPr>
            </w:pPr>
            <w:r w:rsidRPr="00400076">
              <w:rPr>
                <w:rFonts w:cs="Arial"/>
                <w:b/>
                <w:bCs/>
                <w:color w:val="000000"/>
                <w:sz w:val="18"/>
                <w:szCs w:val="18"/>
              </w:rPr>
              <w:t>Total</w:t>
            </w:r>
          </w:p>
        </w:tc>
        <w:tc>
          <w:tcPr>
            <w:tcW w:w="1177" w:type="dxa"/>
            <w:tcBorders>
              <w:top w:val="single" w:sz="4" w:space="0" w:color="auto"/>
              <w:left w:val="nil"/>
              <w:bottom w:val="single" w:sz="4" w:space="0" w:color="auto"/>
              <w:right w:val="nil"/>
            </w:tcBorders>
            <w:shd w:val="clear" w:color="000000" w:fill="FFFFFF"/>
            <w:noWrap/>
            <w:vAlign w:val="center"/>
            <w:hideMark/>
          </w:tcPr>
          <w:p w14:paraId="1D62732B" w14:textId="5D546714" w:rsidR="00936E65" w:rsidRPr="00400076" w:rsidRDefault="00936E65" w:rsidP="00936E65">
            <w:pPr>
              <w:spacing w:before="0" w:after="0" w:line="240" w:lineRule="auto"/>
              <w:jc w:val="right"/>
              <w:rPr>
                <w:rFonts w:cs="Arial"/>
                <w:b/>
                <w:bCs/>
                <w:color w:val="000000"/>
                <w:sz w:val="18"/>
                <w:szCs w:val="18"/>
              </w:rPr>
            </w:pPr>
            <w:r w:rsidRPr="00400076">
              <w:rPr>
                <w:rFonts w:cs="Arial"/>
                <w:b/>
                <w:bCs/>
                <w:color w:val="000000"/>
                <w:sz w:val="18"/>
                <w:szCs w:val="18"/>
              </w:rPr>
              <w:t>40,292</w:t>
            </w:r>
          </w:p>
        </w:tc>
        <w:tc>
          <w:tcPr>
            <w:tcW w:w="1177" w:type="dxa"/>
            <w:tcBorders>
              <w:top w:val="single" w:sz="4" w:space="0" w:color="auto"/>
              <w:left w:val="nil"/>
              <w:bottom w:val="single" w:sz="4" w:space="0" w:color="auto"/>
              <w:right w:val="nil"/>
            </w:tcBorders>
            <w:shd w:val="clear" w:color="000000" w:fill="FFFFFF"/>
            <w:noWrap/>
            <w:vAlign w:val="center"/>
            <w:hideMark/>
          </w:tcPr>
          <w:p w14:paraId="64E8FEE7" w14:textId="3F0FDB2A" w:rsidR="00936E65" w:rsidRPr="00400076" w:rsidRDefault="00936E65" w:rsidP="00936E65">
            <w:pPr>
              <w:spacing w:before="0" w:after="0" w:line="240" w:lineRule="auto"/>
              <w:jc w:val="right"/>
              <w:rPr>
                <w:rFonts w:cs="Arial"/>
                <w:b/>
                <w:bCs/>
                <w:color w:val="000000"/>
                <w:sz w:val="18"/>
                <w:szCs w:val="18"/>
              </w:rPr>
            </w:pPr>
          </w:p>
        </w:tc>
        <w:tc>
          <w:tcPr>
            <w:tcW w:w="1177" w:type="dxa"/>
            <w:tcBorders>
              <w:top w:val="single" w:sz="4" w:space="0" w:color="auto"/>
              <w:left w:val="nil"/>
              <w:bottom w:val="single" w:sz="4" w:space="0" w:color="auto"/>
              <w:right w:val="nil"/>
            </w:tcBorders>
            <w:shd w:val="clear" w:color="000000" w:fill="FFFFFF"/>
            <w:noWrap/>
            <w:vAlign w:val="center"/>
            <w:hideMark/>
          </w:tcPr>
          <w:p w14:paraId="5987CC4B" w14:textId="5E57AF26" w:rsidR="00936E65" w:rsidRPr="00400076" w:rsidRDefault="00936E65" w:rsidP="00936E65">
            <w:pPr>
              <w:spacing w:before="0" w:after="0" w:line="240" w:lineRule="auto"/>
              <w:jc w:val="right"/>
              <w:rPr>
                <w:rFonts w:cs="Arial"/>
                <w:b/>
                <w:bCs/>
                <w:color w:val="000000"/>
                <w:sz w:val="18"/>
                <w:szCs w:val="18"/>
              </w:rPr>
            </w:pPr>
            <w:r w:rsidRPr="00400076">
              <w:rPr>
                <w:rFonts w:cs="Arial"/>
                <w:b/>
                <w:bCs/>
                <w:color w:val="000000"/>
                <w:sz w:val="18"/>
                <w:szCs w:val="18"/>
              </w:rPr>
              <w:t>43,775</w:t>
            </w:r>
          </w:p>
        </w:tc>
        <w:tc>
          <w:tcPr>
            <w:tcW w:w="1177" w:type="dxa"/>
            <w:tcBorders>
              <w:top w:val="single" w:sz="4" w:space="0" w:color="auto"/>
              <w:left w:val="nil"/>
              <w:bottom w:val="single" w:sz="4" w:space="0" w:color="auto"/>
              <w:right w:val="nil"/>
            </w:tcBorders>
            <w:shd w:val="clear" w:color="000000" w:fill="FFFFFF"/>
            <w:noWrap/>
            <w:vAlign w:val="center"/>
            <w:hideMark/>
          </w:tcPr>
          <w:p w14:paraId="49B5340F" w14:textId="64E73D4A" w:rsidR="00936E65" w:rsidRPr="00400076" w:rsidRDefault="00936E65" w:rsidP="003E1E4B">
            <w:pPr>
              <w:spacing w:before="0" w:after="0" w:line="240" w:lineRule="auto"/>
              <w:jc w:val="right"/>
              <w:rPr>
                <w:rFonts w:cs="Arial"/>
                <w:b/>
                <w:bCs/>
                <w:color w:val="000000"/>
                <w:sz w:val="18"/>
                <w:szCs w:val="18"/>
              </w:rPr>
            </w:pPr>
          </w:p>
        </w:tc>
        <w:tc>
          <w:tcPr>
            <w:tcW w:w="1177" w:type="dxa"/>
            <w:tcBorders>
              <w:top w:val="single" w:sz="4" w:space="0" w:color="auto"/>
              <w:left w:val="nil"/>
              <w:bottom w:val="single" w:sz="4" w:space="0" w:color="auto"/>
              <w:right w:val="nil"/>
            </w:tcBorders>
            <w:shd w:val="clear" w:color="000000" w:fill="FFFFFF"/>
            <w:noWrap/>
            <w:vAlign w:val="center"/>
            <w:hideMark/>
          </w:tcPr>
          <w:p w14:paraId="479B02FC" w14:textId="16271CB9" w:rsidR="00936E65" w:rsidRPr="00400076" w:rsidRDefault="00936E65" w:rsidP="00936E65">
            <w:pPr>
              <w:spacing w:before="0" w:after="0" w:line="240" w:lineRule="auto"/>
              <w:jc w:val="right"/>
              <w:rPr>
                <w:rFonts w:cs="Arial"/>
                <w:b/>
                <w:bCs/>
                <w:color w:val="000000"/>
                <w:sz w:val="18"/>
                <w:szCs w:val="18"/>
              </w:rPr>
            </w:pPr>
            <w:r w:rsidRPr="00400076">
              <w:rPr>
                <w:rFonts w:cs="Arial"/>
                <w:b/>
                <w:bCs/>
                <w:color w:val="000000"/>
                <w:sz w:val="18"/>
                <w:szCs w:val="18"/>
              </w:rPr>
              <w:t>47,147</w:t>
            </w:r>
          </w:p>
        </w:tc>
        <w:tc>
          <w:tcPr>
            <w:tcW w:w="1177" w:type="dxa"/>
            <w:tcBorders>
              <w:top w:val="single" w:sz="4" w:space="0" w:color="auto"/>
              <w:left w:val="nil"/>
              <w:bottom w:val="single" w:sz="4" w:space="0" w:color="auto"/>
              <w:right w:val="nil"/>
            </w:tcBorders>
            <w:shd w:val="clear" w:color="000000" w:fill="FFFFFF"/>
            <w:noWrap/>
            <w:vAlign w:val="center"/>
            <w:hideMark/>
          </w:tcPr>
          <w:p w14:paraId="20CE47BA" w14:textId="218CDFC2" w:rsidR="00936E65" w:rsidRPr="00400076" w:rsidRDefault="00936E65" w:rsidP="00936E65">
            <w:pPr>
              <w:spacing w:before="0" w:after="0" w:line="240" w:lineRule="auto"/>
              <w:jc w:val="right"/>
              <w:rPr>
                <w:rFonts w:cs="Arial"/>
                <w:b/>
                <w:bCs/>
                <w:color w:val="000000"/>
                <w:sz w:val="18"/>
                <w:szCs w:val="18"/>
              </w:rPr>
            </w:pPr>
          </w:p>
        </w:tc>
      </w:tr>
    </w:tbl>
    <w:p w14:paraId="27C5CE28" w14:textId="0E08BCFC" w:rsidR="002371BB" w:rsidRPr="00C7496A" w:rsidRDefault="0096034C" w:rsidP="00440E76">
      <w:pPr>
        <w:pStyle w:val="Heading2"/>
      </w:pPr>
      <w:bookmarkStart w:id="30" w:name="_Toc524173854"/>
      <w:bookmarkStart w:id="31" w:name="_Toc25759690"/>
      <w:r>
        <w:t xml:space="preserve">5.4 </w:t>
      </w:r>
      <w:r w:rsidR="00033C8D">
        <w:t>Average c</w:t>
      </w:r>
      <w:r w:rsidR="002371BB" w:rsidRPr="00C7496A">
        <w:t>ost</w:t>
      </w:r>
      <w:bookmarkEnd w:id="30"/>
      <w:bookmarkEnd w:id="31"/>
    </w:p>
    <w:p w14:paraId="6A82A766" w14:textId="68AAB9FE" w:rsidR="006F0FA9" w:rsidRPr="002521C1" w:rsidRDefault="00A17C30" w:rsidP="00A17C30">
      <w:pPr>
        <w:rPr>
          <w:rFonts w:cs="Arial"/>
          <w:szCs w:val="22"/>
        </w:rPr>
      </w:pPr>
      <w:r w:rsidRPr="0082107A">
        <w:rPr>
          <w:rFonts w:cs="Arial"/>
          <w:szCs w:val="22"/>
        </w:rPr>
        <w:t xml:space="preserve">This report </w:t>
      </w:r>
      <w:r w:rsidRPr="00A92291">
        <w:rPr>
          <w:rFonts w:cs="Arial"/>
          <w:szCs w:val="22"/>
        </w:rPr>
        <w:t xml:space="preserve">provides the average cost information for all hospital </w:t>
      </w:r>
      <w:r w:rsidR="00756EA3">
        <w:rPr>
          <w:rFonts w:cs="Arial"/>
          <w:szCs w:val="22"/>
        </w:rPr>
        <w:t>activity</w:t>
      </w:r>
      <w:r w:rsidRPr="00A92291">
        <w:rPr>
          <w:rFonts w:cs="Arial"/>
          <w:szCs w:val="22"/>
        </w:rPr>
        <w:t xml:space="preserve"> </w:t>
      </w:r>
      <w:r w:rsidR="00756EA3">
        <w:rPr>
          <w:rFonts w:cs="Arial"/>
          <w:szCs w:val="22"/>
        </w:rPr>
        <w:t>captured</w:t>
      </w:r>
      <w:r w:rsidRPr="00A92291">
        <w:rPr>
          <w:rFonts w:cs="Arial"/>
          <w:szCs w:val="22"/>
        </w:rPr>
        <w:t xml:space="preserve"> by the </w:t>
      </w:r>
      <w:r w:rsidR="00053788">
        <w:rPr>
          <w:rFonts w:cs="Arial"/>
          <w:szCs w:val="22"/>
        </w:rPr>
        <w:t xml:space="preserve">different IHPA classifications. Table 8 </w:t>
      </w:r>
      <w:r w:rsidRPr="00A92291">
        <w:rPr>
          <w:rFonts w:cs="Arial"/>
          <w:szCs w:val="22"/>
        </w:rPr>
        <w:t xml:space="preserve">summarises these results by presenting the average cost at the activity stream level. While each activity stream is broad and represents a wide variety of different hospital </w:t>
      </w:r>
      <w:r w:rsidRPr="002521C1">
        <w:rPr>
          <w:rFonts w:cs="Arial"/>
          <w:szCs w:val="22"/>
        </w:rPr>
        <w:t xml:space="preserve">procedures and services provided, the categories </w:t>
      </w:r>
      <w:r w:rsidR="0046161B" w:rsidRPr="002521C1">
        <w:rPr>
          <w:rFonts w:cs="Arial"/>
          <w:szCs w:val="22"/>
        </w:rPr>
        <w:t>enable the reporting of</w:t>
      </w:r>
      <w:r w:rsidR="008C3809" w:rsidRPr="002521C1">
        <w:rPr>
          <w:rFonts w:cs="Arial"/>
          <w:szCs w:val="22"/>
        </w:rPr>
        <w:t xml:space="preserve"> useful</w:t>
      </w:r>
      <w:r w:rsidRPr="002521C1">
        <w:rPr>
          <w:rFonts w:cs="Arial"/>
          <w:szCs w:val="22"/>
        </w:rPr>
        <w:t xml:space="preserve"> summary statistic</w:t>
      </w:r>
      <w:r w:rsidR="008C3809" w:rsidRPr="002521C1">
        <w:rPr>
          <w:rFonts w:cs="Arial"/>
          <w:szCs w:val="22"/>
        </w:rPr>
        <w:t>s</w:t>
      </w:r>
      <w:r w:rsidRPr="002521C1">
        <w:rPr>
          <w:rFonts w:cs="Arial"/>
          <w:szCs w:val="22"/>
        </w:rPr>
        <w:t>.</w:t>
      </w:r>
    </w:p>
    <w:p w14:paraId="0AE04B72" w14:textId="57EBE20F" w:rsidR="00D508D5" w:rsidRDefault="009D1AF2" w:rsidP="00A17C30">
      <w:pPr>
        <w:rPr>
          <w:rFonts w:cs="Arial"/>
          <w:szCs w:val="22"/>
        </w:rPr>
      </w:pPr>
      <w:r w:rsidRPr="002521C1">
        <w:rPr>
          <w:rFonts w:cs="Arial"/>
          <w:szCs w:val="22"/>
        </w:rPr>
        <w:t>Between Round 21 and 22, the</w:t>
      </w:r>
      <w:r w:rsidR="008C3809" w:rsidRPr="002521C1">
        <w:rPr>
          <w:rFonts w:cs="Arial"/>
          <w:szCs w:val="22"/>
        </w:rPr>
        <w:t xml:space="preserve"> average cost </w:t>
      </w:r>
      <w:r w:rsidR="00B70C4D" w:rsidRPr="002521C1">
        <w:rPr>
          <w:rFonts w:cs="Arial"/>
          <w:szCs w:val="22"/>
        </w:rPr>
        <w:t xml:space="preserve">per episode increased </w:t>
      </w:r>
      <w:r w:rsidRPr="002521C1">
        <w:rPr>
          <w:rFonts w:cs="Arial"/>
          <w:szCs w:val="22"/>
        </w:rPr>
        <w:t>for each of the</w:t>
      </w:r>
      <w:r w:rsidR="00B70C4D" w:rsidRPr="002521C1">
        <w:rPr>
          <w:rFonts w:cs="Arial"/>
          <w:szCs w:val="22"/>
        </w:rPr>
        <w:t xml:space="preserve"> activity streams except </w:t>
      </w:r>
      <w:r w:rsidRPr="002521C1">
        <w:rPr>
          <w:rFonts w:cs="Arial"/>
          <w:szCs w:val="22"/>
        </w:rPr>
        <w:t xml:space="preserve">for </w:t>
      </w:r>
      <w:r w:rsidR="00B70C4D" w:rsidRPr="002521C1">
        <w:rPr>
          <w:rFonts w:cs="Arial"/>
          <w:szCs w:val="22"/>
        </w:rPr>
        <w:t>sub-acute</w:t>
      </w:r>
      <w:r w:rsidR="00100787">
        <w:rPr>
          <w:rFonts w:cs="Arial"/>
          <w:szCs w:val="22"/>
        </w:rPr>
        <w:t>,</w:t>
      </w:r>
      <w:r w:rsidR="00B70C4D" w:rsidRPr="002521C1">
        <w:rPr>
          <w:rFonts w:cs="Arial"/>
          <w:szCs w:val="22"/>
        </w:rPr>
        <w:t xml:space="preserve"> which fell by 4.</w:t>
      </w:r>
      <w:r w:rsidR="00EE4C4B">
        <w:rPr>
          <w:rFonts w:cs="Arial"/>
          <w:szCs w:val="22"/>
        </w:rPr>
        <w:t xml:space="preserve">2 </w:t>
      </w:r>
      <w:r w:rsidR="00BA31DA">
        <w:rPr>
          <w:rFonts w:cs="Arial"/>
          <w:szCs w:val="22"/>
        </w:rPr>
        <w:t>percent</w:t>
      </w:r>
      <w:r w:rsidR="00886525">
        <w:rPr>
          <w:rFonts w:cs="Arial"/>
          <w:szCs w:val="22"/>
        </w:rPr>
        <w:t xml:space="preserve"> </w:t>
      </w:r>
      <w:r w:rsidR="00B70C4D" w:rsidRPr="002521C1">
        <w:rPr>
          <w:rFonts w:cs="Arial"/>
          <w:szCs w:val="22"/>
        </w:rPr>
        <w:t>(from $13,987 to $13,397)</w:t>
      </w:r>
      <w:r w:rsidR="001057D3">
        <w:rPr>
          <w:rFonts w:cs="Arial"/>
          <w:szCs w:val="22"/>
        </w:rPr>
        <w:t>.</w:t>
      </w:r>
      <w:r w:rsidR="00EE4C4B">
        <w:rPr>
          <w:rFonts w:cs="Arial"/>
          <w:szCs w:val="22"/>
        </w:rPr>
        <w:t xml:space="preserve"> </w:t>
      </w:r>
      <w:r w:rsidR="00072EE7">
        <w:rPr>
          <w:rFonts w:cs="Arial"/>
          <w:szCs w:val="22"/>
        </w:rPr>
        <w:t>While the total national expenditure grew significantly for admitted acute episodes (6 percent), emergency department episodes (9 percent) and non-admitted episodes (19 percent), the growth in average cost for these episode types was much lower (1.9 percent, 5.9 percent and 2.6 percent respectively)</w:t>
      </w:r>
      <w:r w:rsidR="00D508D5">
        <w:rPr>
          <w:rFonts w:cs="Arial"/>
          <w:szCs w:val="22"/>
        </w:rPr>
        <w:t>.</w:t>
      </w:r>
    </w:p>
    <w:p w14:paraId="3F9E6BAD" w14:textId="23E17272" w:rsidR="00FF323C" w:rsidRDefault="00FF323C" w:rsidP="00D111B6">
      <w:pPr>
        <w:pStyle w:val="Caption"/>
      </w:pPr>
      <w:bookmarkStart w:id="32" w:name="_Toc31880538"/>
      <w:r>
        <w:t xml:space="preserve">Table </w:t>
      </w:r>
      <w:fldSimple w:instr=" SEQ Table \* ARABIC ">
        <w:r w:rsidR="00423E34">
          <w:rPr>
            <w:noProof/>
          </w:rPr>
          <w:t>8</w:t>
        </w:r>
      </w:fldSimple>
      <w:r>
        <w:t xml:space="preserve"> </w:t>
      </w:r>
      <w:r w:rsidRPr="008E30C6">
        <w:t>Average cost per episode, by activity stream, Round 21-22</w:t>
      </w:r>
      <w:bookmarkEnd w:id="32"/>
    </w:p>
    <w:tbl>
      <w:tblPr>
        <w:tblW w:w="9611" w:type="dxa"/>
        <w:jc w:val="center"/>
        <w:tblLook w:val="04A0" w:firstRow="1" w:lastRow="0" w:firstColumn="1" w:lastColumn="0" w:noHBand="0" w:noVBand="1"/>
        <w:tblCaption w:val="Table 8 Average cost per episode, by activity stream, Round 21-22"/>
        <w:tblDescription w:val="The table displays the average cost per episode by activity stream for Round 21 and Round 22. "/>
      </w:tblPr>
      <w:tblGrid>
        <w:gridCol w:w="2694"/>
        <w:gridCol w:w="1134"/>
        <w:gridCol w:w="1352"/>
        <w:gridCol w:w="1199"/>
        <w:gridCol w:w="1418"/>
        <w:gridCol w:w="84"/>
        <w:gridCol w:w="1503"/>
        <w:gridCol w:w="227"/>
      </w:tblGrid>
      <w:tr w:rsidR="009A4E73" w:rsidRPr="00835C0B" w14:paraId="7A3ABB60" w14:textId="77777777" w:rsidTr="009A4E73">
        <w:trPr>
          <w:gridAfter w:val="1"/>
          <w:wAfter w:w="227" w:type="dxa"/>
          <w:trHeight w:val="315"/>
          <w:jc w:val="center"/>
        </w:trPr>
        <w:tc>
          <w:tcPr>
            <w:tcW w:w="2694" w:type="dxa"/>
            <w:tcBorders>
              <w:top w:val="single" w:sz="4" w:space="0" w:color="auto"/>
              <w:left w:val="nil"/>
              <w:bottom w:val="nil"/>
              <w:right w:val="nil"/>
            </w:tcBorders>
            <w:shd w:val="clear" w:color="auto" w:fill="auto"/>
            <w:noWrap/>
            <w:vAlign w:val="center"/>
            <w:hideMark/>
          </w:tcPr>
          <w:p w14:paraId="46D0D8CE" w14:textId="77777777" w:rsidR="009A4E73" w:rsidRPr="00835C0B" w:rsidRDefault="009A4E73" w:rsidP="009A4E73">
            <w:pPr>
              <w:keepNext/>
              <w:spacing w:before="0" w:after="0" w:line="240" w:lineRule="auto"/>
              <w:rPr>
                <w:rFonts w:cs="Arial"/>
                <w:color w:val="000000"/>
                <w:sz w:val="20"/>
                <w:szCs w:val="20"/>
              </w:rPr>
            </w:pPr>
            <w:r w:rsidRPr="00835C0B">
              <w:rPr>
                <w:rFonts w:cs="Arial"/>
                <w:color w:val="000000"/>
                <w:sz w:val="20"/>
                <w:szCs w:val="20"/>
              </w:rPr>
              <w:t> </w:t>
            </w:r>
          </w:p>
        </w:tc>
        <w:tc>
          <w:tcPr>
            <w:tcW w:w="2486" w:type="dxa"/>
            <w:gridSpan w:val="2"/>
            <w:tcBorders>
              <w:top w:val="single" w:sz="4" w:space="0" w:color="auto"/>
              <w:left w:val="nil"/>
              <w:bottom w:val="single" w:sz="4" w:space="0" w:color="auto"/>
              <w:right w:val="nil"/>
            </w:tcBorders>
            <w:shd w:val="clear" w:color="000000" w:fill="FFFFFF"/>
            <w:noWrap/>
            <w:vAlign w:val="center"/>
            <w:hideMark/>
          </w:tcPr>
          <w:p w14:paraId="551A30E6" w14:textId="106C9235" w:rsidR="009A4E73" w:rsidRPr="00835C0B" w:rsidRDefault="009A4E73" w:rsidP="00D111B6">
            <w:pPr>
              <w:keepNext/>
              <w:spacing w:before="0" w:after="0" w:line="240" w:lineRule="auto"/>
              <w:jc w:val="center"/>
              <w:rPr>
                <w:rFonts w:cs="Arial"/>
                <w:b/>
                <w:bCs/>
                <w:color w:val="000000"/>
                <w:szCs w:val="22"/>
              </w:rPr>
            </w:pPr>
            <w:r w:rsidRPr="003A3B96">
              <w:rPr>
                <w:rFonts w:cs="Arial"/>
                <w:b/>
                <w:bCs/>
                <w:color w:val="000000"/>
                <w:szCs w:val="22"/>
              </w:rPr>
              <w:t>Round 21</w:t>
            </w:r>
          </w:p>
        </w:tc>
        <w:tc>
          <w:tcPr>
            <w:tcW w:w="2701" w:type="dxa"/>
            <w:gridSpan w:val="3"/>
            <w:tcBorders>
              <w:top w:val="single" w:sz="4" w:space="0" w:color="auto"/>
              <w:left w:val="nil"/>
              <w:bottom w:val="single" w:sz="4" w:space="0" w:color="auto"/>
              <w:right w:val="nil"/>
            </w:tcBorders>
            <w:shd w:val="clear" w:color="000000" w:fill="FFFFFF"/>
            <w:vAlign w:val="center"/>
          </w:tcPr>
          <w:p w14:paraId="02796071" w14:textId="77777777" w:rsidR="009A4E73" w:rsidRPr="00835C0B" w:rsidRDefault="009A4E73">
            <w:pPr>
              <w:keepNext/>
              <w:spacing w:before="0" w:after="0" w:line="240" w:lineRule="auto"/>
              <w:jc w:val="center"/>
              <w:rPr>
                <w:rFonts w:cs="Arial"/>
                <w:b/>
                <w:bCs/>
                <w:color w:val="000000"/>
                <w:szCs w:val="22"/>
              </w:rPr>
            </w:pPr>
            <w:r w:rsidRPr="00835C0B">
              <w:rPr>
                <w:rFonts w:cs="Arial"/>
                <w:b/>
                <w:bCs/>
                <w:color w:val="000000"/>
                <w:szCs w:val="22"/>
              </w:rPr>
              <w:t>Round 22</w:t>
            </w:r>
          </w:p>
        </w:tc>
        <w:tc>
          <w:tcPr>
            <w:tcW w:w="1503" w:type="dxa"/>
            <w:tcBorders>
              <w:top w:val="single" w:sz="4" w:space="0" w:color="auto"/>
              <w:left w:val="nil"/>
              <w:bottom w:val="single" w:sz="4" w:space="0" w:color="auto"/>
              <w:right w:val="nil"/>
            </w:tcBorders>
            <w:shd w:val="clear" w:color="000000" w:fill="FFFFFF"/>
            <w:vAlign w:val="center"/>
          </w:tcPr>
          <w:p w14:paraId="68D2CE21" w14:textId="6554D4EC" w:rsidR="009A4E73" w:rsidRPr="00835C0B" w:rsidRDefault="009A4E73" w:rsidP="009A4E73">
            <w:pPr>
              <w:keepNext/>
              <w:spacing w:before="0" w:after="0" w:line="240" w:lineRule="auto"/>
              <w:jc w:val="center"/>
              <w:rPr>
                <w:rFonts w:cs="Arial"/>
                <w:b/>
                <w:bCs/>
                <w:color w:val="000000"/>
                <w:szCs w:val="22"/>
              </w:rPr>
            </w:pPr>
          </w:p>
        </w:tc>
      </w:tr>
      <w:tr w:rsidR="00965DD5" w:rsidRPr="00835C0B" w14:paraId="3B71E1FD" w14:textId="77777777" w:rsidTr="00D111B6">
        <w:trPr>
          <w:trHeight w:val="960"/>
          <w:jc w:val="center"/>
        </w:trPr>
        <w:tc>
          <w:tcPr>
            <w:tcW w:w="2694" w:type="dxa"/>
            <w:tcBorders>
              <w:top w:val="nil"/>
              <w:left w:val="nil"/>
              <w:bottom w:val="single" w:sz="4" w:space="0" w:color="auto"/>
              <w:right w:val="nil"/>
            </w:tcBorders>
            <w:shd w:val="clear" w:color="auto" w:fill="auto"/>
            <w:noWrap/>
            <w:vAlign w:val="center"/>
            <w:hideMark/>
          </w:tcPr>
          <w:p w14:paraId="3A334797" w14:textId="77777777" w:rsidR="00965DD5" w:rsidRPr="00835C0B" w:rsidRDefault="00965DD5" w:rsidP="00100787">
            <w:pPr>
              <w:keepNext/>
              <w:spacing w:before="0" w:after="0" w:line="240" w:lineRule="auto"/>
              <w:rPr>
                <w:rFonts w:cs="Arial"/>
                <w:color w:val="000000"/>
                <w:sz w:val="20"/>
                <w:szCs w:val="20"/>
              </w:rPr>
            </w:pPr>
            <w:r w:rsidRPr="00835C0B">
              <w:rPr>
                <w:rFonts w:cs="Arial"/>
                <w:color w:val="000000"/>
                <w:sz w:val="20"/>
                <w:szCs w:val="20"/>
              </w:rPr>
              <w:t> </w:t>
            </w:r>
          </w:p>
        </w:tc>
        <w:tc>
          <w:tcPr>
            <w:tcW w:w="1134" w:type="dxa"/>
            <w:tcBorders>
              <w:top w:val="nil"/>
              <w:left w:val="nil"/>
              <w:bottom w:val="single" w:sz="4" w:space="0" w:color="auto"/>
              <w:right w:val="nil"/>
            </w:tcBorders>
            <w:shd w:val="clear" w:color="000000" w:fill="FFFFFF"/>
            <w:vAlign w:val="center"/>
          </w:tcPr>
          <w:p w14:paraId="5C4E2D1E" w14:textId="57EADAE4" w:rsidR="00965DD5" w:rsidRPr="008D5F27" w:rsidRDefault="008D5F27" w:rsidP="00100787">
            <w:pPr>
              <w:keepNext/>
              <w:spacing w:before="0" w:after="0" w:line="240" w:lineRule="auto"/>
              <w:jc w:val="right"/>
              <w:rPr>
                <w:rFonts w:cs="Arial"/>
                <w:color w:val="000000"/>
                <w:sz w:val="18"/>
                <w:szCs w:val="18"/>
              </w:rPr>
            </w:pPr>
            <w:r w:rsidRPr="00D111B6">
              <w:rPr>
                <w:rFonts w:cs="Arial"/>
                <w:bCs/>
                <w:color w:val="000000"/>
                <w:sz w:val="18"/>
                <w:szCs w:val="18"/>
              </w:rPr>
              <w:t>Number of Episodes</w:t>
            </w:r>
          </w:p>
        </w:tc>
        <w:tc>
          <w:tcPr>
            <w:tcW w:w="1352" w:type="dxa"/>
            <w:tcBorders>
              <w:top w:val="nil"/>
              <w:left w:val="nil"/>
              <w:bottom w:val="single" w:sz="4" w:space="0" w:color="auto"/>
              <w:right w:val="nil"/>
            </w:tcBorders>
            <w:shd w:val="clear" w:color="000000" w:fill="FFFFFF"/>
            <w:vAlign w:val="center"/>
          </w:tcPr>
          <w:p w14:paraId="3E25B9C1" w14:textId="1F5458A6" w:rsidR="00965DD5" w:rsidRPr="008D5F27" w:rsidRDefault="00965DD5" w:rsidP="00100787">
            <w:pPr>
              <w:keepNext/>
              <w:spacing w:before="0" w:after="0" w:line="240" w:lineRule="auto"/>
              <w:jc w:val="right"/>
              <w:rPr>
                <w:rFonts w:cs="Arial"/>
                <w:color w:val="000000"/>
                <w:sz w:val="18"/>
                <w:szCs w:val="18"/>
              </w:rPr>
            </w:pPr>
            <w:r w:rsidRPr="008D5F27">
              <w:rPr>
                <w:rFonts w:cs="Arial"/>
                <w:color w:val="000000"/>
                <w:sz w:val="18"/>
                <w:szCs w:val="18"/>
              </w:rPr>
              <w:t>Average Cost per Episode</w:t>
            </w:r>
          </w:p>
        </w:tc>
        <w:tc>
          <w:tcPr>
            <w:tcW w:w="1199" w:type="dxa"/>
            <w:tcBorders>
              <w:top w:val="nil"/>
              <w:left w:val="nil"/>
              <w:bottom w:val="single" w:sz="4" w:space="0" w:color="auto"/>
              <w:right w:val="nil"/>
            </w:tcBorders>
            <w:shd w:val="clear" w:color="000000" w:fill="FFFFFF"/>
            <w:vAlign w:val="center"/>
          </w:tcPr>
          <w:p w14:paraId="33E12233" w14:textId="41BBB980" w:rsidR="00965DD5" w:rsidRPr="008D5F27" w:rsidRDefault="008D5F27">
            <w:pPr>
              <w:keepNext/>
              <w:spacing w:before="0" w:after="0" w:line="240" w:lineRule="auto"/>
              <w:jc w:val="right"/>
              <w:rPr>
                <w:rFonts w:cs="Arial"/>
                <w:color w:val="000000"/>
                <w:sz w:val="18"/>
                <w:szCs w:val="18"/>
              </w:rPr>
            </w:pPr>
            <w:r w:rsidRPr="00D111B6">
              <w:rPr>
                <w:rFonts w:cs="Arial"/>
                <w:bCs/>
                <w:color w:val="000000"/>
                <w:sz w:val="18"/>
                <w:szCs w:val="18"/>
              </w:rPr>
              <w:t>Number of Episodes</w:t>
            </w:r>
          </w:p>
        </w:tc>
        <w:tc>
          <w:tcPr>
            <w:tcW w:w="1418" w:type="dxa"/>
            <w:tcBorders>
              <w:top w:val="nil"/>
              <w:left w:val="nil"/>
              <w:bottom w:val="single" w:sz="4" w:space="0" w:color="auto"/>
              <w:right w:val="nil"/>
            </w:tcBorders>
            <w:shd w:val="clear" w:color="000000" w:fill="FFFFFF"/>
            <w:vAlign w:val="center"/>
          </w:tcPr>
          <w:p w14:paraId="4854037E" w14:textId="37A44468" w:rsidR="00965DD5" w:rsidRPr="00835C0B" w:rsidRDefault="00965DD5" w:rsidP="00100787">
            <w:pPr>
              <w:keepNext/>
              <w:spacing w:before="0" w:after="0" w:line="240" w:lineRule="auto"/>
              <w:jc w:val="right"/>
              <w:rPr>
                <w:rFonts w:cs="Arial"/>
                <w:color w:val="000000"/>
                <w:sz w:val="18"/>
                <w:szCs w:val="18"/>
              </w:rPr>
            </w:pPr>
            <w:r w:rsidRPr="00835C0B">
              <w:rPr>
                <w:rFonts w:cs="Arial"/>
                <w:color w:val="000000"/>
                <w:sz w:val="18"/>
                <w:szCs w:val="18"/>
              </w:rPr>
              <w:t>Average Cost per Episode</w:t>
            </w:r>
          </w:p>
        </w:tc>
        <w:tc>
          <w:tcPr>
            <w:tcW w:w="1814" w:type="dxa"/>
            <w:gridSpan w:val="3"/>
            <w:tcBorders>
              <w:top w:val="nil"/>
              <w:left w:val="nil"/>
              <w:bottom w:val="single" w:sz="4" w:space="0" w:color="auto"/>
              <w:right w:val="nil"/>
            </w:tcBorders>
            <w:shd w:val="clear" w:color="000000" w:fill="FFFFFF"/>
            <w:vAlign w:val="center"/>
          </w:tcPr>
          <w:p w14:paraId="5A16E591" w14:textId="77777777" w:rsidR="00965DD5" w:rsidRPr="00835C0B" w:rsidRDefault="00965DD5" w:rsidP="00100787">
            <w:pPr>
              <w:keepNext/>
              <w:spacing w:before="0" w:after="0" w:line="240" w:lineRule="auto"/>
              <w:jc w:val="right"/>
              <w:rPr>
                <w:rFonts w:cs="Arial"/>
                <w:color w:val="000000"/>
                <w:sz w:val="18"/>
                <w:szCs w:val="18"/>
              </w:rPr>
            </w:pPr>
            <w:r w:rsidRPr="00835C0B">
              <w:rPr>
                <w:rFonts w:cs="Arial"/>
                <w:color w:val="000000"/>
                <w:sz w:val="18"/>
                <w:szCs w:val="18"/>
              </w:rPr>
              <w:t>Change in Average Cost Since Previous Round</w:t>
            </w:r>
          </w:p>
        </w:tc>
      </w:tr>
      <w:tr w:rsidR="00965DD5" w:rsidRPr="00835C0B" w14:paraId="6ACBCCD4" w14:textId="77777777" w:rsidTr="00D111B6">
        <w:trPr>
          <w:trHeight w:val="300"/>
          <w:jc w:val="center"/>
        </w:trPr>
        <w:tc>
          <w:tcPr>
            <w:tcW w:w="2694" w:type="dxa"/>
            <w:tcBorders>
              <w:top w:val="nil"/>
              <w:left w:val="nil"/>
              <w:bottom w:val="single" w:sz="4" w:space="0" w:color="auto"/>
              <w:right w:val="nil"/>
            </w:tcBorders>
            <w:shd w:val="clear" w:color="000000" w:fill="FFFFFF"/>
            <w:noWrap/>
            <w:vAlign w:val="bottom"/>
            <w:hideMark/>
          </w:tcPr>
          <w:p w14:paraId="1AF7797C" w14:textId="77777777" w:rsidR="00965DD5" w:rsidRPr="00835C0B" w:rsidRDefault="00965DD5" w:rsidP="00100787">
            <w:pPr>
              <w:keepNext/>
              <w:spacing w:before="0" w:after="0" w:line="240" w:lineRule="auto"/>
              <w:rPr>
                <w:rFonts w:cs="Arial"/>
                <w:color w:val="000000"/>
                <w:sz w:val="18"/>
                <w:szCs w:val="18"/>
              </w:rPr>
            </w:pPr>
            <w:r w:rsidRPr="00835C0B">
              <w:rPr>
                <w:rFonts w:cs="Arial"/>
                <w:color w:val="000000"/>
                <w:sz w:val="18"/>
                <w:szCs w:val="18"/>
              </w:rPr>
              <w:t> </w:t>
            </w:r>
          </w:p>
        </w:tc>
        <w:tc>
          <w:tcPr>
            <w:tcW w:w="1134" w:type="dxa"/>
            <w:tcBorders>
              <w:top w:val="nil"/>
              <w:left w:val="nil"/>
              <w:bottom w:val="single" w:sz="4" w:space="0" w:color="auto"/>
              <w:right w:val="nil"/>
            </w:tcBorders>
            <w:shd w:val="clear" w:color="000000" w:fill="FFFFFF"/>
            <w:noWrap/>
            <w:vAlign w:val="center"/>
          </w:tcPr>
          <w:p w14:paraId="22FC43F8" w14:textId="13A7AFC6" w:rsidR="00965DD5" w:rsidRPr="00835C0B" w:rsidRDefault="00965DD5" w:rsidP="00100787">
            <w:pPr>
              <w:keepNext/>
              <w:spacing w:before="0" w:after="0" w:line="240" w:lineRule="auto"/>
              <w:jc w:val="right"/>
              <w:rPr>
                <w:rFonts w:cs="Arial"/>
                <w:color w:val="000000"/>
                <w:sz w:val="18"/>
                <w:szCs w:val="18"/>
              </w:rPr>
            </w:pPr>
          </w:p>
        </w:tc>
        <w:tc>
          <w:tcPr>
            <w:tcW w:w="1352" w:type="dxa"/>
            <w:tcBorders>
              <w:top w:val="nil"/>
              <w:left w:val="nil"/>
              <w:bottom w:val="single" w:sz="4" w:space="0" w:color="auto"/>
              <w:right w:val="nil"/>
            </w:tcBorders>
            <w:shd w:val="clear" w:color="000000" w:fill="FFFFFF"/>
            <w:noWrap/>
            <w:vAlign w:val="center"/>
          </w:tcPr>
          <w:p w14:paraId="42C8443B" w14:textId="01D99141" w:rsidR="00965DD5" w:rsidRPr="00835C0B" w:rsidRDefault="00965DD5" w:rsidP="00100787">
            <w:pPr>
              <w:keepNext/>
              <w:spacing w:before="0" w:after="0" w:line="240" w:lineRule="auto"/>
              <w:jc w:val="right"/>
              <w:rPr>
                <w:rFonts w:cs="Arial"/>
                <w:color w:val="000000"/>
                <w:sz w:val="18"/>
                <w:szCs w:val="18"/>
              </w:rPr>
            </w:pPr>
            <w:r w:rsidRPr="00835C0B">
              <w:rPr>
                <w:rFonts w:cs="Arial"/>
                <w:color w:val="000000"/>
                <w:sz w:val="18"/>
                <w:szCs w:val="18"/>
              </w:rPr>
              <w:t>($)</w:t>
            </w:r>
          </w:p>
        </w:tc>
        <w:tc>
          <w:tcPr>
            <w:tcW w:w="1199" w:type="dxa"/>
            <w:tcBorders>
              <w:top w:val="nil"/>
              <w:left w:val="nil"/>
              <w:bottom w:val="single" w:sz="4" w:space="0" w:color="auto"/>
              <w:right w:val="nil"/>
            </w:tcBorders>
            <w:shd w:val="clear" w:color="000000" w:fill="FFFFFF"/>
          </w:tcPr>
          <w:p w14:paraId="484D0BCA" w14:textId="77777777" w:rsidR="00965DD5" w:rsidRPr="00835C0B" w:rsidRDefault="00965DD5" w:rsidP="00100787">
            <w:pPr>
              <w:keepNext/>
              <w:spacing w:before="0" w:after="0" w:line="240" w:lineRule="auto"/>
              <w:jc w:val="right"/>
              <w:rPr>
                <w:rFonts w:cs="Arial"/>
                <w:color w:val="000000"/>
                <w:sz w:val="18"/>
                <w:szCs w:val="18"/>
              </w:rPr>
            </w:pPr>
          </w:p>
        </w:tc>
        <w:tc>
          <w:tcPr>
            <w:tcW w:w="1418" w:type="dxa"/>
            <w:tcBorders>
              <w:top w:val="nil"/>
              <w:left w:val="nil"/>
              <w:bottom w:val="single" w:sz="4" w:space="0" w:color="auto"/>
              <w:right w:val="nil"/>
            </w:tcBorders>
            <w:shd w:val="clear" w:color="000000" w:fill="FFFFFF"/>
            <w:vAlign w:val="center"/>
          </w:tcPr>
          <w:p w14:paraId="17EE5BAF" w14:textId="5EE9BEE4" w:rsidR="00965DD5" w:rsidRPr="00835C0B" w:rsidRDefault="00965DD5" w:rsidP="00100787">
            <w:pPr>
              <w:keepNext/>
              <w:spacing w:before="0" w:after="0" w:line="240" w:lineRule="auto"/>
              <w:jc w:val="right"/>
              <w:rPr>
                <w:rFonts w:cs="Arial"/>
                <w:color w:val="000000"/>
                <w:sz w:val="18"/>
                <w:szCs w:val="18"/>
              </w:rPr>
            </w:pPr>
            <w:r w:rsidRPr="00835C0B">
              <w:rPr>
                <w:rFonts w:cs="Arial"/>
                <w:color w:val="000000"/>
                <w:sz w:val="18"/>
                <w:szCs w:val="18"/>
              </w:rPr>
              <w:t>($)</w:t>
            </w:r>
          </w:p>
        </w:tc>
        <w:tc>
          <w:tcPr>
            <w:tcW w:w="1814" w:type="dxa"/>
            <w:gridSpan w:val="3"/>
            <w:tcBorders>
              <w:top w:val="nil"/>
              <w:left w:val="nil"/>
              <w:bottom w:val="single" w:sz="4" w:space="0" w:color="auto"/>
              <w:right w:val="nil"/>
            </w:tcBorders>
            <w:shd w:val="clear" w:color="000000" w:fill="FFFFFF"/>
            <w:vAlign w:val="center"/>
          </w:tcPr>
          <w:p w14:paraId="2E4010A8" w14:textId="77777777" w:rsidR="00965DD5" w:rsidRPr="00835C0B" w:rsidRDefault="00965DD5" w:rsidP="00100787">
            <w:pPr>
              <w:keepNext/>
              <w:spacing w:before="0" w:after="0" w:line="240" w:lineRule="auto"/>
              <w:jc w:val="right"/>
              <w:rPr>
                <w:rFonts w:cs="Arial"/>
                <w:color w:val="000000"/>
                <w:sz w:val="18"/>
                <w:szCs w:val="18"/>
              </w:rPr>
            </w:pPr>
            <w:r w:rsidRPr="00835C0B">
              <w:rPr>
                <w:rFonts w:cs="Arial"/>
                <w:color w:val="000000"/>
                <w:sz w:val="18"/>
                <w:szCs w:val="18"/>
              </w:rPr>
              <w:t>(%)</w:t>
            </w:r>
          </w:p>
        </w:tc>
      </w:tr>
      <w:tr w:rsidR="00965DD5" w:rsidRPr="00835C0B" w14:paraId="21517F33" w14:textId="77777777" w:rsidTr="00D111B6">
        <w:trPr>
          <w:trHeight w:val="300"/>
          <w:jc w:val="center"/>
        </w:trPr>
        <w:tc>
          <w:tcPr>
            <w:tcW w:w="2694" w:type="dxa"/>
            <w:tcBorders>
              <w:top w:val="single" w:sz="4" w:space="0" w:color="auto"/>
            </w:tcBorders>
            <w:shd w:val="clear" w:color="000000" w:fill="FFFFFF"/>
            <w:noWrap/>
            <w:vAlign w:val="center"/>
            <w:hideMark/>
          </w:tcPr>
          <w:p w14:paraId="277DCC04" w14:textId="371F465C" w:rsidR="00965DD5" w:rsidRPr="00835C0B" w:rsidRDefault="00965DD5" w:rsidP="00100787">
            <w:pPr>
              <w:keepNext/>
              <w:spacing w:before="0" w:after="0" w:line="240" w:lineRule="auto"/>
              <w:rPr>
                <w:rFonts w:cs="Arial"/>
                <w:color w:val="000000"/>
                <w:sz w:val="18"/>
                <w:szCs w:val="18"/>
              </w:rPr>
            </w:pPr>
            <w:r>
              <w:rPr>
                <w:rFonts w:cs="Arial"/>
                <w:color w:val="000000"/>
                <w:sz w:val="18"/>
                <w:szCs w:val="18"/>
              </w:rPr>
              <w:t>Admitted a</w:t>
            </w:r>
            <w:r w:rsidRPr="00835C0B">
              <w:rPr>
                <w:rFonts w:cs="Arial"/>
                <w:color w:val="000000"/>
                <w:sz w:val="18"/>
                <w:szCs w:val="18"/>
              </w:rPr>
              <w:t>cute</w:t>
            </w:r>
          </w:p>
        </w:tc>
        <w:tc>
          <w:tcPr>
            <w:tcW w:w="1134" w:type="dxa"/>
            <w:tcBorders>
              <w:top w:val="single" w:sz="4" w:space="0" w:color="auto"/>
            </w:tcBorders>
            <w:shd w:val="clear" w:color="000000" w:fill="FFFFFF"/>
            <w:noWrap/>
            <w:vAlign w:val="center"/>
          </w:tcPr>
          <w:p w14:paraId="2008779E" w14:textId="1BCC1706"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5</w:t>
            </w:r>
            <w:r>
              <w:rPr>
                <w:rFonts w:cs="Arial"/>
                <w:color w:val="000000"/>
                <w:sz w:val="18"/>
                <w:szCs w:val="18"/>
              </w:rPr>
              <w:t>,</w:t>
            </w:r>
            <w:r w:rsidRPr="008D5F27">
              <w:rPr>
                <w:rFonts w:cs="Arial"/>
                <w:color w:val="000000"/>
                <w:sz w:val="18"/>
                <w:szCs w:val="18"/>
              </w:rPr>
              <w:t>773</w:t>
            </w:r>
            <w:r>
              <w:rPr>
                <w:rFonts w:cs="Arial"/>
                <w:color w:val="000000"/>
                <w:sz w:val="18"/>
                <w:szCs w:val="18"/>
              </w:rPr>
              <w:t>,</w:t>
            </w:r>
            <w:r w:rsidRPr="008D5F27">
              <w:rPr>
                <w:rFonts w:cs="Arial"/>
                <w:color w:val="000000"/>
                <w:sz w:val="18"/>
                <w:szCs w:val="18"/>
              </w:rPr>
              <w:t>102</w:t>
            </w:r>
          </w:p>
        </w:tc>
        <w:tc>
          <w:tcPr>
            <w:tcW w:w="1352" w:type="dxa"/>
            <w:tcBorders>
              <w:top w:val="single" w:sz="4" w:space="0" w:color="auto"/>
            </w:tcBorders>
            <w:shd w:val="clear" w:color="000000" w:fill="FFFFFF"/>
            <w:noWrap/>
            <w:vAlign w:val="center"/>
          </w:tcPr>
          <w:p w14:paraId="7FE1AAC8" w14:textId="12A61FE4"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4,792</w:t>
            </w:r>
          </w:p>
        </w:tc>
        <w:tc>
          <w:tcPr>
            <w:tcW w:w="1199" w:type="dxa"/>
            <w:tcBorders>
              <w:top w:val="single" w:sz="4" w:space="0" w:color="auto"/>
            </w:tcBorders>
            <w:shd w:val="clear" w:color="000000" w:fill="FFFFFF"/>
            <w:vAlign w:val="center"/>
          </w:tcPr>
          <w:p w14:paraId="3DE7607F" w14:textId="6D830FBD"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6</w:t>
            </w:r>
            <w:r>
              <w:rPr>
                <w:rFonts w:cs="Arial"/>
                <w:color w:val="000000"/>
                <w:sz w:val="18"/>
                <w:szCs w:val="18"/>
              </w:rPr>
              <w:t>,</w:t>
            </w:r>
            <w:r w:rsidRPr="008D5F27">
              <w:rPr>
                <w:rFonts w:cs="Arial"/>
                <w:color w:val="000000"/>
                <w:sz w:val="18"/>
                <w:szCs w:val="18"/>
              </w:rPr>
              <w:t>019</w:t>
            </w:r>
            <w:r>
              <w:rPr>
                <w:rFonts w:cs="Arial"/>
                <w:color w:val="000000"/>
                <w:sz w:val="18"/>
                <w:szCs w:val="18"/>
              </w:rPr>
              <w:t>,</w:t>
            </w:r>
            <w:r w:rsidRPr="008D5F27">
              <w:rPr>
                <w:rFonts w:cs="Arial"/>
                <w:color w:val="000000"/>
                <w:sz w:val="18"/>
                <w:szCs w:val="18"/>
              </w:rPr>
              <w:t>172</w:t>
            </w:r>
          </w:p>
        </w:tc>
        <w:tc>
          <w:tcPr>
            <w:tcW w:w="1418" w:type="dxa"/>
            <w:tcBorders>
              <w:top w:val="single" w:sz="4" w:space="0" w:color="auto"/>
            </w:tcBorders>
            <w:shd w:val="clear" w:color="000000" w:fill="FFFFFF"/>
            <w:vAlign w:val="center"/>
          </w:tcPr>
          <w:p w14:paraId="0F61B850" w14:textId="4ECA31DA"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4,885</w:t>
            </w:r>
          </w:p>
        </w:tc>
        <w:tc>
          <w:tcPr>
            <w:tcW w:w="1814" w:type="dxa"/>
            <w:gridSpan w:val="3"/>
            <w:tcBorders>
              <w:top w:val="single" w:sz="4" w:space="0" w:color="auto"/>
            </w:tcBorders>
            <w:shd w:val="clear" w:color="000000" w:fill="FFFFFF"/>
            <w:vAlign w:val="center"/>
          </w:tcPr>
          <w:p w14:paraId="32E8A011" w14:textId="6BF2D866"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1.9</w:t>
            </w:r>
          </w:p>
        </w:tc>
      </w:tr>
      <w:tr w:rsidR="00965DD5" w:rsidRPr="00835C0B" w14:paraId="39601095" w14:textId="77777777" w:rsidTr="00D111B6">
        <w:trPr>
          <w:trHeight w:val="300"/>
          <w:jc w:val="center"/>
        </w:trPr>
        <w:tc>
          <w:tcPr>
            <w:tcW w:w="2694" w:type="dxa"/>
            <w:shd w:val="clear" w:color="000000" w:fill="FFFFFF"/>
            <w:noWrap/>
            <w:vAlign w:val="center"/>
            <w:hideMark/>
          </w:tcPr>
          <w:p w14:paraId="4E8984E5" w14:textId="43E234D2" w:rsidR="00965DD5" w:rsidRPr="00835C0B" w:rsidRDefault="00965DD5" w:rsidP="00100787">
            <w:pPr>
              <w:keepNext/>
              <w:spacing w:before="0" w:after="0" w:line="240" w:lineRule="auto"/>
              <w:rPr>
                <w:rFonts w:cs="Arial"/>
                <w:color w:val="000000"/>
                <w:sz w:val="18"/>
                <w:szCs w:val="18"/>
              </w:rPr>
            </w:pPr>
            <w:r>
              <w:rPr>
                <w:rFonts w:cs="Arial"/>
                <w:color w:val="000000"/>
                <w:sz w:val="18"/>
                <w:szCs w:val="18"/>
              </w:rPr>
              <w:t>Emergency d</w:t>
            </w:r>
            <w:r w:rsidRPr="00835C0B">
              <w:rPr>
                <w:rFonts w:cs="Arial"/>
                <w:color w:val="000000"/>
                <w:sz w:val="18"/>
                <w:szCs w:val="18"/>
              </w:rPr>
              <w:t>epartment</w:t>
            </w:r>
          </w:p>
        </w:tc>
        <w:tc>
          <w:tcPr>
            <w:tcW w:w="1134" w:type="dxa"/>
            <w:shd w:val="clear" w:color="000000" w:fill="FFFFFF"/>
            <w:noWrap/>
            <w:vAlign w:val="center"/>
          </w:tcPr>
          <w:p w14:paraId="0CBC15F8" w14:textId="23046A86"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7</w:t>
            </w:r>
            <w:r>
              <w:rPr>
                <w:rFonts w:cs="Arial"/>
                <w:color w:val="000000"/>
                <w:sz w:val="18"/>
                <w:szCs w:val="18"/>
              </w:rPr>
              <w:t>,</w:t>
            </w:r>
            <w:r w:rsidRPr="008D5F27">
              <w:rPr>
                <w:rFonts w:cs="Arial"/>
                <w:color w:val="000000"/>
                <w:sz w:val="18"/>
                <w:szCs w:val="18"/>
              </w:rPr>
              <w:t>662</w:t>
            </w:r>
            <w:r>
              <w:rPr>
                <w:rFonts w:cs="Arial"/>
                <w:color w:val="000000"/>
                <w:sz w:val="18"/>
                <w:szCs w:val="18"/>
              </w:rPr>
              <w:t>,</w:t>
            </w:r>
            <w:r w:rsidRPr="008D5F27">
              <w:rPr>
                <w:rFonts w:cs="Arial"/>
                <w:color w:val="000000"/>
                <w:sz w:val="18"/>
                <w:szCs w:val="18"/>
              </w:rPr>
              <w:t>322</w:t>
            </w:r>
          </w:p>
        </w:tc>
        <w:tc>
          <w:tcPr>
            <w:tcW w:w="1352" w:type="dxa"/>
            <w:shd w:val="clear" w:color="000000" w:fill="FFFFFF"/>
            <w:noWrap/>
            <w:vAlign w:val="center"/>
          </w:tcPr>
          <w:p w14:paraId="26A3773A" w14:textId="0A2226EE"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666</w:t>
            </w:r>
          </w:p>
        </w:tc>
        <w:tc>
          <w:tcPr>
            <w:tcW w:w="1199" w:type="dxa"/>
            <w:shd w:val="clear" w:color="000000" w:fill="FFFFFF"/>
            <w:vAlign w:val="center"/>
          </w:tcPr>
          <w:p w14:paraId="3CD16FD7" w14:textId="7B9ACDF1"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7</w:t>
            </w:r>
            <w:r>
              <w:rPr>
                <w:rFonts w:cs="Arial"/>
                <w:color w:val="000000"/>
                <w:sz w:val="18"/>
                <w:szCs w:val="18"/>
              </w:rPr>
              <w:t>,</w:t>
            </w:r>
            <w:r w:rsidRPr="008D5F27">
              <w:rPr>
                <w:rFonts w:cs="Arial"/>
                <w:color w:val="000000"/>
                <w:sz w:val="18"/>
                <w:szCs w:val="18"/>
              </w:rPr>
              <w:t>877</w:t>
            </w:r>
            <w:r>
              <w:rPr>
                <w:rFonts w:cs="Arial"/>
                <w:color w:val="000000"/>
                <w:sz w:val="18"/>
                <w:szCs w:val="18"/>
              </w:rPr>
              <w:t>,</w:t>
            </w:r>
            <w:r w:rsidRPr="008D5F27">
              <w:rPr>
                <w:rFonts w:cs="Arial"/>
                <w:color w:val="000000"/>
                <w:sz w:val="18"/>
                <w:szCs w:val="18"/>
              </w:rPr>
              <w:t>053</w:t>
            </w:r>
          </w:p>
        </w:tc>
        <w:tc>
          <w:tcPr>
            <w:tcW w:w="1418" w:type="dxa"/>
            <w:shd w:val="clear" w:color="000000" w:fill="FFFFFF"/>
            <w:vAlign w:val="center"/>
          </w:tcPr>
          <w:p w14:paraId="6821C562" w14:textId="706DBBFB"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705</w:t>
            </w:r>
          </w:p>
        </w:tc>
        <w:tc>
          <w:tcPr>
            <w:tcW w:w="1814" w:type="dxa"/>
            <w:gridSpan w:val="3"/>
            <w:shd w:val="clear" w:color="000000" w:fill="FFFFFF"/>
            <w:vAlign w:val="center"/>
          </w:tcPr>
          <w:p w14:paraId="729E2E38" w14:textId="02037918"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5.9</w:t>
            </w:r>
          </w:p>
        </w:tc>
      </w:tr>
      <w:tr w:rsidR="00965DD5" w:rsidRPr="00835C0B" w14:paraId="55881143" w14:textId="77777777" w:rsidTr="00D111B6">
        <w:trPr>
          <w:trHeight w:val="300"/>
          <w:jc w:val="center"/>
        </w:trPr>
        <w:tc>
          <w:tcPr>
            <w:tcW w:w="2694" w:type="dxa"/>
            <w:shd w:val="clear" w:color="000000" w:fill="FFFFFF"/>
            <w:noWrap/>
            <w:vAlign w:val="center"/>
            <w:hideMark/>
          </w:tcPr>
          <w:p w14:paraId="3568EFE2" w14:textId="59BDFA2D" w:rsidR="00965DD5" w:rsidRPr="00835C0B" w:rsidRDefault="00965DD5" w:rsidP="00100787">
            <w:pPr>
              <w:keepNext/>
              <w:spacing w:before="0" w:after="0" w:line="240" w:lineRule="auto"/>
              <w:rPr>
                <w:rFonts w:cs="Arial"/>
                <w:color w:val="000000"/>
                <w:sz w:val="18"/>
                <w:szCs w:val="18"/>
              </w:rPr>
            </w:pPr>
            <w:r>
              <w:rPr>
                <w:rFonts w:cs="Arial"/>
                <w:color w:val="000000"/>
                <w:sz w:val="18"/>
                <w:szCs w:val="18"/>
              </w:rPr>
              <w:t>Non-a</w:t>
            </w:r>
            <w:r w:rsidRPr="00835C0B">
              <w:rPr>
                <w:rFonts w:cs="Arial"/>
                <w:color w:val="000000"/>
                <w:sz w:val="18"/>
                <w:szCs w:val="18"/>
              </w:rPr>
              <w:t>dmitted</w:t>
            </w:r>
          </w:p>
        </w:tc>
        <w:tc>
          <w:tcPr>
            <w:tcW w:w="1134" w:type="dxa"/>
            <w:shd w:val="clear" w:color="000000" w:fill="FFFFFF"/>
            <w:noWrap/>
            <w:vAlign w:val="center"/>
          </w:tcPr>
          <w:p w14:paraId="15C77D15" w14:textId="4DF4532E"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18</w:t>
            </w:r>
            <w:r>
              <w:rPr>
                <w:rFonts w:cs="Arial"/>
                <w:color w:val="000000"/>
                <w:sz w:val="18"/>
                <w:szCs w:val="18"/>
              </w:rPr>
              <w:t>,</w:t>
            </w:r>
            <w:r w:rsidRPr="008D5F27">
              <w:rPr>
                <w:rFonts w:cs="Arial"/>
                <w:color w:val="000000"/>
                <w:sz w:val="18"/>
                <w:szCs w:val="18"/>
              </w:rPr>
              <w:t>592</w:t>
            </w:r>
            <w:r>
              <w:rPr>
                <w:rFonts w:cs="Arial"/>
                <w:color w:val="000000"/>
                <w:sz w:val="18"/>
                <w:szCs w:val="18"/>
              </w:rPr>
              <w:t>,</w:t>
            </w:r>
            <w:r w:rsidRPr="008D5F27">
              <w:rPr>
                <w:rFonts w:cs="Arial"/>
                <w:color w:val="000000"/>
                <w:sz w:val="18"/>
                <w:szCs w:val="18"/>
              </w:rPr>
              <w:t>529</w:t>
            </w:r>
          </w:p>
        </w:tc>
        <w:tc>
          <w:tcPr>
            <w:tcW w:w="1352" w:type="dxa"/>
            <w:shd w:val="clear" w:color="000000" w:fill="FFFFFF"/>
            <w:noWrap/>
            <w:vAlign w:val="center"/>
          </w:tcPr>
          <w:p w14:paraId="21164926" w14:textId="5B3C2C4F"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309</w:t>
            </w:r>
          </w:p>
        </w:tc>
        <w:tc>
          <w:tcPr>
            <w:tcW w:w="1199" w:type="dxa"/>
            <w:shd w:val="clear" w:color="000000" w:fill="FFFFFF"/>
            <w:vAlign w:val="center"/>
          </w:tcPr>
          <w:p w14:paraId="59180500" w14:textId="26227109"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21</w:t>
            </w:r>
            <w:r>
              <w:rPr>
                <w:rFonts w:cs="Arial"/>
                <w:color w:val="000000"/>
                <w:sz w:val="18"/>
                <w:szCs w:val="18"/>
              </w:rPr>
              <w:t>,</w:t>
            </w:r>
            <w:r w:rsidRPr="008D5F27">
              <w:rPr>
                <w:rFonts w:cs="Arial"/>
                <w:color w:val="000000"/>
                <w:sz w:val="18"/>
                <w:szCs w:val="18"/>
              </w:rPr>
              <w:t>529</w:t>
            </w:r>
            <w:r>
              <w:rPr>
                <w:rFonts w:cs="Arial"/>
                <w:color w:val="000000"/>
                <w:sz w:val="18"/>
                <w:szCs w:val="18"/>
              </w:rPr>
              <w:t>,</w:t>
            </w:r>
            <w:r w:rsidRPr="008D5F27">
              <w:rPr>
                <w:rFonts w:cs="Arial"/>
                <w:color w:val="000000"/>
                <w:sz w:val="18"/>
                <w:szCs w:val="18"/>
              </w:rPr>
              <w:t>952</w:t>
            </w:r>
          </w:p>
        </w:tc>
        <w:tc>
          <w:tcPr>
            <w:tcW w:w="1418" w:type="dxa"/>
            <w:shd w:val="clear" w:color="000000" w:fill="FFFFFF"/>
            <w:vAlign w:val="center"/>
          </w:tcPr>
          <w:p w14:paraId="6F010B52" w14:textId="49BC550F"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317</w:t>
            </w:r>
          </w:p>
        </w:tc>
        <w:tc>
          <w:tcPr>
            <w:tcW w:w="1814" w:type="dxa"/>
            <w:gridSpan w:val="3"/>
            <w:shd w:val="clear" w:color="000000" w:fill="FFFFFF"/>
            <w:vAlign w:val="center"/>
          </w:tcPr>
          <w:p w14:paraId="161C44CC" w14:textId="24E6EAA0"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2.6</w:t>
            </w:r>
          </w:p>
        </w:tc>
      </w:tr>
      <w:tr w:rsidR="00965DD5" w:rsidRPr="00835C0B" w14:paraId="216F78B4" w14:textId="77777777" w:rsidTr="00D111B6">
        <w:trPr>
          <w:trHeight w:val="300"/>
          <w:jc w:val="center"/>
        </w:trPr>
        <w:tc>
          <w:tcPr>
            <w:tcW w:w="2694" w:type="dxa"/>
            <w:shd w:val="clear" w:color="000000" w:fill="FFFFFF"/>
            <w:noWrap/>
            <w:vAlign w:val="center"/>
            <w:hideMark/>
          </w:tcPr>
          <w:p w14:paraId="600B184C" w14:textId="268EA0FE" w:rsidR="00965DD5" w:rsidRPr="00835C0B" w:rsidRDefault="00965DD5" w:rsidP="00100787">
            <w:pPr>
              <w:keepNext/>
              <w:spacing w:before="0" w:after="0" w:line="240" w:lineRule="auto"/>
              <w:rPr>
                <w:rFonts w:cs="Arial"/>
                <w:color w:val="000000"/>
                <w:sz w:val="18"/>
                <w:szCs w:val="18"/>
              </w:rPr>
            </w:pPr>
            <w:r>
              <w:rPr>
                <w:rFonts w:cs="Arial"/>
                <w:color w:val="000000"/>
                <w:sz w:val="18"/>
                <w:szCs w:val="18"/>
              </w:rPr>
              <w:t>Sub-a</w:t>
            </w:r>
            <w:r w:rsidRPr="00835C0B">
              <w:rPr>
                <w:rFonts w:cs="Arial"/>
                <w:color w:val="000000"/>
                <w:sz w:val="18"/>
                <w:szCs w:val="18"/>
              </w:rPr>
              <w:t>cute</w:t>
            </w:r>
          </w:p>
        </w:tc>
        <w:tc>
          <w:tcPr>
            <w:tcW w:w="1134" w:type="dxa"/>
            <w:shd w:val="clear" w:color="000000" w:fill="FFFFFF"/>
            <w:noWrap/>
            <w:vAlign w:val="center"/>
          </w:tcPr>
          <w:p w14:paraId="24AFF719" w14:textId="01B93892"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199</w:t>
            </w:r>
            <w:r>
              <w:rPr>
                <w:rFonts w:cs="Arial"/>
                <w:color w:val="000000"/>
                <w:sz w:val="18"/>
                <w:szCs w:val="18"/>
              </w:rPr>
              <w:t>,</w:t>
            </w:r>
            <w:r w:rsidRPr="008D5F27">
              <w:rPr>
                <w:rFonts w:cs="Arial"/>
                <w:color w:val="000000"/>
                <w:sz w:val="18"/>
                <w:szCs w:val="18"/>
              </w:rPr>
              <w:t>911</w:t>
            </w:r>
          </w:p>
        </w:tc>
        <w:tc>
          <w:tcPr>
            <w:tcW w:w="1352" w:type="dxa"/>
            <w:shd w:val="clear" w:color="000000" w:fill="FFFFFF"/>
            <w:noWrap/>
            <w:vAlign w:val="center"/>
          </w:tcPr>
          <w:p w14:paraId="0DA74B9B" w14:textId="2E7CC737"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13,987</w:t>
            </w:r>
          </w:p>
        </w:tc>
        <w:tc>
          <w:tcPr>
            <w:tcW w:w="1199" w:type="dxa"/>
            <w:shd w:val="clear" w:color="000000" w:fill="FFFFFF"/>
            <w:vAlign w:val="center"/>
          </w:tcPr>
          <w:p w14:paraId="45FBD957" w14:textId="27E9E796" w:rsidR="00965DD5" w:rsidRPr="00835C0B" w:rsidRDefault="008D5F27">
            <w:pPr>
              <w:keepNext/>
              <w:spacing w:before="0" w:after="0" w:line="240" w:lineRule="auto"/>
              <w:jc w:val="right"/>
              <w:rPr>
                <w:rFonts w:cs="Arial"/>
                <w:color w:val="000000"/>
                <w:sz w:val="18"/>
                <w:szCs w:val="18"/>
              </w:rPr>
            </w:pPr>
            <w:r w:rsidRPr="008D5F27">
              <w:rPr>
                <w:rFonts w:cs="Arial"/>
                <w:color w:val="000000"/>
                <w:sz w:val="18"/>
                <w:szCs w:val="18"/>
              </w:rPr>
              <w:t>218</w:t>
            </w:r>
            <w:r>
              <w:rPr>
                <w:rFonts w:cs="Arial"/>
                <w:color w:val="000000"/>
                <w:sz w:val="18"/>
                <w:szCs w:val="18"/>
              </w:rPr>
              <w:t>,</w:t>
            </w:r>
            <w:r w:rsidRPr="008D5F27">
              <w:rPr>
                <w:rFonts w:cs="Arial"/>
                <w:color w:val="000000"/>
                <w:sz w:val="18"/>
                <w:szCs w:val="18"/>
              </w:rPr>
              <w:t>482</w:t>
            </w:r>
          </w:p>
        </w:tc>
        <w:tc>
          <w:tcPr>
            <w:tcW w:w="1418" w:type="dxa"/>
            <w:shd w:val="clear" w:color="000000" w:fill="FFFFFF"/>
            <w:vAlign w:val="center"/>
          </w:tcPr>
          <w:p w14:paraId="660C44C2" w14:textId="0984C811"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13,397</w:t>
            </w:r>
          </w:p>
        </w:tc>
        <w:tc>
          <w:tcPr>
            <w:tcW w:w="1814" w:type="dxa"/>
            <w:gridSpan w:val="3"/>
            <w:shd w:val="clear" w:color="000000" w:fill="FFFFFF"/>
            <w:vAlign w:val="center"/>
          </w:tcPr>
          <w:p w14:paraId="7FB6C34E" w14:textId="3102D92C" w:rsidR="00965DD5" w:rsidRPr="00835C0B" w:rsidRDefault="00965DD5">
            <w:pPr>
              <w:keepNext/>
              <w:spacing w:before="0" w:after="0" w:line="240" w:lineRule="auto"/>
              <w:jc w:val="right"/>
              <w:rPr>
                <w:rFonts w:cs="Arial"/>
                <w:color w:val="000000"/>
                <w:sz w:val="18"/>
                <w:szCs w:val="18"/>
              </w:rPr>
            </w:pPr>
            <w:r w:rsidRPr="00835C0B">
              <w:rPr>
                <w:rFonts w:cs="Arial"/>
                <w:color w:val="000000"/>
                <w:sz w:val="18"/>
                <w:szCs w:val="18"/>
              </w:rPr>
              <w:t>-4.2</w:t>
            </w:r>
          </w:p>
        </w:tc>
      </w:tr>
      <w:tr w:rsidR="00965DD5" w:rsidRPr="00E923E4" w14:paraId="752972EF" w14:textId="77777777" w:rsidTr="00D111B6">
        <w:trPr>
          <w:trHeight w:val="300"/>
          <w:jc w:val="center"/>
        </w:trPr>
        <w:tc>
          <w:tcPr>
            <w:tcW w:w="2694" w:type="dxa"/>
            <w:shd w:val="clear" w:color="000000" w:fill="FFFFFF"/>
            <w:noWrap/>
            <w:vAlign w:val="center"/>
            <w:hideMark/>
          </w:tcPr>
          <w:p w14:paraId="4C76647C" w14:textId="2E81EF94" w:rsidR="00965DD5" w:rsidRPr="00835C0B" w:rsidRDefault="00965DD5" w:rsidP="00100787">
            <w:pPr>
              <w:spacing w:before="0" w:after="0" w:line="240" w:lineRule="auto"/>
              <w:rPr>
                <w:rFonts w:cs="Arial"/>
                <w:color w:val="000000"/>
                <w:sz w:val="18"/>
                <w:szCs w:val="18"/>
              </w:rPr>
            </w:pPr>
            <w:r>
              <w:rPr>
                <w:rFonts w:cs="Arial"/>
                <w:color w:val="000000"/>
                <w:sz w:val="18"/>
                <w:szCs w:val="18"/>
              </w:rPr>
              <w:t>Mental h</w:t>
            </w:r>
            <w:r w:rsidRPr="00835C0B">
              <w:rPr>
                <w:rFonts w:cs="Arial"/>
                <w:color w:val="000000"/>
                <w:sz w:val="18"/>
                <w:szCs w:val="18"/>
              </w:rPr>
              <w:t>ealth</w:t>
            </w:r>
          </w:p>
        </w:tc>
        <w:tc>
          <w:tcPr>
            <w:tcW w:w="1134" w:type="dxa"/>
            <w:shd w:val="clear" w:color="000000" w:fill="FFFFFF"/>
            <w:noWrap/>
            <w:vAlign w:val="center"/>
          </w:tcPr>
          <w:p w14:paraId="74F9D3BE" w14:textId="3D578C24" w:rsidR="00965DD5" w:rsidRPr="00835C0B" w:rsidRDefault="00965DD5">
            <w:pPr>
              <w:spacing w:before="0" w:after="0" w:line="240" w:lineRule="auto"/>
              <w:jc w:val="right"/>
              <w:rPr>
                <w:rFonts w:cs="Arial"/>
                <w:color w:val="000000"/>
                <w:sz w:val="18"/>
                <w:szCs w:val="18"/>
              </w:rPr>
            </w:pPr>
          </w:p>
        </w:tc>
        <w:tc>
          <w:tcPr>
            <w:tcW w:w="1352" w:type="dxa"/>
            <w:shd w:val="clear" w:color="000000" w:fill="FFFFFF"/>
            <w:noWrap/>
            <w:vAlign w:val="center"/>
          </w:tcPr>
          <w:p w14:paraId="2F3D130A" w14:textId="62A8270E" w:rsidR="00965DD5" w:rsidRPr="00835C0B" w:rsidRDefault="00965DD5">
            <w:pPr>
              <w:spacing w:before="0" w:after="0" w:line="240" w:lineRule="auto"/>
              <w:jc w:val="right"/>
              <w:rPr>
                <w:rFonts w:cs="Arial"/>
                <w:color w:val="000000"/>
                <w:sz w:val="18"/>
                <w:szCs w:val="18"/>
              </w:rPr>
            </w:pPr>
          </w:p>
        </w:tc>
        <w:tc>
          <w:tcPr>
            <w:tcW w:w="1199" w:type="dxa"/>
            <w:shd w:val="clear" w:color="000000" w:fill="FFFFFF"/>
            <w:vAlign w:val="center"/>
          </w:tcPr>
          <w:p w14:paraId="14B3B8E2" w14:textId="62791B09" w:rsidR="00965DD5" w:rsidRPr="00835C0B" w:rsidRDefault="00965DD5">
            <w:pPr>
              <w:spacing w:before="0" w:after="0" w:line="240" w:lineRule="auto"/>
              <w:jc w:val="right"/>
              <w:rPr>
                <w:rFonts w:cs="Arial"/>
                <w:color w:val="000000"/>
                <w:sz w:val="18"/>
                <w:szCs w:val="18"/>
              </w:rPr>
            </w:pPr>
          </w:p>
        </w:tc>
        <w:tc>
          <w:tcPr>
            <w:tcW w:w="1418" w:type="dxa"/>
            <w:shd w:val="clear" w:color="000000" w:fill="FFFFFF"/>
            <w:vAlign w:val="center"/>
          </w:tcPr>
          <w:p w14:paraId="55103994" w14:textId="5B0F1F54" w:rsidR="00965DD5" w:rsidRPr="00835C0B" w:rsidRDefault="00965DD5">
            <w:pPr>
              <w:spacing w:before="0" w:after="0" w:line="240" w:lineRule="auto"/>
              <w:jc w:val="right"/>
              <w:rPr>
                <w:rFonts w:cs="Arial"/>
                <w:color w:val="000000"/>
                <w:sz w:val="18"/>
                <w:szCs w:val="18"/>
              </w:rPr>
            </w:pPr>
          </w:p>
        </w:tc>
        <w:tc>
          <w:tcPr>
            <w:tcW w:w="1814" w:type="dxa"/>
            <w:gridSpan w:val="3"/>
            <w:shd w:val="clear" w:color="000000" w:fill="FFFFFF"/>
            <w:vAlign w:val="center"/>
          </w:tcPr>
          <w:p w14:paraId="6A7DBF86" w14:textId="6E31CB67" w:rsidR="00965DD5" w:rsidRPr="00835C0B" w:rsidRDefault="00965DD5">
            <w:pPr>
              <w:spacing w:before="0" w:after="0" w:line="240" w:lineRule="auto"/>
              <w:jc w:val="right"/>
              <w:rPr>
                <w:rFonts w:cs="Arial"/>
                <w:color w:val="000000"/>
                <w:sz w:val="18"/>
                <w:szCs w:val="18"/>
              </w:rPr>
            </w:pPr>
          </w:p>
        </w:tc>
      </w:tr>
      <w:tr w:rsidR="00965DD5" w:rsidRPr="009A4E73" w14:paraId="28C6C271" w14:textId="77777777" w:rsidTr="00D111B6">
        <w:trPr>
          <w:trHeight w:val="300"/>
          <w:jc w:val="center"/>
        </w:trPr>
        <w:tc>
          <w:tcPr>
            <w:tcW w:w="2694" w:type="dxa"/>
            <w:shd w:val="clear" w:color="000000" w:fill="FFFFFF"/>
            <w:noWrap/>
            <w:vAlign w:val="center"/>
          </w:tcPr>
          <w:p w14:paraId="561F196B" w14:textId="24BB2D77" w:rsidR="00965DD5" w:rsidRPr="00D111B6" w:rsidRDefault="00EE4C4B">
            <w:pPr>
              <w:spacing w:before="0" w:after="0" w:line="240" w:lineRule="auto"/>
              <w:rPr>
                <w:rFonts w:cs="Arial"/>
                <w:i/>
                <w:color w:val="000000"/>
                <w:sz w:val="18"/>
                <w:szCs w:val="18"/>
              </w:rPr>
            </w:pPr>
            <w:r>
              <w:rPr>
                <w:rFonts w:cs="Arial"/>
                <w:i/>
                <w:color w:val="000000"/>
                <w:sz w:val="18"/>
                <w:szCs w:val="18"/>
              </w:rPr>
              <w:t xml:space="preserve"> </w:t>
            </w:r>
            <w:r w:rsidR="00965DD5" w:rsidRPr="00D111B6">
              <w:rPr>
                <w:rFonts w:cs="Arial"/>
                <w:i/>
                <w:color w:val="000000"/>
                <w:sz w:val="18"/>
                <w:szCs w:val="18"/>
              </w:rPr>
              <w:t xml:space="preserve"> Admitted Mental Health</w:t>
            </w:r>
          </w:p>
        </w:tc>
        <w:tc>
          <w:tcPr>
            <w:tcW w:w="1134" w:type="dxa"/>
            <w:shd w:val="clear" w:color="000000" w:fill="FFFFFF"/>
            <w:noWrap/>
            <w:vAlign w:val="center"/>
          </w:tcPr>
          <w:p w14:paraId="021EF338" w14:textId="712C2176"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131,083</w:t>
            </w:r>
          </w:p>
        </w:tc>
        <w:tc>
          <w:tcPr>
            <w:tcW w:w="1352" w:type="dxa"/>
            <w:shd w:val="clear" w:color="000000" w:fill="FFFFFF"/>
            <w:noWrap/>
            <w:vAlign w:val="center"/>
          </w:tcPr>
          <w:p w14:paraId="78655A8C" w14:textId="49FD46D0"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16,141</w:t>
            </w:r>
          </w:p>
        </w:tc>
        <w:tc>
          <w:tcPr>
            <w:tcW w:w="1199" w:type="dxa"/>
            <w:shd w:val="clear" w:color="000000" w:fill="FFFFFF"/>
            <w:vAlign w:val="center"/>
          </w:tcPr>
          <w:p w14:paraId="1B8FEF90" w14:textId="4CECBCC6"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134.613</w:t>
            </w:r>
          </w:p>
        </w:tc>
        <w:tc>
          <w:tcPr>
            <w:tcW w:w="1418" w:type="dxa"/>
            <w:shd w:val="clear" w:color="000000" w:fill="FFFFFF"/>
            <w:vAlign w:val="center"/>
          </w:tcPr>
          <w:p w14:paraId="634F9755" w14:textId="01F61B93"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15,229</w:t>
            </w:r>
          </w:p>
        </w:tc>
        <w:tc>
          <w:tcPr>
            <w:tcW w:w="1814" w:type="dxa"/>
            <w:gridSpan w:val="3"/>
            <w:shd w:val="clear" w:color="000000" w:fill="FFFFFF"/>
            <w:vAlign w:val="center"/>
          </w:tcPr>
          <w:p w14:paraId="7F6D8CFD" w14:textId="25C5D13A" w:rsidR="00965DD5" w:rsidRPr="00D111B6" w:rsidRDefault="00965DD5">
            <w:pPr>
              <w:spacing w:before="0" w:after="0" w:line="240" w:lineRule="auto"/>
              <w:jc w:val="right"/>
              <w:rPr>
                <w:rFonts w:cs="Arial"/>
                <w:i/>
                <w:color w:val="000000"/>
                <w:sz w:val="18"/>
                <w:szCs w:val="18"/>
              </w:rPr>
            </w:pPr>
            <w:r w:rsidRPr="00D111B6">
              <w:rPr>
                <w:rFonts w:cs="Arial"/>
                <w:i/>
                <w:color w:val="000000"/>
                <w:sz w:val="18"/>
                <w:szCs w:val="18"/>
              </w:rPr>
              <w:t>-5.7</w:t>
            </w:r>
          </w:p>
        </w:tc>
      </w:tr>
      <w:tr w:rsidR="00965DD5" w:rsidRPr="009A4E73" w14:paraId="5DC84FCD" w14:textId="77777777" w:rsidTr="00D111B6">
        <w:trPr>
          <w:trHeight w:val="300"/>
          <w:jc w:val="center"/>
        </w:trPr>
        <w:tc>
          <w:tcPr>
            <w:tcW w:w="2694" w:type="dxa"/>
            <w:tcBorders>
              <w:bottom w:val="single" w:sz="4" w:space="0" w:color="auto"/>
            </w:tcBorders>
            <w:shd w:val="clear" w:color="000000" w:fill="FFFFFF"/>
            <w:noWrap/>
            <w:vAlign w:val="center"/>
          </w:tcPr>
          <w:p w14:paraId="01A83F9E" w14:textId="6AA84E64" w:rsidR="00965DD5" w:rsidRPr="00D111B6" w:rsidRDefault="00EE4C4B" w:rsidP="00D508D5">
            <w:pPr>
              <w:spacing w:before="0" w:after="0" w:line="240" w:lineRule="auto"/>
              <w:rPr>
                <w:rFonts w:cs="Arial"/>
                <w:i/>
                <w:color w:val="000000"/>
                <w:sz w:val="18"/>
                <w:szCs w:val="18"/>
              </w:rPr>
            </w:pPr>
            <w:r>
              <w:rPr>
                <w:rFonts w:cs="Arial"/>
                <w:i/>
                <w:color w:val="000000"/>
                <w:sz w:val="18"/>
                <w:szCs w:val="18"/>
              </w:rPr>
              <w:t xml:space="preserve"> </w:t>
            </w:r>
            <w:r w:rsidR="00965DD5" w:rsidRPr="00D111B6">
              <w:rPr>
                <w:rFonts w:cs="Arial"/>
                <w:i/>
                <w:color w:val="000000"/>
                <w:sz w:val="18"/>
                <w:szCs w:val="18"/>
              </w:rPr>
              <w:t xml:space="preserve"> Community Mental Health</w:t>
            </w:r>
          </w:p>
        </w:tc>
        <w:tc>
          <w:tcPr>
            <w:tcW w:w="1134" w:type="dxa"/>
            <w:tcBorders>
              <w:bottom w:val="single" w:sz="4" w:space="0" w:color="auto"/>
            </w:tcBorders>
            <w:shd w:val="clear" w:color="000000" w:fill="FFFFFF"/>
            <w:noWrap/>
            <w:vAlign w:val="center"/>
          </w:tcPr>
          <w:p w14:paraId="2E9D3677" w14:textId="39E0DDDD"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106,743</w:t>
            </w:r>
          </w:p>
        </w:tc>
        <w:tc>
          <w:tcPr>
            <w:tcW w:w="1352" w:type="dxa"/>
            <w:tcBorders>
              <w:bottom w:val="single" w:sz="4" w:space="0" w:color="auto"/>
            </w:tcBorders>
            <w:shd w:val="clear" w:color="000000" w:fill="FFFFFF"/>
            <w:noWrap/>
            <w:vAlign w:val="center"/>
          </w:tcPr>
          <w:p w14:paraId="603F3132" w14:textId="4C75F76E"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3,000</w:t>
            </w:r>
          </w:p>
        </w:tc>
        <w:tc>
          <w:tcPr>
            <w:tcW w:w="1199" w:type="dxa"/>
            <w:tcBorders>
              <w:bottom w:val="single" w:sz="4" w:space="0" w:color="auto"/>
            </w:tcBorders>
            <w:shd w:val="clear" w:color="000000" w:fill="FFFFFF"/>
            <w:vAlign w:val="center"/>
          </w:tcPr>
          <w:p w14:paraId="46EBFA0E" w14:textId="72C14AB4"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58,545</w:t>
            </w:r>
          </w:p>
        </w:tc>
        <w:tc>
          <w:tcPr>
            <w:tcW w:w="1418" w:type="dxa"/>
            <w:tcBorders>
              <w:bottom w:val="single" w:sz="4" w:space="0" w:color="auto"/>
            </w:tcBorders>
            <w:shd w:val="clear" w:color="000000" w:fill="FFFFFF"/>
            <w:vAlign w:val="center"/>
          </w:tcPr>
          <w:p w14:paraId="734F38D2" w14:textId="658CB6EC" w:rsidR="00965DD5" w:rsidRPr="00D111B6" w:rsidRDefault="00965DD5" w:rsidP="00D111B6">
            <w:pPr>
              <w:keepNext/>
              <w:spacing w:before="0" w:after="0" w:line="240" w:lineRule="auto"/>
              <w:jc w:val="right"/>
              <w:rPr>
                <w:rFonts w:cs="Arial"/>
                <w:i/>
                <w:color w:val="000000"/>
                <w:sz w:val="18"/>
                <w:szCs w:val="18"/>
              </w:rPr>
            </w:pPr>
            <w:r w:rsidRPr="00D111B6">
              <w:rPr>
                <w:rFonts w:cs="Arial"/>
                <w:i/>
                <w:color w:val="000000"/>
                <w:sz w:val="18"/>
                <w:szCs w:val="18"/>
              </w:rPr>
              <w:t>5,725</w:t>
            </w:r>
          </w:p>
        </w:tc>
        <w:tc>
          <w:tcPr>
            <w:tcW w:w="1814" w:type="dxa"/>
            <w:gridSpan w:val="3"/>
            <w:tcBorders>
              <w:bottom w:val="single" w:sz="4" w:space="0" w:color="auto"/>
            </w:tcBorders>
            <w:shd w:val="clear" w:color="000000" w:fill="FFFFFF"/>
            <w:vAlign w:val="center"/>
          </w:tcPr>
          <w:p w14:paraId="4143B6CB" w14:textId="3BC6FC5F" w:rsidR="00965DD5" w:rsidRPr="00D111B6" w:rsidRDefault="00D508D5">
            <w:pPr>
              <w:spacing w:before="0" w:after="0" w:line="240" w:lineRule="auto"/>
              <w:jc w:val="right"/>
              <w:rPr>
                <w:rFonts w:cs="Arial"/>
                <w:i/>
                <w:color w:val="000000"/>
                <w:sz w:val="18"/>
                <w:szCs w:val="18"/>
              </w:rPr>
            </w:pPr>
            <w:r>
              <w:rPr>
                <w:rFonts w:cs="Arial"/>
                <w:i/>
                <w:color w:val="000000"/>
                <w:sz w:val="18"/>
                <w:szCs w:val="18"/>
              </w:rPr>
              <w:t>n/a*</w:t>
            </w:r>
          </w:p>
        </w:tc>
      </w:tr>
    </w:tbl>
    <w:p w14:paraId="522B334F" w14:textId="6608C58F" w:rsidR="00E923E4" w:rsidRDefault="00D508D5" w:rsidP="00D508D5">
      <w:pPr>
        <w:spacing w:before="0"/>
      </w:pPr>
      <w:r>
        <w:t>*</w:t>
      </w:r>
      <w:r w:rsidRPr="00D508D5">
        <w:rPr>
          <w:sz w:val="18"/>
          <w:szCs w:val="20"/>
        </w:rPr>
        <w:t>See footnote for Table 3.</w:t>
      </w:r>
    </w:p>
    <w:p w14:paraId="5E5C3A89" w14:textId="2BFF1AED" w:rsidR="00A07808" w:rsidRPr="0082107A" w:rsidRDefault="00A07808" w:rsidP="00A07808">
      <w:pPr>
        <w:rPr>
          <w:rFonts w:cs="Arial"/>
          <w:szCs w:val="22"/>
        </w:rPr>
      </w:pPr>
      <w:r w:rsidRPr="0082107A">
        <w:rPr>
          <w:rFonts w:cs="Arial"/>
          <w:szCs w:val="22"/>
        </w:rPr>
        <w:lastRenderedPageBreak/>
        <w:t xml:space="preserve">In determining the final funding amount per service, various adjustments are applied based on patient characteristics </w:t>
      </w:r>
      <w:r w:rsidR="00845638">
        <w:rPr>
          <w:rFonts w:cs="Arial"/>
          <w:szCs w:val="22"/>
        </w:rPr>
        <w:t>that</w:t>
      </w:r>
      <w:r w:rsidR="00845638" w:rsidRPr="0082107A">
        <w:rPr>
          <w:rFonts w:cs="Arial"/>
          <w:szCs w:val="22"/>
        </w:rPr>
        <w:t xml:space="preserve"> </w:t>
      </w:r>
      <w:r w:rsidRPr="0082107A">
        <w:rPr>
          <w:rFonts w:cs="Arial"/>
          <w:szCs w:val="22"/>
        </w:rPr>
        <w:t xml:space="preserve">influence </w:t>
      </w:r>
      <w:r w:rsidR="00F768F0">
        <w:rPr>
          <w:rFonts w:cs="Arial"/>
          <w:szCs w:val="22"/>
        </w:rPr>
        <w:t>the cost of service delivery</w:t>
      </w:r>
      <w:r w:rsidRPr="0082107A">
        <w:rPr>
          <w:rFonts w:cs="Arial"/>
          <w:szCs w:val="22"/>
        </w:rPr>
        <w:t xml:space="preserve"> (such as indigenous status, age and remoteness)</w:t>
      </w:r>
      <w:r>
        <w:rPr>
          <w:rFonts w:cs="Arial"/>
          <w:szCs w:val="22"/>
        </w:rPr>
        <w:t xml:space="preserve">. The appendix to this report includes an analysis of the cost data used to </w:t>
      </w:r>
      <w:r w:rsidR="00F768F0">
        <w:rPr>
          <w:rFonts w:cs="Arial"/>
          <w:szCs w:val="22"/>
        </w:rPr>
        <w:t>i</w:t>
      </w:r>
      <w:r w:rsidR="00417163">
        <w:rPr>
          <w:rFonts w:cs="Arial"/>
          <w:szCs w:val="22"/>
        </w:rPr>
        <w:t>nform these adjustments.</w:t>
      </w:r>
    </w:p>
    <w:p w14:paraId="133E75A2" w14:textId="236AE671" w:rsidR="002371BB" w:rsidRPr="00C7496A" w:rsidRDefault="0096034C" w:rsidP="00440E76">
      <w:pPr>
        <w:pStyle w:val="Heading2"/>
      </w:pPr>
      <w:bookmarkStart w:id="33" w:name="_Toc524173855"/>
      <w:bookmarkStart w:id="34" w:name="_Toc25759691"/>
      <w:r>
        <w:t xml:space="preserve">5.5 </w:t>
      </w:r>
      <w:r w:rsidR="00033C8D">
        <w:t>Line i</w:t>
      </w:r>
      <w:r w:rsidR="00755435" w:rsidRPr="00C7496A">
        <w:t>tems and cost buckets</w:t>
      </w:r>
      <w:bookmarkEnd w:id="33"/>
      <w:bookmarkEnd w:id="34"/>
    </w:p>
    <w:p w14:paraId="42833DF0" w14:textId="5DBC4BA3" w:rsidR="00746879" w:rsidRDefault="00755435" w:rsidP="002371BB">
      <w:pPr>
        <w:rPr>
          <w:rFonts w:cs="Arial"/>
          <w:szCs w:val="22"/>
        </w:rPr>
      </w:pPr>
      <w:r w:rsidRPr="009B2462">
        <w:rPr>
          <w:rFonts w:cs="Arial"/>
          <w:szCs w:val="22"/>
        </w:rPr>
        <w:t xml:space="preserve">Cost data submitted to the NHCDC is reported by line items and cost </w:t>
      </w:r>
      <w:r w:rsidR="007D37CF">
        <w:rPr>
          <w:rFonts w:cs="Arial"/>
          <w:szCs w:val="22"/>
        </w:rPr>
        <w:t>centres</w:t>
      </w:r>
      <w:r w:rsidRPr="009B2462">
        <w:rPr>
          <w:rFonts w:cs="Arial"/>
          <w:szCs w:val="22"/>
        </w:rPr>
        <w:t>.</w:t>
      </w:r>
      <w:r w:rsidR="00B6521B">
        <w:rPr>
          <w:rFonts w:cs="Arial"/>
          <w:szCs w:val="22"/>
        </w:rPr>
        <w:t xml:space="preserve"> </w:t>
      </w:r>
      <w:r w:rsidRPr="009B2462">
        <w:rPr>
          <w:rFonts w:cs="Arial"/>
          <w:szCs w:val="22"/>
        </w:rPr>
        <w:t>Line items</w:t>
      </w:r>
      <w:r>
        <w:rPr>
          <w:rFonts w:cs="Arial"/>
          <w:szCs w:val="22"/>
        </w:rPr>
        <w:t xml:space="preserve"> represent types of </w:t>
      </w:r>
      <w:r w:rsidRPr="00C956DF">
        <w:rPr>
          <w:rFonts w:cs="Arial"/>
          <w:szCs w:val="22"/>
        </w:rPr>
        <w:t>costs (e.g. salaries and wages or goods and services) incurred by hospitals.</w:t>
      </w:r>
      <w:r w:rsidR="00B6521B" w:rsidRPr="00C956DF">
        <w:rPr>
          <w:rFonts w:cs="Arial"/>
          <w:szCs w:val="22"/>
        </w:rPr>
        <w:t xml:space="preserve"> </w:t>
      </w:r>
      <w:r w:rsidRPr="00C956DF">
        <w:rPr>
          <w:rFonts w:cs="Arial"/>
          <w:szCs w:val="22"/>
        </w:rPr>
        <w:t xml:space="preserve">Cost </w:t>
      </w:r>
      <w:r w:rsidR="007D37CF" w:rsidRPr="00C956DF">
        <w:rPr>
          <w:rFonts w:cs="Arial"/>
          <w:szCs w:val="22"/>
        </w:rPr>
        <w:t>centres</w:t>
      </w:r>
      <w:r w:rsidRPr="00C956DF">
        <w:rPr>
          <w:rFonts w:cs="Arial"/>
          <w:szCs w:val="22"/>
        </w:rPr>
        <w:t xml:space="preserve"> represent </w:t>
      </w:r>
      <w:r w:rsidR="006C5761" w:rsidRPr="00C956DF">
        <w:rPr>
          <w:rFonts w:cs="Arial"/>
          <w:szCs w:val="22"/>
        </w:rPr>
        <w:t>departmental cost</w:t>
      </w:r>
      <w:r w:rsidRPr="00C956DF">
        <w:rPr>
          <w:rFonts w:cs="Arial"/>
          <w:szCs w:val="22"/>
        </w:rPr>
        <w:t xml:space="preserve"> </w:t>
      </w:r>
      <w:r w:rsidR="006C5761" w:rsidRPr="00C956DF">
        <w:rPr>
          <w:rFonts w:cs="Arial"/>
          <w:szCs w:val="22"/>
        </w:rPr>
        <w:t>objects</w:t>
      </w:r>
      <w:r w:rsidRPr="00C956DF">
        <w:rPr>
          <w:rFonts w:cs="Arial"/>
          <w:szCs w:val="22"/>
        </w:rPr>
        <w:t xml:space="preserve"> within a hospital </w:t>
      </w:r>
      <w:r w:rsidR="00845638" w:rsidRPr="00C956DF">
        <w:rPr>
          <w:rFonts w:cs="Arial"/>
          <w:szCs w:val="22"/>
        </w:rPr>
        <w:t xml:space="preserve">that </w:t>
      </w:r>
      <w:r w:rsidRPr="00C956DF">
        <w:rPr>
          <w:rFonts w:cs="Arial"/>
          <w:szCs w:val="22"/>
        </w:rPr>
        <w:t>relate to a particular function of the hospital – for exampl</w:t>
      </w:r>
      <w:r w:rsidR="00EE4C4B">
        <w:rPr>
          <w:rFonts w:cs="Arial"/>
          <w:szCs w:val="22"/>
        </w:rPr>
        <w:t>e, the hospital operating room.</w:t>
      </w:r>
      <w:r w:rsidR="006C5761" w:rsidRPr="00C956DF">
        <w:rPr>
          <w:rFonts w:cs="Arial"/>
          <w:szCs w:val="22"/>
        </w:rPr>
        <w:t xml:space="preserve"> </w:t>
      </w:r>
      <w:r w:rsidR="001A26BA">
        <w:rPr>
          <w:rFonts w:cs="Arial"/>
          <w:szCs w:val="22"/>
        </w:rPr>
        <w:t xml:space="preserve">Further </w:t>
      </w:r>
      <w:r w:rsidR="000C336F">
        <w:rPr>
          <w:rFonts w:cs="Arial"/>
          <w:szCs w:val="22"/>
        </w:rPr>
        <w:t>information</w:t>
      </w:r>
      <w:r w:rsidR="001A26BA">
        <w:rPr>
          <w:rFonts w:cs="Arial"/>
          <w:szCs w:val="22"/>
        </w:rPr>
        <w:t xml:space="preserve"> relating to</w:t>
      </w:r>
      <w:r w:rsidR="00746879">
        <w:rPr>
          <w:rFonts w:cs="Arial"/>
          <w:szCs w:val="22"/>
        </w:rPr>
        <w:t xml:space="preserve"> the </w:t>
      </w:r>
      <w:r w:rsidR="001A26BA">
        <w:rPr>
          <w:rFonts w:cs="Arial"/>
          <w:szCs w:val="22"/>
        </w:rPr>
        <w:t xml:space="preserve">Round 22 </w:t>
      </w:r>
      <w:r w:rsidR="00746879">
        <w:rPr>
          <w:rFonts w:cs="Arial"/>
          <w:szCs w:val="22"/>
        </w:rPr>
        <w:t xml:space="preserve">NHCDC line items and cost centres </w:t>
      </w:r>
      <w:r w:rsidR="001A26BA">
        <w:rPr>
          <w:rFonts w:cs="Arial"/>
          <w:szCs w:val="22"/>
        </w:rPr>
        <w:t>are</w:t>
      </w:r>
      <w:r w:rsidR="00746879">
        <w:rPr>
          <w:rFonts w:cs="Arial"/>
          <w:szCs w:val="22"/>
        </w:rPr>
        <w:t xml:space="preserve"> available in </w:t>
      </w:r>
      <w:r w:rsidR="002714CE">
        <w:rPr>
          <w:rFonts w:cs="Arial"/>
          <w:szCs w:val="22"/>
        </w:rPr>
        <w:t>costing standards</w:t>
      </w:r>
      <w:r w:rsidR="00746879">
        <w:rPr>
          <w:rFonts w:cs="Arial"/>
          <w:szCs w:val="22"/>
        </w:rPr>
        <w:t xml:space="preserve">.  </w:t>
      </w:r>
    </w:p>
    <w:p w14:paraId="0DD6F038" w14:textId="65C74A77" w:rsidR="00053788" w:rsidRDefault="00C67EE3" w:rsidP="002371BB">
      <w:pPr>
        <w:rPr>
          <w:rFonts w:cs="Arial"/>
          <w:szCs w:val="22"/>
        </w:rPr>
      </w:pPr>
      <w:r>
        <w:rPr>
          <w:rFonts w:cs="Arial"/>
          <w:szCs w:val="22"/>
        </w:rPr>
        <w:t>I</w:t>
      </w:r>
      <w:r w:rsidR="007D37CF" w:rsidRPr="00C956DF">
        <w:rPr>
          <w:rFonts w:cs="Arial"/>
          <w:szCs w:val="22"/>
        </w:rPr>
        <w:t>HPA combines the line items and cost</w:t>
      </w:r>
      <w:r w:rsidR="006C5761" w:rsidRPr="00C956DF">
        <w:rPr>
          <w:rFonts w:cs="Arial"/>
          <w:szCs w:val="22"/>
        </w:rPr>
        <w:t xml:space="preserve"> centres to create cost buckets.</w:t>
      </w:r>
      <w:r w:rsidR="00EE4C4B">
        <w:rPr>
          <w:rFonts w:cs="Arial"/>
          <w:szCs w:val="22"/>
        </w:rPr>
        <w:t xml:space="preserve"> </w:t>
      </w:r>
      <w:r w:rsidR="006C5761" w:rsidRPr="00C956DF">
        <w:rPr>
          <w:rFonts w:cs="Arial"/>
          <w:szCs w:val="22"/>
        </w:rPr>
        <w:t>Cost buckets can be considered as cost pools within the hospital.</w:t>
      </w:r>
    </w:p>
    <w:p w14:paraId="7C08A967" w14:textId="2D10B62E" w:rsidR="004E2B48" w:rsidRPr="007D37CF" w:rsidRDefault="00053788" w:rsidP="002371BB">
      <w:pPr>
        <w:rPr>
          <w:rFonts w:cs="Arial"/>
          <w:szCs w:val="22"/>
        </w:rPr>
      </w:pPr>
      <w:r>
        <w:rPr>
          <w:rFonts w:cs="Arial"/>
          <w:szCs w:val="22"/>
        </w:rPr>
        <w:t xml:space="preserve">Table 9 </w:t>
      </w:r>
      <w:r w:rsidR="00774B27" w:rsidRPr="007D37CF">
        <w:rPr>
          <w:rFonts w:cs="Arial"/>
          <w:szCs w:val="22"/>
        </w:rPr>
        <w:t>present</w:t>
      </w:r>
      <w:r w:rsidR="003E6B07" w:rsidRPr="007D37CF">
        <w:rPr>
          <w:rFonts w:cs="Arial"/>
          <w:szCs w:val="22"/>
        </w:rPr>
        <w:t>s</w:t>
      </w:r>
      <w:r w:rsidR="00774B27" w:rsidRPr="007D37CF">
        <w:rPr>
          <w:rFonts w:cs="Arial"/>
          <w:szCs w:val="22"/>
        </w:rPr>
        <w:t xml:space="preserve"> the total average cost (in dollars) for each line item by </w:t>
      </w:r>
      <w:r w:rsidR="003E6B07" w:rsidRPr="007D37CF">
        <w:rPr>
          <w:rFonts w:cs="Arial"/>
          <w:szCs w:val="22"/>
        </w:rPr>
        <w:t xml:space="preserve">each </w:t>
      </w:r>
      <w:r w:rsidR="00240C6C" w:rsidRPr="007D37CF">
        <w:rPr>
          <w:rFonts w:cs="Arial"/>
          <w:szCs w:val="22"/>
        </w:rPr>
        <w:t>activity stream.</w:t>
      </w:r>
    </w:p>
    <w:p w14:paraId="7357D31E" w14:textId="41703203" w:rsidR="004E2B48" w:rsidRPr="007D37CF" w:rsidRDefault="003E6B07" w:rsidP="004E2B48">
      <w:pPr>
        <w:rPr>
          <w:rFonts w:cs="Arial"/>
          <w:szCs w:val="22"/>
        </w:rPr>
      </w:pPr>
      <w:r w:rsidRPr="007D37CF">
        <w:rPr>
          <w:rFonts w:cs="Arial"/>
          <w:szCs w:val="22"/>
        </w:rPr>
        <w:t>In all streams</w:t>
      </w:r>
      <w:r w:rsidR="00845638" w:rsidRPr="007D37CF">
        <w:rPr>
          <w:rFonts w:cs="Arial"/>
          <w:szCs w:val="22"/>
        </w:rPr>
        <w:t>,</w:t>
      </w:r>
      <w:r w:rsidRPr="007D37CF">
        <w:rPr>
          <w:rFonts w:cs="Arial"/>
          <w:szCs w:val="22"/>
        </w:rPr>
        <w:t xml:space="preserve"> the line items linked to salaries and wa</w:t>
      </w:r>
      <w:r w:rsidR="003E6673" w:rsidRPr="007D37CF">
        <w:rPr>
          <w:rFonts w:cs="Arial"/>
          <w:szCs w:val="22"/>
        </w:rPr>
        <w:t xml:space="preserve">ges accounted for approximately two-thirds </w:t>
      </w:r>
      <w:r w:rsidRPr="007D37CF">
        <w:rPr>
          <w:rFonts w:cs="Arial"/>
          <w:szCs w:val="22"/>
        </w:rPr>
        <w:t>of all costs.</w:t>
      </w:r>
      <w:r w:rsidR="00363D76">
        <w:rPr>
          <w:rFonts w:cs="Arial"/>
          <w:szCs w:val="22"/>
        </w:rPr>
        <w:t xml:space="preserve"> Within the salary and wages</w:t>
      </w:r>
      <w:r w:rsidR="004E2B48" w:rsidRPr="007D37CF">
        <w:rPr>
          <w:rFonts w:cs="Arial"/>
          <w:szCs w:val="22"/>
        </w:rPr>
        <w:t xml:space="preserve"> categories, however, there is considerable variation in the costs assigned. </w:t>
      </w:r>
      <w:r w:rsidR="003E6673" w:rsidRPr="007D37CF">
        <w:rPr>
          <w:rFonts w:cs="Arial"/>
          <w:szCs w:val="22"/>
        </w:rPr>
        <w:t>For example, the</w:t>
      </w:r>
      <w:r w:rsidR="004E2B48" w:rsidRPr="007D37CF">
        <w:rPr>
          <w:rFonts w:cs="Arial"/>
          <w:szCs w:val="22"/>
        </w:rPr>
        <w:t xml:space="preserve"> nursing wages line item accounts for </w:t>
      </w:r>
      <w:r w:rsidR="00582AEF" w:rsidRPr="007D37CF">
        <w:rPr>
          <w:rFonts w:cs="Arial"/>
          <w:szCs w:val="22"/>
        </w:rPr>
        <w:t>32</w:t>
      </w:r>
      <w:r w:rsidR="004E2B48" w:rsidRPr="007D37CF">
        <w:rPr>
          <w:rFonts w:cs="Arial"/>
          <w:szCs w:val="22"/>
        </w:rPr>
        <w:t xml:space="preserve"> percent of sub-acute patient costs</w:t>
      </w:r>
      <w:r w:rsidR="00363D76">
        <w:rPr>
          <w:rFonts w:cs="Arial"/>
          <w:szCs w:val="22"/>
        </w:rPr>
        <w:t xml:space="preserve"> but only</w:t>
      </w:r>
      <w:r w:rsidR="004E2B48" w:rsidRPr="007D37CF">
        <w:rPr>
          <w:rFonts w:cs="Arial"/>
          <w:szCs w:val="22"/>
        </w:rPr>
        <w:t xml:space="preserve"> </w:t>
      </w:r>
      <w:r w:rsidR="003E6673" w:rsidRPr="007D37CF">
        <w:rPr>
          <w:rFonts w:cs="Arial"/>
          <w:szCs w:val="22"/>
        </w:rPr>
        <w:t xml:space="preserve">15 </w:t>
      </w:r>
      <w:r w:rsidR="004E2B48" w:rsidRPr="007D37CF">
        <w:rPr>
          <w:rFonts w:cs="Arial"/>
          <w:szCs w:val="22"/>
        </w:rPr>
        <w:t>percent of non-admitted patient costs.</w:t>
      </w:r>
    </w:p>
    <w:p w14:paraId="0B4B2C19" w14:textId="3B55BD68" w:rsidR="004E2B48" w:rsidRPr="007D37CF" w:rsidRDefault="004E2B48" w:rsidP="004E2B48">
      <w:pPr>
        <w:rPr>
          <w:rFonts w:cs="Arial"/>
          <w:szCs w:val="22"/>
        </w:rPr>
      </w:pPr>
      <w:r w:rsidRPr="007D37CF">
        <w:rPr>
          <w:rFonts w:cs="Arial"/>
          <w:szCs w:val="22"/>
        </w:rPr>
        <w:t>Similarly, the share of costs attributed to allied health salaries is higher for non-admitted patients (12</w:t>
      </w:r>
      <w:r w:rsidR="00745301" w:rsidRPr="007D37CF">
        <w:rPr>
          <w:rFonts w:cs="Arial"/>
          <w:szCs w:val="22"/>
        </w:rPr>
        <w:t xml:space="preserve"> percent) and s</w:t>
      </w:r>
      <w:r w:rsidRPr="007D37CF">
        <w:rPr>
          <w:rFonts w:cs="Arial"/>
          <w:szCs w:val="22"/>
        </w:rPr>
        <w:t xml:space="preserve">ub-acute patients (10 percent) compared with acute and </w:t>
      </w:r>
      <w:r w:rsidR="00C67EE3">
        <w:rPr>
          <w:rFonts w:cs="Arial"/>
          <w:szCs w:val="22"/>
        </w:rPr>
        <w:t>E</w:t>
      </w:r>
      <w:r w:rsidR="0004307D" w:rsidRPr="007D37CF">
        <w:rPr>
          <w:rFonts w:cs="Arial"/>
          <w:szCs w:val="22"/>
        </w:rPr>
        <w:t>mergency Department patients (</w:t>
      </w:r>
      <w:r w:rsidR="008C5F79" w:rsidRPr="007D37CF">
        <w:rPr>
          <w:rFonts w:cs="Arial"/>
          <w:szCs w:val="22"/>
        </w:rPr>
        <w:t>four</w:t>
      </w:r>
      <w:r w:rsidRPr="007D37CF">
        <w:rPr>
          <w:rFonts w:cs="Arial"/>
          <w:szCs w:val="22"/>
        </w:rPr>
        <w:t xml:space="preserve"> percent and </w:t>
      </w:r>
      <w:r w:rsidR="008C5F79" w:rsidRPr="007D37CF">
        <w:rPr>
          <w:rFonts w:cs="Arial"/>
          <w:szCs w:val="22"/>
        </w:rPr>
        <w:t>three</w:t>
      </w:r>
      <w:r w:rsidRPr="007D37CF">
        <w:rPr>
          <w:rFonts w:cs="Arial"/>
          <w:szCs w:val="22"/>
        </w:rPr>
        <w:t xml:space="preserve"> percent respectively). This reflects the type of care provided.</w:t>
      </w:r>
    </w:p>
    <w:p w14:paraId="70E3A24A" w14:textId="77777777" w:rsidR="009B5A4D" w:rsidRDefault="009B5A4D">
      <w:pPr>
        <w:spacing w:before="0" w:after="0" w:line="240" w:lineRule="auto"/>
        <w:rPr>
          <w:rFonts w:asciiTheme="minorHAnsi" w:hAnsiTheme="minorHAnsi" w:cstheme="minorHAnsi"/>
          <w:b/>
          <w:bCs/>
          <w:szCs w:val="18"/>
        </w:rPr>
      </w:pPr>
      <w:r>
        <w:br w:type="page"/>
      </w:r>
    </w:p>
    <w:p w14:paraId="28820614" w14:textId="0FB0C74C" w:rsidR="00FF323C" w:rsidRDefault="00FF323C" w:rsidP="00D111B6">
      <w:pPr>
        <w:pStyle w:val="Caption"/>
      </w:pPr>
      <w:bookmarkStart w:id="35" w:name="_Toc31880539"/>
      <w:r>
        <w:lastRenderedPageBreak/>
        <w:t xml:space="preserve">Table </w:t>
      </w:r>
      <w:fldSimple w:instr=" SEQ Table \* ARABIC ">
        <w:r w:rsidR="00423E34">
          <w:rPr>
            <w:noProof/>
          </w:rPr>
          <w:t>9</w:t>
        </w:r>
      </w:fldSimple>
      <w:r>
        <w:t xml:space="preserve"> </w:t>
      </w:r>
      <w:r w:rsidRPr="00D04F2D">
        <w:t>National average cost per line item, by activity stream, Round 22</w:t>
      </w:r>
      <w:bookmarkEnd w:id="35"/>
    </w:p>
    <w:tbl>
      <w:tblPr>
        <w:tblW w:w="9356" w:type="dxa"/>
        <w:tblLook w:val="04A0" w:firstRow="1" w:lastRow="0" w:firstColumn="1" w:lastColumn="0" w:noHBand="0" w:noVBand="1"/>
        <w:tblCaption w:val="Table 9 National average cost per line item, by activity stream, Round 22"/>
        <w:tblDescription w:val="The table displays the average cost per line item by activity stream for Round 22"/>
      </w:tblPr>
      <w:tblGrid>
        <w:gridCol w:w="3402"/>
        <w:gridCol w:w="1418"/>
        <w:gridCol w:w="1134"/>
        <w:gridCol w:w="1276"/>
        <w:gridCol w:w="992"/>
        <w:gridCol w:w="1134"/>
      </w:tblGrid>
      <w:tr w:rsidR="00745301" w:rsidRPr="007D37CF" w14:paraId="1483CD15" w14:textId="77777777" w:rsidTr="00A41293">
        <w:trPr>
          <w:trHeight w:val="234"/>
        </w:trPr>
        <w:tc>
          <w:tcPr>
            <w:tcW w:w="3402" w:type="dxa"/>
            <w:vMerge w:val="restart"/>
            <w:tcBorders>
              <w:top w:val="single" w:sz="4" w:space="0" w:color="auto"/>
              <w:left w:val="nil"/>
              <w:bottom w:val="single" w:sz="4" w:space="0" w:color="000000"/>
              <w:right w:val="nil"/>
            </w:tcBorders>
            <w:shd w:val="clear" w:color="000000" w:fill="FFFFFF"/>
            <w:noWrap/>
            <w:vAlign w:val="center"/>
            <w:hideMark/>
          </w:tcPr>
          <w:p w14:paraId="75C3C57F" w14:textId="77777777" w:rsidR="00745301" w:rsidRPr="007D37CF" w:rsidRDefault="00745301" w:rsidP="00745301">
            <w:pPr>
              <w:spacing w:before="0" w:after="0" w:line="240" w:lineRule="auto"/>
              <w:jc w:val="center"/>
              <w:rPr>
                <w:rFonts w:cs="Arial"/>
                <w:color w:val="000000"/>
                <w:sz w:val="20"/>
                <w:szCs w:val="20"/>
                <w:lang w:val="en-US" w:eastAsia="en-US"/>
              </w:rPr>
            </w:pPr>
            <w:r w:rsidRPr="007D37CF">
              <w:rPr>
                <w:rFonts w:cs="Arial"/>
                <w:color w:val="000000"/>
                <w:sz w:val="20"/>
                <w:szCs w:val="20"/>
                <w:lang w:val="en-US" w:eastAsia="en-US"/>
              </w:rPr>
              <w:t>Line Item</w:t>
            </w:r>
          </w:p>
        </w:tc>
        <w:tc>
          <w:tcPr>
            <w:tcW w:w="1418" w:type="dxa"/>
            <w:vMerge w:val="restart"/>
            <w:tcBorders>
              <w:top w:val="single" w:sz="4" w:space="0" w:color="auto"/>
              <w:left w:val="nil"/>
              <w:bottom w:val="single" w:sz="4" w:space="0" w:color="000000"/>
              <w:right w:val="nil"/>
            </w:tcBorders>
            <w:shd w:val="clear" w:color="000000" w:fill="FFFFFF"/>
            <w:vAlign w:val="center"/>
            <w:hideMark/>
          </w:tcPr>
          <w:p w14:paraId="727CA22E" w14:textId="7777777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Acute</w:t>
            </w:r>
          </w:p>
        </w:tc>
        <w:tc>
          <w:tcPr>
            <w:tcW w:w="1134" w:type="dxa"/>
            <w:vMerge w:val="restart"/>
            <w:tcBorders>
              <w:top w:val="single" w:sz="4" w:space="0" w:color="auto"/>
              <w:left w:val="nil"/>
              <w:bottom w:val="single" w:sz="4" w:space="0" w:color="000000"/>
              <w:right w:val="nil"/>
            </w:tcBorders>
            <w:shd w:val="clear" w:color="000000" w:fill="FFFFFF"/>
            <w:vAlign w:val="center"/>
            <w:hideMark/>
          </w:tcPr>
          <w:p w14:paraId="3266A118" w14:textId="06091A3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Sub-acute</w:t>
            </w:r>
          </w:p>
        </w:tc>
        <w:tc>
          <w:tcPr>
            <w:tcW w:w="1276" w:type="dxa"/>
            <w:vMerge w:val="restart"/>
            <w:tcBorders>
              <w:top w:val="single" w:sz="4" w:space="0" w:color="auto"/>
              <w:left w:val="nil"/>
              <w:bottom w:val="single" w:sz="4" w:space="0" w:color="000000"/>
              <w:right w:val="nil"/>
            </w:tcBorders>
            <w:shd w:val="clear" w:color="000000" w:fill="FFFFFF"/>
            <w:vAlign w:val="center"/>
            <w:hideMark/>
          </w:tcPr>
          <w:p w14:paraId="263EDC3A" w14:textId="7777777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Emergency Department</w:t>
            </w:r>
          </w:p>
        </w:tc>
        <w:tc>
          <w:tcPr>
            <w:tcW w:w="992" w:type="dxa"/>
            <w:vMerge w:val="restart"/>
            <w:tcBorders>
              <w:top w:val="single" w:sz="4" w:space="0" w:color="auto"/>
              <w:left w:val="nil"/>
              <w:bottom w:val="single" w:sz="4" w:space="0" w:color="000000"/>
              <w:right w:val="nil"/>
            </w:tcBorders>
            <w:shd w:val="clear" w:color="000000" w:fill="FFFFFF"/>
            <w:vAlign w:val="center"/>
            <w:hideMark/>
          </w:tcPr>
          <w:p w14:paraId="549373FC" w14:textId="77777777"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Non-admitted</w:t>
            </w:r>
          </w:p>
        </w:tc>
        <w:tc>
          <w:tcPr>
            <w:tcW w:w="1134" w:type="dxa"/>
            <w:vMerge w:val="restart"/>
            <w:tcBorders>
              <w:top w:val="single" w:sz="4" w:space="0" w:color="auto"/>
              <w:left w:val="nil"/>
              <w:bottom w:val="single" w:sz="4" w:space="0" w:color="000000"/>
              <w:right w:val="nil"/>
            </w:tcBorders>
            <w:shd w:val="clear" w:color="000000" w:fill="FFFFFF"/>
            <w:vAlign w:val="center"/>
            <w:hideMark/>
          </w:tcPr>
          <w:p w14:paraId="37D57F5C" w14:textId="77777777" w:rsidR="00745301" w:rsidRPr="007D37CF" w:rsidRDefault="00745301"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Mental Health</w:t>
            </w:r>
          </w:p>
        </w:tc>
      </w:tr>
      <w:tr w:rsidR="00745301" w:rsidRPr="007D37CF" w14:paraId="3E0375C7" w14:textId="77777777" w:rsidTr="00A41293">
        <w:trPr>
          <w:trHeight w:val="403"/>
        </w:trPr>
        <w:tc>
          <w:tcPr>
            <w:tcW w:w="3402" w:type="dxa"/>
            <w:vMerge/>
            <w:tcBorders>
              <w:top w:val="single" w:sz="4" w:space="0" w:color="auto"/>
              <w:left w:val="nil"/>
              <w:bottom w:val="single" w:sz="4" w:space="0" w:color="000000"/>
              <w:right w:val="nil"/>
            </w:tcBorders>
            <w:vAlign w:val="center"/>
            <w:hideMark/>
          </w:tcPr>
          <w:p w14:paraId="1F5F5E3F" w14:textId="77777777" w:rsidR="00745301" w:rsidRPr="007D37CF" w:rsidRDefault="00745301" w:rsidP="00745301">
            <w:pPr>
              <w:spacing w:before="0" w:after="0" w:line="240" w:lineRule="auto"/>
              <w:rPr>
                <w:rFonts w:cs="Arial"/>
                <w:color w:val="000000"/>
                <w:sz w:val="20"/>
                <w:szCs w:val="20"/>
                <w:lang w:val="en-US" w:eastAsia="en-US"/>
              </w:rPr>
            </w:pPr>
          </w:p>
        </w:tc>
        <w:tc>
          <w:tcPr>
            <w:tcW w:w="1418" w:type="dxa"/>
            <w:vMerge/>
            <w:tcBorders>
              <w:top w:val="single" w:sz="4" w:space="0" w:color="auto"/>
              <w:left w:val="nil"/>
              <w:bottom w:val="single" w:sz="4" w:space="0" w:color="000000"/>
              <w:right w:val="nil"/>
            </w:tcBorders>
            <w:vAlign w:val="center"/>
            <w:hideMark/>
          </w:tcPr>
          <w:p w14:paraId="28AF5288" w14:textId="77777777" w:rsidR="00745301" w:rsidRPr="007D37CF" w:rsidRDefault="00745301" w:rsidP="00745301">
            <w:pPr>
              <w:spacing w:before="0" w:after="0" w:line="240" w:lineRule="auto"/>
              <w:jc w:val="center"/>
              <w:rPr>
                <w:rFonts w:cs="Arial"/>
                <w:color w:val="000000"/>
                <w:sz w:val="18"/>
                <w:szCs w:val="18"/>
                <w:lang w:val="en-US" w:eastAsia="en-US"/>
              </w:rPr>
            </w:pPr>
          </w:p>
        </w:tc>
        <w:tc>
          <w:tcPr>
            <w:tcW w:w="1134" w:type="dxa"/>
            <w:vMerge/>
            <w:tcBorders>
              <w:top w:val="single" w:sz="4" w:space="0" w:color="auto"/>
              <w:left w:val="nil"/>
              <w:bottom w:val="single" w:sz="4" w:space="0" w:color="000000"/>
              <w:right w:val="nil"/>
            </w:tcBorders>
            <w:vAlign w:val="center"/>
            <w:hideMark/>
          </w:tcPr>
          <w:p w14:paraId="68FDF55C" w14:textId="77777777" w:rsidR="00745301" w:rsidRPr="007D37CF" w:rsidRDefault="00745301" w:rsidP="00745301">
            <w:pPr>
              <w:spacing w:before="0" w:after="0" w:line="240" w:lineRule="auto"/>
              <w:jc w:val="center"/>
              <w:rPr>
                <w:rFonts w:cs="Arial"/>
                <w:color w:val="000000"/>
                <w:sz w:val="18"/>
                <w:szCs w:val="18"/>
                <w:lang w:val="en-US" w:eastAsia="en-US"/>
              </w:rPr>
            </w:pPr>
          </w:p>
        </w:tc>
        <w:tc>
          <w:tcPr>
            <w:tcW w:w="1276" w:type="dxa"/>
            <w:vMerge/>
            <w:tcBorders>
              <w:top w:val="single" w:sz="4" w:space="0" w:color="auto"/>
              <w:left w:val="nil"/>
              <w:bottom w:val="single" w:sz="4" w:space="0" w:color="000000"/>
              <w:right w:val="nil"/>
            </w:tcBorders>
            <w:vAlign w:val="center"/>
            <w:hideMark/>
          </w:tcPr>
          <w:p w14:paraId="71BAAEF9" w14:textId="77777777" w:rsidR="00745301" w:rsidRPr="007D37CF" w:rsidRDefault="00745301" w:rsidP="00745301">
            <w:pPr>
              <w:spacing w:before="0" w:after="0" w:line="240" w:lineRule="auto"/>
              <w:jc w:val="center"/>
              <w:rPr>
                <w:rFonts w:cs="Arial"/>
                <w:color w:val="000000"/>
                <w:sz w:val="18"/>
                <w:szCs w:val="18"/>
                <w:lang w:val="en-US" w:eastAsia="en-US"/>
              </w:rPr>
            </w:pPr>
          </w:p>
        </w:tc>
        <w:tc>
          <w:tcPr>
            <w:tcW w:w="992" w:type="dxa"/>
            <w:vMerge/>
            <w:tcBorders>
              <w:top w:val="single" w:sz="4" w:space="0" w:color="auto"/>
              <w:left w:val="nil"/>
              <w:bottom w:val="single" w:sz="4" w:space="0" w:color="000000"/>
              <w:right w:val="nil"/>
            </w:tcBorders>
            <w:vAlign w:val="center"/>
            <w:hideMark/>
          </w:tcPr>
          <w:p w14:paraId="21D77D85" w14:textId="77777777" w:rsidR="00745301" w:rsidRPr="007D37CF" w:rsidRDefault="00745301" w:rsidP="00745301">
            <w:pPr>
              <w:spacing w:before="0" w:after="0" w:line="240" w:lineRule="auto"/>
              <w:jc w:val="center"/>
              <w:rPr>
                <w:rFonts w:cs="Arial"/>
                <w:color w:val="000000" w:themeColor="text1"/>
                <w:sz w:val="18"/>
                <w:szCs w:val="18"/>
                <w:lang w:val="en-US" w:eastAsia="en-US"/>
              </w:rPr>
            </w:pPr>
          </w:p>
        </w:tc>
        <w:tc>
          <w:tcPr>
            <w:tcW w:w="1134" w:type="dxa"/>
            <w:vMerge/>
            <w:tcBorders>
              <w:top w:val="single" w:sz="4" w:space="0" w:color="auto"/>
              <w:left w:val="nil"/>
              <w:bottom w:val="single" w:sz="4" w:space="0" w:color="000000"/>
              <w:right w:val="nil"/>
            </w:tcBorders>
            <w:vAlign w:val="center"/>
            <w:hideMark/>
          </w:tcPr>
          <w:p w14:paraId="62F722EB" w14:textId="77777777" w:rsidR="00745301" w:rsidRPr="007D37CF" w:rsidRDefault="00745301" w:rsidP="00A41293">
            <w:pPr>
              <w:spacing w:before="0" w:after="0" w:line="240" w:lineRule="auto"/>
              <w:jc w:val="center"/>
              <w:rPr>
                <w:rFonts w:cs="Arial"/>
                <w:color w:val="000000" w:themeColor="text1"/>
                <w:sz w:val="18"/>
                <w:szCs w:val="18"/>
                <w:lang w:val="en-US" w:eastAsia="en-US"/>
              </w:rPr>
            </w:pPr>
          </w:p>
        </w:tc>
      </w:tr>
      <w:tr w:rsidR="00745301" w:rsidRPr="007D37CF" w14:paraId="16EFE0FF" w14:textId="77777777" w:rsidTr="00C956DF">
        <w:trPr>
          <w:trHeight w:val="246"/>
        </w:trPr>
        <w:tc>
          <w:tcPr>
            <w:tcW w:w="3402" w:type="dxa"/>
            <w:tcBorders>
              <w:top w:val="nil"/>
              <w:left w:val="nil"/>
              <w:bottom w:val="single" w:sz="8" w:space="0" w:color="000000"/>
              <w:right w:val="nil"/>
            </w:tcBorders>
            <w:shd w:val="clear" w:color="000000" w:fill="FFFFFF"/>
            <w:noWrap/>
            <w:vAlign w:val="center"/>
            <w:hideMark/>
          </w:tcPr>
          <w:p w14:paraId="25CA160E"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w:t>
            </w:r>
          </w:p>
        </w:tc>
        <w:tc>
          <w:tcPr>
            <w:tcW w:w="1418" w:type="dxa"/>
            <w:tcBorders>
              <w:top w:val="nil"/>
              <w:left w:val="nil"/>
              <w:bottom w:val="single" w:sz="8" w:space="0" w:color="000000"/>
              <w:right w:val="nil"/>
            </w:tcBorders>
            <w:shd w:val="clear" w:color="000000" w:fill="FFFFFF"/>
            <w:noWrap/>
            <w:vAlign w:val="center"/>
            <w:hideMark/>
          </w:tcPr>
          <w:p w14:paraId="54BCEADB" w14:textId="77777777" w:rsidR="00745301" w:rsidRPr="007D37CF" w:rsidRDefault="00745301" w:rsidP="00C956DF">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c>
          <w:tcPr>
            <w:tcW w:w="1134" w:type="dxa"/>
            <w:tcBorders>
              <w:top w:val="nil"/>
              <w:left w:val="nil"/>
              <w:bottom w:val="single" w:sz="8" w:space="0" w:color="000000"/>
              <w:right w:val="nil"/>
            </w:tcBorders>
            <w:shd w:val="clear" w:color="000000" w:fill="FFFFFF"/>
            <w:noWrap/>
            <w:vAlign w:val="center"/>
            <w:hideMark/>
          </w:tcPr>
          <w:p w14:paraId="6E8AB03E" w14:textId="59D17ED6" w:rsidR="00745301" w:rsidRPr="007D37CF" w:rsidRDefault="00C956DF" w:rsidP="00C956DF">
            <w:pPr>
              <w:spacing w:before="0" w:after="0" w:line="240" w:lineRule="auto"/>
              <w:jc w:val="center"/>
              <w:rPr>
                <w:rFonts w:cs="Arial"/>
                <w:color w:val="000000"/>
                <w:sz w:val="18"/>
                <w:szCs w:val="18"/>
                <w:lang w:val="en-US" w:eastAsia="en-US"/>
              </w:rPr>
            </w:pPr>
            <w:r>
              <w:rPr>
                <w:rFonts w:cs="Arial"/>
                <w:color w:val="000000"/>
                <w:sz w:val="18"/>
                <w:szCs w:val="18"/>
                <w:lang w:val="en-US" w:eastAsia="en-US"/>
              </w:rPr>
              <w:t>($</w:t>
            </w:r>
            <w:r w:rsidR="00745301" w:rsidRPr="007D37CF">
              <w:rPr>
                <w:rFonts w:cs="Arial"/>
                <w:color w:val="000000"/>
                <w:sz w:val="18"/>
                <w:szCs w:val="18"/>
                <w:lang w:val="en-US" w:eastAsia="en-US"/>
              </w:rPr>
              <w:t>)</w:t>
            </w:r>
          </w:p>
        </w:tc>
        <w:tc>
          <w:tcPr>
            <w:tcW w:w="1276" w:type="dxa"/>
            <w:tcBorders>
              <w:top w:val="nil"/>
              <w:left w:val="nil"/>
              <w:bottom w:val="single" w:sz="8" w:space="0" w:color="000000"/>
              <w:right w:val="nil"/>
            </w:tcBorders>
            <w:shd w:val="clear" w:color="000000" w:fill="FFFFFF"/>
            <w:vAlign w:val="center"/>
            <w:hideMark/>
          </w:tcPr>
          <w:p w14:paraId="59982ED0" w14:textId="77777777" w:rsidR="00745301" w:rsidRPr="007D37CF" w:rsidRDefault="00745301" w:rsidP="00C956DF">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c>
          <w:tcPr>
            <w:tcW w:w="992" w:type="dxa"/>
            <w:tcBorders>
              <w:top w:val="nil"/>
              <w:left w:val="nil"/>
              <w:bottom w:val="single" w:sz="8" w:space="0" w:color="000000"/>
              <w:right w:val="nil"/>
            </w:tcBorders>
            <w:shd w:val="clear" w:color="000000" w:fill="FFFFFF"/>
            <w:vAlign w:val="center"/>
            <w:hideMark/>
          </w:tcPr>
          <w:p w14:paraId="3E48B7CE" w14:textId="5FB9EA41" w:rsidR="00745301" w:rsidRPr="007D37CF" w:rsidRDefault="00745301" w:rsidP="00C956DF">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w:t>
            </w:r>
            <w:r w:rsidR="00C956DF">
              <w:rPr>
                <w:rFonts w:cs="Arial"/>
                <w:color w:val="000000" w:themeColor="text1"/>
                <w:sz w:val="18"/>
                <w:szCs w:val="18"/>
                <w:lang w:val="en-US" w:eastAsia="en-US"/>
              </w:rPr>
              <w:t>$</w:t>
            </w:r>
            <w:r w:rsidRPr="007D37CF">
              <w:rPr>
                <w:rFonts w:cs="Arial"/>
                <w:color w:val="000000" w:themeColor="text1"/>
                <w:sz w:val="18"/>
                <w:szCs w:val="18"/>
                <w:lang w:val="en-US" w:eastAsia="en-US"/>
              </w:rPr>
              <w:t>)</w:t>
            </w:r>
          </w:p>
        </w:tc>
        <w:tc>
          <w:tcPr>
            <w:tcW w:w="1134" w:type="dxa"/>
            <w:tcBorders>
              <w:top w:val="nil"/>
              <w:left w:val="nil"/>
              <w:bottom w:val="single" w:sz="8" w:space="0" w:color="000000"/>
              <w:right w:val="nil"/>
            </w:tcBorders>
            <w:shd w:val="clear" w:color="000000" w:fill="FFFFFF"/>
            <w:vAlign w:val="center"/>
            <w:hideMark/>
          </w:tcPr>
          <w:p w14:paraId="06C0364D" w14:textId="572D137A" w:rsidR="00745301" w:rsidRPr="007D37CF" w:rsidRDefault="00745301" w:rsidP="00C956DF">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w:t>
            </w:r>
            <w:r w:rsidR="00C956DF">
              <w:rPr>
                <w:rFonts w:cs="Arial"/>
                <w:color w:val="000000" w:themeColor="text1"/>
                <w:sz w:val="18"/>
                <w:szCs w:val="18"/>
                <w:lang w:val="en-US" w:eastAsia="en-US"/>
              </w:rPr>
              <w:t>$</w:t>
            </w:r>
            <w:r w:rsidRPr="007D37CF">
              <w:rPr>
                <w:rFonts w:cs="Arial"/>
                <w:color w:val="000000" w:themeColor="text1"/>
                <w:sz w:val="18"/>
                <w:szCs w:val="18"/>
                <w:lang w:val="en-US" w:eastAsia="en-US"/>
              </w:rPr>
              <w:t>)</w:t>
            </w:r>
          </w:p>
        </w:tc>
      </w:tr>
      <w:tr w:rsidR="00745301" w:rsidRPr="007D37CF" w14:paraId="175DA727"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0B9752E2" w14:textId="70626795"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Salary &amp; Wages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Nursing </w:t>
            </w:r>
          </w:p>
        </w:tc>
        <w:tc>
          <w:tcPr>
            <w:tcW w:w="1418" w:type="dxa"/>
            <w:tcBorders>
              <w:top w:val="nil"/>
              <w:left w:val="nil"/>
              <w:bottom w:val="single" w:sz="4" w:space="0" w:color="000000"/>
              <w:right w:val="nil"/>
            </w:tcBorders>
            <w:shd w:val="clear" w:color="000000" w:fill="FFFFFF"/>
            <w:noWrap/>
            <w:vAlign w:val="center"/>
            <w:hideMark/>
          </w:tcPr>
          <w:p w14:paraId="47535D13" w14:textId="38D6F25B"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1,340</w:t>
            </w:r>
          </w:p>
        </w:tc>
        <w:tc>
          <w:tcPr>
            <w:tcW w:w="1134" w:type="dxa"/>
            <w:tcBorders>
              <w:top w:val="nil"/>
              <w:left w:val="nil"/>
              <w:bottom w:val="single" w:sz="4" w:space="0" w:color="000000"/>
              <w:right w:val="nil"/>
            </w:tcBorders>
            <w:shd w:val="clear" w:color="000000" w:fill="FFFFFF"/>
            <w:noWrap/>
            <w:vAlign w:val="center"/>
            <w:hideMark/>
          </w:tcPr>
          <w:p w14:paraId="64268BD9" w14:textId="4322A60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4,338</w:t>
            </w:r>
          </w:p>
        </w:tc>
        <w:tc>
          <w:tcPr>
            <w:tcW w:w="1276" w:type="dxa"/>
            <w:tcBorders>
              <w:top w:val="nil"/>
              <w:left w:val="nil"/>
              <w:bottom w:val="single" w:sz="4" w:space="0" w:color="000000"/>
              <w:right w:val="nil"/>
            </w:tcBorders>
            <w:shd w:val="clear" w:color="000000" w:fill="FFFFFF"/>
            <w:noWrap/>
            <w:vAlign w:val="center"/>
            <w:hideMark/>
          </w:tcPr>
          <w:p w14:paraId="35CFFDE4" w14:textId="22569910"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156</w:t>
            </w:r>
          </w:p>
        </w:tc>
        <w:tc>
          <w:tcPr>
            <w:tcW w:w="992" w:type="dxa"/>
            <w:tcBorders>
              <w:top w:val="nil"/>
              <w:left w:val="nil"/>
              <w:bottom w:val="single" w:sz="4" w:space="0" w:color="000000"/>
              <w:right w:val="nil"/>
            </w:tcBorders>
            <w:shd w:val="clear" w:color="000000" w:fill="FFFFFF"/>
            <w:noWrap/>
            <w:vAlign w:val="center"/>
            <w:hideMark/>
          </w:tcPr>
          <w:p w14:paraId="074BE98D" w14:textId="3BACE27E"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47</w:t>
            </w:r>
          </w:p>
        </w:tc>
        <w:tc>
          <w:tcPr>
            <w:tcW w:w="1134" w:type="dxa"/>
            <w:tcBorders>
              <w:top w:val="nil"/>
              <w:left w:val="nil"/>
              <w:bottom w:val="single" w:sz="4" w:space="0" w:color="000000"/>
              <w:right w:val="nil"/>
            </w:tcBorders>
            <w:shd w:val="clear" w:color="000000" w:fill="FFFFFF"/>
            <w:noWrap/>
            <w:vAlign w:val="center"/>
            <w:hideMark/>
          </w:tcPr>
          <w:p w14:paraId="064B71E9" w14:textId="105F1026"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4,47</w:t>
            </w:r>
            <w:r w:rsidR="003D2578">
              <w:rPr>
                <w:rFonts w:cs="Arial"/>
                <w:color w:val="000000" w:themeColor="text1"/>
                <w:sz w:val="18"/>
                <w:szCs w:val="18"/>
                <w:lang w:val="en-US" w:eastAsia="en-US"/>
              </w:rPr>
              <w:t>9</w:t>
            </w:r>
          </w:p>
        </w:tc>
      </w:tr>
      <w:tr w:rsidR="00745301" w:rsidRPr="007D37CF" w14:paraId="28AEFB07"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7EE23CC9" w14:textId="7806BD2F"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Salary &amp; Wages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Medical (nonVMO) </w:t>
            </w:r>
          </w:p>
        </w:tc>
        <w:tc>
          <w:tcPr>
            <w:tcW w:w="1418" w:type="dxa"/>
            <w:tcBorders>
              <w:top w:val="nil"/>
              <w:left w:val="nil"/>
              <w:bottom w:val="single" w:sz="4" w:space="0" w:color="000000"/>
              <w:right w:val="nil"/>
            </w:tcBorders>
            <w:shd w:val="clear" w:color="000000" w:fill="FFFFFF"/>
            <w:noWrap/>
            <w:vAlign w:val="center"/>
            <w:hideMark/>
          </w:tcPr>
          <w:p w14:paraId="4842DF02" w14:textId="7639583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719</w:t>
            </w:r>
          </w:p>
        </w:tc>
        <w:tc>
          <w:tcPr>
            <w:tcW w:w="1134" w:type="dxa"/>
            <w:tcBorders>
              <w:top w:val="nil"/>
              <w:left w:val="nil"/>
              <w:bottom w:val="single" w:sz="4" w:space="0" w:color="000000"/>
              <w:right w:val="nil"/>
            </w:tcBorders>
            <w:shd w:val="clear" w:color="000000" w:fill="FFFFFF"/>
            <w:noWrap/>
            <w:vAlign w:val="center"/>
            <w:hideMark/>
          </w:tcPr>
          <w:p w14:paraId="48723075" w14:textId="7260BA4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1,412</w:t>
            </w:r>
          </w:p>
        </w:tc>
        <w:tc>
          <w:tcPr>
            <w:tcW w:w="1276" w:type="dxa"/>
            <w:tcBorders>
              <w:top w:val="nil"/>
              <w:left w:val="nil"/>
              <w:bottom w:val="single" w:sz="4" w:space="0" w:color="000000"/>
              <w:right w:val="nil"/>
            </w:tcBorders>
            <w:shd w:val="clear" w:color="000000" w:fill="FFFFFF"/>
            <w:noWrap/>
            <w:vAlign w:val="center"/>
            <w:hideMark/>
          </w:tcPr>
          <w:p w14:paraId="5FB9E573" w14:textId="7E5CDDE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168</w:t>
            </w:r>
          </w:p>
        </w:tc>
        <w:tc>
          <w:tcPr>
            <w:tcW w:w="992" w:type="dxa"/>
            <w:tcBorders>
              <w:top w:val="nil"/>
              <w:left w:val="nil"/>
              <w:bottom w:val="single" w:sz="4" w:space="0" w:color="000000"/>
              <w:right w:val="nil"/>
            </w:tcBorders>
            <w:shd w:val="clear" w:color="000000" w:fill="FFFFFF"/>
            <w:noWrap/>
            <w:vAlign w:val="center"/>
            <w:hideMark/>
          </w:tcPr>
          <w:p w14:paraId="79A44AA9" w14:textId="43F0604C"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52</w:t>
            </w:r>
          </w:p>
        </w:tc>
        <w:tc>
          <w:tcPr>
            <w:tcW w:w="1134" w:type="dxa"/>
            <w:tcBorders>
              <w:top w:val="nil"/>
              <w:left w:val="nil"/>
              <w:bottom w:val="single" w:sz="4" w:space="0" w:color="000000"/>
              <w:right w:val="nil"/>
            </w:tcBorders>
            <w:shd w:val="clear" w:color="000000" w:fill="FFFFFF"/>
            <w:noWrap/>
            <w:vAlign w:val="center"/>
            <w:hideMark/>
          </w:tcPr>
          <w:p w14:paraId="2ED12617" w14:textId="6AB9F800"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1,619</w:t>
            </w:r>
          </w:p>
        </w:tc>
      </w:tr>
      <w:tr w:rsidR="00745301" w:rsidRPr="007D37CF" w14:paraId="5CA2FDC1"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5BE0F7A2" w14:textId="5BBAD439"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Salary &amp; Wages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Medical (VMO) </w:t>
            </w:r>
          </w:p>
        </w:tc>
        <w:tc>
          <w:tcPr>
            <w:tcW w:w="1418" w:type="dxa"/>
            <w:tcBorders>
              <w:top w:val="nil"/>
              <w:left w:val="nil"/>
              <w:bottom w:val="single" w:sz="4" w:space="0" w:color="000000"/>
              <w:right w:val="nil"/>
            </w:tcBorders>
            <w:shd w:val="clear" w:color="000000" w:fill="FFFFFF"/>
            <w:noWrap/>
            <w:vAlign w:val="center"/>
            <w:hideMark/>
          </w:tcPr>
          <w:p w14:paraId="6088F59D" w14:textId="050C8B1B"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201</w:t>
            </w:r>
          </w:p>
        </w:tc>
        <w:tc>
          <w:tcPr>
            <w:tcW w:w="1134" w:type="dxa"/>
            <w:tcBorders>
              <w:top w:val="nil"/>
              <w:left w:val="nil"/>
              <w:bottom w:val="single" w:sz="4" w:space="0" w:color="000000"/>
              <w:right w:val="nil"/>
            </w:tcBorders>
            <w:shd w:val="clear" w:color="000000" w:fill="FFFFFF"/>
            <w:noWrap/>
            <w:vAlign w:val="center"/>
            <w:hideMark/>
          </w:tcPr>
          <w:p w14:paraId="01437A3B" w14:textId="595B9B12"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224</w:t>
            </w:r>
          </w:p>
        </w:tc>
        <w:tc>
          <w:tcPr>
            <w:tcW w:w="1276" w:type="dxa"/>
            <w:tcBorders>
              <w:top w:val="nil"/>
              <w:left w:val="nil"/>
              <w:bottom w:val="single" w:sz="4" w:space="0" w:color="000000"/>
              <w:right w:val="nil"/>
            </w:tcBorders>
            <w:shd w:val="clear" w:color="000000" w:fill="FFFFFF"/>
            <w:noWrap/>
            <w:vAlign w:val="center"/>
            <w:hideMark/>
          </w:tcPr>
          <w:p w14:paraId="14B4D605" w14:textId="31C1BD6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24</w:t>
            </w:r>
          </w:p>
        </w:tc>
        <w:tc>
          <w:tcPr>
            <w:tcW w:w="992" w:type="dxa"/>
            <w:tcBorders>
              <w:top w:val="nil"/>
              <w:left w:val="nil"/>
              <w:bottom w:val="single" w:sz="4" w:space="0" w:color="000000"/>
              <w:right w:val="nil"/>
            </w:tcBorders>
            <w:shd w:val="clear" w:color="000000" w:fill="FFFFFF"/>
            <w:noWrap/>
            <w:vAlign w:val="center"/>
            <w:hideMark/>
          </w:tcPr>
          <w:p w14:paraId="78833436" w14:textId="60CC123F"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11</w:t>
            </w:r>
          </w:p>
        </w:tc>
        <w:tc>
          <w:tcPr>
            <w:tcW w:w="1134" w:type="dxa"/>
            <w:tcBorders>
              <w:top w:val="nil"/>
              <w:left w:val="nil"/>
              <w:bottom w:val="single" w:sz="4" w:space="0" w:color="000000"/>
              <w:right w:val="nil"/>
            </w:tcBorders>
            <w:shd w:val="clear" w:color="000000" w:fill="FFFFFF"/>
            <w:noWrap/>
            <w:vAlign w:val="center"/>
            <w:hideMark/>
          </w:tcPr>
          <w:p w14:paraId="5C770260" w14:textId="539A6FB2"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256</w:t>
            </w:r>
          </w:p>
        </w:tc>
      </w:tr>
      <w:tr w:rsidR="00745301" w:rsidRPr="007D37CF" w14:paraId="7E53398E"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73EDCFFE" w14:textId="317B9F50"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Salary &amp; Wages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Allied Health </w:t>
            </w:r>
          </w:p>
        </w:tc>
        <w:tc>
          <w:tcPr>
            <w:tcW w:w="1418" w:type="dxa"/>
            <w:tcBorders>
              <w:top w:val="nil"/>
              <w:left w:val="nil"/>
              <w:bottom w:val="single" w:sz="4" w:space="0" w:color="000000"/>
              <w:right w:val="nil"/>
            </w:tcBorders>
            <w:shd w:val="clear" w:color="000000" w:fill="FFFFFF"/>
            <w:noWrap/>
            <w:vAlign w:val="center"/>
            <w:hideMark/>
          </w:tcPr>
          <w:p w14:paraId="05513F49" w14:textId="2A0679D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189</w:t>
            </w:r>
          </w:p>
        </w:tc>
        <w:tc>
          <w:tcPr>
            <w:tcW w:w="1134" w:type="dxa"/>
            <w:tcBorders>
              <w:top w:val="nil"/>
              <w:left w:val="nil"/>
              <w:bottom w:val="single" w:sz="4" w:space="0" w:color="000000"/>
              <w:right w:val="nil"/>
            </w:tcBorders>
            <w:shd w:val="clear" w:color="000000" w:fill="FFFFFF"/>
            <w:noWrap/>
            <w:vAlign w:val="center"/>
            <w:hideMark/>
          </w:tcPr>
          <w:p w14:paraId="18F57850" w14:textId="49945EE2"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1,345</w:t>
            </w:r>
          </w:p>
        </w:tc>
        <w:tc>
          <w:tcPr>
            <w:tcW w:w="1276" w:type="dxa"/>
            <w:tcBorders>
              <w:top w:val="nil"/>
              <w:left w:val="nil"/>
              <w:bottom w:val="single" w:sz="4" w:space="0" w:color="000000"/>
              <w:right w:val="nil"/>
            </w:tcBorders>
            <w:shd w:val="clear" w:color="000000" w:fill="FFFFFF"/>
            <w:noWrap/>
            <w:vAlign w:val="center"/>
            <w:hideMark/>
          </w:tcPr>
          <w:p w14:paraId="1C154FA9" w14:textId="58E9F2B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21</w:t>
            </w:r>
          </w:p>
        </w:tc>
        <w:tc>
          <w:tcPr>
            <w:tcW w:w="992" w:type="dxa"/>
            <w:tcBorders>
              <w:top w:val="nil"/>
              <w:left w:val="nil"/>
              <w:bottom w:val="single" w:sz="4" w:space="0" w:color="000000"/>
              <w:right w:val="nil"/>
            </w:tcBorders>
            <w:shd w:val="clear" w:color="000000" w:fill="FFFFFF"/>
            <w:noWrap/>
            <w:vAlign w:val="center"/>
            <w:hideMark/>
          </w:tcPr>
          <w:p w14:paraId="789DBB84" w14:textId="25449FBE"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38</w:t>
            </w:r>
          </w:p>
        </w:tc>
        <w:tc>
          <w:tcPr>
            <w:tcW w:w="1134" w:type="dxa"/>
            <w:tcBorders>
              <w:top w:val="nil"/>
              <w:left w:val="nil"/>
              <w:bottom w:val="single" w:sz="4" w:space="0" w:color="000000"/>
              <w:right w:val="nil"/>
            </w:tcBorders>
            <w:shd w:val="clear" w:color="000000" w:fill="FFFFFF"/>
            <w:noWrap/>
            <w:vAlign w:val="center"/>
            <w:hideMark/>
          </w:tcPr>
          <w:p w14:paraId="562FAED6" w14:textId="718244B5"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955</w:t>
            </w:r>
          </w:p>
        </w:tc>
      </w:tr>
      <w:tr w:rsidR="00745301" w:rsidRPr="007D37CF" w14:paraId="6A0396D5"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59D3F96A"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Salary &amp; Wages  Other </w:t>
            </w:r>
          </w:p>
        </w:tc>
        <w:tc>
          <w:tcPr>
            <w:tcW w:w="1418" w:type="dxa"/>
            <w:tcBorders>
              <w:top w:val="nil"/>
              <w:left w:val="nil"/>
              <w:bottom w:val="single" w:sz="4" w:space="0" w:color="000000"/>
              <w:right w:val="nil"/>
            </w:tcBorders>
            <w:shd w:val="clear" w:color="000000" w:fill="FFFFFF"/>
            <w:noWrap/>
            <w:vAlign w:val="center"/>
            <w:hideMark/>
          </w:tcPr>
          <w:p w14:paraId="34144906" w14:textId="279BA51E"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509</w:t>
            </w:r>
          </w:p>
        </w:tc>
        <w:tc>
          <w:tcPr>
            <w:tcW w:w="1134" w:type="dxa"/>
            <w:tcBorders>
              <w:top w:val="nil"/>
              <w:left w:val="nil"/>
              <w:bottom w:val="single" w:sz="4" w:space="0" w:color="000000"/>
              <w:right w:val="nil"/>
            </w:tcBorders>
            <w:shd w:val="clear" w:color="000000" w:fill="FFFFFF"/>
            <w:noWrap/>
            <w:vAlign w:val="center"/>
            <w:hideMark/>
          </w:tcPr>
          <w:p w14:paraId="09424C24" w14:textId="2046AC70"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1,746</w:t>
            </w:r>
          </w:p>
        </w:tc>
        <w:tc>
          <w:tcPr>
            <w:tcW w:w="1276" w:type="dxa"/>
            <w:tcBorders>
              <w:top w:val="nil"/>
              <w:left w:val="nil"/>
              <w:bottom w:val="single" w:sz="4" w:space="0" w:color="000000"/>
              <w:right w:val="nil"/>
            </w:tcBorders>
            <w:shd w:val="clear" w:color="000000" w:fill="FFFFFF"/>
            <w:noWrap/>
            <w:vAlign w:val="center"/>
            <w:hideMark/>
          </w:tcPr>
          <w:p w14:paraId="4F6FB634" w14:textId="30EBCF6D"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77</w:t>
            </w:r>
          </w:p>
        </w:tc>
        <w:tc>
          <w:tcPr>
            <w:tcW w:w="992" w:type="dxa"/>
            <w:tcBorders>
              <w:top w:val="nil"/>
              <w:left w:val="nil"/>
              <w:bottom w:val="single" w:sz="4" w:space="0" w:color="000000"/>
              <w:right w:val="nil"/>
            </w:tcBorders>
            <w:shd w:val="clear" w:color="000000" w:fill="FFFFFF"/>
            <w:noWrap/>
            <w:vAlign w:val="center"/>
            <w:hideMark/>
          </w:tcPr>
          <w:p w14:paraId="0BADBA6B" w14:textId="3AB8BF39"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40</w:t>
            </w:r>
          </w:p>
        </w:tc>
        <w:tc>
          <w:tcPr>
            <w:tcW w:w="1134" w:type="dxa"/>
            <w:tcBorders>
              <w:top w:val="nil"/>
              <w:left w:val="nil"/>
              <w:bottom w:val="single" w:sz="4" w:space="0" w:color="000000"/>
              <w:right w:val="nil"/>
            </w:tcBorders>
            <w:shd w:val="clear" w:color="000000" w:fill="FFFFFF"/>
            <w:noWrap/>
            <w:vAlign w:val="center"/>
            <w:hideMark/>
          </w:tcPr>
          <w:p w14:paraId="22D53FF6" w14:textId="28497596"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1,476</w:t>
            </w:r>
          </w:p>
        </w:tc>
      </w:tr>
      <w:tr w:rsidR="00745301" w:rsidRPr="007D37CF" w14:paraId="11DD196B"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26BE5ABF" w14:textId="3ED66B39"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On-costs </w:t>
            </w:r>
          </w:p>
        </w:tc>
        <w:tc>
          <w:tcPr>
            <w:tcW w:w="1418" w:type="dxa"/>
            <w:tcBorders>
              <w:top w:val="nil"/>
              <w:left w:val="nil"/>
              <w:bottom w:val="single" w:sz="4" w:space="0" w:color="000000"/>
              <w:right w:val="nil"/>
            </w:tcBorders>
            <w:shd w:val="clear" w:color="000000" w:fill="FFFFFF"/>
            <w:noWrap/>
            <w:vAlign w:val="center"/>
            <w:hideMark/>
          </w:tcPr>
          <w:p w14:paraId="6FAC2468" w14:textId="22CA1124"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372</w:t>
            </w:r>
          </w:p>
        </w:tc>
        <w:tc>
          <w:tcPr>
            <w:tcW w:w="1134" w:type="dxa"/>
            <w:tcBorders>
              <w:top w:val="nil"/>
              <w:left w:val="nil"/>
              <w:bottom w:val="single" w:sz="4" w:space="0" w:color="000000"/>
              <w:right w:val="nil"/>
            </w:tcBorders>
            <w:shd w:val="clear" w:color="000000" w:fill="FFFFFF"/>
            <w:noWrap/>
            <w:vAlign w:val="center"/>
            <w:hideMark/>
          </w:tcPr>
          <w:p w14:paraId="39FD8D83" w14:textId="52D19835"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1,287</w:t>
            </w:r>
          </w:p>
        </w:tc>
        <w:tc>
          <w:tcPr>
            <w:tcW w:w="1276" w:type="dxa"/>
            <w:tcBorders>
              <w:top w:val="nil"/>
              <w:left w:val="nil"/>
              <w:bottom w:val="single" w:sz="4" w:space="0" w:color="000000"/>
              <w:right w:val="nil"/>
            </w:tcBorders>
            <w:shd w:val="clear" w:color="000000" w:fill="FFFFFF"/>
            <w:noWrap/>
            <w:vAlign w:val="center"/>
            <w:hideMark/>
          </w:tcPr>
          <w:p w14:paraId="4F2AAB70" w14:textId="35ECC5D8"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56</w:t>
            </w:r>
          </w:p>
        </w:tc>
        <w:tc>
          <w:tcPr>
            <w:tcW w:w="992" w:type="dxa"/>
            <w:tcBorders>
              <w:top w:val="nil"/>
              <w:left w:val="nil"/>
              <w:bottom w:val="single" w:sz="4" w:space="0" w:color="000000"/>
              <w:right w:val="nil"/>
            </w:tcBorders>
            <w:shd w:val="clear" w:color="000000" w:fill="FFFFFF"/>
            <w:noWrap/>
            <w:vAlign w:val="center"/>
            <w:hideMark/>
          </w:tcPr>
          <w:p w14:paraId="32FFC127" w14:textId="50CBC642"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24</w:t>
            </w:r>
          </w:p>
        </w:tc>
        <w:tc>
          <w:tcPr>
            <w:tcW w:w="1134" w:type="dxa"/>
            <w:tcBorders>
              <w:top w:val="nil"/>
              <w:left w:val="nil"/>
              <w:bottom w:val="single" w:sz="4" w:space="0" w:color="000000"/>
              <w:right w:val="nil"/>
            </w:tcBorders>
            <w:shd w:val="clear" w:color="000000" w:fill="FFFFFF"/>
            <w:noWrap/>
            <w:vAlign w:val="center"/>
            <w:hideMark/>
          </w:tcPr>
          <w:p w14:paraId="18A1CA5D" w14:textId="12F47575"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1,119</w:t>
            </w:r>
          </w:p>
        </w:tc>
      </w:tr>
      <w:tr w:rsidR="00745301" w:rsidRPr="007D37CF" w14:paraId="41A9FD38"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6A24EA39"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Pathology </w:t>
            </w:r>
          </w:p>
        </w:tc>
        <w:tc>
          <w:tcPr>
            <w:tcW w:w="1418" w:type="dxa"/>
            <w:tcBorders>
              <w:top w:val="nil"/>
              <w:left w:val="nil"/>
              <w:bottom w:val="single" w:sz="4" w:space="0" w:color="000000"/>
              <w:right w:val="nil"/>
            </w:tcBorders>
            <w:shd w:val="clear" w:color="000000" w:fill="FFFFFF"/>
            <w:noWrap/>
            <w:vAlign w:val="center"/>
            <w:hideMark/>
          </w:tcPr>
          <w:p w14:paraId="253A6A12" w14:textId="3AB3B67D"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98</w:t>
            </w:r>
          </w:p>
        </w:tc>
        <w:tc>
          <w:tcPr>
            <w:tcW w:w="1134" w:type="dxa"/>
            <w:tcBorders>
              <w:top w:val="nil"/>
              <w:left w:val="nil"/>
              <w:bottom w:val="single" w:sz="4" w:space="0" w:color="000000"/>
              <w:right w:val="nil"/>
            </w:tcBorders>
            <w:shd w:val="clear" w:color="000000" w:fill="FFFFFF"/>
            <w:noWrap/>
            <w:vAlign w:val="center"/>
            <w:hideMark/>
          </w:tcPr>
          <w:p w14:paraId="4D03F474" w14:textId="34BAE933"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100</w:t>
            </w:r>
          </w:p>
        </w:tc>
        <w:tc>
          <w:tcPr>
            <w:tcW w:w="1276" w:type="dxa"/>
            <w:tcBorders>
              <w:top w:val="nil"/>
              <w:left w:val="nil"/>
              <w:bottom w:val="single" w:sz="4" w:space="0" w:color="000000"/>
              <w:right w:val="nil"/>
            </w:tcBorders>
            <w:shd w:val="clear" w:color="000000" w:fill="FFFFFF"/>
            <w:noWrap/>
            <w:vAlign w:val="center"/>
            <w:hideMark/>
          </w:tcPr>
          <w:p w14:paraId="2BC5DDA9" w14:textId="34970665"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34</w:t>
            </w:r>
          </w:p>
        </w:tc>
        <w:tc>
          <w:tcPr>
            <w:tcW w:w="992" w:type="dxa"/>
            <w:tcBorders>
              <w:top w:val="nil"/>
              <w:left w:val="nil"/>
              <w:bottom w:val="single" w:sz="4" w:space="0" w:color="000000"/>
              <w:right w:val="nil"/>
            </w:tcBorders>
            <w:shd w:val="clear" w:color="000000" w:fill="FFFFFF"/>
            <w:noWrap/>
            <w:vAlign w:val="center"/>
            <w:hideMark/>
          </w:tcPr>
          <w:p w14:paraId="60D555DD" w14:textId="5EE689E4"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6</w:t>
            </w:r>
          </w:p>
        </w:tc>
        <w:tc>
          <w:tcPr>
            <w:tcW w:w="1134" w:type="dxa"/>
            <w:tcBorders>
              <w:top w:val="nil"/>
              <w:left w:val="nil"/>
              <w:bottom w:val="single" w:sz="4" w:space="0" w:color="000000"/>
              <w:right w:val="nil"/>
            </w:tcBorders>
            <w:shd w:val="clear" w:color="000000" w:fill="FFFFFF"/>
            <w:noWrap/>
            <w:vAlign w:val="center"/>
            <w:hideMark/>
          </w:tcPr>
          <w:p w14:paraId="734BE556" w14:textId="4D29B101"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70</w:t>
            </w:r>
          </w:p>
        </w:tc>
      </w:tr>
      <w:tr w:rsidR="00745301" w:rsidRPr="007D37CF" w14:paraId="4A4C62C0"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31641341"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Imaging </w:t>
            </w:r>
          </w:p>
        </w:tc>
        <w:tc>
          <w:tcPr>
            <w:tcW w:w="1418" w:type="dxa"/>
            <w:tcBorders>
              <w:top w:val="nil"/>
              <w:left w:val="nil"/>
              <w:bottom w:val="single" w:sz="4" w:space="0" w:color="000000"/>
              <w:right w:val="nil"/>
            </w:tcBorders>
            <w:shd w:val="clear" w:color="000000" w:fill="FFFFFF"/>
            <w:noWrap/>
            <w:vAlign w:val="center"/>
            <w:hideMark/>
          </w:tcPr>
          <w:p w14:paraId="67436A25" w14:textId="2307B43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26</w:t>
            </w:r>
          </w:p>
        </w:tc>
        <w:tc>
          <w:tcPr>
            <w:tcW w:w="1134" w:type="dxa"/>
            <w:tcBorders>
              <w:top w:val="nil"/>
              <w:left w:val="nil"/>
              <w:bottom w:val="single" w:sz="4" w:space="0" w:color="000000"/>
              <w:right w:val="nil"/>
            </w:tcBorders>
            <w:shd w:val="clear" w:color="000000" w:fill="FFFFFF"/>
            <w:noWrap/>
            <w:vAlign w:val="center"/>
            <w:hideMark/>
          </w:tcPr>
          <w:p w14:paraId="204BFCDD" w14:textId="19C3EAA6"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32</w:t>
            </w:r>
          </w:p>
        </w:tc>
        <w:tc>
          <w:tcPr>
            <w:tcW w:w="1276" w:type="dxa"/>
            <w:tcBorders>
              <w:top w:val="nil"/>
              <w:left w:val="nil"/>
              <w:bottom w:val="single" w:sz="4" w:space="0" w:color="000000"/>
              <w:right w:val="nil"/>
            </w:tcBorders>
            <w:shd w:val="clear" w:color="000000" w:fill="FFFFFF"/>
            <w:noWrap/>
            <w:vAlign w:val="center"/>
            <w:hideMark/>
          </w:tcPr>
          <w:p w14:paraId="1E306196" w14:textId="0248D38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21</w:t>
            </w:r>
          </w:p>
        </w:tc>
        <w:tc>
          <w:tcPr>
            <w:tcW w:w="992" w:type="dxa"/>
            <w:tcBorders>
              <w:top w:val="nil"/>
              <w:left w:val="nil"/>
              <w:bottom w:val="single" w:sz="4" w:space="0" w:color="000000"/>
              <w:right w:val="nil"/>
            </w:tcBorders>
            <w:shd w:val="clear" w:color="000000" w:fill="FFFFFF"/>
            <w:noWrap/>
            <w:vAlign w:val="center"/>
            <w:hideMark/>
          </w:tcPr>
          <w:p w14:paraId="411C6CEB" w14:textId="62270DD1"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w:t>
            </w:r>
          </w:p>
        </w:tc>
        <w:tc>
          <w:tcPr>
            <w:tcW w:w="1134" w:type="dxa"/>
            <w:tcBorders>
              <w:top w:val="nil"/>
              <w:left w:val="nil"/>
              <w:bottom w:val="single" w:sz="4" w:space="0" w:color="000000"/>
              <w:right w:val="nil"/>
            </w:tcBorders>
            <w:shd w:val="clear" w:color="000000" w:fill="FFFFFF"/>
            <w:noWrap/>
            <w:vAlign w:val="center"/>
            <w:hideMark/>
          </w:tcPr>
          <w:p w14:paraId="7A8B3A66" w14:textId="185C1FA1"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11</w:t>
            </w:r>
          </w:p>
        </w:tc>
      </w:tr>
      <w:tr w:rsidR="00745301" w:rsidRPr="007D37CF" w14:paraId="0165BD1F"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6F7537CA"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Prostheses </w:t>
            </w:r>
          </w:p>
        </w:tc>
        <w:tc>
          <w:tcPr>
            <w:tcW w:w="1418" w:type="dxa"/>
            <w:tcBorders>
              <w:top w:val="nil"/>
              <w:left w:val="nil"/>
              <w:bottom w:val="single" w:sz="4" w:space="0" w:color="000000"/>
              <w:right w:val="nil"/>
            </w:tcBorders>
            <w:shd w:val="clear" w:color="000000" w:fill="FFFFFF"/>
            <w:noWrap/>
            <w:vAlign w:val="center"/>
            <w:hideMark/>
          </w:tcPr>
          <w:p w14:paraId="7EEA2AA1" w14:textId="491C41A1"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156</w:t>
            </w:r>
          </w:p>
        </w:tc>
        <w:tc>
          <w:tcPr>
            <w:tcW w:w="1134" w:type="dxa"/>
            <w:tcBorders>
              <w:top w:val="nil"/>
              <w:left w:val="nil"/>
              <w:bottom w:val="single" w:sz="4" w:space="0" w:color="000000"/>
              <w:right w:val="nil"/>
            </w:tcBorders>
            <w:shd w:val="clear" w:color="000000" w:fill="FFFFFF"/>
            <w:noWrap/>
            <w:vAlign w:val="center"/>
            <w:hideMark/>
          </w:tcPr>
          <w:p w14:paraId="78725234" w14:textId="3926284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8</w:t>
            </w:r>
          </w:p>
        </w:tc>
        <w:tc>
          <w:tcPr>
            <w:tcW w:w="1276" w:type="dxa"/>
            <w:tcBorders>
              <w:top w:val="nil"/>
              <w:left w:val="nil"/>
              <w:bottom w:val="single" w:sz="4" w:space="0" w:color="000000"/>
              <w:right w:val="nil"/>
            </w:tcBorders>
            <w:shd w:val="clear" w:color="000000" w:fill="FFFFFF"/>
            <w:noWrap/>
            <w:vAlign w:val="center"/>
            <w:hideMark/>
          </w:tcPr>
          <w:p w14:paraId="54C88E80" w14:textId="60ECFA6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0</w:t>
            </w:r>
          </w:p>
        </w:tc>
        <w:tc>
          <w:tcPr>
            <w:tcW w:w="992" w:type="dxa"/>
            <w:tcBorders>
              <w:top w:val="nil"/>
              <w:left w:val="nil"/>
              <w:bottom w:val="single" w:sz="4" w:space="0" w:color="000000"/>
              <w:right w:val="nil"/>
            </w:tcBorders>
            <w:shd w:val="clear" w:color="000000" w:fill="FFFFFF"/>
            <w:noWrap/>
            <w:vAlign w:val="center"/>
            <w:hideMark/>
          </w:tcPr>
          <w:p w14:paraId="2D0F96D9" w14:textId="502E1A4F"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w:t>
            </w:r>
          </w:p>
        </w:tc>
        <w:tc>
          <w:tcPr>
            <w:tcW w:w="1134" w:type="dxa"/>
            <w:tcBorders>
              <w:top w:val="nil"/>
              <w:left w:val="nil"/>
              <w:bottom w:val="single" w:sz="4" w:space="0" w:color="000000"/>
              <w:right w:val="nil"/>
            </w:tcBorders>
            <w:shd w:val="clear" w:color="000000" w:fill="FFFFFF"/>
            <w:noWrap/>
            <w:vAlign w:val="center"/>
            <w:hideMark/>
          </w:tcPr>
          <w:p w14:paraId="4A1ACE36" w14:textId="4C31693C"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w:t>
            </w:r>
          </w:p>
        </w:tc>
      </w:tr>
      <w:tr w:rsidR="00745301" w:rsidRPr="007D37CF" w14:paraId="3390F8DB"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3714F706"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Medical supplies </w:t>
            </w:r>
          </w:p>
        </w:tc>
        <w:tc>
          <w:tcPr>
            <w:tcW w:w="1418" w:type="dxa"/>
            <w:tcBorders>
              <w:top w:val="nil"/>
              <w:left w:val="nil"/>
              <w:bottom w:val="single" w:sz="4" w:space="0" w:color="000000"/>
              <w:right w:val="nil"/>
            </w:tcBorders>
            <w:shd w:val="clear" w:color="000000" w:fill="FFFFFF"/>
            <w:noWrap/>
            <w:vAlign w:val="center"/>
            <w:hideMark/>
          </w:tcPr>
          <w:p w14:paraId="3A5573D4" w14:textId="132259F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250</w:t>
            </w:r>
          </w:p>
        </w:tc>
        <w:tc>
          <w:tcPr>
            <w:tcW w:w="1134" w:type="dxa"/>
            <w:tcBorders>
              <w:top w:val="nil"/>
              <w:left w:val="nil"/>
              <w:bottom w:val="single" w:sz="4" w:space="0" w:color="000000"/>
              <w:right w:val="nil"/>
            </w:tcBorders>
            <w:shd w:val="clear" w:color="000000" w:fill="FFFFFF"/>
            <w:noWrap/>
            <w:vAlign w:val="center"/>
            <w:hideMark/>
          </w:tcPr>
          <w:p w14:paraId="7B49585D" w14:textId="451E2F4F"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229</w:t>
            </w:r>
          </w:p>
        </w:tc>
        <w:tc>
          <w:tcPr>
            <w:tcW w:w="1276" w:type="dxa"/>
            <w:tcBorders>
              <w:top w:val="nil"/>
              <w:left w:val="nil"/>
              <w:bottom w:val="single" w:sz="4" w:space="0" w:color="000000"/>
              <w:right w:val="nil"/>
            </w:tcBorders>
            <w:shd w:val="clear" w:color="000000" w:fill="FFFFFF"/>
            <w:noWrap/>
            <w:vAlign w:val="center"/>
            <w:hideMark/>
          </w:tcPr>
          <w:p w14:paraId="47CFEB82" w14:textId="3AE19F5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17</w:t>
            </w:r>
          </w:p>
        </w:tc>
        <w:tc>
          <w:tcPr>
            <w:tcW w:w="992" w:type="dxa"/>
            <w:tcBorders>
              <w:top w:val="nil"/>
              <w:left w:val="nil"/>
              <w:bottom w:val="single" w:sz="4" w:space="0" w:color="000000"/>
              <w:right w:val="nil"/>
            </w:tcBorders>
            <w:shd w:val="clear" w:color="000000" w:fill="FFFFFF"/>
            <w:noWrap/>
            <w:vAlign w:val="center"/>
            <w:hideMark/>
          </w:tcPr>
          <w:p w14:paraId="0E8AC0A8" w14:textId="3A332FEA"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9</w:t>
            </w:r>
          </w:p>
        </w:tc>
        <w:tc>
          <w:tcPr>
            <w:tcW w:w="1134" w:type="dxa"/>
            <w:tcBorders>
              <w:top w:val="nil"/>
              <w:left w:val="nil"/>
              <w:bottom w:val="single" w:sz="4" w:space="0" w:color="000000"/>
              <w:right w:val="nil"/>
            </w:tcBorders>
            <w:shd w:val="clear" w:color="000000" w:fill="FFFFFF"/>
            <w:noWrap/>
            <w:vAlign w:val="center"/>
            <w:hideMark/>
          </w:tcPr>
          <w:p w14:paraId="7C0DAC1E" w14:textId="42C13C65"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70</w:t>
            </w:r>
          </w:p>
        </w:tc>
      </w:tr>
      <w:tr w:rsidR="00745301" w:rsidRPr="007D37CF" w14:paraId="38904900"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5BA7AA12"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Goods and services </w:t>
            </w:r>
          </w:p>
        </w:tc>
        <w:tc>
          <w:tcPr>
            <w:tcW w:w="1418" w:type="dxa"/>
            <w:tcBorders>
              <w:top w:val="nil"/>
              <w:left w:val="nil"/>
              <w:bottom w:val="single" w:sz="4" w:space="0" w:color="000000"/>
              <w:right w:val="nil"/>
            </w:tcBorders>
            <w:shd w:val="clear" w:color="000000" w:fill="FFFFFF"/>
            <w:noWrap/>
            <w:vAlign w:val="center"/>
            <w:hideMark/>
          </w:tcPr>
          <w:p w14:paraId="4A345D70" w14:textId="2D8C8A50"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442</w:t>
            </w:r>
          </w:p>
        </w:tc>
        <w:tc>
          <w:tcPr>
            <w:tcW w:w="1134" w:type="dxa"/>
            <w:tcBorders>
              <w:top w:val="nil"/>
              <w:left w:val="nil"/>
              <w:bottom w:val="single" w:sz="4" w:space="0" w:color="000000"/>
              <w:right w:val="nil"/>
            </w:tcBorders>
            <w:shd w:val="clear" w:color="000000" w:fill="FFFFFF"/>
            <w:noWrap/>
            <w:vAlign w:val="center"/>
            <w:hideMark/>
          </w:tcPr>
          <w:p w14:paraId="55F176EA" w14:textId="19739E4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1,285</w:t>
            </w:r>
          </w:p>
        </w:tc>
        <w:tc>
          <w:tcPr>
            <w:tcW w:w="1276" w:type="dxa"/>
            <w:tcBorders>
              <w:top w:val="nil"/>
              <w:left w:val="nil"/>
              <w:bottom w:val="single" w:sz="4" w:space="0" w:color="000000"/>
              <w:right w:val="nil"/>
            </w:tcBorders>
            <w:shd w:val="clear" w:color="000000" w:fill="FFFFFF"/>
            <w:noWrap/>
            <w:vAlign w:val="center"/>
            <w:hideMark/>
          </w:tcPr>
          <w:p w14:paraId="2B6BD80F" w14:textId="421D0A58"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69</w:t>
            </w:r>
          </w:p>
        </w:tc>
        <w:tc>
          <w:tcPr>
            <w:tcW w:w="992" w:type="dxa"/>
            <w:tcBorders>
              <w:top w:val="nil"/>
              <w:left w:val="nil"/>
              <w:bottom w:val="single" w:sz="4" w:space="0" w:color="000000"/>
              <w:right w:val="nil"/>
            </w:tcBorders>
            <w:shd w:val="clear" w:color="000000" w:fill="FFFFFF"/>
            <w:noWrap/>
            <w:vAlign w:val="center"/>
            <w:hideMark/>
          </w:tcPr>
          <w:p w14:paraId="634C8440" w14:textId="1D0F7970"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33</w:t>
            </w:r>
          </w:p>
        </w:tc>
        <w:tc>
          <w:tcPr>
            <w:tcW w:w="1134" w:type="dxa"/>
            <w:tcBorders>
              <w:top w:val="nil"/>
              <w:left w:val="nil"/>
              <w:bottom w:val="single" w:sz="4" w:space="0" w:color="000000"/>
              <w:right w:val="nil"/>
            </w:tcBorders>
            <w:shd w:val="clear" w:color="000000" w:fill="FFFFFF"/>
            <w:noWrap/>
            <w:vAlign w:val="center"/>
            <w:hideMark/>
          </w:tcPr>
          <w:p w14:paraId="097A6C10" w14:textId="29AF33AD" w:rsidR="00745301" w:rsidRPr="007D37CF" w:rsidRDefault="00A41293" w:rsidP="00A41293">
            <w:pPr>
              <w:spacing w:before="0" w:after="0" w:line="240" w:lineRule="auto"/>
              <w:jc w:val="center"/>
              <w:rPr>
                <w:rFonts w:ascii="Calibri" w:hAnsi="Calibri"/>
                <w:color w:val="000000" w:themeColor="text1"/>
                <w:sz w:val="18"/>
                <w:szCs w:val="18"/>
                <w:lang w:val="en-US" w:eastAsia="en-US"/>
              </w:rPr>
            </w:pPr>
            <w:r w:rsidRPr="007D37CF">
              <w:rPr>
                <w:rFonts w:cs="Arial"/>
                <w:color w:val="000000" w:themeColor="text1"/>
                <w:sz w:val="18"/>
                <w:szCs w:val="18"/>
                <w:lang w:val="en-US" w:eastAsia="en-US"/>
              </w:rPr>
              <w:t>1,230</w:t>
            </w:r>
          </w:p>
        </w:tc>
      </w:tr>
      <w:tr w:rsidR="00745301" w:rsidRPr="007D37CF" w14:paraId="710E3B16"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124D5EC4" w14:textId="50CF3809"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Pharmaceuticals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PBS </w:t>
            </w:r>
          </w:p>
        </w:tc>
        <w:tc>
          <w:tcPr>
            <w:tcW w:w="1418" w:type="dxa"/>
            <w:tcBorders>
              <w:top w:val="nil"/>
              <w:left w:val="nil"/>
              <w:bottom w:val="single" w:sz="4" w:space="0" w:color="000000"/>
              <w:right w:val="nil"/>
            </w:tcBorders>
            <w:shd w:val="clear" w:color="000000" w:fill="FFFFFF"/>
            <w:noWrap/>
            <w:vAlign w:val="center"/>
            <w:hideMark/>
          </w:tcPr>
          <w:p w14:paraId="3D394FE8" w14:textId="67A1EB42"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54</w:t>
            </w:r>
          </w:p>
        </w:tc>
        <w:tc>
          <w:tcPr>
            <w:tcW w:w="1134" w:type="dxa"/>
            <w:tcBorders>
              <w:top w:val="nil"/>
              <w:left w:val="nil"/>
              <w:bottom w:val="single" w:sz="4" w:space="0" w:color="000000"/>
              <w:right w:val="nil"/>
            </w:tcBorders>
            <w:shd w:val="clear" w:color="000000" w:fill="FFFFFF"/>
            <w:noWrap/>
            <w:vAlign w:val="center"/>
            <w:hideMark/>
          </w:tcPr>
          <w:p w14:paraId="5ABB54CA" w14:textId="143C4023"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34</w:t>
            </w:r>
          </w:p>
        </w:tc>
        <w:tc>
          <w:tcPr>
            <w:tcW w:w="1276" w:type="dxa"/>
            <w:tcBorders>
              <w:top w:val="nil"/>
              <w:left w:val="nil"/>
              <w:bottom w:val="single" w:sz="4" w:space="0" w:color="000000"/>
              <w:right w:val="nil"/>
            </w:tcBorders>
            <w:shd w:val="clear" w:color="000000" w:fill="FFFFFF"/>
            <w:noWrap/>
            <w:vAlign w:val="center"/>
            <w:hideMark/>
          </w:tcPr>
          <w:p w14:paraId="5FB0BD98" w14:textId="3C520E1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w:t>
            </w:r>
          </w:p>
        </w:tc>
        <w:tc>
          <w:tcPr>
            <w:tcW w:w="992" w:type="dxa"/>
            <w:tcBorders>
              <w:top w:val="nil"/>
              <w:left w:val="nil"/>
              <w:bottom w:val="single" w:sz="4" w:space="0" w:color="000000"/>
              <w:right w:val="nil"/>
            </w:tcBorders>
            <w:shd w:val="clear" w:color="000000" w:fill="FFFFFF"/>
            <w:noWrap/>
            <w:vAlign w:val="center"/>
            <w:hideMark/>
          </w:tcPr>
          <w:p w14:paraId="1A6665DC" w14:textId="49370928"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25</w:t>
            </w:r>
          </w:p>
        </w:tc>
        <w:tc>
          <w:tcPr>
            <w:tcW w:w="1134" w:type="dxa"/>
            <w:tcBorders>
              <w:top w:val="nil"/>
              <w:left w:val="nil"/>
              <w:bottom w:val="single" w:sz="4" w:space="0" w:color="000000"/>
              <w:right w:val="nil"/>
            </w:tcBorders>
            <w:shd w:val="clear" w:color="000000" w:fill="FFFFFF"/>
            <w:noWrap/>
            <w:vAlign w:val="center"/>
            <w:hideMark/>
          </w:tcPr>
          <w:p w14:paraId="655E6324" w14:textId="16E45433" w:rsidR="00745301" w:rsidRPr="007D37CF" w:rsidRDefault="00A41293" w:rsidP="00A41293">
            <w:pPr>
              <w:spacing w:before="0" w:after="0" w:line="240" w:lineRule="auto"/>
              <w:jc w:val="center"/>
              <w:rPr>
                <w:rFonts w:ascii="Calibri" w:hAnsi="Calibri"/>
                <w:color w:val="000000" w:themeColor="text1"/>
                <w:sz w:val="18"/>
                <w:szCs w:val="18"/>
                <w:lang w:val="en-US" w:eastAsia="en-US"/>
              </w:rPr>
            </w:pPr>
            <w:r w:rsidRPr="007D37CF">
              <w:rPr>
                <w:rFonts w:cs="Arial"/>
                <w:color w:val="000000" w:themeColor="text1"/>
                <w:sz w:val="18"/>
                <w:szCs w:val="18"/>
                <w:lang w:val="en-US" w:eastAsia="en-US"/>
              </w:rPr>
              <w:t>14</w:t>
            </w:r>
          </w:p>
        </w:tc>
      </w:tr>
      <w:tr w:rsidR="00745301" w:rsidRPr="007D37CF" w14:paraId="0D24672E"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49FDA11F" w14:textId="3CDA77B4"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Pharmaceuticals</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nonPBS </w:t>
            </w:r>
          </w:p>
        </w:tc>
        <w:tc>
          <w:tcPr>
            <w:tcW w:w="1418" w:type="dxa"/>
            <w:tcBorders>
              <w:top w:val="nil"/>
              <w:left w:val="nil"/>
              <w:bottom w:val="single" w:sz="4" w:space="0" w:color="000000"/>
              <w:right w:val="nil"/>
            </w:tcBorders>
            <w:shd w:val="clear" w:color="000000" w:fill="FFFFFF"/>
            <w:noWrap/>
            <w:vAlign w:val="center"/>
            <w:hideMark/>
          </w:tcPr>
          <w:p w14:paraId="221AEBEB" w14:textId="77EEABA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133</w:t>
            </w:r>
          </w:p>
        </w:tc>
        <w:tc>
          <w:tcPr>
            <w:tcW w:w="1134" w:type="dxa"/>
            <w:tcBorders>
              <w:top w:val="nil"/>
              <w:left w:val="nil"/>
              <w:bottom w:val="single" w:sz="4" w:space="0" w:color="000000"/>
              <w:right w:val="nil"/>
            </w:tcBorders>
            <w:shd w:val="clear" w:color="000000" w:fill="FFFFFF"/>
            <w:noWrap/>
            <w:vAlign w:val="center"/>
            <w:hideMark/>
          </w:tcPr>
          <w:p w14:paraId="7DD95F0C" w14:textId="230118E4"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179</w:t>
            </w:r>
          </w:p>
        </w:tc>
        <w:tc>
          <w:tcPr>
            <w:tcW w:w="1276" w:type="dxa"/>
            <w:tcBorders>
              <w:top w:val="nil"/>
              <w:left w:val="nil"/>
              <w:bottom w:val="single" w:sz="4" w:space="0" w:color="000000"/>
              <w:right w:val="nil"/>
            </w:tcBorders>
            <w:shd w:val="clear" w:color="000000" w:fill="FFFFFF"/>
            <w:noWrap/>
            <w:vAlign w:val="center"/>
            <w:hideMark/>
          </w:tcPr>
          <w:p w14:paraId="172056E8" w14:textId="24AF489A"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6</w:t>
            </w:r>
          </w:p>
        </w:tc>
        <w:tc>
          <w:tcPr>
            <w:tcW w:w="992" w:type="dxa"/>
            <w:tcBorders>
              <w:top w:val="nil"/>
              <w:left w:val="nil"/>
              <w:bottom w:val="single" w:sz="4" w:space="0" w:color="000000"/>
              <w:right w:val="nil"/>
            </w:tcBorders>
            <w:shd w:val="clear" w:color="000000" w:fill="FFFFFF"/>
            <w:noWrap/>
            <w:vAlign w:val="center"/>
            <w:hideMark/>
          </w:tcPr>
          <w:p w14:paraId="4EB2CC62" w14:textId="3792AFB2"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6</w:t>
            </w:r>
          </w:p>
        </w:tc>
        <w:tc>
          <w:tcPr>
            <w:tcW w:w="1134" w:type="dxa"/>
            <w:tcBorders>
              <w:top w:val="nil"/>
              <w:left w:val="nil"/>
              <w:bottom w:val="single" w:sz="4" w:space="0" w:color="000000"/>
              <w:right w:val="nil"/>
            </w:tcBorders>
            <w:shd w:val="clear" w:color="000000" w:fill="FFFFFF"/>
            <w:noWrap/>
            <w:vAlign w:val="center"/>
            <w:hideMark/>
          </w:tcPr>
          <w:p w14:paraId="3C57BE18" w14:textId="1A680C45" w:rsidR="00745301" w:rsidRPr="007D37CF" w:rsidRDefault="00A41293" w:rsidP="00A41293">
            <w:pPr>
              <w:spacing w:before="0" w:after="0" w:line="240" w:lineRule="auto"/>
              <w:jc w:val="center"/>
              <w:rPr>
                <w:rFonts w:ascii="Calibri" w:hAnsi="Calibri"/>
                <w:color w:val="000000" w:themeColor="text1"/>
                <w:sz w:val="18"/>
                <w:szCs w:val="18"/>
                <w:lang w:val="en-US" w:eastAsia="en-US"/>
              </w:rPr>
            </w:pPr>
            <w:r w:rsidRPr="007D37CF">
              <w:rPr>
                <w:rFonts w:cs="Arial"/>
                <w:color w:val="000000" w:themeColor="text1"/>
                <w:sz w:val="18"/>
                <w:szCs w:val="18"/>
                <w:lang w:val="en-US" w:eastAsia="en-US"/>
              </w:rPr>
              <w:t>127</w:t>
            </w:r>
          </w:p>
        </w:tc>
      </w:tr>
      <w:tr w:rsidR="00745301" w:rsidRPr="007D37CF" w14:paraId="576D7C0D"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4896F5A0"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Blood </w:t>
            </w:r>
          </w:p>
        </w:tc>
        <w:tc>
          <w:tcPr>
            <w:tcW w:w="1418" w:type="dxa"/>
            <w:tcBorders>
              <w:top w:val="nil"/>
              <w:left w:val="nil"/>
              <w:bottom w:val="single" w:sz="4" w:space="0" w:color="000000"/>
              <w:right w:val="nil"/>
            </w:tcBorders>
            <w:shd w:val="clear" w:color="000000" w:fill="FFFFFF"/>
            <w:noWrap/>
            <w:vAlign w:val="center"/>
            <w:hideMark/>
          </w:tcPr>
          <w:p w14:paraId="6259D184" w14:textId="2CE49CF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36</w:t>
            </w:r>
          </w:p>
        </w:tc>
        <w:tc>
          <w:tcPr>
            <w:tcW w:w="1134" w:type="dxa"/>
            <w:tcBorders>
              <w:top w:val="nil"/>
              <w:left w:val="nil"/>
              <w:bottom w:val="single" w:sz="4" w:space="0" w:color="000000"/>
              <w:right w:val="nil"/>
            </w:tcBorders>
            <w:shd w:val="clear" w:color="000000" w:fill="FFFFFF"/>
            <w:noWrap/>
            <w:vAlign w:val="center"/>
            <w:hideMark/>
          </w:tcPr>
          <w:p w14:paraId="2AC79F5A" w14:textId="550203C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11</w:t>
            </w:r>
          </w:p>
        </w:tc>
        <w:tc>
          <w:tcPr>
            <w:tcW w:w="1276" w:type="dxa"/>
            <w:tcBorders>
              <w:top w:val="nil"/>
              <w:left w:val="nil"/>
              <w:bottom w:val="single" w:sz="4" w:space="0" w:color="000000"/>
              <w:right w:val="nil"/>
            </w:tcBorders>
            <w:shd w:val="clear" w:color="000000" w:fill="FFFFFF"/>
            <w:noWrap/>
            <w:vAlign w:val="center"/>
            <w:hideMark/>
          </w:tcPr>
          <w:p w14:paraId="473916D6" w14:textId="48754F0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w:t>
            </w:r>
          </w:p>
        </w:tc>
        <w:tc>
          <w:tcPr>
            <w:tcW w:w="992" w:type="dxa"/>
            <w:tcBorders>
              <w:top w:val="nil"/>
              <w:left w:val="nil"/>
              <w:bottom w:val="single" w:sz="4" w:space="0" w:color="000000"/>
              <w:right w:val="nil"/>
            </w:tcBorders>
            <w:shd w:val="clear" w:color="000000" w:fill="FFFFFF"/>
            <w:noWrap/>
            <w:vAlign w:val="center"/>
            <w:hideMark/>
          </w:tcPr>
          <w:p w14:paraId="742DF318" w14:textId="0CCC2774"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w:t>
            </w:r>
          </w:p>
        </w:tc>
        <w:tc>
          <w:tcPr>
            <w:tcW w:w="1134" w:type="dxa"/>
            <w:tcBorders>
              <w:top w:val="nil"/>
              <w:left w:val="nil"/>
              <w:bottom w:val="single" w:sz="4" w:space="0" w:color="000000"/>
              <w:right w:val="nil"/>
            </w:tcBorders>
            <w:shd w:val="clear" w:color="000000" w:fill="FFFFFF"/>
            <w:noWrap/>
            <w:vAlign w:val="center"/>
            <w:hideMark/>
          </w:tcPr>
          <w:p w14:paraId="21D3DA61" w14:textId="778EDEE8" w:rsidR="00745301" w:rsidRPr="007D37CF" w:rsidRDefault="00A41293" w:rsidP="00A41293">
            <w:pPr>
              <w:spacing w:before="0" w:after="0" w:line="240" w:lineRule="auto"/>
              <w:jc w:val="center"/>
              <w:rPr>
                <w:rFonts w:ascii="Calibri" w:hAnsi="Calibri"/>
                <w:color w:val="000000" w:themeColor="text1"/>
                <w:sz w:val="18"/>
                <w:szCs w:val="18"/>
                <w:lang w:val="en-US" w:eastAsia="en-US"/>
              </w:rPr>
            </w:pPr>
            <w:r w:rsidRPr="007D37CF">
              <w:rPr>
                <w:rFonts w:ascii="Calibri" w:hAnsi="Calibri"/>
                <w:color w:val="000000" w:themeColor="text1"/>
                <w:sz w:val="18"/>
                <w:szCs w:val="18"/>
                <w:lang w:val="en-US" w:eastAsia="en-US"/>
              </w:rPr>
              <w:t>2</w:t>
            </w:r>
          </w:p>
        </w:tc>
      </w:tr>
      <w:tr w:rsidR="00745301" w:rsidRPr="007D37CF" w14:paraId="267AF7BB"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1E3CDD22" w14:textId="122627AE"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Depreciation</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building </w:t>
            </w:r>
          </w:p>
        </w:tc>
        <w:tc>
          <w:tcPr>
            <w:tcW w:w="1418" w:type="dxa"/>
            <w:tcBorders>
              <w:top w:val="nil"/>
              <w:left w:val="nil"/>
              <w:bottom w:val="single" w:sz="4" w:space="0" w:color="000000"/>
              <w:right w:val="nil"/>
            </w:tcBorders>
            <w:shd w:val="clear" w:color="000000" w:fill="FFFFFF"/>
            <w:noWrap/>
            <w:vAlign w:val="center"/>
            <w:hideMark/>
          </w:tcPr>
          <w:p w14:paraId="1FFC3619" w14:textId="70DF0C08"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102</w:t>
            </w:r>
          </w:p>
        </w:tc>
        <w:tc>
          <w:tcPr>
            <w:tcW w:w="1134" w:type="dxa"/>
            <w:tcBorders>
              <w:top w:val="nil"/>
              <w:left w:val="nil"/>
              <w:bottom w:val="single" w:sz="4" w:space="0" w:color="000000"/>
              <w:right w:val="nil"/>
            </w:tcBorders>
            <w:shd w:val="clear" w:color="000000" w:fill="FFFFFF"/>
            <w:noWrap/>
            <w:vAlign w:val="center"/>
            <w:hideMark/>
          </w:tcPr>
          <w:p w14:paraId="29B42145" w14:textId="4A23F2C8"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288</w:t>
            </w:r>
          </w:p>
        </w:tc>
        <w:tc>
          <w:tcPr>
            <w:tcW w:w="1276" w:type="dxa"/>
            <w:tcBorders>
              <w:top w:val="nil"/>
              <w:left w:val="nil"/>
              <w:bottom w:val="single" w:sz="4" w:space="0" w:color="000000"/>
              <w:right w:val="nil"/>
            </w:tcBorders>
            <w:shd w:val="clear" w:color="000000" w:fill="FFFFFF"/>
            <w:noWrap/>
            <w:vAlign w:val="center"/>
            <w:hideMark/>
          </w:tcPr>
          <w:p w14:paraId="7E6D12C7" w14:textId="2133578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16</w:t>
            </w:r>
          </w:p>
        </w:tc>
        <w:tc>
          <w:tcPr>
            <w:tcW w:w="992" w:type="dxa"/>
            <w:tcBorders>
              <w:top w:val="nil"/>
              <w:left w:val="nil"/>
              <w:bottom w:val="single" w:sz="4" w:space="0" w:color="000000"/>
              <w:right w:val="nil"/>
            </w:tcBorders>
            <w:shd w:val="clear" w:color="000000" w:fill="FFFFFF"/>
            <w:noWrap/>
            <w:vAlign w:val="center"/>
            <w:hideMark/>
          </w:tcPr>
          <w:p w14:paraId="39765DC5" w14:textId="3F03364D"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7</w:t>
            </w:r>
          </w:p>
        </w:tc>
        <w:tc>
          <w:tcPr>
            <w:tcW w:w="1134" w:type="dxa"/>
            <w:tcBorders>
              <w:top w:val="nil"/>
              <w:left w:val="nil"/>
              <w:bottom w:val="single" w:sz="4" w:space="0" w:color="000000"/>
              <w:right w:val="nil"/>
            </w:tcBorders>
            <w:shd w:val="clear" w:color="000000" w:fill="FFFFFF"/>
            <w:noWrap/>
            <w:vAlign w:val="center"/>
            <w:hideMark/>
          </w:tcPr>
          <w:p w14:paraId="0CF8239D" w14:textId="1207C8B0"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309</w:t>
            </w:r>
          </w:p>
        </w:tc>
      </w:tr>
      <w:tr w:rsidR="00745301" w:rsidRPr="007D37CF" w14:paraId="05227AC6"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567E9587" w14:textId="64E633A6"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Depreciation</w:t>
            </w:r>
            <w:r w:rsidR="00EE4C4B">
              <w:rPr>
                <w:rFonts w:cs="Arial"/>
                <w:color w:val="000000"/>
                <w:sz w:val="18"/>
                <w:szCs w:val="18"/>
                <w:lang w:val="en-US" w:eastAsia="en-US"/>
              </w:rPr>
              <w:t xml:space="preserve"> </w:t>
            </w:r>
            <w:r w:rsidRPr="007D37CF">
              <w:rPr>
                <w:rFonts w:cs="Arial"/>
                <w:color w:val="000000"/>
                <w:sz w:val="18"/>
                <w:szCs w:val="18"/>
                <w:lang w:val="en-US" w:eastAsia="en-US"/>
              </w:rPr>
              <w:t xml:space="preserve">equipment </w:t>
            </w:r>
          </w:p>
        </w:tc>
        <w:tc>
          <w:tcPr>
            <w:tcW w:w="1418" w:type="dxa"/>
            <w:tcBorders>
              <w:top w:val="nil"/>
              <w:left w:val="nil"/>
              <w:bottom w:val="single" w:sz="4" w:space="0" w:color="000000"/>
              <w:right w:val="nil"/>
            </w:tcBorders>
            <w:shd w:val="clear" w:color="000000" w:fill="FFFFFF"/>
            <w:noWrap/>
            <w:vAlign w:val="center"/>
            <w:hideMark/>
          </w:tcPr>
          <w:p w14:paraId="513B38A7" w14:textId="7C89CB8F"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43</w:t>
            </w:r>
          </w:p>
        </w:tc>
        <w:tc>
          <w:tcPr>
            <w:tcW w:w="1134" w:type="dxa"/>
            <w:tcBorders>
              <w:top w:val="nil"/>
              <w:left w:val="nil"/>
              <w:bottom w:val="single" w:sz="4" w:space="0" w:color="000000"/>
              <w:right w:val="nil"/>
            </w:tcBorders>
            <w:shd w:val="clear" w:color="000000" w:fill="FFFFFF"/>
            <w:noWrap/>
            <w:vAlign w:val="center"/>
            <w:hideMark/>
          </w:tcPr>
          <w:p w14:paraId="67F94BFC" w14:textId="0A87E7E3"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70</w:t>
            </w:r>
          </w:p>
        </w:tc>
        <w:tc>
          <w:tcPr>
            <w:tcW w:w="1276" w:type="dxa"/>
            <w:tcBorders>
              <w:top w:val="nil"/>
              <w:left w:val="nil"/>
              <w:bottom w:val="single" w:sz="4" w:space="0" w:color="000000"/>
              <w:right w:val="nil"/>
            </w:tcBorders>
            <w:shd w:val="clear" w:color="000000" w:fill="FFFFFF"/>
            <w:noWrap/>
            <w:vAlign w:val="center"/>
            <w:hideMark/>
          </w:tcPr>
          <w:p w14:paraId="61E50346" w14:textId="5E985D74"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6</w:t>
            </w:r>
          </w:p>
        </w:tc>
        <w:tc>
          <w:tcPr>
            <w:tcW w:w="992" w:type="dxa"/>
            <w:tcBorders>
              <w:top w:val="nil"/>
              <w:left w:val="nil"/>
              <w:bottom w:val="single" w:sz="4" w:space="0" w:color="000000"/>
              <w:right w:val="nil"/>
            </w:tcBorders>
            <w:shd w:val="clear" w:color="000000" w:fill="FFFFFF"/>
            <w:noWrap/>
            <w:vAlign w:val="center"/>
            <w:hideMark/>
          </w:tcPr>
          <w:p w14:paraId="29BB7085" w14:textId="187334C3"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w:t>
            </w:r>
          </w:p>
        </w:tc>
        <w:tc>
          <w:tcPr>
            <w:tcW w:w="1134" w:type="dxa"/>
            <w:tcBorders>
              <w:top w:val="nil"/>
              <w:left w:val="nil"/>
              <w:bottom w:val="single" w:sz="4" w:space="0" w:color="000000"/>
              <w:right w:val="nil"/>
            </w:tcBorders>
            <w:shd w:val="clear" w:color="000000" w:fill="FFFFFF"/>
            <w:noWrap/>
            <w:vAlign w:val="center"/>
            <w:hideMark/>
          </w:tcPr>
          <w:p w14:paraId="16D85ADC" w14:textId="5EF50200"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47</w:t>
            </w:r>
          </w:p>
        </w:tc>
      </w:tr>
      <w:tr w:rsidR="00745301" w:rsidRPr="007D37CF" w14:paraId="59951AA1"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16CCB109"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Hotel </w:t>
            </w:r>
          </w:p>
        </w:tc>
        <w:tc>
          <w:tcPr>
            <w:tcW w:w="1418" w:type="dxa"/>
            <w:tcBorders>
              <w:top w:val="nil"/>
              <w:left w:val="nil"/>
              <w:bottom w:val="single" w:sz="4" w:space="0" w:color="000000"/>
              <w:right w:val="nil"/>
            </w:tcBorders>
            <w:shd w:val="clear" w:color="000000" w:fill="FFFFFF"/>
            <w:noWrap/>
            <w:vAlign w:val="center"/>
            <w:hideMark/>
          </w:tcPr>
          <w:p w14:paraId="45B0551A" w14:textId="72DB0FD5"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150</w:t>
            </w:r>
          </w:p>
        </w:tc>
        <w:tc>
          <w:tcPr>
            <w:tcW w:w="1134" w:type="dxa"/>
            <w:tcBorders>
              <w:top w:val="nil"/>
              <w:left w:val="nil"/>
              <w:bottom w:val="single" w:sz="4" w:space="0" w:color="000000"/>
              <w:right w:val="nil"/>
            </w:tcBorders>
            <w:shd w:val="clear" w:color="000000" w:fill="FFFFFF"/>
            <w:noWrap/>
            <w:vAlign w:val="center"/>
            <w:hideMark/>
          </w:tcPr>
          <w:p w14:paraId="18BD8E14" w14:textId="3EF245AB"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619</w:t>
            </w:r>
          </w:p>
        </w:tc>
        <w:tc>
          <w:tcPr>
            <w:tcW w:w="1276" w:type="dxa"/>
            <w:tcBorders>
              <w:top w:val="nil"/>
              <w:left w:val="nil"/>
              <w:bottom w:val="single" w:sz="4" w:space="0" w:color="000000"/>
              <w:right w:val="nil"/>
            </w:tcBorders>
            <w:shd w:val="clear" w:color="000000" w:fill="FFFFFF"/>
            <w:noWrap/>
            <w:vAlign w:val="center"/>
            <w:hideMark/>
          </w:tcPr>
          <w:p w14:paraId="3B00619E" w14:textId="725EF022"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15</w:t>
            </w:r>
          </w:p>
        </w:tc>
        <w:tc>
          <w:tcPr>
            <w:tcW w:w="992" w:type="dxa"/>
            <w:tcBorders>
              <w:top w:val="nil"/>
              <w:left w:val="nil"/>
              <w:bottom w:val="single" w:sz="4" w:space="0" w:color="000000"/>
              <w:right w:val="nil"/>
            </w:tcBorders>
            <w:shd w:val="clear" w:color="000000" w:fill="FFFFFF"/>
            <w:noWrap/>
            <w:vAlign w:val="center"/>
            <w:hideMark/>
          </w:tcPr>
          <w:p w14:paraId="18ADC7C3" w14:textId="0F9E33C6"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w:t>
            </w:r>
          </w:p>
        </w:tc>
        <w:tc>
          <w:tcPr>
            <w:tcW w:w="1134" w:type="dxa"/>
            <w:tcBorders>
              <w:top w:val="nil"/>
              <w:left w:val="nil"/>
              <w:bottom w:val="single" w:sz="4" w:space="0" w:color="000000"/>
              <w:right w:val="nil"/>
            </w:tcBorders>
            <w:shd w:val="clear" w:color="000000" w:fill="FFFFFF"/>
            <w:noWrap/>
            <w:vAlign w:val="center"/>
            <w:hideMark/>
          </w:tcPr>
          <w:p w14:paraId="5DD543C1" w14:textId="385F1649"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449</w:t>
            </w:r>
          </w:p>
        </w:tc>
      </w:tr>
      <w:tr w:rsidR="00745301" w:rsidRPr="007D37CF" w14:paraId="2E37C8AD"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482B7252"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Corporate </w:t>
            </w:r>
          </w:p>
        </w:tc>
        <w:tc>
          <w:tcPr>
            <w:tcW w:w="1418" w:type="dxa"/>
            <w:tcBorders>
              <w:top w:val="nil"/>
              <w:left w:val="nil"/>
              <w:bottom w:val="single" w:sz="4" w:space="0" w:color="000000"/>
              <w:right w:val="nil"/>
            </w:tcBorders>
            <w:shd w:val="clear" w:color="000000" w:fill="FFFFFF"/>
            <w:noWrap/>
            <w:vAlign w:val="center"/>
            <w:hideMark/>
          </w:tcPr>
          <w:p w14:paraId="45CD99D7" w14:textId="4F23E2E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22</w:t>
            </w:r>
          </w:p>
        </w:tc>
        <w:tc>
          <w:tcPr>
            <w:tcW w:w="1134" w:type="dxa"/>
            <w:tcBorders>
              <w:top w:val="nil"/>
              <w:left w:val="nil"/>
              <w:bottom w:val="single" w:sz="4" w:space="0" w:color="000000"/>
              <w:right w:val="nil"/>
            </w:tcBorders>
            <w:shd w:val="clear" w:color="000000" w:fill="FFFFFF"/>
            <w:noWrap/>
            <w:vAlign w:val="center"/>
            <w:hideMark/>
          </w:tcPr>
          <w:p w14:paraId="7B93B614" w14:textId="62F404C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67</w:t>
            </w:r>
          </w:p>
        </w:tc>
        <w:tc>
          <w:tcPr>
            <w:tcW w:w="1276" w:type="dxa"/>
            <w:tcBorders>
              <w:top w:val="nil"/>
              <w:left w:val="nil"/>
              <w:bottom w:val="single" w:sz="4" w:space="0" w:color="000000"/>
              <w:right w:val="nil"/>
            </w:tcBorders>
            <w:shd w:val="clear" w:color="000000" w:fill="FFFFFF"/>
            <w:noWrap/>
            <w:vAlign w:val="center"/>
            <w:hideMark/>
          </w:tcPr>
          <w:p w14:paraId="6CBD0976" w14:textId="28E6CD80"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5</w:t>
            </w:r>
          </w:p>
        </w:tc>
        <w:tc>
          <w:tcPr>
            <w:tcW w:w="992" w:type="dxa"/>
            <w:tcBorders>
              <w:top w:val="nil"/>
              <w:left w:val="nil"/>
              <w:bottom w:val="single" w:sz="4" w:space="0" w:color="000000"/>
              <w:right w:val="nil"/>
            </w:tcBorders>
            <w:shd w:val="clear" w:color="000000" w:fill="FFFFFF"/>
            <w:noWrap/>
            <w:vAlign w:val="center"/>
            <w:hideMark/>
          </w:tcPr>
          <w:p w14:paraId="2B20D8CC" w14:textId="2AD90B29"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w:t>
            </w:r>
          </w:p>
        </w:tc>
        <w:tc>
          <w:tcPr>
            <w:tcW w:w="1134" w:type="dxa"/>
            <w:tcBorders>
              <w:top w:val="nil"/>
              <w:left w:val="nil"/>
              <w:bottom w:val="single" w:sz="4" w:space="0" w:color="000000"/>
              <w:right w:val="nil"/>
            </w:tcBorders>
            <w:shd w:val="clear" w:color="000000" w:fill="FFFFFF"/>
            <w:noWrap/>
            <w:vAlign w:val="center"/>
            <w:hideMark/>
          </w:tcPr>
          <w:p w14:paraId="2629D75D" w14:textId="5CEEB9DB"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58</w:t>
            </w:r>
          </w:p>
        </w:tc>
      </w:tr>
      <w:tr w:rsidR="00745301" w:rsidRPr="007D37CF" w14:paraId="763C5A36"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2D1A7009"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Lease </w:t>
            </w:r>
          </w:p>
        </w:tc>
        <w:tc>
          <w:tcPr>
            <w:tcW w:w="1418" w:type="dxa"/>
            <w:tcBorders>
              <w:top w:val="nil"/>
              <w:left w:val="nil"/>
              <w:bottom w:val="single" w:sz="4" w:space="0" w:color="000000"/>
              <w:right w:val="nil"/>
            </w:tcBorders>
            <w:shd w:val="clear" w:color="000000" w:fill="FFFFFF"/>
            <w:noWrap/>
            <w:vAlign w:val="center"/>
            <w:hideMark/>
          </w:tcPr>
          <w:p w14:paraId="6A48E547" w14:textId="71B313D9"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14</w:t>
            </w:r>
          </w:p>
        </w:tc>
        <w:tc>
          <w:tcPr>
            <w:tcW w:w="1134" w:type="dxa"/>
            <w:tcBorders>
              <w:top w:val="nil"/>
              <w:left w:val="nil"/>
              <w:bottom w:val="single" w:sz="4" w:space="0" w:color="000000"/>
              <w:right w:val="nil"/>
            </w:tcBorders>
            <w:shd w:val="clear" w:color="000000" w:fill="FFFFFF"/>
            <w:noWrap/>
            <w:vAlign w:val="center"/>
            <w:hideMark/>
          </w:tcPr>
          <w:p w14:paraId="0990D719" w14:textId="6449C330"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41</w:t>
            </w:r>
          </w:p>
        </w:tc>
        <w:tc>
          <w:tcPr>
            <w:tcW w:w="1276" w:type="dxa"/>
            <w:tcBorders>
              <w:top w:val="nil"/>
              <w:left w:val="nil"/>
              <w:bottom w:val="single" w:sz="4" w:space="0" w:color="000000"/>
              <w:right w:val="nil"/>
            </w:tcBorders>
            <w:shd w:val="clear" w:color="000000" w:fill="FFFFFF"/>
            <w:noWrap/>
            <w:vAlign w:val="center"/>
            <w:hideMark/>
          </w:tcPr>
          <w:p w14:paraId="149888B1" w14:textId="1FEA5587"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2</w:t>
            </w:r>
          </w:p>
        </w:tc>
        <w:tc>
          <w:tcPr>
            <w:tcW w:w="992" w:type="dxa"/>
            <w:tcBorders>
              <w:top w:val="nil"/>
              <w:left w:val="nil"/>
              <w:bottom w:val="single" w:sz="4" w:space="0" w:color="000000"/>
              <w:right w:val="nil"/>
            </w:tcBorders>
            <w:shd w:val="clear" w:color="000000" w:fill="FFFFFF"/>
            <w:noWrap/>
            <w:vAlign w:val="center"/>
            <w:hideMark/>
          </w:tcPr>
          <w:p w14:paraId="3AC0A107" w14:textId="59253991"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w:t>
            </w:r>
          </w:p>
        </w:tc>
        <w:tc>
          <w:tcPr>
            <w:tcW w:w="1134" w:type="dxa"/>
            <w:tcBorders>
              <w:top w:val="nil"/>
              <w:left w:val="nil"/>
              <w:bottom w:val="single" w:sz="4" w:space="0" w:color="000000"/>
              <w:right w:val="nil"/>
            </w:tcBorders>
            <w:shd w:val="clear" w:color="000000" w:fill="FFFFFF"/>
            <w:noWrap/>
            <w:vAlign w:val="center"/>
            <w:hideMark/>
          </w:tcPr>
          <w:p w14:paraId="0AEE6243" w14:textId="2EA91EF6"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23</w:t>
            </w:r>
          </w:p>
        </w:tc>
      </w:tr>
      <w:tr w:rsidR="00745301" w:rsidRPr="007D37CF" w14:paraId="003F03FB" w14:textId="77777777" w:rsidTr="00A41293">
        <w:trPr>
          <w:trHeight w:val="234"/>
        </w:trPr>
        <w:tc>
          <w:tcPr>
            <w:tcW w:w="3402" w:type="dxa"/>
            <w:tcBorders>
              <w:top w:val="nil"/>
              <w:left w:val="nil"/>
              <w:bottom w:val="single" w:sz="4" w:space="0" w:color="000000"/>
              <w:right w:val="nil"/>
            </w:tcBorders>
            <w:shd w:val="clear" w:color="000000" w:fill="FFFFFF"/>
            <w:noWrap/>
            <w:vAlign w:val="bottom"/>
            <w:hideMark/>
          </w:tcPr>
          <w:p w14:paraId="045DBA77" w14:textId="77777777" w:rsidR="00745301" w:rsidRPr="007D37CF" w:rsidRDefault="00745301" w:rsidP="00745301">
            <w:pPr>
              <w:spacing w:before="0" w:after="0" w:line="240" w:lineRule="auto"/>
              <w:rPr>
                <w:rFonts w:cs="Arial"/>
                <w:color w:val="000000"/>
                <w:sz w:val="18"/>
                <w:szCs w:val="18"/>
                <w:lang w:val="en-US" w:eastAsia="en-US"/>
              </w:rPr>
            </w:pPr>
            <w:r w:rsidRPr="007D37CF">
              <w:rPr>
                <w:rFonts w:cs="Arial"/>
                <w:color w:val="000000"/>
                <w:sz w:val="18"/>
                <w:szCs w:val="18"/>
                <w:lang w:val="en-US" w:eastAsia="en-US"/>
              </w:rPr>
              <w:t xml:space="preserve"> Patient Travel </w:t>
            </w:r>
          </w:p>
        </w:tc>
        <w:tc>
          <w:tcPr>
            <w:tcW w:w="1418" w:type="dxa"/>
            <w:tcBorders>
              <w:top w:val="nil"/>
              <w:left w:val="nil"/>
              <w:bottom w:val="single" w:sz="4" w:space="0" w:color="000000"/>
              <w:right w:val="nil"/>
            </w:tcBorders>
            <w:shd w:val="clear" w:color="000000" w:fill="FFFFFF"/>
            <w:noWrap/>
            <w:vAlign w:val="center"/>
            <w:hideMark/>
          </w:tcPr>
          <w:p w14:paraId="1AC709A0" w14:textId="552D98E5"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32</w:t>
            </w:r>
          </w:p>
        </w:tc>
        <w:tc>
          <w:tcPr>
            <w:tcW w:w="1134" w:type="dxa"/>
            <w:tcBorders>
              <w:top w:val="nil"/>
              <w:left w:val="nil"/>
              <w:bottom w:val="single" w:sz="4" w:space="0" w:color="000000"/>
              <w:right w:val="nil"/>
            </w:tcBorders>
            <w:shd w:val="clear" w:color="000000" w:fill="FFFFFF"/>
            <w:noWrap/>
            <w:vAlign w:val="center"/>
            <w:hideMark/>
          </w:tcPr>
          <w:p w14:paraId="60C900E9" w14:textId="6EA24F8C"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82</w:t>
            </w:r>
          </w:p>
        </w:tc>
        <w:tc>
          <w:tcPr>
            <w:tcW w:w="1276" w:type="dxa"/>
            <w:tcBorders>
              <w:top w:val="nil"/>
              <w:left w:val="nil"/>
              <w:bottom w:val="single" w:sz="4" w:space="0" w:color="000000"/>
              <w:right w:val="nil"/>
            </w:tcBorders>
            <w:shd w:val="clear" w:color="000000" w:fill="FFFFFF"/>
            <w:noWrap/>
            <w:vAlign w:val="center"/>
            <w:hideMark/>
          </w:tcPr>
          <w:p w14:paraId="1A34D6EB" w14:textId="24698DC4" w:rsidR="00745301" w:rsidRPr="007D37CF" w:rsidRDefault="00745301" w:rsidP="00745301">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9</w:t>
            </w:r>
          </w:p>
        </w:tc>
        <w:tc>
          <w:tcPr>
            <w:tcW w:w="992" w:type="dxa"/>
            <w:tcBorders>
              <w:top w:val="nil"/>
              <w:left w:val="nil"/>
              <w:bottom w:val="single" w:sz="4" w:space="0" w:color="000000"/>
              <w:right w:val="nil"/>
            </w:tcBorders>
            <w:shd w:val="clear" w:color="000000" w:fill="FFFFFF"/>
            <w:noWrap/>
            <w:vAlign w:val="center"/>
            <w:hideMark/>
          </w:tcPr>
          <w:p w14:paraId="7825BAE7" w14:textId="71B7A57D" w:rsidR="00745301" w:rsidRPr="007D37CF" w:rsidRDefault="00745301" w:rsidP="00745301">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1</w:t>
            </w:r>
          </w:p>
        </w:tc>
        <w:tc>
          <w:tcPr>
            <w:tcW w:w="1134" w:type="dxa"/>
            <w:tcBorders>
              <w:top w:val="nil"/>
              <w:left w:val="nil"/>
              <w:bottom w:val="single" w:sz="4" w:space="0" w:color="000000"/>
              <w:right w:val="nil"/>
            </w:tcBorders>
            <w:shd w:val="clear" w:color="000000" w:fill="FFFFFF"/>
            <w:noWrap/>
            <w:vAlign w:val="center"/>
            <w:hideMark/>
          </w:tcPr>
          <w:p w14:paraId="5A801F56" w14:textId="17B5AB54" w:rsidR="00745301" w:rsidRPr="007D37CF" w:rsidRDefault="00A41293" w:rsidP="00A41293">
            <w:pPr>
              <w:spacing w:before="0" w:after="0" w:line="240" w:lineRule="auto"/>
              <w:jc w:val="center"/>
              <w:rPr>
                <w:rFonts w:cs="Arial"/>
                <w:color w:val="000000" w:themeColor="text1"/>
                <w:sz w:val="18"/>
                <w:szCs w:val="18"/>
                <w:lang w:val="en-US" w:eastAsia="en-US"/>
              </w:rPr>
            </w:pPr>
            <w:r w:rsidRPr="007D37CF">
              <w:rPr>
                <w:rFonts w:cs="Arial"/>
                <w:color w:val="000000" w:themeColor="text1"/>
                <w:sz w:val="18"/>
                <w:szCs w:val="18"/>
                <w:lang w:val="en-US" w:eastAsia="en-US"/>
              </w:rPr>
              <w:t>32</w:t>
            </w:r>
          </w:p>
        </w:tc>
      </w:tr>
      <w:tr w:rsidR="00745301" w:rsidRPr="007D37CF" w14:paraId="1D6197FB" w14:textId="77777777" w:rsidTr="00A41293">
        <w:trPr>
          <w:trHeight w:val="234"/>
        </w:trPr>
        <w:tc>
          <w:tcPr>
            <w:tcW w:w="3402" w:type="dxa"/>
            <w:tcBorders>
              <w:top w:val="nil"/>
              <w:left w:val="nil"/>
              <w:bottom w:val="single" w:sz="4" w:space="0" w:color="auto"/>
              <w:right w:val="nil"/>
            </w:tcBorders>
            <w:shd w:val="clear" w:color="000000" w:fill="FFFFFF"/>
            <w:noWrap/>
            <w:vAlign w:val="center"/>
            <w:hideMark/>
          </w:tcPr>
          <w:p w14:paraId="0C887094" w14:textId="77777777" w:rsidR="00745301" w:rsidRPr="007D37CF" w:rsidRDefault="00745301" w:rsidP="00745301">
            <w:pPr>
              <w:spacing w:before="0" w:after="0" w:line="240" w:lineRule="auto"/>
              <w:rPr>
                <w:rFonts w:cs="Arial"/>
                <w:b/>
                <w:bCs/>
                <w:color w:val="000000"/>
                <w:sz w:val="18"/>
                <w:szCs w:val="18"/>
                <w:lang w:val="en-US" w:eastAsia="en-US"/>
              </w:rPr>
            </w:pPr>
            <w:r w:rsidRPr="007D37CF">
              <w:rPr>
                <w:rFonts w:cs="Arial"/>
                <w:b/>
                <w:bCs/>
                <w:color w:val="000000"/>
                <w:sz w:val="18"/>
                <w:szCs w:val="18"/>
                <w:lang w:val="en-US" w:eastAsia="en-US"/>
              </w:rPr>
              <w:t>Total ($)</w:t>
            </w:r>
          </w:p>
        </w:tc>
        <w:tc>
          <w:tcPr>
            <w:tcW w:w="1418" w:type="dxa"/>
            <w:tcBorders>
              <w:top w:val="nil"/>
              <w:left w:val="nil"/>
              <w:bottom w:val="single" w:sz="4" w:space="0" w:color="auto"/>
              <w:right w:val="nil"/>
            </w:tcBorders>
            <w:shd w:val="clear" w:color="000000" w:fill="FFFFFF"/>
            <w:noWrap/>
            <w:vAlign w:val="center"/>
            <w:hideMark/>
          </w:tcPr>
          <w:p w14:paraId="6953A0AD" w14:textId="5E95798C" w:rsidR="00745301" w:rsidRPr="007D37CF" w:rsidRDefault="00745301" w:rsidP="00A41293">
            <w:pPr>
              <w:spacing w:before="0" w:after="0" w:line="240" w:lineRule="auto"/>
              <w:jc w:val="center"/>
              <w:rPr>
                <w:rFonts w:asciiTheme="minorHAnsi" w:hAnsiTheme="minorHAnsi" w:cstheme="minorHAnsi"/>
                <w:b/>
                <w:bCs/>
                <w:color w:val="000000"/>
                <w:sz w:val="18"/>
                <w:szCs w:val="18"/>
                <w:lang w:val="en-US" w:eastAsia="en-US"/>
              </w:rPr>
            </w:pPr>
            <w:r w:rsidRPr="007D37CF">
              <w:rPr>
                <w:rFonts w:asciiTheme="minorHAnsi" w:hAnsiTheme="minorHAnsi" w:cstheme="minorHAnsi"/>
                <w:b/>
                <w:bCs/>
                <w:color w:val="000000"/>
                <w:sz w:val="18"/>
                <w:szCs w:val="18"/>
                <w:lang w:val="en-US" w:eastAsia="en-US"/>
              </w:rPr>
              <w:t>4,885</w:t>
            </w:r>
          </w:p>
        </w:tc>
        <w:tc>
          <w:tcPr>
            <w:tcW w:w="1134" w:type="dxa"/>
            <w:tcBorders>
              <w:top w:val="nil"/>
              <w:left w:val="nil"/>
              <w:bottom w:val="single" w:sz="4" w:space="0" w:color="auto"/>
              <w:right w:val="nil"/>
            </w:tcBorders>
            <w:shd w:val="clear" w:color="000000" w:fill="FFFFFF"/>
            <w:noWrap/>
            <w:vAlign w:val="center"/>
            <w:hideMark/>
          </w:tcPr>
          <w:p w14:paraId="4847FCEE" w14:textId="65A26FC2" w:rsidR="00745301" w:rsidRPr="007D37CF" w:rsidRDefault="00745301" w:rsidP="00A41293">
            <w:pPr>
              <w:spacing w:before="0" w:after="0" w:line="240" w:lineRule="auto"/>
              <w:jc w:val="center"/>
              <w:rPr>
                <w:rFonts w:asciiTheme="minorHAnsi" w:hAnsiTheme="minorHAnsi" w:cstheme="minorHAnsi"/>
                <w:b/>
                <w:bCs/>
                <w:color w:val="000000"/>
                <w:sz w:val="18"/>
                <w:szCs w:val="18"/>
                <w:lang w:val="en-US" w:eastAsia="en-US"/>
              </w:rPr>
            </w:pPr>
            <w:r w:rsidRPr="007D37CF">
              <w:rPr>
                <w:rFonts w:asciiTheme="minorHAnsi" w:hAnsiTheme="minorHAnsi" w:cstheme="minorHAnsi"/>
                <w:b/>
                <w:bCs/>
                <w:color w:val="000000"/>
                <w:sz w:val="18"/>
                <w:szCs w:val="18"/>
                <w:lang w:val="en-US" w:eastAsia="en-US"/>
              </w:rPr>
              <w:t>13,397</w:t>
            </w:r>
          </w:p>
        </w:tc>
        <w:tc>
          <w:tcPr>
            <w:tcW w:w="1276" w:type="dxa"/>
            <w:tcBorders>
              <w:top w:val="nil"/>
              <w:left w:val="nil"/>
              <w:bottom w:val="single" w:sz="4" w:space="0" w:color="auto"/>
              <w:right w:val="nil"/>
            </w:tcBorders>
            <w:shd w:val="clear" w:color="000000" w:fill="FFFFFF"/>
            <w:noWrap/>
            <w:vAlign w:val="center"/>
            <w:hideMark/>
          </w:tcPr>
          <w:p w14:paraId="0CBF1D31" w14:textId="40CE5EF0" w:rsidR="00745301" w:rsidRPr="007D37CF" w:rsidRDefault="00745301" w:rsidP="00A41293">
            <w:pPr>
              <w:spacing w:before="0" w:after="0" w:line="240" w:lineRule="auto"/>
              <w:jc w:val="center"/>
              <w:rPr>
                <w:rFonts w:asciiTheme="minorHAnsi" w:hAnsiTheme="minorHAnsi" w:cstheme="minorHAnsi"/>
                <w:b/>
                <w:bCs/>
                <w:color w:val="000000"/>
                <w:sz w:val="18"/>
                <w:szCs w:val="18"/>
                <w:lang w:val="en-US" w:eastAsia="en-US"/>
              </w:rPr>
            </w:pPr>
            <w:r w:rsidRPr="007D37CF">
              <w:rPr>
                <w:rFonts w:asciiTheme="minorHAnsi" w:hAnsiTheme="minorHAnsi" w:cstheme="minorHAnsi"/>
                <w:b/>
                <w:bCs/>
                <w:color w:val="000000"/>
                <w:sz w:val="18"/>
                <w:szCs w:val="18"/>
                <w:lang w:val="en-US" w:eastAsia="en-US"/>
              </w:rPr>
              <w:t>705</w:t>
            </w:r>
          </w:p>
        </w:tc>
        <w:tc>
          <w:tcPr>
            <w:tcW w:w="992" w:type="dxa"/>
            <w:tcBorders>
              <w:top w:val="nil"/>
              <w:left w:val="nil"/>
              <w:bottom w:val="single" w:sz="4" w:space="0" w:color="auto"/>
              <w:right w:val="nil"/>
            </w:tcBorders>
            <w:shd w:val="clear" w:color="000000" w:fill="FFFFFF"/>
            <w:noWrap/>
            <w:vAlign w:val="center"/>
            <w:hideMark/>
          </w:tcPr>
          <w:p w14:paraId="1ACF9567" w14:textId="77777777" w:rsidR="00745301" w:rsidRPr="007D37CF" w:rsidRDefault="00745301" w:rsidP="00A41293">
            <w:pPr>
              <w:spacing w:before="0" w:after="0" w:line="240" w:lineRule="auto"/>
              <w:jc w:val="center"/>
              <w:rPr>
                <w:rFonts w:asciiTheme="minorHAnsi" w:hAnsiTheme="minorHAnsi" w:cstheme="minorHAnsi"/>
                <w:b/>
                <w:bCs/>
                <w:color w:val="000000" w:themeColor="text1"/>
                <w:sz w:val="18"/>
                <w:szCs w:val="18"/>
                <w:lang w:val="en-US" w:eastAsia="en-US"/>
              </w:rPr>
            </w:pPr>
            <w:r w:rsidRPr="007D37CF">
              <w:rPr>
                <w:rFonts w:asciiTheme="minorHAnsi" w:hAnsiTheme="minorHAnsi" w:cstheme="minorHAnsi"/>
                <w:b/>
                <w:bCs/>
                <w:color w:val="000000" w:themeColor="text1"/>
                <w:sz w:val="18"/>
                <w:szCs w:val="18"/>
                <w:lang w:val="en-US" w:eastAsia="en-US"/>
              </w:rPr>
              <w:t>317</w:t>
            </w:r>
          </w:p>
        </w:tc>
        <w:tc>
          <w:tcPr>
            <w:tcW w:w="1134" w:type="dxa"/>
            <w:tcBorders>
              <w:top w:val="nil"/>
              <w:left w:val="nil"/>
              <w:bottom w:val="single" w:sz="4" w:space="0" w:color="auto"/>
              <w:right w:val="nil"/>
            </w:tcBorders>
            <w:shd w:val="clear" w:color="000000" w:fill="FFFFFF"/>
            <w:noWrap/>
            <w:vAlign w:val="center"/>
            <w:hideMark/>
          </w:tcPr>
          <w:p w14:paraId="28A35787" w14:textId="29FB3475" w:rsidR="00745301" w:rsidRPr="007D37CF" w:rsidRDefault="00A41293" w:rsidP="00A41293">
            <w:pPr>
              <w:spacing w:before="0" w:after="0" w:line="240" w:lineRule="auto"/>
              <w:jc w:val="center"/>
              <w:rPr>
                <w:rFonts w:asciiTheme="minorHAnsi" w:hAnsiTheme="minorHAnsi" w:cstheme="minorHAnsi"/>
                <w:b/>
                <w:bCs/>
                <w:color w:val="000000" w:themeColor="text1"/>
                <w:sz w:val="18"/>
                <w:szCs w:val="18"/>
                <w:lang w:val="en-US" w:eastAsia="en-US"/>
              </w:rPr>
            </w:pPr>
            <w:r w:rsidRPr="007D37CF">
              <w:rPr>
                <w:rFonts w:asciiTheme="minorHAnsi" w:hAnsiTheme="minorHAnsi" w:cstheme="minorHAnsi"/>
                <w:b/>
                <w:bCs/>
                <w:color w:val="000000" w:themeColor="text1"/>
                <w:sz w:val="18"/>
                <w:szCs w:val="18"/>
                <w:lang w:val="en-US" w:eastAsia="en-US"/>
              </w:rPr>
              <w:t>12,34</w:t>
            </w:r>
            <w:r w:rsidR="003D2578">
              <w:rPr>
                <w:rFonts w:asciiTheme="minorHAnsi" w:hAnsiTheme="minorHAnsi" w:cstheme="minorHAnsi"/>
                <w:b/>
                <w:bCs/>
                <w:color w:val="000000" w:themeColor="text1"/>
                <w:sz w:val="18"/>
                <w:szCs w:val="18"/>
                <w:lang w:val="en-US" w:eastAsia="en-US"/>
              </w:rPr>
              <w:t>8</w:t>
            </w:r>
          </w:p>
        </w:tc>
      </w:tr>
    </w:tbl>
    <w:p w14:paraId="1253CAD7" w14:textId="77777777" w:rsidR="00A41293" w:rsidRPr="007D37CF" w:rsidRDefault="00A41293" w:rsidP="00C624F9">
      <w:pPr>
        <w:rPr>
          <w:rFonts w:cs="Arial"/>
          <w:szCs w:val="22"/>
        </w:rPr>
      </w:pPr>
    </w:p>
    <w:p w14:paraId="59F6C438" w14:textId="1F313FC1" w:rsidR="00264D1E" w:rsidRDefault="00C624F9" w:rsidP="00C624F9">
      <w:pPr>
        <w:rPr>
          <w:rFonts w:cs="Arial"/>
          <w:szCs w:val="22"/>
        </w:rPr>
      </w:pPr>
      <w:r w:rsidRPr="007D37CF">
        <w:rPr>
          <w:rFonts w:cs="Arial"/>
          <w:szCs w:val="22"/>
        </w:rPr>
        <w:t>At the cost bucket level, the Ward Nursing cost bucket accounted for the biggest share of the costs for the admitted acute (</w:t>
      </w:r>
      <w:r w:rsidR="00EF23E2" w:rsidRPr="007D37CF">
        <w:rPr>
          <w:rFonts w:cs="Arial"/>
          <w:szCs w:val="22"/>
        </w:rPr>
        <w:t>18</w:t>
      </w:r>
      <w:r w:rsidRPr="007D37CF">
        <w:rPr>
          <w:rFonts w:cs="Arial"/>
          <w:szCs w:val="22"/>
        </w:rPr>
        <w:t xml:space="preserve"> percent of costs), sub-acute (32 percent) and mental health (</w:t>
      </w:r>
      <w:r w:rsidR="00776E66" w:rsidRPr="007D37CF">
        <w:rPr>
          <w:rFonts w:cs="Arial"/>
          <w:szCs w:val="22"/>
        </w:rPr>
        <w:t>35 p</w:t>
      </w:r>
      <w:r w:rsidRPr="007D37CF">
        <w:rPr>
          <w:rFonts w:cs="Arial"/>
          <w:szCs w:val="22"/>
        </w:rPr>
        <w:t xml:space="preserve">ercent) activity streams. </w:t>
      </w:r>
      <w:r w:rsidRPr="00886525">
        <w:rPr>
          <w:rFonts w:cs="Arial"/>
          <w:szCs w:val="22"/>
        </w:rPr>
        <w:t xml:space="preserve">Similarly, the </w:t>
      </w:r>
      <w:r w:rsidR="002714CE" w:rsidRPr="00886525">
        <w:rPr>
          <w:rFonts w:cs="Arial"/>
          <w:szCs w:val="22"/>
        </w:rPr>
        <w:t xml:space="preserve">Ward Medical </w:t>
      </w:r>
      <w:r w:rsidRPr="00886525">
        <w:rPr>
          <w:rFonts w:cs="Arial"/>
          <w:szCs w:val="22"/>
        </w:rPr>
        <w:t>cost bucket accounted for a high share of costs in all activity streams except the emergency department</w:t>
      </w:r>
      <w:r w:rsidRPr="007D37CF">
        <w:rPr>
          <w:rFonts w:cs="Arial"/>
          <w:szCs w:val="22"/>
        </w:rPr>
        <w:t xml:space="preserve">. </w:t>
      </w:r>
    </w:p>
    <w:p w14:paraId="2839D1E5" w14:textId="53EEB98C" w:rsidR="009B5A4D" w:rsidRDefault="00A741C5">
      <w:pPr>
        <w:spacing w:before="0" w:after="0" w:line="240" w:lineRule="auto"/>
        <w:rPr>
          <w:rFonts w:asciiTheme="minorHAnsi" w:hAnsiTheme="minorHAnsi" w:cstheme="minorHAnsi"/>
          <w:b/>
          <w:bCs/>
          <w:szCs w:val="18"/>
        </w:rPr>
      </w:pPr>
      <w:r>
        <w:rPr>
          <w:rFonts w:cs="Arial"/>
          <w:szCs w:val="22"/>
        </w:rPr>
        <w:t xml:space="preserve">Table 10 </w:t>
      </w:r>
      <w:r w:rsidRPr="007D37CF">
        <w:rPr>
          <w:rFonts w:cs="Arial"/>
          <w:szCs w:val="22"/>
        </w:rPr>
        <w:t xml:space="preserve">presents the total average cost (in dollars) for each </w:t>
      </w:r>
      <w:r>
        <w:rPr>
          <w:rFonts w:cs="Arial"/>
          <w:szCs w:val="22"/>
        </w:rPr>
        <w:t>cost bucket</w:t>
      </w:r>
      <w:r w:rsidRPr="007D37CF">
        <w:rPr>
          <w:rFonts w:cs="Arial"/>
          <w:szCs w:val="22"/>
        </w:rPr>
        <w:t xml:space="preserve"> by each activity stream.</w:t>
      </w:r>
    </w:p>
    <w:p w14:paraId="0A159355" w14:textId="77777777" w:rsidR="004F0003" w:rsidRDefault="004F0003">
      <w:pPr>
        <w:spacing w:before="0" w:after="0" w:line="240" w:lineRule="auto"/>
        <w:rPr>
          <w:rFonts w:asciiTheme="minorHAnsi" w:hAnsiTheme="minorHAnsi" w:cstheme="minorHAnsi"/>
          <w:b/>
          <w:bCs/>
          <w:szCs w:val="18"/>
        </w:rPr>
      </w:pPr>
      <w:r>
        <w:br w:type="page"/>
      </w:r>
    </w:p>
    <w:p w14:paraId="09B8D329" w14:textId="68665371" w:rsidR="00FF323C" w:rsidRDefault="00FF323C" w:rsidP="00D111B6">
      <w:pPr>
        <w:pStyle w:val="Caption"/>
      </w:pPr>
      <w:bookmarkStart w:id="36" w:name="_Toc31880540"/>
      <w:r>
        <w:lastRenderedPageBreak/>
        <w:t xml:space="preserve">Table </w:t>
      </w:r>
      <w:fldSimple w:instr=" SEQ Table \* ARABIC ">
        <w:r w:rsidR="00423E34">
          <w:rPr>
            <w:noProof/>
          </w:rPr>
          <w:t>10</w:t>
        </w:r>
      </w:fldSimple>
      <w:r>
        <w:t xml:space="preserve"> </w:t>
      </w:r>
      <w:r w:rsidRPr="00AB7DBC">
        <w:t>National average cost per cost bucket, by activity stream, Round 22</w:t>
      </w:r>
      <w:bookmarkEnd w:id="36"/>
    </w:p>
    <w:tbl>
      <w:tblPr>
        <w:tblW w:w="7513" w:type="dxa"/>
        <w:jc w:val="center"/>
        <w:tblLook w:val="04A0" w:firstRow="1" w:lastRow="0" w:firstColumn="1" w:lastColumn="0" w:noHBand="0" w:noVBand="1"/>
        <w:tblCaption w:val="Table 10 National average cost per cost bucket, by activity stream, for Round 22"/>
        <w:tblDescription w:val="Table 10 displays the National average cost per cost bucket, by activity stream, for Round 22"/>
      </w:tblPr>
      <w:tblGrid>
        <w:gridCol w:w="2282"/>
        <w:gridCol w:w="1506"/>
        <w:gridCol w:w="821"/>
        <w:gridCol w:w="1628"/>
        <w:gridCol w:w="1276"/>
      </w:tblGrid>
      <w:tr w:rsidR="002714CE" w:rsidRPr="007D37CF" w14:paraId="3823DB5B" w14:textId="77777777" w:rsidTr="00886525">
        <w:trPr>
          <w:trHeight w:val="300"/>
          <w:jc w:val="center"/>
        </w:trPr>
        <w:tc>
          <w:tcPr>
            <w:tcW w:w="2282" w:type="dxa"/>
            <w:vMerge w:val="restart"/>
            <w:tcBorders>
              <w:top w:val="single" w:sz="4" w:space="0" w:color="auto"/>
              <w:left w:val="nil"/>
              <w:bottom w:val="single" w:sz="8" w:space="0" w:color="000000"/>
              <w:right w:val="nil"/>
            </w:tcBorders>
            <w:shd w:val="clear" w:color="000000" w:fill="FFFFFF"/>
            <w:noWrap/>
            <w:vAlign w:val="center"/>
            <w:hideMark/>
          </w:tcPr>
          <w:p w14:paraId="7CB9E1FA" w14:textId="77777777" w:rsidR="002714CE" w:rsidRPr="007D37CF" w:rsidRDefault="002714CE" w:rsidP="003C3F9C">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Cost Bucket</w:t>
            </w:r>
          </w:p>
        </w:tc>
        <w:tc>
          <w:tcPr>
            <w:tcW w:w="1506" w:type="dxa"/>
            <w:vMerge w:val="restart"/>
            <w:tcBorders>
              <w:top w:val="single" w:sz="4" w:space="0" w:color="auto"/>
              <w:left w:val="nil"/>
              <w:bottom w:val="single" w:sz="8" w:space="0" w:color="000000"/>
              <w:right w:val="nil"/>
            </w:tcBorders>
            <w:shd w:val="clear" w:color="000000" w:fill="FFFFFF"/>
            <w:vAlign w:val="center"/>
            <w:hideMark/>
          </w:tcPr>
          <w:p w14:paraId="021F330D" w14:textId="77777777" w:rsidR="002714CE" w:rsidRPr="007D37CF" w:rsidRDefault="002714CE" w:rsidP="002958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Acute</w:t>
            </w:r>
          </w:p>
        </w:tc>
        <w:tc>
          <w:tcPr>
            <w:tcW w:w="821" w:type="dxa"/>
            <w:vMerge w:val="restart"/>
            <w:tcBorders>
              <w:top w:val="single" w:sz="4" w:space="0" w:color="auto"/>
              <w:left w:val="nil"/>
              <w:bottom w:val="single" w:sz="8" w:space="0" w:color="000000"/>
              <w:right w:val="nil"/>
            </w:tcBorders>
            <w:shd w:val="clear" w:color="000000" w:fill="FFFFFF"/>
            <w:vAlign w:val="center"/>
            <w:hideMark/>
          </w:tcPr>
          <w:p w14:paraId="01F63DB0" w14:textId="6A0734A0" w:rsidR="002714CE" w:rsidRPr="007D37CF" w:rsidRDefault="002714CE" w:rsidP="002958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 xml:space="preserve">Sub-acute </w:t>
            </w:r>
          </w:p>
        </w:tc>
        <w:tc>
          <w:tcPr>
            <w:tcW w:w="1628" w:type="dxa"/>
            <w:vMerge w:val="restart"/>
            <w:tcBorders>
              <w:top w:val="single" w:sz="4" w:space="0" w:color="auto"/>
              <w:left w:val="nil"/>
              <w:bottom w:val="single" w:sz="8" w:space="0" w:color="000000"/>
              <w:right w:val="nil"/>
            </w:tcBorders>
            <w:shd w:val="clear" w:color="000000" w:fill="FFFFFF"/>
            <w:vAlign w:val="center"/>
            <w:hideMark/>
          </w:tcPr>
          <w:p w14:paraId="5EA932C0" w14:textId="77777777" w:rsidR="002714CE" w:rsidRPr="007D37CF" w:rsidRDefault="002714CE" w:rsidP="002958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Emergency Department</w:t>
            </w:r>
          </w:p>
        </w:tc>
        <w:tc>
          <w:tcPr>
            <w:tcW w:w="1276" w:type="dxa"/>
            <w:vMerge w:val="restart"/>
            <w:tcBorders>
              <w:top w:val="single" w:sz="4" w:space="0" w:color="auto"/>
              <w:left w:val="nil"/>
              <w:bottom w:val="single" w:sz="8" w:space="0" w:color="000000"/>
              <w:right w:val="nil"/>
            </w:tcBorders>
            <w:shd w:val="clear" w:color="000000" w:fill="FFFFFF"/>
            <w:vAlign w:val="center"/>
            <w:hideMark/>
          </w:tcPr>
          <w:p w14:paraId="1C0CC7DD" w14:textId="77777777" w:rsidR="002714CE" w:rsidRPr="007D37CF" w:rsidRDefault="002714CE" w:rsidP="002958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Non-admitted</w:t>
            </w:r>
          </w:p>
        </w:tc>
      </w:tr>
      <w:tr w:rsidR="002714CE" w:rsidRPr="007D37CF" w14:paraId="4A3CE49B" w14:textId="77777777" w:rsidTr="00886525">
        <w:trPr>
          <w:trHeight w:val="315"/>
          <w:jc w:val="center"/>
        </w:trPr>
        <w:tc>
          <w:tcPr>
            <w:tcW w:w="2282" w:type="dxa"/>
            <w:vMerge/>
            <w:tcBorders>
              <w:top w:val="nil"/>
              <w:left w:val="nil"/>
              <w:bottom w:val="single" w:sz="8" w:space="0" w:color="000000"/>
              <w:right w:val="nil"/>
            </w:tcBorders>
            <w:vAlign w:val="center"/>
            <w:hideMark/>
          </w:tcPr>
          <w:p w14:paraId="52A2F605" w14:textId="77777777" w:rsidR="002714CE" w:rsidRPr="007D37CF" w:rsidRDefault="002714CE" w:rsidP="003C3F9C">
            <w:pPr>
              <w:spacing w:before="0" w:after="0" w:line="240" w:lineRule="auto"/>
              <w:rPr>
                <w:rFonts w:cs="Arial"/>
                <w:color w:val="000000"/>
                <w:sz w:val="18"/>
                <w:szCs w:val="18"/>
                <w:lang w:val="en-US" w:eastAsia="en-US"/>
              </w:rPr>
            </w:pPr>
          </w:p>
        </w:tc>
        <w:tc>
          <w:tcPr>
            <w:tcW w:w="1506" w:type="dxa"/>
            <w:vMerge/>
            <w:tcBorders>
              <w:top w:val="nil"/>
              <w:left w:val="nil"/>
              <w:bottom w:val="single" w:sz="8" w:space="0" w:color="000000"/>
              <w:right w:val="nil"/>
            </w:tcBorders>
            <w:vAlign w:val="center"/>
            <w:hideMark/>
          </w:tcPr>
          <w:p w14:paraId="50C4EDFD" w14:textId="77777777" w:rsidR="002714CE" w:rsidRPr="007D37CF" w:rsidRDefault="002714CE" w:rsidP="00295860">
            <w:pPr>
              <w:spacing w:before="0" w:after="0" w:line="240" w:lineRule="auto"/>
              <w:jc w:val="center"/>
              <w:rPr>
                <w:rFonts w:cs="Arial"/>
                <w:color w:val="000000"/>
                <w:sz w:val="18"/>
                <w:szCs w:val="18"/>
                <w:lang w:val="en-US" w:eastAsia="en-US"/>
              </w:rPr>
            </w:pPr>
          </w:p>
        </w:tc>
        <w:tc>
          <w:tcPr>
            <w:tcW w:w="821" w:type="dxa"/>
            <w:vMerge/>
            <w:tcBorders>
              <w:top w:val="nil"/>
              <w:left w:val="nil"/>
              <w:bottom w:val="single" w:sz="8" w:space="0" w:color="000000"/>
              <w:right w:val="nil"/>
            </w:tcBorders>
            <w:vAlign w:val="center"/>
            <w:hideMark/>
          </w:tcPr>
          <w:p w14:paraId="2DEAEA63" w14:textId="77777777" w:rsidR="002714CE" w:rsidRPr="007D37CF" w:rsidRDefault="002714CE" w:rsidP="00295860">
            <w:pPr>
              <w:spacing w:before="0" w:after="0" w:line="240" w:lineRule="auto"/>
              <w:jc w:val="center"/>
              <w:rPr>
                <w:rFonts w:cs="Arial"/>
                <w:color w:val="000000"/>
                <w:sz w:val="18"/>
                <w:szCs w:val="18"/>
                <w:lang w:val="en-US" w:eastAsia="en-US"/>
              </w:rPr>
            </w:pPr>
          </w:p>
        </w:tc>
        <w:tc>
          <w:tcPr>
            <w:tcW w:w="1628" w:type="dxa"/>
            <w:vMerge/>
            <w:tcBorders>
              <w:top w:val="nil"/>
              <w:left w:val="nil"/>
              <w:bottom w:val="single" w:sz="8" w:space="0" w:color="000000"/>
              <w:right w:val="nil"/>
            </w:tcBorders>
            <w:vAlign w:val="center"/>
            <w:hideMark/>
          </w:tcPr>
          <w:p w14:paraId="282EABE3" w14:textId="77777777" w:rsidR="002714CE" w:rsidRPr="007D37CF" w:rsidRDefault="002714CE" w:rsidP="00295860">
            <w:pPr>
              <w:spacing w:before="0" w:after="0" w:line="240" w:lineRule="auto"/>
              <w:jc w:val="center"/>
              <w:rPr>
                <w:rFonts w:cs="Arial"/>
                <w:color w:val="000000"/>
                <w:sz w:val="18"/>
                <w:szCs w:val="18"/>
                <w:lang w:val="en-US" w:eastAsia="en-US"/>
              </w:rPr>
            </w:pPr>
          </w:p>
        </w:tc>
        <w:tc>
          <w:tcPr>
            <w:tcW w:w="1276" w:type="dxa"/>
            <w:vMerge/>
            <w:tcBorders>
              <w:top w:val="nil"/>
              <w:left w:val="nil"/>
              <w:bottom w:val="single" w:sz="8" w:space="0" w:color="000000"/>
              <w:right w:val="nil"/>
            </w:tcBorders>
            <w:vAlign w:val="center"/>
            <w:hideMark/>
          </w:tcPr>
          <w:p w14:paraId="2184E7BA" w14:textId="77777777" w:rsidR="002714CE" w:rsidRPr="007D37CF" w:rsidRDefault="002714CE" w:rsidP="00295860">
            <w:pPr>
              <w:spacing w:before="0" w:after="0" w:line="240" w:lineRule="auto"/>
              <w:jc w:val="center"/>
              <w:rPr>
                <w:rFonts w:cs="Arial"/>
                <w:color w:val="000000"/>
                <w:sz w:val="18"/>
                <w:szCs w:val="18"/>
                <w:lang w:val="en-US" w:eastAsia="en-US"/>
              </w:rPr>
            </w:pPr>
          </w:p>
        </w:tc>
      </w:tr>
      <w:tr w:rsidR="002714CE" w:rsidRPr="007D37CF" w14:paraId="38AA871F" w14:textId="77777777" w:rsidTr="00886525">
        <w:trPr>
          <w:trHeight w:val="315"/>
          <w:jc w:val="center"/>
        </w:trPr>
        <w:tc>
          <w:tcPr>
            <w:tcW w:w="2282" w:type="dxa"/>
            <w:tcBorders>
              <w:top w:val="nil"/>
              <w:left w:val="nil"/>
              <w:bottom w:val="single" w:sz="8" w:space="0" w:color="000000"/>
              <w:right w:val="nil"/>
            </w:tcBorders>
            <w:shd w:val="clear" w:color="000000" w:fill="FFFFFF"/>
            <w:noWrap/>
            <w:vAlign w:val="center"/>
            <w:hideMark/>
          </w:tcPr>
          <w:p w14:paraId="1D1AE3BB" w14:textId="1130D702" w:rsidR="002714CE" w:rsidRPr="007D37CF" w:rsidRDefault="002714CE" w:rsidP="00520A60">
            <w:pPr>
              <w:spacing w:before="0" w:after="0" w:line="240" w:lineRule="auto"/>
              <w:jc w:val="center"/>
              <w:rPr>
                <w:rFonts w:cs="Arial"/>
                <w:color w:val="000000"/>
                <w:sz w:val="18"/>
                <w:szCs w:val="18"/>
                <w:lang w:val="en-US" w:eastAsia="en-US"/>
              </w:rPr>
            </w:pPr>
          </w:p>
        </w:tc>
        <w:tc>
          <w:tcPr>
            <w:tcW w:w="1506" w:type="dxa"/>
            <w:tcBorders>
              <w:top w:val="nil"/>
              <w:left w:val="nil"/>
              <w:bottom w:val="single" w:sz="8" w:space="0" w:color="000000"/>
              <w:right w:val="nil"/>
            </w:tcBorders>
            <w:shd w:val="clear" w:color="000000" w:fill="FFFFFF"/>
            <w:noWrap/>
            <w:vAlign w:val="center"/>
            <w:hideMark/>
          </w:tcPr>
          <w:p w14:paraId="2B9F4A1C" w14:textId="09603E3E" w:rsidR="002714CE" w:rsidRPr="007D37CF" w:rsidRDefault="002714CE" w:rsidP="00520A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c>
          <w:tcPr>
            <w:tcW w:w="821" w:type="dxa"/>
            <w:tcBorders>
              <w:top w:val="nil"/>
              <w:left w:val="nil"/>
              <w:bottom w:val="single" w:sz="8" w:space="0" w:color="000000"/>
              <w:right w:val="nil"/>
            </w:tcBorders>
            <w:shd w:val="clear" w:color="000000" w:fill="FFFFFF"/>
            <w:noWrap/>
            <w:vAlign w:val="center"/>
            <w:hideMark/>
          </w:tcPr>
          <w:p w14:paraId="18EAF176" w14:textId="6C8A1217" w:rsidR="002714CE" w:rsidRPr="007D37CF" w:rsidRDefault="002714CE" w:rsidP="00520A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c>
          <w:tcPr>
            <w:tcW w:w="1628" w:type="dxa"/>
            <w:tcBorders>
              <w:top w:val="nil"/>
              <w:left w:val="nil"/>
              <w:bottom w:val="single" w:sz="8" w:space="0" w:color="000000"/>
              <w:right w:val="nil"/>
            </w:tcBorders>
            <w:shd w:val="clear" w:color="000000" w:fill="FFFFFF"/>
            <w:vAlign w:val="center"/>
            <w:hideMark/>
          </w:tcPr>
          <w:p w14:paraId="083DF4D1" w14:textId="36272AFF" w:rsidR="002714CE" w:rsidRPr="007D37CF" w:rsidRDefault="002714CE" w:rsidP="00520A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c>
          <w:tcPr>
            <w:tcW w:w="1276" w:type="dxa"/>
            <w:tcBorders>
              <w:top w:val="nil"/>
              <w:left w:val="nil"/>
              <w:bottom w:val="single" w:sz="8" w:space="0" w:color="000000"/>
              <w:right w:val="nil"/>
            </w:tcBorders>
            <w:shd w:val="clear" w:color="000000" w:fill="FFFFFF"/>
            <w:vAlign w:val="center"/>
            <w:hideMark/>
          </w:tcPr>
          <w:p w14:paraId="4BE5AB33" w14:textId="65482E19" w:rsidR="002714CE" w:rsidRPr="007D37CF" w:rsidRDefault="002714CE" w:rsidP="00520A60">
            <w:pPr>
              <w:spacing w:before="0" w:after="0" w:line="240" w:lineRule="auto"/>
              <w:jc w:val="center"/>
              <w:rPr>
                <w:rFonts w:cs="Arial"/>
                <w:color w:val="000000"/>
                <w:sz w:val="18"/>
                <w:szCs w:val="18"/>
                <w:lang w:val="en-US" w:eastAsia="en-US"/>
              </w:rPr>
            </w:pPr>
            <w:r w:rsidRPr="007D37CF">
              <w:rPr>
                <w:rFonts w:cs="Arial"/>
                <w:color w:val="000000"/>
                <w:sz w:val="18"/>
                <w:szCs w:val="18"/>
                <w:lang w:val="en-US" w:eastAsia="en-US"/>
              </w:rPr>
              <w:t>($)</w:t>
            </w:r>
          </w:p>
        </w:tc>
      </w:tr>
      <w:tr w:rsidR="002714CE" w:rsidRPr="007D37CF" w14:paraId="2B84AB73"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010E877B"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Ward Medical</w:t>
            </w:r>
          </w:p>
        </w:tc>
        <w:tc>
          <w:tcPr>
            <w:tcW w:w="1506" w:type="dxa"/>
            <w:tcBorders>
              <w:top w:val="nil"/>
              <w:left w:val="nil"/>
              <w:bottom w:val="single" w:sz="4" w:space="0" w:color="000000"/>
              <w:right w:val="nil"/>
            </w:tcBorders>
            <w:shd w:val="clear" w:color="000000" w:fill="FFFFFF"/>
            <w:noWrap/>
            <w:vAlign w:val="center"/>
            <w:hideMark/>
          </w:tcPr>
          <w:p w14:paraId="25703DA5" w14:textId="56BB8AB6"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560</w:t>
            </w:r>
          </w:p>
        </w:tc>
        <w:tc>
          <w:tcPr>
            <w:tcW w:w="821" w:type="dxa"/>
            <w:tcBorders>
              <w:top w:val="nil"/>
              <w:left w:val="nil"/>
              <w:bottom w:val="single" w:sz="4" w:space="0" w:color="000000"/>
              <w:right w:val="nil"/>
            </w:tcBorders>
            <w:shd w:val="clear" w:color="000000" w:fill="FFFFFF"/>
            <w:noWrap/>
            <w:vAlign w:val="center"/>
            <w:hideMark/>
          </w:tcPr>
          <w:p w14:paraId="5DF9B31D" w14:textId="758AF71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1,598</w:t>
            </w:r>
          </w:p>
        </w:tc>
        <w:tc>
          <w:tcPr>
            <w:tcW w:w="1628" w:type="dxa"/>
            <w:tcBorders>
              <w:top w:val="nil"/>
              <w:left w:val="nil"/>
              <w:bottom w:val="single" w:sz="4" w:space="0" w:color="000000"/>
              <w:right w:val="nil"/>
            </w:tcBorders>
            <w:shd w:val="clear" w:color="000000" w:fill="FFFFFF"/>
            <w:noWrap/>
            <w:vAlign w:val="center"/>
            <w:hideMark/>
          </w:tcPr>
          <w:p w14:paraId="4F595283" w14:textId="30D47633"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8</w:t>
            </w:r>
          </w:p>
        </w:tc>
        <w:tc>
          <w:tcPr>
            <w:tcW w:w="1276" w:type="dxa"/>
            <w:tcBorders>
              <w:top w:val="nil"/>
              <w:left w:val="nil"/>
              <w:bottom w:val="single" w:sz="4" w:space="0" w:color="000000"/>
              <w:right w:val="nil"/>
            </w:tcBorders>
            <w:shd w:val="clear" w:color="000000" w:fill="FFFFFF"/>
            <w:noWrap/>
            <w:vAlign w:val="center"/>
            <w:hideMark/>
          </w:tcPr>
          <w:p w14:paraId="30BF4E32"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56</w:t>
            </w:r>
          </w:p>
        </w:tc>
      </w:tr>
      <w:tr w:rsidR="002714CE" w:rsidRPr="007D37CF" w14:paraId="7C6AFF02"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1BB22E7A"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Ward Nursing</w:t>
            </w:r>
          </w:p>
        </w:tc>
        <w:tc>
          <w:tcPr>
            <w:tcW w:w="1506" w:type="dxa"/>
            <w:tcBorders>
              <w:top w:val="nil"/>
              <w:left w:val="nil"/>
              <w:bottom w:val="single" w:sz="4" w:space="0" w:color="000000"/>
              <w:right w:val="nil"/>
            </w:tcBorders>
            <w:shd w:val="clear" w:color="000000" w:fill="FFFFFF"/>
            <w:noWrap/>
            <w:vAlign w:val="center"/>
            <w:hideMark/>
          </w:tcPr>
          <w:p w14:paraId="1DADADAD" w14:textId="53F9299B"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903</w:t>
            </w:r>
          </w:p>
        </w:tc>
        <w:tc>
          <w:tcPr>
            <w:tcW w:w="821" w:type="dxa"/>
            <w:tcBorders>
              <w:top w:val="nil"/>
              <w:left w:val="nil"/>
              <w:bottom w:val="single" w:sz="4" w:space="0" w:color="000000"/>
              <w:right w:val="nil"/>
            </w:tcBorders>
            <w:shd w:val="clear" w:color="000000" w:fill="FFFFFF"/>
            <w:noWrap/>
            <w:vAlign w:val="center"/>
            <w:hideMark/>
          </w:tcPr>
          <w:p w14:paraId="2AEC97E5" w14:textId="4DC0B94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4,296</w:t>
            </w:r>
          </w:p>
        </w:tc>
        <w:tc>
          <w:tcPr>
            <w:tcW w:w="1628" w:type="dxa"/>
            <w:tcBorders>
              <w:top w:val="nil"/>
              <w:left w:val="nil"/>
              <w:bottom w:val="single" w:sz="4" w:space="0" w:color="000000"/>
              <w:right w:val="nil"/>
            </w:tcBorders>
            <w:shd w:val="clear" w:color="000000" w:fill="FFFFFF"/>
            <w:noWrap/>
            <w:vAlign w:val="center"/>
            <w:hideMark/>
          </w:tcPr>
          <w:p w14:paraId="518C020F" w14:textId="79B24A35"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7</w:t>
            </w:r>
          </w:p>
        </w:tc>
        <w:tc>
          <w:tcPr>
            <w:tcW w:w="1276" w:type="dxa"/>
            <w:tcBorders>
              <w:top w:val="nil"/>
              <w:left w:val="nil"/>
              <w:bottom w:val="single" w:sz="4" w:space="0" w:color="000000"/>
              <w:right w:val="nil"/>
            </w:tcBorders>
            <w:shd w:val="clear" w:color="000000" w:fill="FFFFFF"/>
            <w:noWrap/>
            <w:vAlign w:val="center"/>
            <w:hideMark/>
          </w:tcPr>
          <w:p w14:paraId="0337D970"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43</w:t>
            </w:r>
          </w:p>
        </w:tc>
      </w:tr>
      <w:tr w:rsidR="002714CE" w:rsidRPr="007D37CF" w14:paraId="4A32A11E"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2FC5F3AD"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Allied Health</w:t>
            </w:r>
          </w:p>
        </w:tc>
        <w:tc>
          <w:tcPr>
            <w:tcW w:w="1506" w:type="dxa"/>
            <w:tcBorders>
              <w:top w:val="nil"/>
              <w:left w:val="nil"/>
              <w:bottom w:val="single" w:sz="4" w:space="0" w:color="000000"/>
              <w:right w:val="nil"/>
            </w:tcBorders>
            <w:shd w:val="clear" w:color="000000" w:fill="FFFFFF"/>
            <w:noWrap/>
            <w:vAlign w:val="center"/>
            <w:hideMark/>
          </w:tcPr>
          <w:p w14:paraId="582208BE" w14:textId="765F6BF0"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153</w:t>
            </w:r>
          </w:p>
        </w:tc>
        <w:tc>
          <w:tcPr>
            <w:tcW w:w="821" w:type="dxa"/>
            <w:tcBorders>
              <w:top w:val="nil"/>
              <w:left w:val="nil"/>
              <w:bottom w:val="single" w:sz="4" w:space="0" w:color="000000"/>
              <w:right w:val="nil"/>
            </w:tcBorders>
            <w:shd w:val="clear" w:color="000000" w:fill="FFFFFF"/>
            <w:noWrap/>
            <w:vAlign w:val="center"/>
            <w:hideMark/>
          </w:tcPr>
          <w:p w14:paraId="2CB63325" w14:textId="7954023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1,577</w:t>
            </w:r>
          </w:p>
        </w:tc>
        <w:tc>
          <w:tcPr>
            <w:tcW w:w="1628" w:type="dxa"/>
            <w:tcBorders>
              <w:top w:val="nil"/>
              <w:left w:val="nil"/>
              <w:bottom w:val="single" w:sz="4" w:space="0" w:color="000000"/>
              <w:right w:val="nil"/>
            </w:tcBorders>
            <w:shd w:val="clear" w:color="000000" w:fill="FFFFFF"/>
            <w:noWrap/>
            <w:vAlign w:val="center"/>
            <w:hideMark/>
          </w:tcPr>
          <w:p w14:paraId="64D4EF47" w14:textId="07B5C502"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w:t>
            </w:r>
          </w:p>
        </w:tc>
        <w:tc>
          <w:tcPr>
            <w:tcW w:w="1276" w:type="dxa"/>
            <w:tcBorders>
              <w:top w:val="nil"/>
              <w:left w:val="nil"/>
              <w:bottom w:val="single" w:sz="4" w:space="0" w:color="000000"/>
              <w:right w:val="nil"/>
            </w:tcBorders>
            <w:shd w:val="clear" w:color="000000" w:fill="FFFFFF"/>
            <w:noWrap/>
            <w:vAlign w:val="center"/>
            <w:hideMark/>
          </w:tcPr>
          <w:p w14:paraId="57EC52A7"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37</w:t>
            </w:r>
          </w:p>
        </w:tc>
      </w:tr>
      <w:tr w:rsidR="002714CE" w:rsidRPr="007D37CF" w14:paraId="3706749D"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135BD43E"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Non Clinical</w:t>
            </w:r>
          </w:p>
        </w:tc>
        <w:tc>
          <w:tcPr>
            <w:tcW w:w="1506" w:type="dxa"/>
            <w:tcBorders>
              <w:top w:val="nil"/>
              <w:left w:val="nil"/>
              <w:bottom w:val="single" w:sz="4" w:space="0" w:color="000000"/>
              <w:right w:val="nil"/>
            </w:tcBorders>
            <w:shd w:val="clear" w:color="000000" w:fill="FFFFFF"/>
            <w:noWrap/>
            <w:vAlign w:val="center"/>
            <w:hideMark/>
          </w:tcPr>
          <w:p w14:paraId="44EA07EB" w14:textId="54912710"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320</w:t>
            </w:r>
          </w:p>
        </w:tc>
        <w:tc>
          <w:tcPr>
            <w:tcW w:w="821" w:type="dxa"/>
            <w:tcBorders>
              <w:top w:val="nil"/>
              <w:left w:val="nil"/>
              <w:bottom w:val="single" w:sz="4" w:space="0" w:color="000000"/>
              <w:right w:val="nil"/>
            </w:tcBorders>
            <w:shd w:val="clear" w:color="000000" w:fill="FFFFFF"/>
            <w:noWrap/>
            <w:vAlign w:val="center"/>
            <w:hideMark/>
          </w:tcPr>
          <w:p w14:paraId="613EA174" w14:textId="5AE664A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1,511</w:t>
            </w:r>
          </w:p>
        </w:tc>
        <w:tc>
          <w:tcPr>
            <w:tcW w:w="1628" w:type="dxa"/>
            <w:tcBorders>
              <w:top w:val="nil"/>
              <w:left w:val="nil"/>
              <w:bottom w:val="single" w:sz="4" w:space="0" w:color="000000"/>
              <w:right w:val="nil"/>
            </w:tcBorders>
            <w:shd w:val="clear" w:color="000000" w:fill="FFFFFF"/>
            <w:noWrap/>
            <w:vAlign w:val="center"/>
            <w:hideMark/>
          </w:tcPr>
          <w:p w14:paraId="3AC4CC3D" w14:textId="5B31B8A4"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7</w:t>
            </w:r>
          </w:p>
        </w:tc>
        <w:tc>
          <w:tcPr>
            <w:tcW w:w="1276" w:type="dxa"/>
            <w:tcBorders>
              <w:top w:val="nil"/>
              <w:left w:val="nil"/>
              <w:bottom w:val="single" w:sz="4" w:space="0" w:color="000000"/>
              <w:right w:val="nil"/>
            </w:tcBorders>
            <w:shd w:val="clear" w:color="000000" w:fill="FFFFFF"/>
            <w:noWrap/>
            <w:vAlign w:val="center"/>
            <w:hideMark/>
          </w:tcPr>
          <w:p w14:paraId="2ADC059F"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31</w:t>
            </w:r>
          </w:p>
        </w:tc>
      </w:tr>
      <w:tr w:rsidR="002714CE" w:rsidRPr="007D37CF" w14:paraId="3DC70F20"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0DB48673"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On-costs</w:t>
            </w:r>
          </w:p>
        </w:tc>
        <w:tc>
          <w:tcPr>
            <w:tcW w:w="1506" w:type="dxa"/>
            <w:tcBorders>
              <w:top w:val="nil"/>
              <w:left w:val="nil"/>
              <w:bottom w:val="single" w:sz="4" w:space="0" w:color="000000"/>
              <w:right w:val="nil"/>
            </w:tcBorders>
            <w:shd w:val="clear" w:color="000000" w:fill="FFFFFF"/>
            <w:noWrap/>
            <w:vAlign w:val="center"/>
            <w:hideMark/>
          </w:tcPr>
          <w:p w14:paraId="6196B454" w14:textId="1E401633"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372</w:t>
            </w:r>
          </w:p>
        </w:tc>
        <w:tc>
          <w:tcPr>
            <w:tcW w:w="821" w:type="dxa"/>
            <w:tcBorders>
              <w:top w:val="nil"/>
              <w:left w:val="nil"/>
              <w:bottom w:val="single" w:sz="4" w:space="0" w:color="000000"/>
              <w:right w:val="nil"/>
            </w:tcBorders>
            <w:shd w:val="clear" w:color="000000" w:fill="FFFFFF"/>
            <w:noWrap/>
            <w:vAlign w:val="center"/>
            <w:hideMark/>
          </w:tcPr>
          <w:p w14:paraId="6D90F073" w14:textId="7465EF9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1,287</w:t>
            </w:r>
          </w:p>
        </w:tc>
        <w:tc>
          <w:tcPr>
            <w:tcW w:w="1628" w:type="dxa"/>
            <w:tcBorders>
              <w:top w:val="nil"/>
              <w:left w:val="nil"/>
              <w:bottom w:val="single" w:sz="4" w:space="0" w:color="000000"/>
              <w:right w:val="nil"/>
            </w:tcBorders>
            <w:shd w:val="clear" w:color="000000" w:fill="FFFFFF"/>
            <w:noWrap/>
            <w:vAlign w:val="center"/>
            <w:hideMark/>
          </w:tcPr>
          <w:p w14:paraId="6C65683B" w14:textId="65DBBDFD"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56</w:t>
            </w:r>
          </w:p>
        </w:tc>
        <w:tc>
          <w:tcPr>
            <w:tcW w:w="1276" w:type="dxa"/>
            <w:tcBorders>
              <w:top w:val="nil"/>
              <w:left w:val="nil"/>
              <w:bottom w:val="single" w:sz="4" w:space="0" w:color="000000"/>
              <w:right w:val="nil"/>
            </w:tcBorders>
            <w:shd w:val="clear" w:color="000000" w:fill="FFFFFF"/>
            <w:noWrap/>
            <w:vAlign w:val="center"/>
            <w:hideMark/>
          </w:tcPr>
          <w:p w14:paraId="095C9466"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24</w:t>
            </w:r>
          </w:p>
        </w:tc>
      </w:tr>
      <w:tr w:rsidR="002714CE" w:rsidRPr="007D37CF" w14:paraId="35F525C1"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189C1D43"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Pathology</w:t>
            </w:r>
          </w:p>
        </w:tc>
        <w:tc>
          <w:tcPr>
            <w:tcW w:w="1506" w:type="dxa"/>
            <w:tcBorders>
              <w:top w:val="nil"/>
              <w:left w:val="nil"/>
              <w:bottom w:val="single" w:sz="4" w:space="0" w:color="000000"/>
              <w:right w:val="nil"/>
            </w:tcBorders>
            <w:shd w:val="clear" w:color="000000" w:fill="FFFFFF"/>
            <w:noWrap/>
            <w:vAlign w:val="center"/>
            <w:hideMark/>
          </w:tcPr>
          <w:p w14:paraId="381B56A0" w14:textId="708CCC9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176</w:t>
            </w:r>
          </w:p>
        </w:tc>
        <w:tc>
          <w:tcPr>
            <w:tcW w:w="821" w:type="dxa"/>
            <w:tcBorders>
              <w:top w:val="nil"/>
              <w:left w:val="nil"/>
              <w:bottom w:val="single" w:sz="4" w:space="0" w:color="000000"/>
              <w:right w:val="nil"/>
            </w:tcBorders>
            <w:shd w:val="clear" w:color="000000" w:fill="FFFFFF"/>
            <w:noWrap/>
            <w:vAlign w:val="center"/>
            <w:hideMark/>
          </w:tcPr>
          <w:p w14:paraId="0BD71650" w14:textId="705DD2E5"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148</w:t>
            </w:r>
          </w:p>
        </w:tc>
        <w:tc>
          <w:tcPr>
            <w:tcW w:w="1628" w:type="dxa"/>
            <w:tcBorders>
              <w:top w:val="nil"/>
              <w:left w:val="nil"/>
              <w:bottom w:val="single" w:sz="4" w:space="0" w:color="000000"/>
              <w:right w:val="nil"/>
            </w:tcBorders>
            <w:shd w:val="clear" w:color="000000" w:fill="FFFFFF"/>
            <w:noWrap/>
            <w:vAlign w:val="center"/>
            <w:hideMark/>
          </w:tcPr>
          <w:p w14:paraId="557FBAE7" w14:textId="29998AF6"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45</w:t>
            </w:r>
          </w:p>
        </w:tc>
        <w:tc>
          <w:tcPr>
            <w:tcW w:w="1276" w:type="dxa"/>
            <w:tcBorders>
              <w:top w:val="nil"/>
              <w:left w:val="nil"/>
              <w:bottom w:val="single" w:sz="4" w:space="0" w:color="000000"/>
              <w:right w:val="nil"/>
            </w:tcBorders>
            <w:shd w:val="clear" w:color="000000" w:fill="FFFFFF"/>
            <w:noWrap/>
            <w:vAlign w:val="center"/>
            <w:hideMark/>
          </w:tcPr>
          <w:p w14:paraId="20320078"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14</w:t>
            </w:r>
          </w:p>
        </w:tc>
      </w:tr>
      <w:tr w:rsidR="002714CE" w:rsidRPr="007D37CF" w14:paraId="2CB73D74"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18B62340"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Imaging</w:t>
            </w:r>
          </w:p>
        </w:tc>
        <w:tc>
          <w:tcPr>
            <w:tcW w:w="1506" w:type="dxa"/>
            <w:tcBorders>
              <w:top w:val="nil"/>
              <w:left w:val="nil"/>
              <w:bottom w:val="single" w:sz="4" w:space="0" w:color="000000"/>
              <w:right w:val="nil"/>
            </w:tcBorders>
            <w:shd w:val="clear" w:color="000000" w:fill="FFFFFF"/>
            <w:noWrap/>
            <w:vAlign w:val="center"/>
            <w:hideMark/>
          </w:tcPr>
          <w:p w14:paraId="1E730254" w14:textId="7CE0D804"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117</w:t>
            </w:r>
          </w:p>
        </w:tc>
        <w:tc>
          <w:tcPr>
            <w:tcW w:w="821" w:type="dxa"/>
            <w:tcBorders>
              <w:top w:val="nil"/>
              <w:left w:val="nil"/>
              <w:bottom w:val="single" w:sz="4" w:space="0" w:color="000000"/>
              <w:right w:val="nil"/>
            </w:tcBorders>
            <w:shd w:val="clear" w:color="000000" w:fill="FFFFFF"/>
            <w:noWrap/>
            <w:vAlign w:val="center"/>
            <w:hideMark/>
          </w:tcPr>
          <w:p w14:paraId="3D2D0D35" w14:textId="27135443"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105</w:t>
            </w:r>
          </w:p>
        </w:tc>
        <w:tc>
          <w:tcPr>
            <w:tcW w:w="1628" w:type="dxa"/>
            <w:tcBorders>
              <w:top w:val="nil"/>
              <w:left w:val="nil"/>
              <w:bottom w:val="single" w:sz="4" w:space="0" w:color="000000"/>
              <w:right w:val="nil"/>
            </w:tcBorders>
            <w:shd w:val="clear" w:color="000000" w:fill="FFFFFF"/>
            <w:noWrap/>
            <w:vAlign w:val="center"/>
            <w:hideMark/>
          </w:tcPr>
          <w:p w14:paraId="0460890B" w14:textId="73994A7B"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67</w:t>
            </w:r>
          </w:p>
        </w:tc>
        <w:tc>
          <w:tcPr>
            <w:tcW w:w="1276" w:type="dxa"/>
            <w:tcBorders>
              <w:top w:val="nil"/>
              <w:left w:val="nil"/>
              <w:bottom w:val="single" w:sz="4" w:space="0" w:color="000000"/>
              <w:right w:val="nil"/>
            </w:tcBorders>
            <w:shd w:val="clear" w:color="000000" w:fill="FFFFFF"/>
            <w:noWrap/>
            <w:vAlign w:val="center"/>
            <w:hideMark/>
          </w:tcPr>
          <w:p w14:paraId="067615DC"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16</w:t>
            </w:r>
          </w:p>
        </w:tc>
      </w:tr>
      <w:tr w:rsidR="002714CE" w:rsidRPr="007D37CF" w14:paraId="6D42B364"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0CBD54CC"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Prosthesis</w:t>
            </w:r>
          </w:p>
        </w:tc>
        <w:tc>
          <w:tcPr>
            <w:tcW w:w="1506" w:type="dxa"/>
            <w:tcBorders>
              <w:top w:val="nil"/>
              <w:left w:val="nil"/>
              <w:bottom w:val="single" w:sz="4" w:space="0" w:color="000000"/>
              <w:right w:val="nil"/>
            </w:tcBorders>
            <w:shd w:val="clear" w:color="000000" w:fill="FFFFFF"/>
            <w:noWrap/>
            <w:vAlign w:val="center"/>
            <w:hideMark/>
          </w:tcPr>
          <w:p w14:paraId="566ADECA" w14:textId="02E8FD6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156</w:t>
            </w:r>
          </w:p>
        </w:tc>
        <w:tc>
          <w:tcPr>
            <w:tcW w:w="821" w:type="dxa"/>
            <w:tcBorders>
              <w:top w:val="nil"/>
              <w:left w:val="nil"/>
              <w:bottom w:val="single" w:sz="4" w:space="0" w:color="000000"/>
              <w:right w:val="nil"/>
            </w:tcBorders>
            <w:shd w:val="clear" w:color="000000" w:fill="FFFFFF"/>
            <w:noWrap/>
            <w:vAlign w:val="center"/>
            <w:hideMark/>
          </w:tcPr>
          <w:p w14:paraId="5CF1CC90" w14:textId="5738A012"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8</w:t>
            </w:r>
          </w:p>
        </w:tc>
        <w:tc>
          <w:tcPr>
            <w:tcW w:w="1628" w:type="dxa"/>
            <w:tcBorders>
              <w:top w:val="nil"/>
              <w:left w:val="nil"/>
              <w:bottom w:val="single" w:sz="4" w:space="0" w:color="000000"/>
              <w:right w:val="nil"/>
            </w:tcBorders>
            <w:shd w:val="clear" w:color="000000" w:fill="FFFFFF"/>
            <w:noWrap/>
            <w:vAlign w:val="center"/>
            <w:hideMark/>
          </w:tcPr>
          <w:p w14:paraId="4341A0B4" w14:textId="67F9789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0</w:t>
            </w:r>
          </w:p>
        </w:tc>
        <w:tc>
          <w:tcPr>
            <w:tcW w:w="1276" w:type="dxa"/>
            <w:tcBorders>
              <w:top w:val="nil"/>
              <w:left w:val="nil"/>
              <w:bottom w:val="single" w:sz="4" w:space="0" w:color="000000"/>
              <w:right w:val="nil"/>
            </w:tcBorders>
            <w:shd w:val="clear" w:color="000000" w:fill="FFFFFF"/>
            <w:noWrap/>
            <w:vAlign w:val="center"/>
            <w:hideMark/>
          </w:tcPr>
          <w:p w14:paraId="47BF04EA"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w:t>
            </w:r>
          </w:p>
        </w:tc>
      </w:tr>
      <w:tr w:rsidR="002714CE" w:rsidRPr="007D37CF" w14:paraId="282FA0C2"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32E9039B"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Ward Supplies</w:t>
            </w:r>
          </w:p>
        </w:tc>
        <w:tc>
          <w:tcPr>
            <w:tcW w:w="1506" w:type="dxa"/>
            <w:tcBorders>
              <w:top w:val="nil"/>
              <w:left w:val="nil"/>
              <w:bottom w:val="single" w:sz="4" w:space="0" w:color="000000"/>
              <w:right w:val="nil"/>
            </w:tcBorders>
            <w:shd w:val="clear" w:color="000000" w:fill="FFFFFF"/>
            <w:noWrap/>
            <w:vAlign w:val="center"/>
            <w:hideMark/>
          </w:tcPr>
          <w:p w14:paraId="303C29F3" w14:textId="0CE22119"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362</w:t>
            </w:r>
          </w:p>
        </w:tc>
        <w:tc>
          <w:tcPr>
            <w:tcW w:w="821" w:type="dxa"/>
            <w:tcBorders>
              <w:top w:val="nil"/>
              <w:left w:val="nil"/>
              <w:bottom w:val="single" w:sz="4" w:space="0" w:color="000000"/>
              <w:right w:val="nil"/>
            </w:tcBorders>
            <w:shd w:val="clear" w:color="000000" w:fill="FFFFFF"/>
            <w:noWrap/>
            <w:vAlign w:val="center"/>
            <w:hideMark/>
          </w:tcPr>
          <w:p w14:paraId="0F22248D" w14:textId="0DC2EBB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1,382</w:t>
            </w:r>
          </w:p>
        </w:tc>
        <w:tc>
          <w:tcPr>
            <w:tcW w:w="1628" w:type="dxa"/>
            <w:tcBorders>
              <w:top w:val="nil"/>
              <w:left w:val="nil"/>
              <w:bottom w:val="single" w:sz="4" w:space="0" w:color="000000"/>
              <w:right w:val="nil"/>
            </w:tcBorders>
            <w:shd w:val="clear" w:color="000000" w:fill="FFFFFF"/>
            <w:noWrap/>
            <w:vAlign w:val="center"/>
            <w:hideMark/>
          </w:tcPr>
          <w:p w14:paraId="2BE0DD76" w14:textId="76EB5A0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9</w:t>
            </w:r>
          </w:p>
        </w:tc>
        <w:tc>
          <w:tcPr>
            <w:tcW w:w="1276" w:type="dxa"/>
            <w:tcBorders>
              <w:top w:val="nil"/>
              <w:left w:val="nil"/>
              <w:bottom w:val="single" w:sz="4" w:space="0" w:color="000000"/>
              <w:right w:val="nil"/>
            </w:tcBorders>
            <w:shd w:val="clear" w:color="000000" w:fill="FFFFFF"/>
            <w:noWrap/>
            <w:vAlign w:val="center"/>
            <w:hideMark/>
          </w:tcPr>
          <w:p w14:paraId="6C9CC018"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32</w:t>
            </w:r>
          </w:p>
        </w:tc>
      </w:tr>
      <w:tr w:rsidR="002714CE" w:rsidRPr="007D37CF" w14:paraId="4B0BEAFF"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4636FC5B"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Pharmacy</w:t>
            </w:r>
          </w:p>
        </w:tc>
        <w:tc>
          <w:tcPr>
            <w:tcW w:w="1506" w:type="dxa"/>
            <w:tcBorders>
              <w:top w:val="nil"/>
              <w:left w:val="nil"/>
              <w:bottom w:val="single" w:sz="4" w:space="0" w:color="000000"/>
              <w:right w:val="nil"/>
            </w:tcBorders>
            <w:shd w:val="clear" w:color="000000" w:fill="FFFFFF"/>
            <w:noWrap/>
            <w:vAlign w:val="center"/>
            <w:hideMark/>
          </w:tcPr>
          <w:p w14:paraId="467C0CA5" w14:textId="36D25F1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192</w:t>
            </w:r>
          </w:p>
        </w:tc>
        <w:tc>
          <w:tcPr>
            <w:tcW w:w="821" w:type="dxa"/>
            <w:tcBorders>
              <w:top w:val="nil"/>
              <w:left w:val="nil"/>
              <w:bottom w:val="single" w:sz="4" w:space="0" w:color="000000"/>
              <w:right w:val="nil"/>
            </w:tcBorders>
            <w:shd w:val="clear" w:color="000000" w:fill="FFFFFF"/>
            <w:noWrap/>
            <w:vAlign w:val="center"/>
            <w:hideMark/>
          </w:tcPr>
          <w:p w14:paraId="1FFDEAC3" w14:textId="3EAAC0C8"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344</w:t>
            </w:r>
          </w:p>
        </w:tc>
        <w:tc>
          <w:tcPr>
            <w:tcW w:w="1628" w:type="dxa"/>
            <w:tcBorders>
              <w:top w:val="nil"/>
              <w:left w:val="nil"/>
              <w:bottom w:val="single" w:sz="4" w:space="0" w:color="000000"/>
              <w:right w:val="nil"/>
            </w:tcBorders>
            <w:shd w:val="clear" w:color="000000" w:fill="FFFFFF"/>
            <w:noWrap/>
            <w:vAlign w:val="center"/>
            <w:hideMark/>
          </w:tcPr>
          <w:p w14:paraId="6B2405FE" w14:textId="59969934"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w:t>
            </w:r>
          </w:p>
        </w:tc>
        <w:tc>
          <w:tcPr>
            <w:tcW w:w="1276" w:type="dxa"/>
            <w:tcBorders>
              <w:top w:val="nil"/>
              <w:left w:val="nil"/>
              <w:bottom w:val="single" w:sz="4" w:space="0" w:color="000000"/>
              <w:right w:val="nil"/>
            </w:tcBorders>
            <w:shd w:val="clear" w:color="000000" w:fill="FFFFFF"/>
            <w:noWrap/>
            <w:vAlign w:val="center"/>
            <w:hideMark/>
          </w:tcPr>
          <w:p w14:paraId="6006C23B"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33</w:t>
            </w:r>
          </w:p>
        </w:tc>
      </w:tr>
      <w:tr w:rsidR="002714CE" w:rsidRPr="007D37CF" w14:paraId="5AF416E7"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2343225D"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Critical Care</w:t>
            </w:r>
          </w:p>
        </w:tc>
        <w:tc>
          <w:tcPr>
            <w:tcW w:w="1506" w:type="dxa"/>
            <w:tcBorders>
              <w:top w:val="nil"/>
              <w:left w:val="nil"/>
              <w:bottom w:val="single" w:sz="4" w:space="0" w:color="000000"/>
              <w:right w:val="nil"/>
            </w:tcBorders>
            <w:shd w:val="clear" w:color="000000" w:fill="FFFFFF"/>
            <w:noWrap/>
            <w:vAlign w:val="center"/>
            <w:hideMark/>
          </w:tcPr>
          <w:p w14:paraId="618A0893" w14:textId="08F3FDA5"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398</w:t>
            </w:r>
          </w:p>
        </w:tc>
        <w:tc>
          <w:tcPr>
            <w:tcW w:w="821" w:type="dxa"/>
            <w:tcBorders>
              <w:top w:val="nil"/>
              <w:left w:val="nil"/>
              <w:bottom w:val="single" w:sz="4" w:space="0" w:color="000000"/>
              <w:right w:val="nil"/>
            </w:tcBorders>
            <w:shd w:val="clear" w:color="000000" w:fill="FFFFFF"/>
            <w:noWrap/>
            <w:vAlign w:val="center"/>
            <w:hideMark/>
          </w:tcPr>
          <w:p w14:paraId="0777D17D" w14:textId="71A44F76"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10</w:t>
            </w:r>
          </w:p>
        </w:tc>
        <w:tc>
          <w:tcPr>
            <w:tcW w:w="1628" w:type="dxa"/>
            <w:tcBorders>
              <w:top w:val="nil"/>
              <w:left w:val="nil"/>
              <w:bottom w:val="single" w:sz="4" w:space="0" w:color="000000"/>
              <w:right w:val="nil"/>
            </w:tcBorders>
            <w:shd w:val="clear" w:color="000000" w:fill="FFFFFF"/>
            <w:noWrap/>
            <w:vAlign w:val="center"/>
            <w:hideMark/>
          </w:tcPr>
          <w:p w14:paraId="1AAC52F9" w14:textId="781EC0E0"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0</w:t>
            </w:r>
          </w:p>
        </w:tc>
        <w:tc>
          <w:tcPr>
            <w:tcW w:w="1276" w:type="dxa"/>
            <w:tcBorders>
              <w:top w:val="nil"/>
              <w:left w:val="nil"/>
              <w:bottom w:val="single" w:sz="4" w:space="0" w:color="000000"/>
              <w:right w:val="nil"/>
            </w:tcBorders>
            <w:shd w:val="clear" w:color="000000" w:fill="FFFFFF"/>
            <w:noWrap/>
            <w:vAlign w:val="center"/>
            <w:hideMark/>
          </w:tcPr>
          <w:p w14:paraId="5FF7D486"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0</w:t>
            </w:r>
          </w:p>
        </w:tc>
      </w:tr>
      <w:tr w:rsidR="002714CE" w:rsidRPr="007D37CF" w14:paraId="03771437"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611F8B1C"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Operating Room</w:t>
            </w:r>
          </w:p>
        </w:tc>
        <w:tc>
          <w:tcPr>
            <w:tcW w:w="1506" w:type="dxa"/>
            <w:tcBorders>
              <w:top w:val="nil"/>
              <w:left w:val="nil"/>
              <w:bottom w:val="single" w:sz="4" w:space="0" w:color="000000"/>
              <w:right w:val="nil"/>
            </w:tcBorders>
            <w:shd w:val="clear" w:color="000000" w:fill="FFFFFF"/>
            <w:noWrap/>
            <w:vAlign w:val="center"/>
            <w:hideMark/>
          </w:tcPr>
          <w:p w14:paraId="1228A04B" w14:textId="67DF6888"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748</w:t>
            </w:r>
          </w:p>
        </w:tc>
        <w:tc>
          <w:tcPr>
            <w:tcW w:w="821" w:type="dxa"/>
            <w:tcBorders>
              <w:top w:val="nil"/>
              <w:left w:val="nil"/>
              <w:bottom w:val="single" w:sz="4" w:space="0" w:color="000000"/>
              <w:right w:val="nil"/>
            </w:tcBorders>
            <w:shd w:val="clear" w:color="000000" w:fill="FFFFFF"/>
            <w:noWrap/>
            <w:vAlign w:val="center"/>
            <w:hideMark/>
          </w:tcPr>
          <w:p w14:paraId="3B9A1F09" w14:textId="7D3D80FC"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23</w:t>
            </w:r>
          </w:p>
        </w:tc>
        <w:tc>
          <w:tcPr>
            <w:tcW w:w="1628" w:type="dxa"/>
            <w:tcBorders>
              <w:top w:val="nil"/>
              <w:left w:val="nil"/>
              <w:bottom w:val="single" w:sz="4" w:space="0" w:color="000000"/>
              <w:right w:val="nil"/>
            </w:tcBorders>
            <w:shd w:val="clear" w:color="000000" w:fill="FFFFFF"/>
            <w:noWrap/>
            <w:vAlign w:val="center"/>
            <w:hideMark/>
          </w:tcPr>
          <w:p w14:paraId="22A5622E" w14:textId="3FE915F8"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w:t>
            </w:r>
          </w:p>
        </w:tc>
        <w:tc>
          <w:tcPr>
            <w:tcW w:w="1276" w:type="dxa"/>
            <w:tcBorders>
              <w:top w:val="nil"/>
              <w:left w:val="nil"/>
              <w:bottom w:val="single" w:sz="4" w:space="0" w:color="000000"/>
              <w:right w:val="nil"/>
            </w:tcBorders>
            <w:shd w:val="clear" w:color="000000" w:fill="FFFFFF"/>
            <w:noWrap/>
            <w:vAlign w:val="center"/>
            <w:hideMark/>
          </w:tcPr>
          <w:p w14:paraId="3DB4443F"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w:t>
            </w:r>
          </w:p>
        </w:tc>
      </w:tr>
      <w:tr w:rsidR="002714CE" w:rsidRPr="007D37CF" w14:paraId="0AE2D4B1"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0A4F3768"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Patient Travel</w:t>
            </w:r>
          </w:p>
        </w:tc>
        <w:tc>
          <w:tcPr>
            <w:tcW w:w="1506" w:type="dxa"/>
            <w:tcBorders>
              <w:top w:val="nil"/>
              <w:left w:val="nil"/>
              <w:bottom w:val="single" w:sz="4" w:space="0" w:color="000000"/>
              <w:right w:val="nil"/>
            </w:tcBorders>
            <w:shd w:val="clear" w:color="000000" w:fill="FFFFFF"/>
            <w:noWrap/>
            <w:vAlign w:val="center"/>
            <w:hideMark/>
          </w:tcPr>
          <w:p w14:paraId="1C0D57D1" w14:textId="1CF6B640"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32</w:t>
            </w:r>
          </w:p>
        </w:tc>
        <w:tc>
          <w:tcPr>
            <w:tcW w:w="821" w:type="dxa"/>
            <w:tcBorders>
              <w:top w:val="nil"/>
              <w:left w:val="nil"/>
              <w:bottom w:val="single" w:sz="4" w:space="0" w:color="000000"/>
              <w:right w:val="nil"/>
            </w:tcBorders>
            <w:shd w:val="clear" w:color="000000" w:fill="FFFFFF"/>
            <w:noWrap/>
            <w:vAlign w:val="center"/>
            <w:hideMark/>
          </w:tcPr>
          <w:p w14:paraId="46EEA7E5" w14:textId="70CE7105"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82</w:t>
            </w:r>
          </w:p>
        </w:tc>
        <w:tc>
          <w:tcPr>
            <w:tcW w:w="1628" w:type="dxa"/>
            <w:tcBorders>
              <w:top w:val="nil"/>
              <w:left w:val="nil"/>
              <w:bottom w:val="single" w:sz="4" w:space="0" w:color="000000"/>
              <w:right w:val="nil"/>
            </w:tcBorders>
            <w:shd w:val="clear" w:color="000000" w:fill="FFFFFF"/>
            <w:noWrap/>
            <w:vAlign w:val="center"/>
            <w:hideMark/>
          </w:tcPr>
          <w:p w14:paraId="4CABD428" w14:textId="41A6064B"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9</w:t>
            </w:r>
          </w:p>
        </w:tc>
        <w:tc>
          <w:tcPr>
            <w:tcW w:w="1276" w:type="dxa"/>
            <w:tcBorders>
              <w:top w:val="nil"/>
              <w:left w:val="nil"/>
              <w:bottom w:val="single" w:sz="4" w:space="0" w:color="000000"/>
              <w:right w:val="nil"/>
            </w:tcBorders>
            <w:shd w:val="clear" w:color="000000" w:fill="FFFFFF"/>
            <w:noWrap/>
            <w:vAlign w:val="center"/>
            <w:hideMark/>
          </w:tcPr>
          <w:p w14:paraId="76F6E5CF"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w:t>
            </w:r>
          </w:p>
        </w:tc>
      </w:tr>
      <w:tr w:rsidR="002714CE" w:rsidRPr="007D37CF" w14:paraId="62650B52"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3B063B14"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Special Procedure Suite</w:t>
            </w:r>
          </w:p>
        </w:tc>
        <w:tc>
          <w:tcPr>
            <w:tcW w:w="1506" w:type="dxa"/>
            <w:tcBorders>
              <w:top w:val="nil"/>
              <w:left w:val="nil"/>
              <w:bottom w:val="single" w:sz="4" w:space="0" w:color="000000"/>
              <w:right w:val="nil"/>
            </w:tcBorders>
            <w:shd w:val="clear" w:color="000000" w:fill="FFFFFF"/>
            <w:noWrap/>
            <w:vAlign w:val="center"/>
            <w:hideMark/>
          </w:tcPr>
          <w:p w14:paraId="7915519E" w14:textId="00F5D273"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59</w:t>
            </w:r>
          </w:p>
        </w:tc>
        <w:tc>
          <w:tcPr>
            <w:tcW w:w="821" w:type="dxa"/>
            <w:tcBorders>
              <w:top w:val="nil"/>
              <w:left w:val="nil"/>
              <w:bottom w:val="single" w:sz="4" w:space="0" w:color="000000"/>
              <w:right w:val="nil"/>
            </w:tcBorders>
            <w:shd w:val="clear" w:color="000000" w:fill="FFFFFF"/>
            <w:noWrap/>
            <w:vAlign w:val="center"/>
            <w:hideMark/>
          </w:tcPr>
          <w:p w14:paraId="41E9150E" w14:textId="5228BC8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6</w:t>
            </w:r>
          </w:p>
        </w:tc>
        <w:tc>
          <w:tcPr>
            <w:tcW w:w="1628" w:type="dxa"/>
            <w:tcBorders>
              <w:top w:val="nil"/>
              <w:left w:val="nil"/>
              <w:bottom w:val="single" w:sz="4" w:space="0" w:color="000000"/>
              <w:right w:val="nil"/>
            </w:tcBorders>
            <w:shd w:val="clear" w:color="000000" w:fill="FFFFFF"/>
            <w:noWrap/>
            <w:vAlign w:val="center"/>
            <w:hideMark/>
          </w:tcPr>
          <w:p w14:paraId="25D9A144" w14:textId="370C9A1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0</w:t>
            </w:r>
          </w:p>
        </w:tc>
        <w:tc>
          <w:tcPr>
            <w:tcW w:w="1276" w:type="dxa"/>
            <w:tcBorders>
              <w:top w:val="nil"/>
              <w:left w:val="nil"/>
              <w:bottom w:val="single" w:sz="4" w:space="0" w:color="000000"/>
              <w:right w:val="nil"/>
            </w:tcBorders>
            <w:shd w:val="clear" w:color="000000" w:fill="FFFFFF"/>
            <w:noWrap/>
            <w:vAlign w:val="center"/>
            <w:hideMark/>
          </w:tcPr>
          <w:p w14:paraId="290C65C0"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5</w:t>
            </w:r>
          </w:p>
        </w:tc>
      </w:tr>
      <w:tr w:rsidR="002714CE" w:rsidRPr="007D37CF" w14:paraId="4843A4EB"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59702DDE"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Emergency Department</w:t>
            </w:r>
          </w:p>
        </w:tc>
        <w:tc>
          <w:tcPr>
            <w:tcW w:w="1506" w:type="dxa"/>
            <w:tcBorders>
              <w:top w:val="nil"/>
              <w:left w:val="nil"/>
              <w:bottom w:val="single" w:sz="4" w:space="0" w:color="000000"/>
              <w:right w:val="nil"/>
            </w:tcBorders>
            <w:shd w:val="clear" w:color="000000" w:fill="FFFFFF"/>
            <w:noWrap/>
            <w:vAlign w:val="center"/>
            <w:hideMark/>
          </w:tcPr>
          <w:p w14:paraId="3F9C78C3" w14:textId="5F0CDB9E"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28</w:t>
            </w:r>
          </w:p>
        </w:tc>
        <w:tc>
          <w:tcPr>
            <w:tcW w:w="821" w:type="dxa"/>
            <w:tcBorders>
              <w:top w:val="nil"/>
              <w:left w:val="nil"/>
              <w:bottom w:val="single" w:sz="4" w:space="0" w:color="000000"/>
              <w:right w:val="nil"/>
            </w:tcBorders>
            <w:shd w:val="clear" w:color="000000" w:fill="FFFFFF"/>
            <w:noWrap/>
            <w:vAlign w:val="center"/>
            <w:hideMark/>
          </w:tcPr>
          <w:p w14:paraId="70D1A5E1" w14:textId="67207459"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2</w:t>
            </w:r>
          </w:p>
        </w:tc>
        <w:tc>
          <w:tcPr>
            <w:tcW w:w="1628" w:type="dxa"/>
            <w:tcBorders>
              <w:top w:val="nil"/>
              <w:left w:val="nil"/>
              <w:bottom w:val="single" w:sz="4" w:space="0" w:color="000000"/>
              <w:right w:val="nil"/>
            </w:tcBorders>
            <w:shd w:val="clear" w:color="000000" w:fill="FFFFFF"/>
            <w:noWrap/>
            <w:vAlign w:val="center"/>
            <w:hideMark/>
          </w:tcPr>
          <w:p w14:paraId="35D5AF29" w14:textId="533D11FB"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449</w:t>
            </w:r>
          </w:p>
        </w:tc>
        <w:tc>
          <w:tcPr>
            <w:tcW w:w="1276" w:type="dxa"/>
            <w:tcBorders>
              <w:top w:val="nil"/>
              <w:left w:val="nil"/>
              <w:bottom w:val="single" w:sz="4" w:space="0" w:color="000000"/>
              <w:right w:val="nil"/>
            </w:tcBorders>
            <w:shd w:val="clear" w:color="000000" w:fill="FFFFFF"/>
            <w:noWrap/>
            <w:vAlign w:val="center"/>
            <w:hideMark/>
          </w:tcPr>
          <w:p w14:paraId="61AD8CA3"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0</w:t>
            </w:r>
          </w:p>
        </w:tc>
      </w:tr>
      <w:tr w:rsidR="002714CE" w:rsidRPr="007D37CF" w14:paraId="5417CD38" w14:textId="77777777" w:rsidTr="00886525">
        <w:trPr>
          <w:trHeight w:val="232"/>
          <w:jc w:val="center"/>
        </w:trPr>
        <w:tc>
          <w:tcPr>
            <w:tcW w:w="2282" w:type="dxa"/>
            <w:tcBorders>
              <w:top w:val="nil"/>
              <w:left w:val="nil"/>
              <w:bottom w:val="single" w:sz="4" w:space="0" w:color="000000"/>
              <w:right w:val="nil"/>
            </w:tcBorders>
            <w:shd w:val="clear" w:color="000000" w:fill="FFFFFF"/>
            <w:noWrap/>
            <w:vAlign w:val="center"/>
            <w:hideMark/>
          </w:tcPr>
          <w:p w14:paraId="661AA67B"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Hotel</w:t>
            </w:r>
          </w:p>
        </w:tc>
        <w:tc>
          <w:tcPr>
            <w:tcW w:w="1506" w:type="dxa"/>
            <w:tcBorders>
              <w:top w:val="nil"/>
              <w:left w:val="nil"/>
              <w:bottom w:val="single" w:sz="4" w:space="0" w:color="000000"/>
              <w:right w:val="nil"/>
            </w:tcBorders>
            <w:shd w:val="clear" w:color="000000" w:fill="FFFFFF"/>
            <w:noWrap/>
            <w:vAlign w:val="center"/>
            <w:hideMark/>
          </w:tcPr>
          <w:p w14:paraId="2771B818" w14:textId="3646C396"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150</w:t>
            </w:r>
          </w:p>
        </w:tc>
        <w:tc>
          <w:tcPr>
            <w:tcW w:w="821" w:type="dxa"/>
            <w:tcBorders>
              <w:top w:val="nil"/>
              <w:left w:val="nil"/>
              <w:bottom w:val="single" w:sz="4" w:space="0" w:color="000000"/>
              <w:right w:val="nil"/>
            </w:tcBorders>
            <w:shd w:val="clear" w:color="000000" w:fill="FFFFFF"/>
            <w:noWrap/>
            <w:vAlign w:val="center"/>
            <w:hideMark/>
          </w:tcPr>
          <w:p w14:paraId="50B02A6A" w14:textId="0C2FA19A"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619</w:t>
            </w:r>
          </w:p>
        </w:tc>
        <w:tc>
          <w:tcPr>
            <w:tcW w:w="1628" w:type="dxa"/>
            <w:tcBorders>
              <w:top w:val="nil"/>
              <w:left w:val="nil"/>
              <w:bottom w:val="single" w:sz="4" w:space="0" w:color="000000"/>
              <w:right w:val="nil"/>
            </w:tcBorders>
            <w:shd w:val="clear" w:color="000000" w:fill="FFFFFF"/>
            <w:noWrap/>
            <w:vAlign w:val="center"/>
            <w:hideMark/>
          </w:tcPr>
          <w:p w14:paraId="1157F91B" w14:textId="1ED4ECD5"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w:t>
            </w:r>
          </w:p>
        </w:tc>
        <w:tc>
          <w:tcPr>
            <w:tcW w:w="1276" w:type="dxa"/>
            <w:tcBorders>
              <w:top w:val="nil"/>
              <w:left w:val="nil"/>
              <w:bottom w:val="single" w:sz="4" w:space="0" w:color="000000"/>
              <w:right w:val="nil"/>
            </w:tcBorders>
            <w:shd w:val="clear" w:color="000000" w:fill="FFFFFF"/>
            <w:noWrap/>
            <w:vAlign w:val="center"/>
            <w:hideMark/>
          </w:tcPr>
          <w:p w14:paraId="76FC370E"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w:t>
            </w:r>
          </w:p>
        </w:tc>
      </w:tr>
      <w:tr w:rsidR="002714CE" w:rsidRPr="007D37CF" w14:paraId="37066ED6" w14:textId="77777777" w:rsidTr="00886525">
        <w:trPr>
          <w:trHeight w:val="232"/>
          <w:jc w:val="center"/>
        </w:trPr>
        <w:tc>
          <w:tcPr>
            <w:tcW w:w="2282" w:type="dxa"/>
            <w:tcBorders>
              <w:top w:val="nil"/>
              <w:left w:val="nil"/>
              <w:bottom w:val="single" w:sz="8" w:space="0" w:color="000000"/>
              <w:right w:val="nil"/>
            </w:tcBorders>
            <w:shd w:val="clear" w:color="000000" w:fill="FFFFFF"/>
            <w:noWrap/>
            <w:vAlign w:val="center"/>
            <w:hideMark/>
          </w:tcPr>
          <w:p w14:paraId="3028C066" w14:textId="77777777" w:rsidR="002714CE" w:rsidRPr="007D37CF" w:rsidRDefault="002714CE" w:rsidP="003F0886">
            <w:pPr>
              <w:spacing w:before="0" w:after="0" w:line="240" w:lineRule="auto"/>
              <w:rPr>
                <w:rFonts w:cs="Arial"/>
                <w:sz w:val="18"/>
                <w:szCs w:val="18"/>
                <w:lang w:val="en-US" w:eastAsia="en-US"/>
              </w:rPr>
            </w:pPr>
            <w:r w:rsidRPr="007D37CF">
              <w:rPr>
                <w:rFonts w:cs="Arial"/>
                <w:sz w:val="18"/>
                <w:szCs w:val="18"/>
                <w:lang w:val="en-US" w:eastAsia="en-US"/>
              </w:rPr>
              <w:t>Depreciation</w:t>
            </w:r>
          </w:p>
        </w:tc>
        <w:tc>
          <w:tcPr>
            <w:tcW w:w="1506" w:type="dxa"/>
            <w:tcBorders>
              <w:top w:val="nil"/>
              <w:left w:val="nil"/>
              <w:bottom w:val="single" w:sz="8" w:space="0" w:color="000000"/>
              <w:right w:val="nil"/>
            </w:tcBorders>
            <w:shd w:val="clear" w:color="000000" w:fill="FFFFFF"/>
            <w:noWrap/>
            <w:vAlign w:val="center"/>
            <w:hideMark/>
          </w:tcPr>
          <w:p w14:paraId="2669E7D7" w14:textId="575EFB9B"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159</w:t>
            </w:r>
          </w:p>
        </w:tc>
        <w:tc>
          <w:tcPr>
            <w:tcW w:w="821" w:type="dxa"/>
            <w:tcBorders>
              <w:top w:val="nil"/>
              <w:left w:val="nil"/>
              <w:bottom w:val="single" w:sz="8" w:space="0" w:color="000000"/>
              <w:right w:val="nil"/>
            </w:tcBorders>
            <w:shd w:val="clear" w:color="000000" w:fill="FFFFFF"/>
            <w:noWrap/>
            <w:vAlign w:val="center"/>
            <w:hideMark/>
          </w:tcPr>
          <w:p w14:paraId="47EFF454" w14:textId="500D9A38"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400</w:t>
            </w:r>
          </w:p>
        </w:tc>
        <w:tc>
          <w:tcPr>
            <w:tcW w:w="1628" w:type="dxa"/>
            <w:tcBorders>
              <w:top w:val="nil"/>
              <w:left w:val="nil"/>
              <w:bottom w:val="single" w:sz="8" w:space="0" w:color="000000"/>
              <w:right w:val="nil"/>
            </w:tcBorders>
            <w:shd w:val="clear" w:color="000000" w:fill="FFFFFF"/>
            <w:noWrap/>
            <w:vAlign w:val="center"/>
            <w:hideMark/>
          </w:tcPr>
          <w:p w14:paraId="5B7D1075" w14:textId="6311DBBF"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24</w:t>
            </w:r>
          </w:p>
        </w:tc>
        <w:tc>
          <w:tcPr>
            <w:tcW w:w="1276" w:type="dxa"/>
            <w:tcBorders>
              <w:top w:val="nil"/>
              <w:left w:val="nil"/>
              <w:bottom w:val="single" w:sz="8" w:space="0" w:color="000000"/>
              <w:right w:val="nil"/>
            </w:tcBorders>
            <w:shd w:val="clear" w:color="000000" w:fill="FFFFFF"/>
            <w:noWrap/>
            <w:vAlign w:val="center"/>
            <w:hideMark/>
          </w:tcPr>
          <w:p w14:paraId="67ED3F74" w14:textId="77777777" w:rsidR="002714CE" w:rsidRPr="00B52921" w:rsidRDefault="002714CE" w:rsidP="003F0886">
            <w:pPr>
              <w:spacing w:before="0" w:after="0" w:line="240" w:lineRule="auto"/>
              <w:jc w:val="center"/>
              <w:rPr>
                <w:rFonts w:asciiTheme="minorHAnsi" w:hAnsiTheme="minorHAnsi" w:cstheme="minorHAnsi"/>
                <w:color w:val="000000"/>
                <w:sz w:val="18"/>
                <w:szCs w:val="18"/>
                <w:lang w:val="en-US" w:eastAsia="en-US"/>
              </w:rPr>
            </w:pPr>
            <w:r w:rsidRPr="00B52921">
              <w:rPr>
                <w:rFonts w:asciiTheme="minorHAnsi" w:hAnsiTheme="minorHAnsi" w:cstheme="minorHAnsi"/>
                <w:color w:val="000000"/>
                <w:sz w:val="18"/>
                <w:szCs w:val="18"/>
                <w:lang w:val="en-US" w:eastAsia="en-US"/>
              </w:rPr>
              <w:t>13</w:t>
            </w:r>
          </w:p>
        </w:tc>
      </w:tr>
      <w:tr w:rsidR="002714CE" w:rsidRPr="007D37CF" w14:paraId="48D9ACAA" w14:textId="77777777" w:rsidTr="00886525">
        <w:trPr>
          <w:trHeight w:val="315"/>
          <w:jc w:val="center"/>
        </w:trPr>
        <w:tc>
          <w:tcPr>
            <w:tcW w:w="2282" w:type="dxa"/>
            <w:tcBorders>
              <w:top w:val="nil"/>
              <w:left w:val="nil"/>
              <w:bottom w:val="single" w:sz="8" w:space="0" w:color="000000"/>
              <w:right w:val="nil"/>
            </w:tcBorders>
            <w:shd w:val="clear" w:color="000000" w:fill="FFFFFF"/>
            <w:noWrap/>
            <w:vAlign w:val="center"/>
            <w:hideMark/>
          </w:tcPr>
          <w:p w14:paraId="1FF291B8" w14:textId="77777777" w:rsidR="002714CE" w:rsidRPr="007D37CF" w:rsidRDefault="002714CE" w:rsidP="003F0886">
            <w:pPr>
              <w:spacing w:before="0" w:after="0" w:line="240" w:lineRule="auto"/>
              <w:rPr>
                <w:rFonts w:asciiTheme="minorHAnsi" w:hAnsiTheme="minorHAnsi" w:cstheme="minorHAnsi"/>
                <w:b/>
                <w:sz w:val="18"/>
                <w:szCs w:val="18"/>
                <w:lang w:val="en-US" w:eastAsia="en-US"/>
              </w:rPr>
            </w:pPr>
            <w:r w:rsidRPr="007D37CF">
              <w:rPr>
                <w:rFonts w:asciiTheme="minorHAnsi" w:hAnsiTheme="minorHAnsi" w:cstheme="minorHAnsi"/>
                <w:b/>
                <w:sz w:val="18"/>
                <w:szCs w:val="18"/>
                <w:lang w:val="en-US" w:eastAsia="en-US"/>
              </w:rPr>
              <w:t>Total ($)</w:t>
            </w:r>
          </w:p>
        </w:tc>
        <w:tc>
          <w:tcPr>
            <w:tcW w:w="1506" w:type="dxa"/>
            <w:tcBorders>
              <w:top w:val="nil"/>
              <w:left w:val="nil"/>
              <w:bottom w:val="single" w:sz="8" w:space="0" w:color="000000"/>
              <w:right w:val="nil"/>
            </w:tcBorders>
            <w:shd w:val="clear" w:color="000000" w:fill="FFFFFF"/>
            <w:noWrap/>
            <w:vAlign w:val="center"/>
            <w:hideMark/>
          </w:tcPr>
          <w:p w14:paraId="37CCFD23" w14:textId="237B38E2" w:rsidR="002714CE" w:rsidRPr="00B52921" w:rsidRDefault="002714CE" w:rsidP="003F0886">
            <w:pPr>
              <w:spacing w:before="0" w:after="0" w:line="240" w:lineRule="auto"/>
              <w:jc w:val="center"/>
              <w:rPr>
                <w:rFonts w:asciiTheme="minorHAnsi" w:hAnsiTheme="minorHAnsi" w:cstheme="minorHAnsi"/>
                <w:b/>
                <w:color w:val="000000"/>
                <w:sz w:val="18"/>
                <w:szCs w:val="18"/>
                <w:lang w:val="en-US" w:eastAsia="en-US"/>
              </w:rPr>
            </w:pPr>
            <w:r w:rsidRPr="00B52921">
              <w:rPr>
                <w:rFonts w:asciiTheme="minorHAnsi" w:hAnsiTheme="minorHAnsi" w:cstheme="minorHAnsi"/>
                <w:b/>
                <w:color w:val="000000"/>
                <w:sz w:val="18"/>
                <w:szCs w:val="18"/>
                <w:lang w:val="en-US" w:eastAsia="en-US"/>
              </w:rPr>
              <w:t>4,885</w:t>
            </w:r>
          </w:p>
        </w:tc>
        <w:tc>
          <w:tcPr>
            <w:tcW w:w="821" w:type="dxa"/>
            <w:tcBorders>
              <w:top w:val="nil"/>
              <w:left w:val="nil"/>
              <w:bottom w:val="single" w:sz="8" w:space="0" w:color="000000"/>
              <w:right w:val="nil"/>
            </w:tcBorders>
            <w:shd w:val="clear" w:color="000000" w:fill="FFFFFF"/>
            <w:noWrap/>
            <w:vAlign w:val="center"/>
            <w:hideMark/>
          </w:tcPr>
          <w:p w14:paraId="4E17F185" w14:textId="0103C06F" w:rsidR="002714CE" w:rsidRPr="00B52921" w:rsidRDefault="002714CE" w:rsidP="003F0886">
            <w:pPr>
              <w:spacing w:before="0" w:after="0" w:line="240" w:lineRule="auto"/>
              <w:jc w:val="center"/>
              <w:rPr>
                <w:rFonts w:asciiTheme="minorHAnsi" w:hAnsiTheme="minorHAnsi" w:cstheme="minorHAnsi"/>
                <w:b/>
                <w:color w:val="000000"/>
                <w:sz w:val="18"/>
                <w:szCs w:val="18"/>
                <w:lang w:val="en-US" w:eastAsia="en-US"/>
              </w:rPr>
            </w:pPr>
            <w:r w:rsidRPr="00B52921">
              <w:rPr>
                <w:rFonts w:asciiTheme="minorHAnsi" w:hAnsiTheme="minorHAnsi" w:cstheme="minorHAnsi"/>
                <w:b/>
                <w:color w:val="000000"/>
                <w:sz w:val="18"/>
                <w:szCs w:val="18"/>
                <w:lang w:val="en-US" w:eastAsia="en-US"/>
              </w:rPr>
              <w:t>13,397</w:t>
            </w:r>
          </w:p>
        </w:tc>
        <w:tc>
          <w:tcPr>
            <w:tcW w:w="1628" w:type="dxa"/>
            <w:tcBorders>
              <w:top w:val="nil"/>
              <w:left w:val="nil"/>
              <w:bottom w:val="single" w:sz="8" w:space="0" w:color="000000"/>
              <w:right w:val="nil"/>
            </w:tcBorders>
            <w:shd w:val="clear" w:color="000000" w:fill="FFFFFF"/>
            <w:noWrap/>
            <w:vAlign w:val="center"/>
            <w:hideMark/>
          </w:tcPr>
          <w:p w14:paraId="079951F0" w14:textId="1E2C21C8" w:rsidR="002714CE" w:rsidRPr="00B52921" w:rsidRDefault="002714CE" w:rsidP="003F0886">
            <w:pPr>
              <w:spacing w:before="0" w:after="0" w:line="240" w:lineRule="auto"/>
              <w:jc w:val="center"/>
              <w:rPr>
                <w:rFonts w:asciiTheme="minorHAnsi" w:hAnsiTheme="minorHAnsi" w:cstheme="minorHAnsi"/>
                <w:b/>
                <w:color w:val="000000"/>
                <w:sz w:val="18"/>
                <w:szCs w:val="18"/>
                <w:lang w:val="en-US" w:eastAsia="en-US"/>
              </w:rPr>
            </w:pPr>
            <w:r w:rsidRPr="00B52921">
              <w:rPr>
                <w:rFonts w:asciiTheme="minorHAnsi" w:hAnsiTheme="minorHAnsi" w:cstheme="minorHAnsi"/>
                <w:b/>
                <w:color w:val="000000"/>
                <w:sz w:val="18"/>
                <w:szCs w:val="18"/>
                <w:lang w:val="en-US" w:eastAsia="en-US"/>
              </w:rPr>
              <w:t>705</w:t>
            </w:r>
          </w:p>
        </w:tc>
        <w:tc>
          <w:tcPr>
            <w:tcW w:w="1276" w:type="dxa"/>
            <w:tcBorders>
              <w:top w:val="nil"/>
              <w:left w:val="nil"/>
              <w:bottom w:val="single" w:sz="8" w:space="0" w:color="000000"/>
              <w:right w:val="nil"/>
            </w:tcBorders>
            <w:shd w:val="clear" w:color="000000" w:fill="FFFFFF"/>
            <w:noWrap/>
            <w:vAlign w:val="center"/>
            <w:hideMark/>
          </w:tcPr>
          <w:p w14:paraId="1FE916C4" w14:textId="77777777" w:rsidR="002714CE" w:rsidRPr="00B52921" w:rsidRDefault="002714CE" w:rsidP="003F0886">
            <w:pPr>
              <w:spacing w:before="0" w:after="0" w:line="240" w:lineRule="auto"/>
              <w:jc w:val="center"/>
              <w:rPr>
                <w:rFonts w:asciiTheme="minorHAnsi" w:hAnsiTheme="minorHAnsi" w:cstheme="minorHAnsi"/>
                <w:b/>
                <w:color w:val="000000"/>
                <w:sz w:val="18"/>
                <w:szCs w:val="18"/>
                <w:lang w:val="en-US" w:eastAsia="en-US"/>
              </w:rPr>
            </w:pPr>
            <w:r w:rsidRPr="00B52921">
              <w:rPr>
                <w:rFonts w:asciiTheme="minorHAnsi" w:hAnsiTheme="minorHAnsi" w:cstheme="minorHAnsi"/>
                <w:b/>
                <w:color w:val="000000"/>
                <w:sz w:val="18"/>
                <w:szCs w:val="18"/>
                <w:lang w:val="en-US" w:eastAsia="en-US"/>
              </w:rPr>
              <w:t>317</w:t>
            </w:r>
          </w:p>
        </w:tc>
      </w:tr>
    </w:tbl>
    <w:p w14:paraId="062F6ABF" w14:textId="5738EC0F" w:rsidR="003C3F9C" w:rsidRPr="007D37CF" w:rsidRDefault="003C3F9C">
      <w:pPr>
        <w:spacing w:before="0" w:after="0" w:line="240" w:lineRule="auto"/>
        <w:rPr>
          <w:rFonts w:cs="Arial"/>
          <w:b/>
          <w:szCs w:val="22"/>
        </w:rPr>
      </w:pPr>
    </w:p>
    <w:p w14:paraId="21667B68" w14:textId="13FC2E44" w:rsidR="002371BB" w:rsidRPr="007D37CF" w:rsidRDefault="002371BB" w:rsidP="0096034C">
      <w:pPr>
        <w:pStyle w:val="Heading1"/>
        <w:numPr>
          <w:ilvl w:val="0"/>
          <w:numId w:val="23"/>
        </w:numPr>
      </w:pPr>
      <w:bookmarkStart w:id="37" w:name="_Toc524173856"/>
      <w:bookmarkStart w:id="38" w:name="_Toc25759692"/>
      <w:r w:rsidRPr="007D37CF">
        <w:t>Admitted acute care</w:t>
      </w:r>
      <w:bookmarkEnd w:id="37"/>
      <w:bookmarkEnd w:id="38"/>
    </w:p>
    <w:p w14:paraId="73990DD5" w14:textId="0F519214" w:rsidR="002371BB" w:rsidRPr="007D37CF" w:rsidRDefault="002371BB" w:rsidP="002371BB">
      <w:pPr>
        <w:rPr>
          <w:rFonts w:cs="Arial"/>
          <w:szCs w:val="22"/>
        </w:rPr>
      </w:pPr>
      <w:r w:rsidRPr="007D37CF">
        <w:rPr>
          <w:rFonts w:cs="Arial"/>
          <w:szCs w:val="22"/>
        </w:rPr>
        <w:t xml:space="preserve">Of the six activity streams, the admitted acute care stream accounts for the major share of all hospital costs: in </w:t>
      </w:r>
      <w:r w:rsidR="00EF23E2" w:rsidRPr="007D37CF">
        <w:rPr>
          <w:rFonts w:cs="Arial"/>
          <w:szCs w:val="22"/>
        </w:rPr>
        <w:t>Round 22</w:t>
      </w:r>
      <w:r w:rsidRPr="007D37CF">
        <w:rPr>
          <w:rFonts w:cs="Arial"/>
          <w:szCs w:val="22"/>
        </w:rPr>
        <w:t xml:space="preserve">, </w:t>
      </w:r>
      <w:r w:rsidR="00EF23E2" w:rsidRPr="007D37CF">
        <w:rPr>
          <w:rFonts w:cs="Arial"/>
          <w:szCs w:val="22"/>
        </w:rPr>
        <w:t>$29.4</w:t>
      </w:r>
      <w:r w:rsidR="00F23A7E" w:rsidRPr="007D37CF">
        <w:rPr>
          <w:rFonts w:cs="Arial"/>
          <w:szCs w:val="22"/>
        </w:rPr>
        <w:t xml:space="preserve"> billion</w:t>
      </w:r>
      <w:r w:rsidRPr="007D37CF">
        <w:rPr>
          <w:rFonts w:cs="Arial"/>
          <w:szCs w:val="22"/>
        </w:rPr>
        <w:t xml:space="preserve"> of hospital costs were </w:t>
      </w:r>
      <w:r w:rsidR="00F23A7E" w:rsidRPr="007D37CF">
        <w:rPr>
          <w:rFonts w:cs="Arial"/>
          <w:szCs w:val="22"/>
        </w:rPr>
        <w:t xml:space="preserve">associated with </w:t>
      </w:r>
      <w:r w:rsidRPr="007D37CF">
        <w:rPr>
          <w:rFonts w:cs="Arial"/>
          <w:szCs w:val="22"/>
        </w:rPr>
        <w:t>admitted acute care separations</w:t>
      </w:r>
      <w:r w:rsidR="009552F1" w:rsidRPr="007D37CF">
        <w:rPr>
          <w:rFonts w:cs="Arial"/>
          <w:szCs w:val="22"/>
        </w:rPr>
        <w:t xml:space="preserve">. </w:t>
      </w:r>
      <w:r w:rsidRPr="007D37CF">
        <w:rPr>
          <w:rFonts w:cs="Arial"/>
          <w:szCs w:val="22"/>
        </w:rPr>
        <w:t>Admitted acute care has the most developed classification system</w:t>
      </w:r>
      <w:r w:rsidRPr="007D37CF">
        <w:rPr>
          <w:rStyle w:val="FootnoteReference"/>
          <w:rFonts w:cs="Arial"/>
          <w:szCs w:val="22"/>
        </w:rPr>
        <w:footnoteReference w:id="7"/>
      </w:r>
      <w:r w:rsidR="00845638" w:rsidRPr="007D37CF">
        <w:rPr>
          <w:rFonts w:cs="Arial"/>
          <w:szCs w:val="22"/>
        </w:rPr>
        <w:t>,</w:t>
      </w:r>
      <w:r w:rsidRPr="007D37CF">
        <w:rPr>
          <w:rFonts w:cs="Arial"/>
          <w:szCs w:val="22"/>
        </w:rPr>
        <w:t xml:space="preserve"> which in turn generates the most robust cost data results</w:t>
      </w:r>
      <w:r w:rsidR="009552F1" w:rsidRPr="007D37CF">
        <w:rPr>
          <w:rFonts w:cs="Arial"/>
          <w:szCs w:val="22"/>
        </w:rPr>
        <w:t xml:space="preserve">. </w:t>
      </w:r>
    </w:p>
    <w:p w14:paraId="51B4A867" w14:textId="2130A509" w:rsidR="002371BB" w:rsidRPr="007D37CF" w:rsidRDefault="0096034C" w:rsidP="00440E76">
      <w:pPr>
        <w:pStyle w:val="Heading2"/>
      </w:pPr>
      <w:bookmarkStart w:id="39" w:name="_Toc524173857"/>
      <w:bookmarkStart w:id="40" w:name="_Toc25759693"/>
      <w:r>
        <w:t xml:space="preserve">6.1 </w:t>
      </w:r>
      <w:r w:rsidR="002371BB" w:rsidRPr="007D37CF">
        <w:t xml:space="preserve">Average </w:t>
      </w:r>
      <w:r w:rsidR="00033C8D" w:rsidRPr="007D37CF">
        <w:t>c</w:t>
      </w:r>
      <w:r w:rsidR="002371BB" w:rsidRPr="007D37CF">
        <w:t xml:space="preserve">ost per </w:t>
      </w:r>
      <w:r w:rsidR="00033C8D" w:rsidRPr="007D37CF">
        <w:t>w</w:t>
      </w:r>
      <w:r w:rsidR="002371BB" w:rsidRPr="007D37CF">
        <w:t xml:space="preserve">eighted </w:t>
      </w:r>
      <w:r w:rsidR="00033C8D" w:rsidRPr="007D37CF">
        <w:t>s</w:t>
      </w:r>
      <w:r w:rsidR="002371BB" w:rsidRPr="007D37CF">
        <w:t>eparation</w:t>
      </w:r>
      <w:bookmarkEnd w:id="39"/>
      <w:bookmarkEnd w:id="40"/>
    </w:p>
    <w:p w14:paraId="1AAD535C" w14:textId="7FCE6B02" w:rsidR="00495D86" w:rsidRPr="007D37CF" w:rsidRDefault="00495D86" w:rsidP="002371BB">
      <w:pPr>
        <w:rPr>
          <w:rFonts w:cs="Arial"/>
        </w:rPr>
      </w:pPr>
      <w:r w:rsidRPr="007D37CF">
        <w:rPr>
          <w:rFonts w:cs="Arial"/>
        </w:rPr>
        <w:t xml:space="preserve">The average cost per acute separation </w:t>
      </w:r>
      <w:r w:rsidR="00EF23E2" w:rsidRPr="007D37CF">
        <w:rPr>
          <w:rFonts w:cs="Arial"/>
        </w:rPr>
        <w:t>in Round 22</w:t>
      </w:r>
      <w:r w:rsidRPr="007D37CF">
        <w:rPr>
          <w:rFonts w:cs="Arial"/>
        </w:rPr>
        <w:t xml:space="preserve"> is $</w:t>
      </w:r>
      <w:r w:rsidR="00A70843" w:rsidRPr="007D37CF">
        <w:rPr>
          <w:rFonts w:cs="Arial"/>
        </w:rPr>
        <w:t>4,885</w:t>
      </w:r>
      <w:r w:rsidRPr="007D37CF">
        <w:rPr>
          <w:rFonts w:cs="Arial"/>
        </w:rPr>
        <w:t xml:space="preserve">. The average cost at the jurisdiction level </w:t>
      </w:r>
      <w:r w:rsidR="00845638" w:rsidRPr="007D37CF">
        <w:rPr>
          <w:rFonts w:cs="Arial"/>
        </w:rPr>
        <w:t xml:space="preserve">varied </w:t>
      </w:r>
      <w:r w:rsidRPr="007D37CF">
        <w:rPr>
          <w:rFonts w:cs="Arial"/>
        </w:rPr>
        <w:t xml:space="preserve">from </w:t>
      </w:r>
      <w:r w:rsidR="00A70843" w:rsidRPr="007D37CF">
        <w:rPr>
          <w:rFonts w:cs="Arial"/>
        </w:rPr>
        <w:t>$3,697</w:t>
      </w:r>
      <w:r w:rsidR="00240C6C" w:rsidRPr="007D37CF">
        <w:rPr>
          <w:rFonts w:cs="Arial"/>
        </w:rPr>
        <w:t xml:space="preserve"> (Northern Territory)</w:t>
      </w:r>
      <w:r w:rsidR="00A70843" w:rsidRPr="007D37CF">
        <w:rPr>
          <w:rFonts w:cs="Arial"/>
        </w:rPr>
        <w:t xml:space="preserve"> to $6,032 (South Australia)</w:t>
      </w:r>
      <w:r w:rsidR="00240C6C" w:rsidRPr="007D37CF">
        <w:rPr>
          <w:rFonts w:cs="Arial"/>
        </w:rPr>
        <w:t xml:space="preserve">. </w:t>
      </w:r>
      <w:r w:rsidRPr="007D37CF">
        <w:rPr>
          <w:rFonts w:cs="Arial"/>
        </w:rPr>
        <w:t>The variation in average cost is caused by the admission policies of the jurisdictions and the complexity of the treatment required and other factors such as location and age.</w:t>
      </w:r>
    </w:p>
    <w:p w14:paraId="06639F08" w14:textId="77777777" w:rsidR="002371BB" w:rsidRPr="00514DC1" w:rsidRDefault="002371BB" w:rsidP="002371BB">
      <w:pPr>
        <w:rPr>
          <w:rFonts w:cs="Arial"/>
        </w:rPr>
      </w:pPr>
      <w:r w:rsidRPr="007D37CF">
        <w:rPr>
          <w:rFonts w:cs="Arial"/>
        </w:rPr>
        <w:t>To compare the average cost of admitted acute care separations between jurisdictions, the complexity of each jurisdiction’s work profile should be considered</w:t>
      </w:r>
      <w:r w:rsidR="009552F1" w:rsidRPr="007D37CF">
        <w:rPr>
          <w:rFonts w:cs="Arial"/>
        </w:rPr>
        <w:t>.</w:t>
      </w:r>
      <w:r w:rsidR="009552F1">
        <w:rPr>
          <w:rFonts w:cs="Arial"/>
        </w:rPr>
        <w:t xml:space="preserve"> </w:t>
      </w:r>
    </w:p>
    <w:p w14:paraId="36D8A8A2" w14:textId="77112E56" w:rsidR="002371BB" w:rsidRDefault="002371BB" w:rsidP="002371BB">
      <w:pPr>
        <w:rPr>
          <w:rFonts w:cs="Arial"/>
        </w:rPr>
      </w:pPr>
      <w:r w:rsidRPr="00514DC1">
        <w:rPr>
          <w:rFonts w:cs="Arial"/>
        </w:rPr>
        <w:t xml:space="preserve">To do this, IHPA creates </w:t>
      </w:r>
      <w:r w:rsidRPr="00514DC1">
        <w:rPr>
          <w:rFonts w:cs="Arial"/>
          <w:i/>
        </w:rPr>
        <w:t>weighted separations</w:t>
      </w:r>
      <w:r w:rsidRPr="00514DC1">
        <w:rPr>
          <w:rFonts w:cs="Arial"/>
        </w:rPr>
        <w:t xml:space="preserve">. A weighted separation considers the complexity of </w:t>
      </w:r>
      <w:r w:rsidR="003E1E4B">
        <w:rPr>
          <w:rFonts w:cs="Arial"/>
        </w:rPr>
        <w:t xml:space="preserve">the acute activity </w:t>
      </w:r>
      <w:r w:rsidRPr="00514DC1">
        <w:rPr>
          <w:rFonts w:cs="Arial"/>
        </w:rPr>
        <w:t xml:space="preserve">each type of separation relative to the </w:t>
      </w:r>
      <w:r w:rsidR="003E1E4B">
        <w:rPr>
          <w:rFonts w:cs="Arial"/>
        </w:rPr>
        <w:t xml:space="preserve">average of all </w:t>
      </w:r>
      <w:r w:rsidR="00220464">
        <w:rPr>
          <w:rFonts w:cs="Arial"/>
        </w:rPr>
        <w:t>activity</w:t>
      </w:r>
      <w:r w:rsidR="00886525">
        <w:rPr>
          <w:rFonts w:cs="Arial"/>
        </w:rPr>
        <w:t xml:space="preserve"> for the year.</w:t>
      </w:r>
      <w:r w:rsidR="00EE4C4B">
        <w:rPr>
          <w:rFonts w:cs="Arial"/>
        </w:rPr>
        <w:t xml:space="preserve"> </w:t>
      </w:r>
      <w:r w:rsidRPr="00514DC1">
        <w:rPr>
          <w:rFonts w:cs="Arial"/>
        </w:rPr>
        <w:t xml:space="preserve">The level of complexity is based on the resources required to treat that patient. </w:t>
      </w:r>
    </w:p>
    <w:p w14:paraId="30CA2791" w14:textId="7BEFFBDB" w:rsidR="00495D86" w:rsidRPr="0006252E" w:rsidRDefault="0004587B" w:rsidP="002371BB">
      <w:pPr>
        <w:rPr>
          <w:rFonts w:cs="Arial"/>
        </w:rPr>
      </w:pPr>
      <w:r>
        <w:rPr>
          <w:rFonts w:cs="Arial"/>
        </w:rPr>
        <w:lastRenderedPageBreak/>
        <w:t xml:space="preserve">Admitted acute </w:t>
      </w:r>
      <w:r w:rsidR="00495D86">
        <w:rPr>
          <w:rFonts w:cs="Arial"/>
        </w:rPr>
        <w:t xml:space="preserve">cost weight tables </w:t>
      </w:r>
      <w:r>
        <w:rPr>
          <w:rFonts w:cs="Arial"/>
        </w:rPr>
        <w:t>are included in</w:t>
      </w:r>
      <w:r w:rsidR="00495D86">
        <w:rPr>
          <w:rFonts w:cs="Arial"/>
        </w:rPr>
        <w:t xml:space="preserve"> the </w:t>
      </w:r>
      <w:r w:rsidR="00495D86" w:rsidRPr="0006252E">
        <w:rPr>
          <w:rFonts w:cs="Arial"/>
        </w:rPr>
        <w:t>appendix of this report</w:t>
      </w:r>
      <w:r w:rsidRPr="0006252E">
        <w:rPr>
          <w:rFonts w:cs="Arial"/>
        </w:rPr>
        <w:t xml:space="preserve">. These tables include the cost weights for all </w:t>
      </w:r>
      <w:r w:rsidR="00845638" w:rsidRPr="0006252E">
        <w:rPr>
          <w:rFonts w:cs="Arial"/>
        </w:rPr>
        <w:t>D</w:t>
      </w:r>
      <w:r w:rsidRPr="0006252E">
        <w:rPr>
          <w:rFonts w:cs="Arial"/>
        </w:rPr>
        <w:t xml:space="preserve">iagnosis </w:t>
      </w:r>
      <w:r w:rsidR="00845638" w:rsidRPr="0006252E">
        <w:rPr>
          <w:rFonts w:cs="Arial"/>
        </w:rPr>
        <w:t>R</w:t>
      </w:r>
      <w:r w:rsidRPr="0006252E">
        <w:rPr>
          <w:rFonts w:cs="Arial"/>
        </w:rPr>
        <w:t xml:space="preserve">elated </w:t>
      </w:r>
      <w:r w:rsidR="00845638" w:rsidRPr="0006252E">
        <w:rPr>
          <w:rFonts w:cs="Arial"/>
        </w:rPr>
        <w:t>G</w:t>
      </w:r>
      <w:r w:rsidRPr="0006252E">
        <w:rPr>
          <w:rFonts w:cs="Arial"/>
        </w:rPr>
        <w:t xml:space="preserve">roups (DRGs) in </w:t>
      </w:r>
      <w:r w:rsidR="00302CB8" w:rsidRPr="0006252E">
        <w:rPr>
          <w:rFonts w:cs="Arial"/>
        </w:rPr>
        <w:t>Round 22</w:t>
      </w:r>
      <w:r w:rsidR="00845638" w:rsidRPr="0006252E">
        <w:rPr>
          <w:rFonts w:cs="Arial"/>
        </w:rPr>
        <w:t>,</w:t>
      </w:r>
      <w:r w:rsidRPr="0006252E">
        <w:rPr>
          <w:rFonts w:cs="Arial"/>
        </w:rPr>
        <w:t xml:space="preserve"> which are used to compare resource utilisation based on the national level.</w:t>
      </w:r>
    </w:p>
    <w:p w14:paraId="565CC1E9" w14:textId="6D639875" w:rsidR="002371BB" w:rsidRPr="0006252E" w:rsidRDefault="00220464" w:rsidP="002371BB">
      <w:pPr>
        <w:rPr>
          <w:rFonts w:cs="Arial"/>
        </w:rPr>
      </w:pPr>
      <w:r>
        <w:rPr>
          <w:rFonts w:cs="Arial"/>
        </w:rPr>
        <w:t xml:space="preserve">The average cost per separation is $4,885 has a weight of 1. </w:t>
      </w:r>
      <w:r w:rsidR="002371BB" w:rsidRPr="0006252E">
        <w:rPr>
          <w:rFonts w:cs="Arial"/>
        </w:rPr>
        <w:t>In Round 2</w:t>
      </w:r>
      <w:r w:rsidR="00CA48DB" w:rsidRPr="0006252E">
        <w:rPr>
          <w:rFonts w:cs="Arial"/>
        </w:rPr>
        <w:t>2</w:t>
      </w:r>
      <w:r w:rsidR="002371BB" w:rsidRPr="0006252E">
        <w:rPr>
          <w:rFonts w:cs="Arial"/>
        </w:rPr>
        <w:t>, a single heart transplant patient separation</w:t>
      </w:r>
      <w:r w:rsidR="002371BB" w:rsidRPr="0006252E">
        <w:rPr>
          <w:rStyle w:val="FootnoteReference"/>
          <w:rFonts w:cs="Arial"/>
        </w:rPr>
        <w:footnoteReference w:id="8"/>
      </w:r>
      <w:r w:rsidR="002371BB" w:rsidRPr="0006252E">
        <w:rPr>
          <w:rFonts w:cs="Arial"/>
        </w:rPr>
        <w:t xml:space="preserve">, for example, corresponds to </w:t>
      </w:r>
      <w:r w:rsidR="00CA48DB" w:rsidRPr="0006252E">
        <w:rPr>
          <w:rFonts w:cs="Arial"/>
        </w:rPr>
        <w:t>38.74</w:t>
      </w:r>
      <w:r w:rsidR="002371BB" w:rsidRPr="0006252E">
        <w:rPr>
          <w:rFonts w:cs="Arial"/>
        </w:rPr>
        <w:t xml:space="preserve"> weighted separations</w:t>
      </w:r>
      <w:r w:rsidR="002371BB" w:rsidRPr="0006252E">
        <w:rPr>
          <w:rStyle w:val="FootnoteReference"/>
          <w:rFonts w:cs="Arial"/>
        </w:rPr>
        <w:footnoteReference w:id="9"/>
      </w:r>
      <w:r w:rsidR="009552F1" w:rsidRPr="0006252E">
        <w:rPr>
          <w:rFonts w:cs="Arial"/>
        </w:rPr>
        <w:t xml:space="preserve">. </w:t>
      </w:r>
      <w:r w:rsidR="002371BB" w:rsidRPr="0006252E">
        <w:rPr>
          <w:rFonts w:cs="Arial"/>
        </w:rPr>
        <w:t>In contrast, a single colonoscopy patient separation</w:t>
      </w:r>
      <w:r w:rsidR="002371BB" w:rsidRPr="0006252E">
        <w:rPr>
          <w:rStyle w:val="FootnoteReference"/>
          <w:rFonts w:cs="Arial"/>
        </w:rPr>
        <w:footnoteReference w:id="10"/>
      </w:r>
      <w:r w:rsidR="002371BB" w:rsidRPr="0006252E">
        <w:rPr>
          <w:rFonts w:cs="Arial"/>
        </w:rPr>
        <w:t xml:space="preserve"> corresponds to </w:t>
      </w:r>
      <w:r w:rsidR="00CA48DB" w:rsidRPr="0006252E">
        <w:rPr>
          <w:rFonts w:cs="Arial"/>
        </w:rPr>
        <w:t>0.45</w:t>
      </w:r>
      <w:r w:rsidR="002371BB" w:rsidRPr="0006252E">
        <w:rPr>
          <w:rFonts w:cs="Arial"/>
        </w:rPr>
        <w:t xml:space="preserve"> of a weighted separation</w:t>
      </w:r>
      <w:r w:rsidR="009552F1" w:rsidRPr="0006252E">
        <w:rPr>
          <w:rFonts w:cs="Arial"/>
        </w:rPr>
        <w:t xml:space="preserve">. </w:t>
      </w:r>
      <w:r w:rsidR="002371BB" w:rsidRPr="0006252E">
        <w:rPr>
          <w:rFonts w:cs="Arial"/>
        </w:rPr>
        <w:t>The difference reflects the significantly greater complexity associated with a heart transplant operation</w:t>
      </w:r>
      <w:r w:rsidR="009552F1" w:rsidRPr="0006252E">
        <w:rPr>
          <w:rFonts w:cs="Arial"/>
        </w:rPr>
        <w:t xml:space="preserve">. </w:t>
      </w:r>
    </w:p>
    <w:p w14:paraId="3F87F87D" w14:textId="77777777" w:rsidR="00E81277" w:rsidRPr="0006252E" w:rsidRDefault="002371BB" w:rsidP="002371BB">
      <w:pPr>
        <w:rPr>
          <w:rFonts w:cs="Arial"/>
        </w:rPr>
      </w:pPr>
      <w:r w:rsidRPr="0006252E">
        <w:rPr>
          <w:rFonts w:cs="Arial"/>
        </w:rPr>
        <w:t xml:space="preserve">By summing the weighted separations for each jurisdiction, we can compare the </w:t>
      </w:r>
      <w:r w:rsidR="0004587B" w:rsidRPr="0006252E">
        <w:rPr>
          <w:rFonts w:cs="Arial"/>
        </w:rPr>
        <w:t>volume</w:t>
      </w:r>
      <w:r w:rsidRPr="0006252E">
        <w:rPr>
          <w:rFonts w:cs="Arial"/>
        </w:rPr>
        <w:t xml:space="preserve"> of jurisdictions’ </w:t>
      </w:r>
      <w:r w:rsidR="0004587B" w:rsidRPr="0006252E">
        <w:rPr>
          <w:rFonts w:cs="Arial"/>
        </w:rPr>
        <w:t>acute admitted activity</w:t>
      </w:r>
      <w:r w:rsidR="00240C6C" w:rsidRPr="0006252E">
        <w:rPr>
          <w:rFonts w:cs="Arial"/>
        </w:rPr>
        <w:t>.</w:t>
      </w:r>
    </w:p>
    <w:p w14:paraId="5E549C04" w14:textId="79F4B32B" w:rsidR="00E81277" w:rsidRPr="0006252E" w:rsidRDefault="00053788" w:rsidP="00E81277">
      <w:pPr>
        <w:rPr>
          <w:rFonts w:cs="Arial"/>
        </w:rPr>
      </w:pPr>
      <w:r>
        <w:rPr>
          <w:rFonts w:cs="Arial"/>
        </w:rPr>
        <w:t xml:space="preserve">Table 11 </w:t>
      </w:r>
      <w:r w:rsidR="00E81277" w:rsidRPr="0006252E">
        <w:rPr>
          <w:rFonts w:cs="Arial"/>
        </w:rPr>
        <w:t xml:space="preserve">compares the average cost and average cost per weighted separation </w:t>
      </w:r>
      <w:r w:rsidR="00240C6C" w:rsidRPr="0006252E">
        <w:rPr>
          <w:rFonts w:cs="Arial"/>
        </w:rPr>
        <w:t xml:space="preserve">by jurisdiction. </w:t>
      </w:r>
      <w:r w:rsidR="00E81277" w:rsidRPr="0006252E">
        <w:rPr>
          <w:rFonts w:cs="Arial"/>
        </w:rPr>
        <w:t xml:space="preserve">The </w:t>
      </w:r>
      <w:r w:rsidR="00E81277" w:rsidRPr="0006252E">
        <w:rPr>
          <w:rFonts w:cs="Arial"/>
          <w:i/>
        </w:rPr>
        <w:t>‘average cost p</w:t>
      </w:r>
      <w:r w:rsidR="00E81277" w:rsidRPr="0006252E">
        <w:rPr>
          <w:rFonts w:cs="Arial"/>
        </w:rPr>
        <w:t xml:space="preserve">er </w:t>
      </w:r>
      <w:r w:rsidR="00E81277" w:rsidRPr="0006252E">
        <w:rPr>
          <w:rFonts w:cs="Arial"/>
          <w:i/>
        </w:rPr>
        <w:t>weighted separation’</w:t>
      </w:r>
      <w:r w:rsidR="00E81277" w:rsidRPr="0006252E">
        <w:rPr>
          <w:rFonts w:cs="Arial"/>
        </w:rPr>
        <w:t xml:space="preserve"> accounts for the relative complexity of each jurisdiction’s work profile. If a jurisdiction’s </w:t>
      </w:r>
      <w:r w:rsidR="00E81277" w:rsidRPr="0006252E">
        <w:rPr>
          <w:rFonts w:cs="Arial"/>
          <w:i/>
        </w:rPr>
        <w:t>average cost per weighted separation</w:t>
      </w:r>
      <w:r w:rsidR="00E81277" w:rsidRPr="0006252E">
        <w:rPr>
          <w:rFonts w:cs="Arial"/>
        </w:rPr>
        <w:t xml:space="preserve"> is lower than its average cost, the jurisdiction’s hospital activity comprised a higher proportion of complex Diagnosis Related Groups. </w:t>
      </w:r>
    </w:p>
    <w:p w14:paraId="6EF21FAA" w14:textId="79024902" w:rsidR="001608B1" w:rsidRDefault="00FA3EF1" w:rsidP="002371BB">
      <w:pPr>
        <w:rPr>
          <w:rFonts w:cs="Arial"/>
        </w:rPr>
      </w:pPr>
      <w:r w:rsidRPr="0006252E">
        <w:rPr>
          <w:rFonts w:cs="Arial"/>
        </w:rPr>
        <w:t>The Northern Territory has the biggest variance</w:t>
      </w:r>
      <w:r w:rsidR="00845638" w:rsidRPr="0006252E">
        <w:rPr>
          <w:rFonts w:cs="Arial"/>
        </w:rPr>
        <w:t>,</w:t>
      </w:r>
      <w:r w:rsidRPr="0006252E">
        <w:rPr>
          <w:rFonts w:cs="Arial"/>
        </w:rPr>
        <w:t xml:space="preserve"> with a low average cost ($3,</w:t>
      </w:r>
      <w:r w:rsidR="001D68A7" w:rsidRPr="0006252E">
        <w:rPr>
          <w:rFonts w:cs="Arial"/>
        </w:rPr>
        <w:t>697</w:t>
      </w:r>
      <w:r w:rsidRPr="0006252E">
        <w:rPr>
          <w:rFonts w:cs="Arial"/>
        </w:rPr>
        <w:t>) and a high average cost per weighted separation ($6,</w:t>
      </w:r>
      <w:r w:rsidR="00D938DF" w:rsidRPr="0006252E">
        <w:rPr>
          <w:rFonts w:cs="Arial"/>
        </w:rPr>
        <w:t>231</w:t>
      </w:r>
      <w:r w:rsidRPr="0006252E">
        <w:rPr>
          <w:rFonts w:cs="Arial"/>
        </w:rPr>
        <w:t>). This reflects that the complexity of separations is quite low relative to the national case</w:t>
      </w:r>
      <w:r w:rsidR="00E81277" w:rsidRPr="0006252E">
        <w:rPr>
          <w:rFonts w:cs="Arial"/>
        </w:rPr>
        <w:t>-</w:t>
      </w:r>
      <w:r w:rsidR="00F768F0" w:rsidRPr="0006252E">
        <w:rPr>
          <w:rFonts w:cs="Arial"/>
        </w:rPr>
        <w:t>mix</w:t>
      </w:r>
      <w:r w:rsidR="0004307D" w:rsidRPr="0006252E">
        <w:rPr>
          <w:rFonts w:cs="Arial"/>
        </w:rPr>
        <w:t>.</w:t>
      </w:r>
    </w:p>
    <w:p w14:paraId="0A73A434" w14:textId="299172EA" w:rsidR="00FF323C" w:rsidRDefault="00FF323C" w:rsidP="00D111B6">
      <w:pPr>
        <w:pStyle w:val="Caption"/>
      </w:pPr>
      <w:bookmarkStart w:id="41" w:name="_Toc31880541"/>
      <w:r>
        <w:t xml:space="preserve">Table </w:t>
      </w:r>
      <w:fldSimple w:instr=" SEQ Table \* ARABIC ">
        <w:r w:rsidR="00423E34">
          <w:rPr>
            <w:noProof/>
          </w:rPr>
          <w:t>11</w:t>
        </w:r>
      </w:fldSimple>
      <w:r>
        <w:t xml:space="preserve"> </w:t>
      </w:r>
      <w:r w:rsidRPr="00336226">
        <w:t>Average cost per weighted separation (admitted acute), by jurisdiction, Round 22</w:t>
      </w:r>
      <w:bookmarkEnd w:id="41"/>
    </w:p>
    <w:tbl>
      <w:tblPr>
        <w:tblW w:w="7580" w:type="dxa"/>
        <w:jc w:val="center"/>
        <w:tblLook w:val="04A0" w:firstRow="1" w:lastRow="0" w:firstColumn="1" w:lastColumn="0" w:noHBand="0" w:noVBand="1"/>
        <w:tblCaption w:val="Table 11 Average cost per weighted separation (admitted acute care), by jurisdiction, Round 22"/>
        <w:tblDescription w:val="The table displays the Average cost per weighted separation (admitted acute care), by jurisdiction for Round 22"/>
      </w:tblPr>
      <w:tblGrid>
        <w:gridCol w:w="1240"/>
        <w:gridCol w:w="1300"/>
        <w:gridCol w:w="1300"/>
        <w:gridCol w:w="1140"/>
        <w:gridCol w:w="1300"/>
        <w:gridCol w:w="1300"/>
      </w:tblGrid>
      <w:tr w:rsidR="00E23ABA" w:rsidRPr="00E06132" w14:paraId="69AFF7BC" w14:textId="77777777" w:rsidTr="005351D3">
        <w:trPr>
          <w:trHeight w:val="720"/>
          <w:jc w:val="center"/>
        </w:trPr>
        <w:tc>
          <w:tcPr>
            <w:tcW w:w="1240" w:type="dxa"/>
            <w:tcBorders>
              <w:top w:val="single" w:sz="4" w:space="0" w:color="auto"/>
              <w:left w:val="nil"/>
              <w:bottom w:val="single" w:sz="4" w:space="0" w:color="auto"/>
              <w:right w:val="nil"/>
            </w:tcBorders>
            <w:shd w:val="clear" w:color="auto" w:fill="auto"/>
            <w:noWrap/>
            <w:vAlign w:val="center"/>
            <w:hideMark/>
          </w:tcPr>
          <w:p w14:paraId="2A5E8F4A" w14:textId="77777777" w:rsidR="00E23ABA" w:rsidRPr="00E06132" w:rsidRDefault="00E23ABA" w:rsidP="00E23ABA">
            <w:pPr>
              <w:spacing w:before="0" w:after="0" w:line="240" w:lineRule="auto"/>
              <w:rPr>
                <w:rFonts w:cs="Arial"/>
                <w:b/>
                <w:bCs/>
                <w:color w:val="000000"/>
                <w:sz w:val="18"/>
                <w:szCs w:val="18"/>
              </w:rPr>
            </w:pPr>
            <w:r w:rsidRPr="00E06132">
              <w:rPr>
                <w:rFonts w:cs="Arial"/>
                <w:b/>
                <w:bCs/>
                <w:color w:val="000000"/>
                <w:sz w:val="18"/>
                <w:szCs w:val="18"/>
              </w:rPr>
              <w:t>Jurisdiction</w:t>
            </w:r>
          </w:p>
        </w:tc>
        <w:tc>
          <w:tcPr>
            <w:tcW w:w="1300" w:type="dxa"/>
            <w:tcBorders>
              <w:top w:val="single" w:sz="4" w:space="0" w:color="auto"/>
              <w:left w:val="nil"/>
              <w:bottom w:val="single" w:sz="4" w:space="0" w:color="auto"/>
              <w:right w:val="nil"/>
            </w:tcBorders>
            <w:shd w:val="clear" w:color="000000" w:fill="FFFFFF"/>
            <w:vAlign w:val="center"/>
            <w:hideMark/>
          </w:tcPr>
          <w:p w14:paraId="08ABE0F4"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Number of separations</w:t>
            </w:r>
          </w:p>
        </w:tc>
        <w:tc>
          <w:tcPr>
            <w:tcW w:w="1300" w:type="dxa"/>
            <w:tcBorders>
              <w:top w:val="single" w:sz="4" w:space="0" w:color="auto"/>
              <w:left w:val="nil"/>
              <w:bottom w:val="single" w:sz="4" w:space="0" w:color="auto"/>
              <w:right w:val="nil"/>
            </w:tcBorders>
            <w:shd w:val="clear" w:color="000000" w:fill="FFFFFF"/>
            <w:vAlign w:val="center"/>
            <w:hideMark/>
          </w:tcPr>
          <w:p w14:paraId="44E1A6AA"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Number of weighted separations</w:t>
            </w:r>
          </w:p>
        </w:tc>
        <w:tc>
          <w:tcPr>
            <w:tcW w:w="1140" w:type="dxa"/>
            <w:tcBorders>
              <w:top w:val="single" w:sz="4" w:space="0" w:color="auto"/>
              <w:left w:val="nil"/>
              <w:bottom w:val="single" w:sz="4" w:space="0" w:color="auto"/>
              <w:right w:val="nil"/>
            </w:tcBorders>
            <w:shd w:val="clear" w:color="000000" w:fill="FFFFFF"/>
            <w:vAlign w:val="center"/>
            <w:hideMark/>
          </w:tcPr>
          <w:p w14:paraId="1FC3A02D"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Complexity factor (1)</w:t>
            </w:r>
          </w:p>
        </w:tc>
        <w:tc>
          <w:tcPr>
            <w:tcW w:w="1300" w:type="dxa"/>
            <w:tcBorders>
              <w:top w:val="single" w:sz="4" w:space="0" w:color="auto"/>
              <w:left w:val="nil"/>
              <w:bottom w:val="single" w:sz="4" w:space="0" w:color="auto"/>
              <w:right w:val="nil"/>
            </w:tcBorders>
            <w:shd w:val="clear" w:color="000000" w:fill="FFFFFF"/>
            <w:vAlign w:val="center"/>
            <w:hideMark/>
          </w:tcPr>
          <w:p w14:paraId="2EE49EB6" w14:textId="7653FB58"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 xml:space="preserve">Average cost </w:t>
            </w:r>
            <w:r w:rsidR="00A26E9D" w:rsidRPr="00E06132">
              <w:rPr>
                <w:rFonts w:cs="Arial"/>
                <w:color w:val="000000"/>
                <w:sz w:val="18"/>
                <w:szCs w:val="18"/>
              </w:rPr>
              <w:t xml:space="preserve">per </w:t>
            </w:r>
            <w:r w:rsidRPr="00E06132">
              <w:rPr>
                <w:rFonts w:cs="Arial"/>
                <w:color w:val="000000"/>
                <w:sz w:val="18"/>
                <w:szCs w:val="18"/>
              </w:rPr>
              <w:t>separation</w:t>
            </w:r>
          </w:p>
        </w:tc>
        <w:tc>
          <w:tcPr>
            <w:tcW w:w="1300" w:type="dxa"/>
            <w:tcBorders>
              <w:top w:val="single" w:sz="4" w:space="0" w:color="auto"/>
              <w:left w:val="nil"/>
              <w:bottom w:val="single" w:sz="4" w:space="0" w:color="auto"/>
              <w:right w:val="nil"/>
            </w:tcBorders>
            <w:shd w:val="clear" w:color="000000" w:fill="FFFFFF"/>
            <w:vAlign w:val="center"/>
            <w:hideMark/>
          </w:tcPr>
          <w:p w14:paraId="13A98715"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Average cost per weighted separation</w:t>
            </w:r>
          </w:p>
        </w:tc>
      </w:tr>
      <w:tr w:rsidR="00E23ABA" w:rsidRPr="00E06132" w14:paraId="6D939C5D" w14:textId="77777777" w:rsidTr="005351D3">
        <w:trPr>
          <w:trHeight w:val="300"/>
          <w:jc w:val="center"/>
        </w:trPr>
        <w:tc>
          <w:tcPr>
            <w:tcW w:w="1240" w:type="dxa"/>
            <w:tcBorders>
              <w:top w:val="nil"/>
              <w:left w:val="nil"/>
              <w:bottom w:val="single" w:sz="4" w:space="0" w:color="auto"/>
              <w:right w:val="nil"/>
            </w:tcBorders>
            <w:shd w:val="clear" w:color="000000" w:fill="FFFFFF"/>
            <w:noWrap/>
            <w:vAlign w:val="bottom"/>
            <w:hideMark/>
          </w:tcPr>
          <w:p w14:paraId="1EBFCF99" w14:textId="77777777" w:rsidR="00E23ABA" w:rsidRPr="00E06132" w:rsidRDefault="00E23ABA" w:rsidP="00E23ABA">
            <w:pPr>
              <w:spacing w:before="0" w:after="0" w:line="240" w:lineRule="auto"/>
              <w:rPr>
                <w:rFonts w:cs="Arial"/>
                <w:color w:val="000000"/>
                <w:sz w:val="18"/>
                <w:szCs w:val="18"/>
              </w:rPr>
            </w:pPr>
            <w:r w:rsidRPr="00E06132">
              <w:rPr>
                <w:rFonts w:cs="Arial"/>
                <w:color w:val="000000"/>
                <w:sz w:val="18"/>
                <w:szCs w:val="18"/>
              </w:rPr>
              <w:t> </w:t>
            </w:r>
          </w:p>
        </w:tc>
        <w:tc>
          <w:tcPr>
            <w:tcW w:w="1300" w:type="dxa"/>
            <w:tcBorders>
              <w:top w:val="nil"/>
              <w:left w:val="nil"/>
              <w:bottom w:val="single" w:sz="4" w:space="0" w:color="auto"/>
              <w:right w:val="nil"/>
            </w:tcBorders>
            <w:shd w:val="clear" w:color="000000" w:fill="FFFFFF"/>
            <w:noWrap/>
            <w:vAlign w:val="center"/>
            <w:hideMark/>
          </w:tcPr>
          <w:p w14:paraId="3F8BF46D"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 </w:t>
            </w:r>
          </w:p>
        </w:tc>
        <w:tc>
          <w:tcPr>
            <w:tcW w:w="1300" w:type="dxa"/>
            <w:tcBorders>
              <w:top w:val="nil"/>
              <w:left w:val="nil"/>
              <w:bottom w:val="single" w:sz="4" w:space="0" w:color="auto"/>
              <w:right w:val="nil"/>
            </w:tcBorders>
            <w:shd w:val="clear" w:color="000000" w:fill="FFFFFF"/>
            <w:noWrap/>
            <w:vAlign w:val="bottom"/>
            <w:hideMark/>
          </w:tcPr>
          <w:p w14:paraId="772CDD40"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 </w:t>
            </w:r>
          </w:p>
        </w:tc>
        <w:tc>
          <w:tcPr>
            <w:tcW w:w="1140" w:type="dxa"/>
            <w:tcBorders>
              <w:top w:val="nil"/>
              <w:left w:val="nil"/>
              <w:bottom w:val="single" w:sz="4" w:space="0" w:color="auto"/>
              <w:right w:val="nil"/>
            </w:tcBorders>
            <w:shd w:val="clear" w:color="000000" w:fill="FFFFFF"/>
            <w:noWrap/>
            <w:vAlign w:val="center"/>
            <w:hideMark/>
          </w:tcPr>
          <w:p w14:paraId="0F30D06C" w14:textId="77777777" w:rsidR="00E23ABA" w:rsidRPr="00E06132" w:rsidRDefault="00E23ABA" w:rsidP="00E23ABA">
            <w:pPr>
              <w:spacing w:before="0" w:after="0" w:line="240" w:lineRule="auto"/>
              <w:jc w:val="center"/>
              <w:rPr>
                <w:rFonts w:cs="Arial"/>
                <w:color w:val="000000"/>
                <w:sz w:val="18"/>
                <w:szCs w:val="18"/>
              </w:rPr>
            </w:pPr>
            <w:r w:rsidRPr="00E06132">
              <w:rPr>
                <w:rFonts w:cs="Arial"/>
                <w:color w:val="000000"/>
                <w:sz w:val="18"/>
                <w:szCs w:val="18"/>
              </w:rPr>
              <w:t> </w:t>
            </w:r>
          </w:p>
        </w:tc>
        <w:tc>
          <w:tcPr>
            <w:tcW w:w="1300" w:type="dxa"/>
            <w:tcBorders>
              <w:top w:val="nil"/>
              <w:left w:val="nil"/>
              <w:bottom w:val="single" w:sz="4" w:space="0" w:color="auto"/>
              <w:right w:val="nil"/>
            </w:tcBorders>
            <w:shd w:val="clear" w:color="000000" w:fill="FFFFFF"/>
            <w:noWrap/>
            <w:vAlign w:val="bottom"/>
            <w:hideMark/>
          </w:tcPr>
          <w:p w14:paraId="5EB86F90" w14:textId="77777777" w:rsidR="00E23ABA" w:rsidRPr="00E06132" w:rsidRDefault="00E23ABA" w:rsidP="00697B5F">
            <w:pPr>
              <w:spacing w:before="0" w:after="0" w:line="240" w:lineRule="auto"/>
              <w:jc w:val="right"/>
              <w:rPr>
                <w:rFonts w:cs="Arial"/>
                <w:color w:val="000000"/>
                <w:sz w:val="18"/>
                <w:szCs w:val="18"/>
              </w:rPr>
            </w:pPr>
            <w:r w:rsidRPr="00E06132">
              <w:rPr>
                <w:rFonts w:cs="Arial"/>
                <w:color w:val="000000"/>
                <w:sz w:val="18"/>
                <w:szCs w:val="18"/>
              </w:rPr>
              <w:t>($)</w:t>
            </w:r>
          </w:p>
        </w:tc>
        <w:tc>
          <w:tcPr>
            <w:tcW w:w="1300" w:type="dxa"/>
            <w:tcBorders>
              <w:top w:val="nil"/>
              <w:left w:val="nil"/>
              <w:bottom w:val="single" w:sz="4" w:space="0" w:color="auto"/>
              <w:right w:val="nil"/>
            </w:tcBorders>
            <w:shd w:val="clear" w:color="000000" w:fill="FFFFFF"/>
            <w:noWrap/>
            <w:vAlign w:val="bottom"/>
            <w:hideMark/>
          </w:tcPr>
          <w:p w14:paraId="649CC738" w14:textId="77777777" w:rsidR="00E23ABA" w:rsidRPr="00E06132" w:rsidRDefault="00E23ABA" w:rsidP="00697B5F">
            <w:pPr>
              <w:spacing w:before="0" w:after="0" w:line="240" w:lineRule="auto"/>
              <w:jc w:val="right"/>
              <w:rPr>
                <w:rFonts w:cs="Arial"/>
                <w:color w:val="000000"/>
                <w:sz w:val="18"/>
                <w:szCs w:val="18"/>
              </w:rPr>
            </w:pPr>
            <w:r w:rsidRPr="00E06132">
              <w:rPr>
                <w:rFonts w:cs="Arial"/>
                <w:color w:val="000000"/>
                <w:sz w:val="18"/>
                <w:szCs w:val="18"/>
              </w:rPr>
              <w:t>($)</w:t>
            </w:r>
          </w:p>
        </w:tc>
      </w:tr>
      <w:tr w:rsidR="00D938DF" w:rsidRPr="00E06132" w14:paraId="1D596164"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52E280A3"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NSW</w:t>
            </w:r>
          </w:p>
        </w:tc>
        <w:tc>
          <w:tcPr>
            <w:tcW w:w="1300" w:type="dxa"/>
            <w:tcBorders>
              <w:top w:val="nil"/>
              <w:left w:val="nil"/>
              <w:bottom w:val="nil"/>
              <w:right w:val="nil"/>
            </w:tcBorders>
            <w:shd w:val="clear" w:color="000000" w:fill="FFFFFF"/>
            <w:noWrap/>
            <w:vAlign w:val="center"/>
            <w:hideMark/>
          </w:tcPr>
          <w:p w14:paraId="566DD9EF" w14:textId="150F1385"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1,635,575</w:t>
            </w:r>
          </w:p>
        </w:tc>
        <w:tc>
          <w:tcPr>
            <w:tcW w:w="1300" w:type="dxa"/>
            <w:tcBorders>
              <w:top w:val="nil"/>
              <w:left w:val="nil"/>
              <w:bottom w:val="nil"/>
              <w:right w:val="nil"/>
            </w:tcBorders>
            <w:shd w:val="clear" w:color="000000" w:fill="FFFFFF"/>
            <w:noWrap/>
            <w:vAlign w:val="center"/>
            <w:hideMark/>
          </w:tcPr>
          <w:p w14:paraId="4F4E952B" w14:textId="65386BD2"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1,81</w:t>
            </w:r>
            <w:r w:rsidR="00B15BAB">
              <w:rPr>
                <w:rFonts w:cs="Arial"/>
                <w:color w:val="000000"/>
                <w:sz w:val="18"/>
                <w:szCs w:val="18"/>
              </w:rPr>
              <w:t>8,488</w:t>
            </w:r>
          </w:p>
        </w:tc>
        <w:tc>
          <w:tcPr>
            <w:tcW w:w="1140" w:type="dxa"/>
            <w:tcBorders>
              <w:top w:val="nil"/>
              <w:left w:val="nil"/>
              <w:bottom w:val="nil"/>
              <w:right w:val="nil"/>
            </w:tcBorders>
            <w:shd w:val="clear" w:color="000000" w:fill="FFFFFF"/>
            <w:noWrap/>
            <w:vAlign w:val="center"/>
            <w:hideMark/>
          </w:tcPr>
          <w:p w14:paraId="14BD6951" w14:textId="187C3AFF"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1.11</w:t>
            </w:r>
          </w:p>
        </w:tc>
        <w:tc>
          <w:tcPr>
            <w:tcW w:w="1300" w:type="dxa"/>
            <w:tcBorders>
              <w:top w:val="nil"/>
              <w:left w:val="nil"/>
              <w:bottom w:val="nil"/>
              <w:right w:val="nil"/>
            </w:tcBorders>
            <w:shd w:val="clear" w:color="000000" w:fill="FFFFFF"/>
            <w:noWrap/>
            <w:vAlign w:val="center"/>
            <w:hideMark/>
          </w:tcPr>
          <w:p w14:paraId="417E01F9" w14:textId="4356E2CF"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5,267</w:t>
            </w:r>
          </w:p>
        </w:tc>
        <w:tc>
          <w:tcPr>
            <w:tcW w:w="1300" w:type="dxa"/>
            <w:tcBorders>
              <w:top w:val="nil"/>
              <w:left w:val="nil"/>
              <w:bottom w:val="nil"/>
              <w:right w:val="nil"/>
            </w:tcBorders>
            <w:shd w:val="clear" w:color="000000" w:fill="FFFFFF"/>
            <w:noWrap/>
            <w:vAlign w:val="center"/>
            <w:hideMark/>
          </w:tcPr>
          <w:p w14:paraId="1A1E741E" w14:textId="1E71CE95"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4,737</w:t>
            </w:r>
          </w:p>
        </w:tc>
      </w:tr>
      <w:tr w:rsidR="00D938DF" w:rsidRPr="00E06132" w14:paraId="01387F2F"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08F9FF8A"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Vic</w:t>
            </w:r>
          </w:p>
        </w:tc>
        <w:tc>
          <w:tcPr>
            <w:tcW w:w="1300" w:type="dxa"/>
            <w:tcBorders>
              <w:top w:val="nil"/>
              <w:left w:val="nil"/>
              <w:bottom w:val="nil"/>
              <w:right w:val="nil"/>
            </w:tcBorders>
            <w:shd w:val="clear" w:color="000000" w:fill="FFFFFF"/>
            <w:noWrap/>
            <w:vAlign w:val="center"/>
            <w:hideMark/>
          </w:tcPr>
          <w:p w14:paraId="79CD0C2C" w14:textId="4D549B8F"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1,675,397</w:t>
            </w:r>
          </w:p>
        </w:tc>
        <w:tc>
          <w:tcPr>
            <w:tcW w:w="1300" w:type="dxa"/>
            <w:tcBorders>
              <w:top w:val="nil"/>
              <w:left w:val="nil"/>
              <w:bottom w:val="nil"/>
              <w:right w:val="nil"/>
            </w:tcBorders>
            <w:shd w:val="clear" w:color="000000" w:fill="FFFFFF"/>
            <w:noWrap/>
            <w:vAlign w:val="center"/>
            <w:hideMark/>
          </w:tcPr>
          <w:p w14:paraId="4A58F948" w14:textId="7B274852"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1,57</w:t>
            </w:r>
            <w:r w:rsidR="00B15BAB">
              <w:rPr>
                <w:rFonts w:cs="Arial"/>
                <w:color w:val="000000"/>
                <w:sz w:val="18"/>
                <w:szCs w:val="18"/>
              </w:rPr>
              <w:t>2,290</w:t>
            </w:r>
          </w:p>
        </w:tc>
        <w:tc>
          <w:tcPr>
            <w:tcW w:w="1140" w:type="dxa"/>
            <w:tcBorders>
              <w:top w:val="nil"/>
              <w:left w:val="nil"/>
              <w:bottom w:val="nil"/>
              <w:right w:val="nil"/>
            </w:tcBorders>
            <w:shd w:val="clear" w:color="000000" w:fill="FFFFFF"/>
            <w:noWrap/>
            <w:vAlign w:val="center"/>
            <w:hideMark/>
          </w:tcPr>
          <w:p w14:paraId="52601E64" w14:textId="4492FBF6"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0.94</w:t>
            </w:r>
          </w:p>
        </w:tc>
        <w:tc>
          <w:tcPr>
            <w:tcW w:w="1300" w:type="dxa"/>
            <w:tcBorders>
              <w:top w:val="nil"/>
              <w:left w:val="nil"/>
              <w:bottom w:val="nil"/>
              <w:right w:val="nil"/>
            </w:tcBorders>
            <w:shd w:val="clear" w:color="000000" w:fill="FFFFFF"/>
            <w:noWrap/>
            <w:vAlign w:val="center"/>
            <w:hideMark/>
          </w:tcPr>
          <w:p w14:paraId="4C7AB6FF" w14:textId="7C40D9B7"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4,282</w:t>
            </w:r>
          </w:p>
        </w:tc>
        <w:tc>
          <w:tcPr>
            <w:tcW w:w="1300" w:type="dxa"/>
            <w:tcBorders>
              <w:top w:val="nil"/>
              <w:left w:val="nil"/>
              <w:bottom w:val="nil"/>
              <w:right w:val="nil"/>
            </w:tcBorders>
            <w:shd w:val="clear" w:color="000000" w:fill="FFFFFF"/>
            <w:noWrap/>
            <w:vAlign w:val="center"/>
            <w:hideMark/>
          </w:tcPr>
          <w:p w14:paraId="1ACB3838" w14:textId="50ACD4EC"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4,563</w:t>
            </w:r>
          </w:p>
        </w:tc>
      </w:tr>
      <w:tr w:rsidR="00D938DF" w:rsidRPr="00E06132" w14:paraId="01622FB3"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6F73E272"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Qld</w:t>
            </w:r>
          </w:p>
        </w:tc>
        <w:tc>
          <w:tcPr>
            <w:tcW w:w="1300" w:type="dxa"/>
            <w:tcBorders>
              <w:top w:val="nil"/>
              <w:left w:val="nil"/>
              <w:bottom w:val="nil"/>
              <w:right w:val="nil"/>
            </w:tcBorders>
            <w:shd w:val="clear" w:color="000000" w:fill="FFFFFF"/>
            <w:noWrap/>
            <w:vAlign w:val="center"/>
            <w:hideMark/>
          </w:tcPr>
          <w:p w14:paraId="4BC32E58" w14:textId="405AA453"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1,400,536</w:t>
            </w:r>
          </w:p>
        </w:tc>
        <w:tc>
          <w:tcPr>
            <w:tcW w:w="1300" w:type="dxa"/>
            <w:tcBorders>
              <w:top w:val="nil"/>
              <w:left w:val="nil"/>
              <w:bottom w:val="nil"/>
              <w:right w:val="nil"/>
            </w:tcBorders>
            <w:shd w:val="clear" w:color="000000" w:fill="FFFFFF"/>
            <w:noWrap/>
            <w:vAlign w:val="center"/>
            <w:hideMark/>
          </w:tcPr>
          <w:p w14:paraId="19D5BFCF" w14:textId="4E8B502F" w:rsidR="00D938DF" w:rsidRPr="00E06132" w:rsidRDefault="00B15BAB" w:rsidP="00D938DF">
            <w:pPr>
              <w:spacing w:before="0" w:after="0" w:line="240" w:lineRule="auto"/>
              <w:jc w:val="right"/>
              <w:rPr>
                <w:rFonts w:cs="Arial"/>
                <w:color w:val="000000"/>
                <w:sz w:val="18"/>
                <w:szCs w:val="18"/>
              </w:rPr>
            </w:pPr>
            <w:r>
              <w:rPr>
                <w:rFonts w:cs="Arial"/>
                <w:color w:val="000000"/>
                <w:sz w:val="18"/>
                <w:szCs w:val="18"/>
              </w:rPr>
              <w:t>1,342,059</w:t>
            </w:r>
          </w:p>
        </w:tc>
        <w:tc>
          <w:tcPr>
            <w:tcW w:w="1140" w:type="dxa"/>
            <w:tcBorders>
              <w:top w:val="nil"/>
              <w:left w:val="nil"/>
              <w:bottom w:val="nil"/>
              <w:right w:val="nil"/>
            </w:tcBorders>
            <w:shd w:val="clear" w:color="000000" w:fill="FFFFFF"/>
            <w:noWrap/>
            <w:vAlign w:val="center"/>
            <w:hideMark/>
          </w:tcPr>
          <w:p w14:paraId="382C39DF" w14:textId="2F728441"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0.96</w:t>
            </w:r>
          </w:p>
        </w:tc>
        <w:tc>
          <w:tcPr>
            <w:tcW w:w="1300" w:type="dxa"/>
            <w:tcBorders>
              <w:top w:val="nil"/>
              <w:left w:val="nil"/>
              <w:bottom w:val="nil"/>
              <w:right w:val="nil"/>
            </w:tcBorders>
            <w:shd w:val="clear" w:color="000000" w:fill="FFFFFF"/>
            <w:noWrap/>
            <w:vAlign w:val="center"/>
            <w:hideMark/>
          </w:tcPr>
          <w:p w14:paraId="13B4F967" w14:textId="15A1CCBD"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4,523</w:t>
            </w:r>
          </w:p>
        </w:tc>
        <w:tc>
          <w:tcPr>
            <w:tcW w:w="1300" w:type="dxa"/>
            <w:tcBorders>
              <w:top w:val="nil"/>
              <w:left w:val="nil"/>
              <w:bottom w:val="nil"/>
              <w:right w:val="nil"/>
            </w:tcBorders>
            <w:shd w:val="clear" w:color="000000" w:fill="FFFFFF"/>
            <w:noWrap/>
            <w:vAlign w:val="center"/>
            <w:hideMark/>
          </w:tcPr>
          <w:p w14:paraId="20D0B2A5" w14:textId="33294E66"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4,720</w:t>
            </w:r>
          </w:p>
        </w:tc>
      </w:tr>
      <w:tr w:rsidR="00D938DF" w:rsidRPr="00E06132" w14:paraId="3DEAAE67"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2ECC8BA5"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SA</w:t>
            </w:r>
          </w:p>
        </w:tc>
        <w:tc>
          <w:tcPr>
            <w:tcW w:w="1300" w:type="dxa"/>
            <w:tcBorders>
              <w:top w:val="nil"/>
              <w:left w:val="nil"/>
              <w:bottom w:val="nil"/>
              <w:right w:val="nil"/>
            </w:tcBorders>
            <w:shd w:val="clear" w:color="000000" w:fill="FFFFFF"/>
            <w:noWrap/>
            <w:vAlign w:val="center"/>
            <w:hideMark/>
          </w:tcPr>
          <w:p w14:paraId="7815F375" w14:textId="798F67DE"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379,772</w:t>
            </w:r>
          </w:p>
        </w:tc>
        <w:tc>
          <w:tcPr>
            <w:tcW w:w="1300" w:type="dxa"/>
            <w:tcBorders>
              <w:top w:val="nil"/>
              <w:left w:val="nil"/>
              <w:bottom w:val="nil"/>
              <w:right w:val="nil"/>
            </w:tcBorders>
            <w:shd w:val="clear" w:color="000000" w:fill="FFFFFF"/>
            <w:noWrap/>
            <w:vAlign w:val="center"/>
            <w:hideMark/>
          </w:tcPr>
          <w:p w14:paraId="7D29D5E2" w14:textId="755028D7"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405,</w:t>
            </w:r>
            <w:r w:rsidR="00B15BAB">
              <w:rPr>
                <w:rFonts w:cs="Arial"/>
                <w:color w:val="000000"/>
                <w:sz w:val="18"/>
                <w:szCs w:val="18"/>
              </w:rPr>
              <w:t>894</w:t>
            </w:r>
          </w:p>
        </w:tc>
        <w:tc>
          <w:tcPr>
            <w:tcW w:w="1140" w:type="dxa"/>
            <w:tcBorders>
              <w:top w:val="nil"/>
              <w:left w:val="nil"/>
              <w:bottom w:val="nil"/>
              <w:right w:val="nil"/>
            </w:tcBorders>
            <w:shd w:val="clear" w:color="000000" w:fill="FFFFFF"/>
            <w:noWrap/>
            <w:vAlign w:val="center"/>
            <w:hideMark/>
          </w:tcPr>
          <w:p w14:paraId="48FF49CB" w14:textId="145A8376"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1.07</w:t>
            </w:r>
          </w:p>
        </w:tc>
        <w:tc>
          <w:tcPr>
            <w:tcW w:w="1300" w:type="dxa"/>
            <w:tcBorders>
              <w:top w:val="nil"/>
              <w:left w:val="nil"/>
              <w:bottom w:val="nil"/>
              <w:right w:val="nil"/>
            </w:tcBorders>
            <w:shd w:val="clear" w:color="000000" w:fill="FFFFFF"/>
            <w:noWrap/>
            <w:vAlign w:val="center"/>
            <w:hideMark/>
          </w:tcPr>
          <w:p w14:paraId="04BED2FB" w14:textId="039F8953"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6,032</w:t>
            </w:r>
          </w:p>
        </w:tc>
        <w:tc>
          <w:tcPr>
            <w:tcW w:w="1300" w:type="dxa"/>
            <w:tcBorders>
              <w:top w:val="nil"/>
              <w:left w:val="nil"/>
              <w:bottom w:val="nil"/>
              <w:right w:val="nil"/>
            </w:tcBorders>
            <w:shd w:val="clear" w:color="000000" w:fill="FFFFFF"/>
            <w:noWrap/>
            <w:vAlign w:val="center"/>
            <w:hideMark/>
          </w:tcPr>
          <w:p w14:paraId="27B09FAE" w14:textId="0572FF14"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5,644</w:t>
            </w:r>
          </w:p>
        </w:tc>
      </w:tr>
      <w:tr w:rsidR="00D938DF" w:rsidRPr="00E06132" w14:paraId="094C9C89"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6F31773D"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WA</w:t>
            </w:r>
          </w:p>
        </w:tc>
        <w:tc>
          <w:tcPr>
            <w:tcW w:w="1300" w:type="dxa"/>
            <w:tcBorders>
              <w:top w:val="nil"/>
              <w:left w:val="nil"/>
              <w:bottom w:val="nil"/>
              <w:right w:val="nil"/>
            </w:tcBorders>
            <w:shd w:val="clear" w:color="000000" w:fill="FFFFFF"/>
            <w:noWrap/>
            <w:vAlign w:val="center"/>
            <w:hideMark/>
          </w:tcPr>
          <w:p w14:paraId="57B8467C" w14:textId="333DA70A"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531,540</w:t>
            </w:r>
          </w:p>
        </w:tc>
        <w:tc>
          <w:tcPr>
            <w:tcW w:w="1300" w:type="dxa"/>
            <w:tcBorders>
              <w:top w:val="nil"/>
              <w:left w:val="nil"/>
              <w:bottom w:val="nil"/>
              <w:right w:val="nil"/>
            </w:tcBorders>
            <w:shd w:val="clear" w:color="000000" w:fill="FFFFFF"/>
            <w:noWrap/>
            <w:vAlign w:val="center"/>
            <w:hideMark/>
          </w:tcPr>
          <w:p w14:paraId="5374EF78" w14:textId="18EF26A5"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532,</w:t>
            </w:r>
            <w:r w:rsidR="00B15BAB">
              <w:rPr>
                <w:rFonts w:cs="Arial"/>
                <w:color w:val="000000"/>
                <w:sz w:val="18"/>
                <w:szCs w:val="18"/>
              </w:rPr>
              <w:t>146</w:t>
            </w:r>
          </w:p>
        </w:tc>
        <w:tc>
          <w:tcPr>
            <w:tcW w:w="1140" w:type="dxa"/>
            <w:tcBorders>
              <w:top w:val="nil"/>
              <w:left w:val="nil"/>
              <w:bottom w:val="nil"/>
              <w:right w:val="nil"/>
            </w:tcBorders>
            <w:shd w:val="clear" w:color="000000" w:fill="FFFFFF"/>
            <w:noWrap/>
            <w:vAlign w:val="center"/>
            <w:hideMark/>
          </w:tcPr>
          <w:p w14:paraId="4813A210" w14:textId="4E184689"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1.00</w:t>
            </w:r>
          </w:p>
        </w:tc>
        <w:tc>
          <w:tcPr>
            <w:tcW w:w="1300" w:type="dxa"/>
            <w:tcBorders>
              <w:top w:val="nil"/>
              <w:left w:val="nil"/>
              <w:bottom w:val="nil"/>
              <w:right w:val="nil"/>
            </w:tcBorders>
            <w:shd w:val="clear" w:color="000000" w:fill="FFFFFF"/>
            <w:noWrap/>
            <w:vAlign w:val="center"/>
            <w:hideMark/>
          </w:tcPr>
          <w:p w14:paraId="343D26FD" w14:textId="61112939"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5,827</w:t>
            </w:r>
          </w:p>
        </w:tc>
        <w:tc>
          <w:tcPr>
            <w:tcW w:w="1300" w:type="dxa"/>
            <w:tcBorders>
              <w:top w:val="nil"/>
              <w:left w:val="nil"/>
              <w:bottom w:val="nil"/>
              <w:right w:val="nil"/>
            </w:tcBorders>
            <w:shd w:val="clear" w:color="000000" w:fill="FFFFFF"/>
            <w:noWrap/>
            <w:vAlign w:val="center"/>
            <w:hideMark/>
          </w:tcPr>
          <w:p w14:paraId="290D9652" w14:textId="18B3C391"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5,821</w:t>
            </w:r>
          </w:p>
        </w:tc>
      </w:tr>
      <w:tr w:rsidR="00D938DF" w:rsidRPr="00E06132" w14:paraId="6C702FD7"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5B1DF7F4"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Tas</w:t>
            </w:r>
          </w:p>
        </w:tc>
        <w:tc>
          <w:tcPr>
            <w:tcW w:w="1300" w:type="dxa"/>
            <w:tcBorders>
              <w:top w:val="nil"/>
              <w:left w:val="nil"/>
              <w:bottom w:val="nil"/>
              <w:right w:val="nil"/>
            </w:tcBorders>
            <w:shd w:val="clear" w:color="000000" w:fill="FFFFFF"/>
            <w:noWrap/>
            <w:vAlign w:val="center"/>
            <w:hideMark/>
          </w:tcPr>
          <w:p w14:paraId="27BE30B8" w14:textId="2E3CE13C"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121,513</w:t>
            </w:r>
          </w:p>
        </w:tc>
        <w:tc>
          <w:tcPr>
            <w:tcW w:w="1300" w:type="dxa"/>
            <w:tcBorders>
              <w:top w:val="nil"/>
              <w:left w:val="nil"/>
              <w:bottom w:val="nil"/>
              <w:right w:val="nil"/>
            </w:tcBorders>
            <w:shd w:val="clear" w:color="000000" w:fill="FFFFFF"/>
            <w:noWrap/>
            <w:vAlign w:val="center"/>
            <w:hideMark/>
          </w:tcPr>
          <w:p w14:paraId="465FDDF5" w14:textId="3143AD3B"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135,</w:t>
            </w:r>
            <w:r w:rsidR="00B15BAB">
              <w:rPr>
                <w:rFonts w:cs="Arial"/>
                <w:color w:val="000000"/>
                <w:sz w:val="18"/>
                <w:szCs w:val="18"/>
              </w:rPr>
              <w:t>195</w:t>
            </w:r>
          </w:p>
        </w:tc>
        <w:tc>
          <w:tcPr>
            <w:tcW w:w="1140" w:type="dxa"/>
            <w:tcBorders>
              <w:top w:val="nil"/>
              <w:left w:val="nil"/>
              <w:bottom w:val="nil"/>
              <w:right w:val="nil"/>
            </w:tcBorders>
            <w:shd w:val="clear" w:color="000000" w:fill="FFFFFF"/>
            <w:noWrap/>
            <w:vAlign w:val="center"/>
            <w:hideMark/>
          </w:tcPr>
          <w:p w14:paraId="66D2D50C" w14:textId="50BE1D53"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1.11</w:t>
            </w:r>
          </w:p>
        </w:tc>
        <w:tc>
          <w:tcPr>
            <w:tcW w:w="1300" w:type="dxa"/>
            <w:tcBorders>
              <w:top w:val="nil"/>
              <w:left w:val="nil"/>
              <w:bottom w:val="nil"/>
              <w:right w:val="nil"/>
            </w:tcBorders>
            <w:shd w:val="clear" w:color="000000" w:fill="FFFFFF"/>
            <w:noWrap/>
            <w:vAlign w:val="center"/>
            <w:hideMark/>
          </w:tcPr>
          <w:p w14:paraId="41440D6B" w14:textId="1B8F41CA"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5,772</w:t>
            </w:r>
          </w:p>
        </w:tc>
        <w:tc>
          <w:tcPr>
            <w:tcW w:w="1300" w:type="dxa"/>
            <w:tcBorders>
              <w:top w:val="nil"/>
              <w:left w:val="nil"/>
              <w:bottom w:val="nil"/>
              <w:right w:val="nil"/>
            </w:tcBorders>
            <w:shd w:val="clear" w:color="000000" w:fill="FFFFFF"/>
            <w:noWrap/>
            <w:vAlign w:val="center"/>
            <w:hideMark/>
          </w:tcPr>
          <w:p w14:paraId="6AC39676" w14:textId="3FE2ECAA"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5,188</w:t>
            </w:r>
          </w:p>
        </w:tc>
      </w:tr>
      <w:tr w:rsidR="00D938DF" w:rsidRPr="00E06132" w14:paraId="69B6AEF1"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26E8386D"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NT</w:t>
            </w:r>
          </w:p>
        </w:tc>
        <w:tc>
          <w:tcPr>
            <w:tcW w:w="1300" w:type="dxa"/>
            <w:tcBorders>
              <w:top w:val="nil"/>
              <w:left w:val="nil"/>
              <w:bottom w:val="nil"/>
              <w:right w:val="nil"/>
            </w:tcBorders>
            <w:shd w:val="clear" w:color="000000" w:fill="FFFFFF"/>
            <w:noWrap/>
            <w:vAlign w:val="center"/>
            <w:hideMark/>
          </w:tcPr>
          <w:p w14:paraId="35C98809" w14:textId="6C1A05A6"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165,704</w:t>
            </w:r>
          </w:p>
        </w:tc>
        <w:tc>
          <w:tcPr>
            <w:tcW w:w="1300" w:type="dxa"/>
            <w:tcBorders>
              <w:top w:val="nil"/>
              <w:left w:val="nil"/>
              <w:bottom w:val="nil"/>
              <w:right w:val="nil"/>
            </w:tcBorders>
            <w:shd w:val="clear" w:color="000000" w:fill="FFFFFF"/>
            <w:noWrap/>
            <w:vAlign w:val="center"/>
            <w:hideMark/>
          </w:tcPr>
          <w:p w14:paraId="0F74A454" w14:textId="1CE4D980"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98,</w:t>
            </w:r>
            <w:r w:rsidR="00B15BAB">
              <w:rPr>
                <w:rFonts w:cs="Arial"/>
                <w:color w:val="000000"/>
                <w:sz w:val="18"/>
                <w:szCs w:val="18"/>
              </w:rPr>
              <w:t>297</w:t>
            </w:r>
          </w:p>
        </w:tc>
        <w:tc>
          <w:tcPr>
            <w:tcW w:w="1140" w:type="dxa"/>
            <w:tcBorders>
              <w:top w:val="nil"/>
              <w:left w:val="nil"/>
              <w:bottom w:val="nil"/>
              <w:right w:val="nil"/>
            </w:tcBorders>
            <w:shd w:val="clear" w:color="000000" w:fill="FFFFFF"/>
            <w:noWrap/>
            <w:vAlign w:val="center"/>
            <w:hideMark/>
          </w:tcPr>
          <w:p w14:paraId="08D0E2F1" w14:textId="0B7DF794"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0.59</w:t>
            </w:r>
          </w:p>
        </w:tc>
        <w:tc>
          <w:tcPr>
            <w:tcW w:w="1300" w:type="dxa"/>
            <w:tcBorders>
              <w:top w:val="nil"/>
              <w:left w:val="nil"/>
              <w:bottom w:val="nil"/>
              <w:right w:val="nil"/>
            </w:tcBorders>
            <w:shd w:val="clear" w:color="000000" w:fill="FFFFFF"/>
            <w:noWrap/>
            <w:vAlign w:val="center"/>
            <w:hideMark/>
          </w:tcPr>
          <w:p w14:paraId="509EE269" w14:textId="71A930DB"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3,697</w:t>
            </w:r>
          </w:p>
        </w:tc>
        <w:tc>
          <w:tcPr>
            <w:tcW w:w="1300" w:type="dxa"/>
            <w:tcBorders>
              <w:top w:val="nil"/>
              <w:left w:val="nil"/>
              <w:bottom w:val="nil"/>
              <w:right w:val="nil"/>
            </w:tcBorders>
            <w:shd w:val="clear" w:color="000000" w:fill="FFFFFF"/>
            <w:noWrap/>
            <w:vAlign w:val="center"/>
            <w:hideMark/>
          </w:tcPr>
          <w:p w14:paraId="7A60AC16" w14:textId="3F2F9B2C"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6,231</w:t>
            </w:r>
          </w:p>
        </w:tc>
      </w:tr>
      <w:tr w:rsidR="00D938DF" w:rsidRPr="00E06132" w14:paraId="32893502" w14:textId="77777777" w:rsidTr="005351D3">
        <w:trPr>
          <w:trHeight w:val="300"/>
          <w:jc w:val="center"/>
        </w:trPr>
        <w:tc>
          <w:tcPr>
            <w:tcW w:w="1240" w:type="dxa"/>
            <w:tcBorders>
              <w:top w:val="nil"/>
              <w:left w:val="nil"/>
              <w:bottom w:val="nil"/>
              <w:right w:val="nil"/>
            </w:tcBorders>
            <w:shd w:val="clear" w:color="000000" w:fill="FFFFFF"/>
            <w:noWrap/>
            <w:vAlign w:val="center"/>
            <w:hideMark/>
          </w:tcPr>
          <w:p w14:paraId="20624392" w14:textId="77777777" w:rsidR="00D938DF" w:rsidRPr="00E06132" w:rsidRDefault="00D938DF" w:rsidP="00D938DF">
            <w:pPr>
              <w:spacing w:before="0" w:after="0" w:line="240" w:lineRule="auto"/>
              <w:rPr>
                <w:rFonts w:cs="Arial"/>
                <w:color w:val="000000"/>
                <w:sz w:val="18"/>
                <w:szCs w:val="18"/>
              </w:rPr>
            </w:pPr>
            <w:r w:rsidRPr="00E06132">
              <w:rPr>
                <w:rFonts w:cs="Arial"/>
                <w:color w:val="000000"/>
                <w:sz w:val="18"/>
                <w:szCs w:val="18"/>
              </w:rPr>
              <w:t>ACT</w:t>
            </w:r>
          </w:p>
        </w:tc>
        <w:tc>
          <w:tcPr>
            <w:tcW w:w="1300" w:type="dxa"/>
            <w:tcBorders>
              <w:top w:val="nil"/>
              <w:left w:val="nil"/>
              <w:bottom w:val="nil"/>
              <w:right w:val="nil"/>
            </w:tcBorders>
            <w:shd w:val="clear" w:color="000000" w:fill="FFFFFF"/>
            <w:noWrap/>
            <w:vAlign w:val="center"/>
            <w:hideMark/>
          </w:tcPr>
          <w:p w14:paraId="74C700B7" w14:textId="3A0070C5"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109,135</w:t>
            </w:r>
          </w:p>
        </w:tc>
        <w:tc>
          <w:tcPr>
            <w:tcW w:w="1300" w:type="dxa"/>
            <w:tcBorders>
              <w:top w:val="nil"/>
              <w:left w:val="nil"/>
              <w:bottom w:val="nil"/>
              <w:right w:val="nil"/>
            </w:tcBorders>
            <w:shd w:val="clear" w:color="000000" w:fill="FFFFFF"/>
            <w:noWrap/>
            <w:vAlign w:val="center"/>
            <w:hideMark/>
          </w:tcPr>
          <w:p w14:paraId="11737407" w14:textId="533BB82D" w:rsidR="00D938DF" w:rsidRPr="00E06132" w:rsidRDefault="00D938DF" w:rsidP="00B15BAB">
            <w:pPr>
              <w:spacing w:before="0" w:after="0" w:line="240" w:lineRule="auto"/>
              <w:jc w:val="right"/>
              <w:rPr>
                <w:rFonts w:cs="Arial"/>
                <w:color w:val="000000"/>
                <w:sz w:val="18"/>
                <w:szCs w:val="18"/>
              </w:rPr>
            </w:pPr>
            <w:r w:rsidRPr="00E06132">
              <w:rPr>
                <w:rFonts w:cs="Arial"/>
                <w:color w:val="000000"/>
                <w:sz w:val="18"/>
                <w:szCs w:val="18"/>
              </w:rPr>
              <w:t>114,</w:t>
            </w:r>
            <w:r w:rsidR="00B15BAB">
              <w:rPr>
                <w:rFonts w:cs="Arial"/>
                <w:color w:val="000000"/>
                <w:sz w:val="18"/>
                <w:szCs w:val="18"/>
              </w:rPr>
              <w:t>802</w:t>
            </w:r>
          </w:p>
        </w:tc>
        <w:tc>
          <w:tcPr>
            <w:tcW w:w="1140" w:type="dxa"/>
            <w:tcBorders>
              <w:top w:val="nil"/>
              <w:left w:val="nil"/>
              <w:bottom w:val="nil"/>
              <w:right w:val="nil"/>
            </w:tcBorders>
            <w:shd w:val="clear" w:color="000000" w:fill="FFFFFF"/>
            <w:noWrap/>
            <w:vAlign w:val="center"/>
            <w:hideMark/>
          </w:tcPr>
          <w:p w14:paraId="1536FAA6" w14:textId="54AC9E74"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1.05</w:t>
            </w:r>
          </w:p>
        </w:tc>
        <w:tc>
          <w:tcPr>
            <w:tcW w:w="1300" w:type="dxa"/>
            <w:tcBorders>
              <w:top w:val="nil"/>
              <w:left w:val="nil"/>
              <w:bottom w:val="nil"/>
              <w:right w:val="nil"/>
            </w:tcBorders>
            <w:shd w:val="clear" w:color="000000" w:fill="FFFFFF"/>
            <w:noWrap/>
            <w:vAlign w:val="center"/>
            <w:hideMark/>
          </w:tcPr>
          <w:p w14:paraId="793A7E6E" w14:textId="444B3BBF"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5,319</w:t>
            </w:r>
          </w:p>
        </w:tc>
        <w:tc>
          <w:tcPr>
            <w:tcW w:w="1300" w:type="dxa"/>
            <w:tcBorders>
              <w:top w:val="nil"/>
              <w:left w:val="nil"/>
              <w:bottom w:val="nil"/>
              <w:right w:val="nil"/>
            </w:tcBorders>
            <w:shd w:val="clear" w:color="000000" w:fill="FFFFFF"/>
            <w:noWrap/>
            <w:vAlign w:val="center"/>
            <w:hideMark/>
          </w:tcPr>
          <w:p w14:paraId="541130C7" w14:textId="4FEAC8AC" w:rsidR="00D938DF" w:rsidRPr="00E06132" w:rsidRDefault="00D938DF" w:rsidP="00D938DF">
            <w:pPr>
              <w:spacing w:before="0" w:after="0" w:line="240" w:lineRule="auto"/>
              <w:jc w:val="right"/>
              <w:rPr>
                <w:rFonts w:cs="Arial"/>
                <w:color w:val="000000"/>
                <w:sz w:val="18"/>
                <w:szCs w:val="18"/>
              </w:rPr>
            </w:pPr>
            <w:r w:rsidRPr="00E06132">
              <w:rPr>
                <w:rFonts w:cs="Arial"/>
                <w:color w:val="000000"/>
                <w:sz w:val="18"/>
                <w:szCs w:val="18"/>
              </w:rPr>
              <w:t>5,057</w:t>
            </w:r>
          </w:p>
        </w:tc>
      </w:tr>
      <w:tr w:rsidR="00D938DF" w:rsidRPr="00E06132" w14:paraId="1878A6B5" w14:textId="77777777" w:rsidTr="005351D3">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54C36B16" w14:textId="77777777" w:rsidR="00D938DF" w:rsidRPr="00E06132" w:rsidRDefault="00D938DF" w:rsidP="00D938DF">
            <w:pPr>
              <w:spacing w:before="0" w:after="0" w:line="240" w:lineRule="auto"/>
              <w:rPr>
                <w:rFonts w:cs="Arial"/>
                <w:b/>
                <w:bCs/>
                <w:color w:val="000000"/>
                <w:sz w:val="18"/>
                <w:szCs w:val="18"/>
              </w:rPr>
            </w:pPr>
            <w:r w:rsidRPr="00E06132">
              <w:rPr>
                <w:rFonts w:cs="Arial"/>
                <w:b/>
                <w:bCs/>
                <w:color w:val="000000"/>
                <w:sz w:val="18"/>
                <w:szCs w:val="18"/>
              </w:rPr>
              <w:t>National</w:t>
            </w:r>
          </w:p>
        </w:tc>
        <w:tc>
          <w:tcPr>
            <w:tcW w:w="1300" w:type="dxa"/>
            <w:tcBorders>
              <w:top w:val="single" w:sz="4" w:space="0" w:color="auto"/>
              <w:left w:val="nil"/>
              <w:bottom w:val="single" w:sz="4" w:space="0" w:color="auto"/>
              <w:right w:val="nil"/>
            </w:tcBorders>
            <w:shd w:val="clear" w:color="000000" w:fill="FFFFFF"/>
            <w:noWrap/>
            <w:vAlign w:val="center"/>
            <w:hideMark/>
          </w:tcPr>
          <w:p w14:paraId="67F01144" w14:textId="026D17FB" w:rsidR="00D938DF" w:rsidRPr="00E06132" w:rsidRDefault="00D938DF" w:rsidP="00D938DF">
            <w:pPr>
              <w:spacing w:before="0" w:after="0" w:line="240" w:lineRule="auto"/>
              <w:jc w:val="right"/>
              <w:rPr>
                <w:rFonts w:cs="Arial"/>
                <w:b/>
                <w:bCs/>
                <w:color w:val="000000"/>
                <w:sz w:val="18"/>
                <w:szCs w:val="18"/>
              </w:rPr>
            </w:pPr>
            <w:r w:rsidRPr="00E06132">
              <w:rPr>
                <w:rFonts w:cs="Arial"/>
                <w:b/>
                <w:bCs/>
                <w:color w:val="000000"/>
                <w:sz w:val="18"/>
                <w:szCs w:val="18"/>
              </w:rPr>
              <w:t>6,019,172</w:t>
            </w:r>
          </w:p>
        </w:tc>
        <w:tc>
          <w:tcPr>
            <w:tcW w:w="1300" w:type="dxa"/>
            <w:tcBorders>
              <w:top w:val="single" w:sz="4" w:space="0" w:color="auto"/>
              <w:left w:val="nil"/>
              <w:bottom w:val="single" w:sz="4" w:space="0" w:color="auto"/>
              <w:right w:val="nil"/>
            </w:tcBorders>
            <w:shd w:val="clear" w:color="000000" w:fill="FFFFFF"/>
            <w:noWrap/>
            <w:vAlign w:val="center"/>
            <w:hideMark/>
          </w:tcPr>
          <w:p w14:paraId="7FD35B94" w14:textId="0FE0B935" w:rsidR="00D938DF" w:rsidRPr="00E06132" w:rsidRDefault="00D938DF" w:rsidP="00D938DF">
            <w:pPr>
              <w:spacing w:before="0" w:after="0" w:line="240" w:lineRule="auto"/>
              <w:jc w:val="right"/>
              <w:rPr>
                <w:rFonts w:cs="Arial"/>
                <w:b/>
                <w:bCs/>
                <w:color w:val="000000"/>
                <w:sz w:val="18"/>
                <w:szCs w:val="18"/>
              </w:rPr>
            </w:pPr>
            <w:r w:rsidRPr="00E06132">
              <w:rPr>
                <w:rFonts w:cs="Arial"/>
                <w:b/>
                <w:bCs/>
                <w:color w:val="000000"/>
                <w:sz w:val="18"/>
                <w:szCs w:val="18"/>
              </w:rPr>
              <w:t>6,019,172</w:t>
            </w:r>
          </w:p>
        </w:tc>
        <w:tc>
          <w:tcPr>
            <w:tcW w:w="1140" w:type="dxa"/>
            <w:tcBorders>
              <w:top w:val="single" w:sz="4" w:space="0" w:color="auto"/>
              <w:left w:val="nil"/>
              <w:bottom w:val="single" w:sz="4" w:space="0" w:color="auto"/>
              <w:right w:val="nil"/>
            </w:tcBorders>
            <w:shd w:val="clear" w:color="000000" w:fill="FFFFFF"/>
            <w:noWrap/>
            <w:vAlign w:val="center"/>
            <w:hideMark/>
          </w:tcPr>
          <w:p w14:paraId="6A6D42F6" w14:textId="0C094B9F" w:rsidR="00D938DF" w:rsidRPr="00E06132" w:rsidRDefault="00D938DF" w:rsidP="00D938DF">
            <w:pPr>
              <w:spacing w:before="0" w:after="0" w:line="240" w:lineRule="auto"/>
              <w:jc w:val="right"/>
              <w:rPr>
                <w:rFonts w:cs="Arial"/>
                <w:b/>
                <w:bCs/>
                <w:color w:val="000000"/>
                <w:sz w:val="18"/>
                <w:szCs w:val="18"/>
              </w:rPr>
            </w:pPr>
            <w:r w:rsidRPr="00E06132">
              <w:rPr>
                <w:rFonts w:cs="Arial"/>
                <w:b/>
                <w:bCs/>
                <w:color w:val="000000"/>
                <w:sz w:val="18"/>
                <w:szCs w:val="18"/>
              </w:rPr>
              <w:t>1.00</w:t>
            </w:r>
          </w:p>
        </w:tc>
        <w:tc>
          <w:tcPr>
            <w:tcW w:w="1300" w:type="dxa"/>
            <w:tcBorders>
              <w:top w:val="single" w:sz="4" w:space="0" w:color="auto"/>
              <w:left w:val="nil"/>
              <w:bottom w:val="single" w:sz="4" w:space="0" w:color="auto"/>
              <w:right w:val="nil"/>
            </w:tcBorders>
            <w:shd w:val="clear" w:color="000000" w:fill="FFFFFF"/>
            <w:noWrap/>
            <w:vAlign w:val="center"/>
            <w:hideMark/>
          </w:tcPr>
          <w:p w14:paraId="7CAEBD7E" w14:textId="42741F01" w:rsidR="00D938DF" w:rsidRPr="00E06132" w:rsidRDefault="00D938DF" w:rsidP="00D938DF">
            <w:pPr>
              <w:spacing w:before="0" w:after="0" w:line="240" w:lineRule="auto"/>
              <w:jc w:val="right"/>
              <w:rPr>
                <w:rFonts w:cs="Arial"/>
                <w:b/>
                <w:bCs/>
                <w:color w:val="000000"/>
                <w:sz w:val="18"/>
                <w:szCs w:val="18"/>
              </w:rPr>
            </w:pPr>
            <w:r w:rsidRPr="00E06132">
              <w:rPr>
                <w:rFonts w:cs="Arial"/>
                <w:b/>
                <w:bCs/>
                <w:color w:val="000000"/>
                <w:sz w:val="18"/>
                <w:szCs w:val="18"/>
              </w:rPr>
              <w:t>4,885</w:t>
            </w:r>
          </w:p>
        </w:tc>
        <w:tc>
          <w:tcPr>
            <w:tcW w:w="1300" w:type="dxa"/>
            <w:tcBorders>
              <w:top w:val="single" w:sz="4" w:space="0" w:color="auto"/>
              <w:left w:val="nil"/>
              <w:bottom w:val="single" w:sz="4" w:space="0" w:color="auto"/>
              <w:right w:val="nil"/>
            </w:tcBorders>
            <w:shd w:val="clear" w:color="000000" w:fill="FFFFFF"/>
            <w:noWrap/>
            <w:vAlign w:val="center"/>
            <w:hideMark/>
          </w:tcPr>
          <w:p w14:paraId="56A87AB7" w14:textId="62CC36DE" w:rsidR="00D938DF" w:rsidRPr="00E06132" w:rsidRDefault="00D938DF" w:rsidP="00D938DF">
            <w:pPr>
              <w:spacing w:before="0" w:after="0" w:line="240" w:lineRule="auto"/>
              <w:jc w:val="right"/>
              <w:rPr>
                <w:rFonts w:cs="Arial"/>
                <w:b/>
                <w:bCs/>
                <w:color w:val="000000"/>
                <w:sz w:val="18"/>
                <w:szCs w:val="18"/>
              </w:rPr>
            </w:pPr>
            <w:r w:rsidRPr="00E06132">
              <w:rPr>
                <w:rFonts w:cs="Arial"/>
                <w:b/>
                <w:bCs/>
                <w:color w:val="000000"/>
                <w:sz w:val="18"/>
                <w:szCs w:val="18"/>
              </w:rPr>
              <w:t>4,885</w:t>
            </w:r>
          </w:p>
        </w:tc>
      </w:tr>
    </w:tbl>
    <w:p w14:paraId="67A03AA1" w14:textId="770E45A5" w:rsidR="002371BB" w:rsidRDefault="002371BB" w:rsidP="00A10B59">
      <w:pPr>
        <w:spacing w:before="0" w:after="0"/>
        <w:ind w:left="720"/>
        <w:rPr>
          <w:rFonts w:cs="Arial"/>
          <w:i/>
          <w:sz w:val="18"/>
          <w:szCs w:val="20"/>
        </w:rPr>
      </w:pPr>
      <w:r w:rsidRPr="00E06132">
        <w:rPr>
          <w:rFonts w:cs="Arial"/>
          <w:i/>
          <w:sz w:val="18"/>
          <w:szCs w:val="20"/>
        </w:rPr>
        <w:t>(1) Determined by dividing the jurisdiction’s number of weighted separations by number of separations.</w:t>
      </w:r>
    </w:p>
    <w:p w14:paraId="7992B749" w14:textId="77777777" w:rsidR="00014146" w:rsidRPr="00E06132" w:rsidRDefault="00014146" w:rsidP="00A10B59">
      <w:pPr>
        <w:spacing w:before="0" w:after="0"/>
        <w:ind w:left="720"/>
        <w:rPr>
          <w:rFonts w:cs="Arial"/>
          <w:i/>
          <w:sz w:val="18"/>
          <w:szCs w:val="20"/>
        </w:rPr>
      </w:pPr>
    </w:p>
    <w:p w14:paraId="77412F28" w14:textId="30A7C3B5" w:rsidR="00014146" w:rsidRDefault="003E6B3A" w:rsidP="00014146">
      <w:pPr>
        <w:rPr>
          <w:rFonts w:cs="Arial"/>
        </w:rPr>
      </w:pPr>
      <w:r>
        <w:rPr>
          <w:rFonts w:cs="Arial"/>
        </w:rPr>
        <w:t>T</w:t>
      </w:r>
      <w:r w:rsidR="00D61884">
        <w:rPr>
          <w:rFonts w:cs="Arial"/>
        </w:rPr>
        <w:t xml:space="preserve">able 12 </w:t>
      </w:r>
      <w:r>
        <w:rPr>
          <w:rFonts w:cs="Arial"/>
        </w:rPr>
        <w:t>further highlight</w:t>
      </w:r>
      <w:r w:rsidR="00D61884">
        <w:rPr>
          <w:rFonts w:cs="Arial"/>
        </w:rPr>
        <w:t>s</w:t>
      </w:r>
      <w:r>
        <w:rPr>
          <w:rFonts w:cs="Arial"/>
        </w:rPr>
        <w:t xml:space="preserve"> the </w:t>
      </w:r>
      <w:r w:rsidR="00D61884">
        <w:rPr>
          <w:rFonts w:cs="Arial"/>
        </w:rPr>
        <w:t>varied case-mix complexity between the jurisdictions by showing the count of haemodialysis and chemotherapy separations.</w:t>
      </w:r>
      <w:r w:rsidR="00EE4C4B">
        <w:rPr>
          <w:rFonts w:cs="Arial"/>
        </w:rPr>
        <w:t xml:space="preserve"> </w:t>
      </w:r>
      <w:r w:rsidR="00D61884">
        <w:rPr>
          <w:rFonts w:cs="Arial"/>
        </w:rPr>
        <w:t xml:space="preserve">In Round 22, these were the two most common admitted acute separations and each had a relatively low complexity: haemodialysis had a cost weight of 0.12 and chemotherapy 0.36. The low complexity factor in the Northern Territory is driven largely by the high share of separations which were haemodialysis (50%). </w:t>
      </w:r>
    </w:p>
    <w:p w14:paraId="5ADE557E" w14:textId="49F09981" w:rsidR="00806CAF" w:rsidRDefault="00806CAF" w:rsidP="00806CAF">
      <w:pPr>
        <w:pStyle w:val="Caption"/>
      </w:pPr>
      <w:bookmarkStart w:id="42" w:name="_Toc31880542"/>
      <w:r>
        <w:lastRenderedPageBreak/>
        <w:t xml:space="preserve">Table </w:t>
      </w:r>
      <w:fldSimple w:instr=" SEQ Table \* ARABIC ">
        <w:r w:rsidR="00423E34">
          <w:rPr>
            <w:noProof/>
          </w:rPr>
          <w:t>12</w:t>
        </w:r>
      </w:fldSimple>
      <w:r>
        <w:t xml:space="preserve"> Number of separations, haemodialysis and chemo</w:t>
      </w:r>
      <w:r w:rsidR="00BD0276">
        <w:t>therapy, by jurisdiction, Round </w:t>
      </w:r>
      <w:r>
        <w:t>22</w:t>
      </w:r>
      <w:bookmarkEnd w:id="42"/>
    </w:p>
    <w:p w14:paraId="1A7E9EF5" w14:textId="77777777" w:rsidR="00806CAF" w:rsidRPr="00806CAF" w:rsidRDefault="00806CAF" w:rsidP="00806CAF"/>
    <w:tbl>
      <w:tblPr>
        <w:tblW w:w="7490" w:type="dxa"/>
        <w:jc w:val="center"/>
        <w:tblLook w:val="04A0" w:firstRow="1" w:lastRow="0" w:firstColumn="1" w:lastColumn="0" w:noHBand="0" w:noVBand="1"/>
        <w:tblCaption w:val="Table 12 Number of separations, haemodialysis and chemotherapy, by jurisdiction, Round 22"/>
        <w:tblDescription w:val="The table displays the number of separations for haemodialysis and chemotherapy, by jurisdiction for Round 22"/>
      </w:tblPr>
      <w:tblGrid>
        <w:gridCol w:w="1240"/>
        <w:gridCol w:w="1147"/>
        <w:gridCol w:w="1713"/>
        <w:gridCol w:w="271"/>
        <w:gridCol w:w="1276"/>
        <w:gridCol w:w="1843"/>
      </w:tblGrid>
      <w:tr w:rsidR="00321065" w:rsidRPr="00E06132" w14:paraId="026A629A" w14:textId="77777777" w:rsidTr="009F412A">
        <w:trPr>
          <w:trHeight w:val="720"/>
          <w:jc w:val="center"/>
        </w:trPr>
        <w:tc>
          <w:tcPr>
            <w:tcW w:w="1240" w:type="dxa"/>
            <w:tcBorders>
              <w:top w:val="single" w:sz="4" w:space="0" w:color="auto"/>
              <w:left w:val="nil"/>
              <w:bottom w:val="single" w:sz="4" w:space="0" w:color="auto"/>
              <w:right w:val="nil"/>
            </w:tcBorders>
            <w:shd w:val="clear" w:color="auto" w:fill="auto"/>
            <w:noWrap/>
            <w:vAlign w:val="center"/>
          </w:tcPr>
          <w:p w14:paraId="6B8799C2" w14:textId="1F5A21D5" w:rsidR="00321065" w:rsidRPr="00E06132" w:rsidRDefault="00321065" w:rsidP="008D54CA">
            <w:pPr>
              <w:spacing w:before="0" w:after="0" w:line="240" w:lineRule="auto"/>
              <w:rPr>
                <w:rFonts w:cs="Arial"/>
                <w:b/>
                <w:bCs/>
                <w:color w:val="000000"/>
                <w:sz w:val="18"/>
                <w:szCs w:val="18"/>
              </w:rPr>
            </w:pPr>
          </w:p>
        </w:tc>
        <w:tc>
          <w:tcPr>
            <w:tcW w:w="2860" w:type="dxa"/>
            <w:gridSpan w:val="2"/>
            <w:tcBorders>
              <w:top w:val="single" w:sz="4" w:space="0" w:color="auto"/>
              <w:left w:val="nil"/>
              <w:bottom w:val="single" w:sz="4" w:space="0" w:color="auto"/>
              <w:right w:val="nil"/>
            </w:tcBorders>
            <w:shd w:val="clear" w:color="000000" w:fill="FFFFFF"/>
            <w:vAlign w:val="center"/>
          </w:tcPr>
          <w:p w14:paraId="65A1F152" w14:textId="51321052" w:rsidR="00321065" w:rsidRPr="00E06132" w:rsidRDefault="00321065" w:rsidP="008D54CA">
            <w:pPr>
              <w:spacing w:before="0" w:after="0" w:line="240" w:lineRule="auto"/>
              <w:jc w:val="center"/>
              <w:rPr>
                <w:rFonts w:cs="Arial"/>
                <w:color w:val="000000"/>
                <w:sz w:val="18"/>
                <w:szCs w:val="18"/>
              </w:rPr>
            </w:pPr>
            <w:r w:rsidRPr="00321065">
              <w:rPr>
                <w:rFonts w:cs="Arial"/>
                <w:color w:val="000000"/>
                <w:sz w:val="18"/>
                <w:szCs w:val="18"/>
              </w:rPr>
              <w:t>Haemodialysis</w:t>
            </w:r>
          </w:p>
        </w:tc>
        <w:tc>
          <w:tcPr>
            <w:tcW w:w="271" w:type="dxa"/>
            <w:tcBorders>
              <w:top w:val="single" w:sz="4" w:space="0" w:color="auto"/>
              <w:left w:val="nil"/>
              <w:bottom w:val="single" w:sz="4" w:space="0" w:color="auto"/>
              <w:right w:val="nil"/>
            </w:tcBorders>
            <w:shd w:val="clear" w:color="000000" w:fill="FFFFFF"/>
            <w:vAlign w:val="center"/>
          </w:tcPr>
          <w:p w14:paraId="10B3D293" w14:textId="1587A244" w:rsidR="00321065" w:rsidRPr="00E06132" w:rsidRDefault="00321065" w:rsidP="008D54CA">
            <w:pPr>
              <w:spacing w:before="0" w:after="0" w:line="240" w:lineRule="auto"/>
              <w:jc w:val="center"/>
              <w:rPr>
                <w:rFonts w:cs="Arial"/>
                <w:color w:val="000000"/>
                <w:sz w:val="18"/>
                <w:szCs w:val="18"/>
              </w:rPr>
            </w:pPr>
          </w:p>
        </w:tc>
        <w:tc>
          <w:tcPr>
            <w:tcW w:w="3119" w:type="dxa"/>
            <w:gridSpan w:val="2"/>
            <w:tcBorders>
              <w:top w:val="single" w:sz="4" w:space="0" w:color="auto"/>
              <w:left w:val="nil"/>
              <w:bottom w:val="single" w:sz="4" w:space="0" w:color="auto"/>
              <w:right w:val="nil"/>
            </w:tcBorders>
            <w:shd w:val="clear" w:color="000000" w:fill="FFFFFF"/>
            <w:vAlign w:val="center"/>
          </w:tcPr>
          <w:p w14:paraId="2C0978C2" w14:textId="45DE6521" w:rsidR="00321065" w:rsidRPr="00E06132" w:rsidRDefault="00321065" w:rsidP="008D54CA">
            <w:pPr>
              <w:spacing w:before="0" w:after="0" w:line="240" w:lineRule="auto"/>
              <w:jc w:val="center"/>
              <w:rPr>
                <w:rFonts w:cs="Arial"/>
                <w:color w:val="000000"/>
                <w:sz w:val="18"/>
                <w:szCs w:val="18"/>
              </w:rPr>
            </w:pPr>
            <w:r w:rsidRPr="00321065">
              <w:rPr>
                <w:rFonts w:cs="Arial"/>
                <w:color w:val="000000"/>
                <w:sz w:val="18"/>
                <w:szCs w:val="18"/>
              </w:rPr>
              <w:t>Chemotherapy</w:t>
            </w:r>
          </w:p>
        </w:tc>
      </w:tr>
      <w:tr w:rsidR="00321065" w:rsidRPr="00E06132" w14:paraId="0E5655F0" w14:textId="77777777" w:rsidTr="009F412A">
        <w:trPr>
          <w:trHeight w:val="300"/>
          <w:jc w:val="center"/>
        </w:trPr>
        <w:tc>
          <w:tcPr>
            <w:tcW w:w="1240" w:type="dxa"/>
            <w:tcBorders>
              <w:top w:val="nil"/>
              <w:left w:val="nil"/>
              <w:bottom w:val="single" w:sz="4" w:space="0" w:color="auto"/>
              <w:right w:val="nil"/>
            </w:tcBorders>
            <w:shd w:val="clear" w:color="000000" w:fill="FFFFFF"/>
            <w:noWrap/>
            <w:vAlign w:val="bottom"/>
            <w:hideMark/>
          </w:tcPr>
          <w:p w14:paraId="4655634B" w14:textId="77777777" w:rsidR="00321065" w:rsidRPr="00E06132" w:rsidRDefault="00321065" w:rsidP="00321065">
            <w:pPr>
              <w:spacing w:before="0" w:after="0" w:line="240" w:lineRule="auto"/>
              <w:rPr>
                <w:rFonts w:cs="Arial"/>
                <w:color w:val="000000"/>
                <w:sz w:val="18"/>
                <w:szCs w:val="18"/>
              </w:rPr>
            </w:pPr>
            <w:r w:rsidRPr="00E06132">
              <w:rPr>
                <w:rFonts w:cs="Arial"/>
                <w:color w:val="000000"/>
                <w:sz w:val="18"/>
                <w:szCs w:val="18"/>
              </w:rPr>
              <w:t> </w:t>
            </w:r>
          </w:p>
        </w:tc>
        <w:tc>
          <w:tcPr>
            <w:tcW w:w="1147" w:type="dxa"/>
            <w:tcBorders>
              <w:top w:val="nil"/>
              <w:left w:val="nil"/>
              <w:bottom w:val="single" w:sz="4" w:space="0" w:color="auto"/>
              <w:right w:val="nil"/>
            </w:tcBorders>
            <w:shd w:val="clear" w:color="000000" w:fill="FFFFFF"/>
            <w:noWrap/>
            <w:vAlign w:val="center"/>
            <w:hideMark/>
          </w:tcPr>
          <w:p w14:paraId="54CF1AAD" w14:textId="510388B2" w:rsidR="00321065" w:rsidRPr="00E06132" w:rsidRDefault="00321065" w:rsidP="00321065">
            <w:pPr>
              <w:spacing w:before="0" w:after="0" w:line="240" w:lineRule="auto"/>
              <w:jc w:val="center"/>
              <w:rPr>
                <w:rFonts w:cs="Arial"/>
                <w:color w:val="000000"/>
                <w:sz w:val="18"/>
                <w:szCs w:val="18"/>
              </w:rPr>
            </w:pPr>
            <w:r w:rsidRPr="00E06132">
              <w:rPr>
                <w:rFonts w:cs="Arial"/>
                <w:color w:val="000000"/>
                <w:sz w:val="18"/>
                <w:szCs w:val="18"/>
              </w:rPr>
              <w:t> </w:t>
            </w:r>
            <w:r w:rsidRPr="00321065">
              <w:rPr>
                <w:rFonts w:cs="Arial"/>
                <w:color w:val="000000"/>
                <w:sz w:val="18"/>
                <w:szCs w:val="18"/>
              </w:rPr>
              <w:t>Number of separations</w:t>
            </w:r>
          </w:p>
        </w:tc>
        <w:tc>
          <w:tcPr>
            <w:tcW w:w="1713" w:type="dxa"/>
            <w:tcBorders>
              <w:top w:val="nil"/>
              <w:left w:val="nil"/>
              <w:bottom w:val="single" w:sz="4" w:space="0" w:color="auto"/>
              <w:right w:val="nil"/>
            </w:tcBorders>
            <w:shd w:val="clear" w:color="000000" w:fill="FFFFFF"/>
            <w:noWrap/>
            <w:vAlign w:val="bottom"/>
            <w:hideMark/>
          </w:tcPr>
          <w:p w14:paraId="283F34F1" w14:textId="7323C883" w:rsidR="00321065" w:rsidRPr="00E06132" w:rsidRDefault="009F412A" w:rsidP="00321065">
            <w:pPr>
              <w:spacing w:before="0" w:after="0" w:line="240" w:lineRule="auto"/>
              <w:jc w:val="center"/>
              <w:rPr>
                <w:rFonts w:cs="Arial"/>
                <w:color w:val="000000"/>
                <w:sz w:val="18"/>
                <w:szCs w:val="18"/>
              </w:rPr>
            </w:pPr>
            <w:r w:rsidRPr="009F412A">
              <w:rPr>
                <w:rFonts w:cs="Arial"/>
                <w:color w:val="000000"/>
                <w:sz w:val="18"/>
                <w:szCs w:val="18"/>
              </w:rPr>
              <w:t>Percentage of jurisdiction's total separations</w:t>
            </w:r>
          </w:p>
        </w:tc>
        <w:tc>
          <w:tcPr>
            <w:tcW w:w="271" w:type="dxa"/>
            <w:tcBorders>
              <w:top w:val="nil"/>
              <w:left w:val="nil"/>
              <w:bottom w:val="single" w:sz="4" w:space="0" w:color="auto"/>
              <w:right w:val="nil"/>
            </w:tcBorders>
            <w:shd w:val="clear" w:color="000000" w:fill="FFFFFF"/>
            <w:noWrap/>
            <w:vAlign w:val="center"/>
          </w:tcPr>
          <w:p w14:paraId="1BDED014" w14:textId="1450AD15" w:rsidR="00321065" w:rsidRPr="00E06132" w:rsidRDefault="00321065" w:rsidP="00321065">
            <w:pPr>
              <w:spacing w:before="0" w:after="0" w:line="240" w:lineRule="auto"/>
              <w:jc w:val="center"/>
              <w:rPr>
                <w:rFonts w:cs="Arial"/>
                <w:color w:val="000000"/>
                <w:sz w:val="18"/>
                <w:szCs w:val="18"/>
              </w:rPr>
            </w:pPr>
          </w:p>
        </w:tc>
        <w:tc>
          <w:tcPr>
            <w:tcW w:w="1276" w:type="dxa"/>
            <w:tcBorders>
              <w:top w:val="nil"/>
              <w:left w:val="nil"/>
              <w:bottom w:val="single" w:sz="4" w:space="0" w:color="auto"/>
              <w:right w:val="nil"/>
            </w:tcBorders>
            <w:shd w:val="clear" w:color="000000" w:fill="FFFFFF"/>
            <w:noWrap/>
            <w:vAlign w:val="center"/>
            <w:hideMark/>
          </w:tcPr>
          <w:p w14:paraId="4DE15087" w14:textId="7A3328BB" w:rsidR="00321065" w:rsidRPr="00E06132" w:rsidRDefault="00321065" w:rsidP="00321065">
            <w:pPr>
              <w:spacing w:before="0" w:after="0" w:line="240" w:lineRule="auto"/>
              <w:jc w:val="right"/>
              <w:rPr>
                <w:rFonts w:cs="Arial"/>
                <w:color w:val="000000"/>
                <w:sz w:val="18"/>
                <w:szCs w:val="18"/>
              </w:rPr>
            </w:pPr>
            <w:r w:rsidRPr="00E06132">
              <w:rPr>
                <w:rFonts w:cs="Arial"/>
                <w:color w:val="000000"/>
                <w:sz w:val="18"/>
                <w:szCs w:val="18"/>
              </w:rPr>
              <w:t> </w:t>
            </w:r>
            <w:r w:rsidRPr="00321065">
              <w:rPr>
                <w:rFonts w:cs="Arial"/>
                <w:color w:val="000000"/>
                <w:sz w:val="18"/>
                <w:szCs w:val="18"/>
              </w:rPr>
              <w:t>Number of separations</w:t>
            </w:r>
          </w:p>
        </w:tc>
        <w:tc>
          <w:tcPr>
            <w:tcW w:w="1843" w:type="dxa"/>
            <w:tcBorders>
              <w:top w:val="nil"/>
              <w:left w:val="nil"/>
              <w:bottom w:val="single" w:sz="4" w:space="0" w:color="auto"/>
              <w:right w:val="nil"/>
            </w:tcBorders>
            <w:shd w:val="clear" w:color="000000" w:fill="FFFFFF"/>
            <w:noWrap/>
            <w:vAlign w:val="bottom"/>
            <w:hideMark/>
          </w:tcPr>
          <w:p w14:paraId="57DB2CE6" w14:textId="4C3C238B" w:rsidR="00321065" w:rsidRPr="00E06132" w:rsidRDefault="009F412A" w:rsidP="00321065">
            <w:pPr>
              <w:spacing w:before="0" w:after="0" w:line="240" w:lineRule="auto"/>
              <w:jc w:val="right"/>
              <w:rPr>
                <w:rFonts w:cs="Arial"/>
                <w:color w:val="000000"/>
                <w:sz w:val="18"/>
                <w:szCs w:val="18"/>
              </w:rPr>
            </w:pPr>
            <w:r w:rsidRPr="009F412A">
              <w:rPr>
                <w:rFonts w:cs="Arial"/>
                <w:color w:val="000000"/>
                <w:sz w:val="18"/>
                <w:szCs w:val="18"/>
              </w:rPr>
              <w:t>Percentage of jurisdiction's total separations</w:t>
            </w:r>
          </w:p>
        </w:tc>
      </w:tr>
      <w:tr w:rsidR="009F412A" w:rsidRPr="00E06132" w14:paraId="7561B2EC" w14:textId="77777777" w:rsidTr="009F412A">
        <w:trPr>
          <w:trHeight w:val="190"/>
          <w:jc w:val="center"/>
        </w:trPr>
        <w:tc>
          <w:tcPr>
            <w:tcW w:w="1240" w:type="dxa"/>
            <w:tcBorders>
              <w:top w:val="nil"/>
              <w:left w:val="nil"/>
              <w:bottom w:val="nil"/>
              <w:right w:val="nil"/>
            </w:tcBorders>
            <w:shd w:val="clear" w:color="000000" w:fill="FFFFFF"/>
            <w:noWrap/>
            <w:vAlign w:val="center"/>
            <w:hideMark/>
          </w:tcPr>
          <w:p w14:paraId="212B9E9F"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NSW</w:t>
            </w:r>
          </w:p>
        </w:tc>
        <w:tc>
          <w:tcPr>
            <w:tcW w:w="1147" w:type="dxa"/>
            <w:tcBorders>
              <w:top w:val="nil"/>
              <w:left w:val="nil"/>
              <w:bottom w:val="nil"/>
              <w:right w:val="nil"/>
            </w:tcBorders>
            <w:shd w:val="clear" w:color="000000" w:fill="FFFFFF"/>
            <w:noWrap/>
            <w:vAlign w:val="center"/>
            <w:hideMark/>
          </w:tcPr>
          <w:p w14:paraId="217109B6" w14:textId="7ED33357"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353,945</w:t>
            </w:r>
          </w:p>
        </w:tc>
        <w:tc>
          <w:tcPr>
            <w:tcW w:w="1713" w:type="dxa"/>
            <w:tcBorders>
              <w:top w:val="nil"/>
              <w:left w:val="nil"/>
              <w:bottom w:val="nil"/>
              <w:right w:val="nil"/>
            </w:tcBorders>
            <w:shd w:val="clear" w:color="000000" w:fill="FFFFFF"/>
            <w:noWrap/>
            <w:vAlign w:val="bottom"/>
            <w:hideMark/>
          </w:tcPr>
          <w:p w14:paraId="088E5DB1" w14:textId="43B75795"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22%</w:t>
            </w:r>
          </w:p>
        </w:tc>
        <w:tc>
          <w:tcPr>
            <w:tcW w:w="271" w:type="dxa"/>
            <w:tcBorders>
              <w:top w:val="nil"/>
              <w:left w:val="nil"/>
              <w:bottom w:val="nil"/>
              <w:right w:val="nil"/>
            </w:tcBorders>
            <w:shd w:val="clear" w:color="000000" w:fill="FFFFFF"/>
            <w:noWrap/>
            <w:vAlign w:val="center"/>
          </w:tcPr>
          <w:p w14:paraId="58AD0938" w14:textId="7813D307"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014792D9" w14:textId="57B5AC67"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3,240</w:t>
            </w:r>
          </w:p>
        </w:tc>
        <w:tc>
          <w:tcPr>
            <w:tcW w:w="1843" w:type="dxa"/>
            <w:tcBorders>
              <w:top w:val="nil"/>
              <w:left w:val="nil"/>
              <w:bottom w:val="nil"/>
              <w:right w:val="nil"/>
            </w:tcBorders>
            <w:shd w:val="clear" w:color="000000" w:fill="FFFFFF"/>
            <w:noWrap/>
            <w:vAlign w:val="bottom"/>
            <w:hideMark/>
          </w:tcPr>
          <w:p w14:paraId="31D938B8" w14:textId="743A5C39"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0%</w:t>
            </w:r>
          </w:p>
        </w:tc>
      </w:tr>
      <w:tr w:rsidR="009F412A" w:rsidRPr="00E06132" w14:paraId="412ED60E"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401A0966"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Vic</w:t>
            </w:r>
          </w:p>
        </w:tc>
        <w:tc>
          <w:tcPr>
            <w:tcW w:w="1147" w:type="dxa"/>
            <w:tcBorders>
              <w:top w:val="nil"/>
              <w:left w:val="nil"/>
              <w:bottom w:val="nil"/>
              <w:right w:val="nil"/>
            </w:tcBorders>
            <w:shd w:val="clear" w:color="000000" w:fill="FFFFFF"/>
            <w:noWrap/>
            <w:vAlign w:val="center"/>
            <w:hideMark/>
          </w:tcPr>
          <w:p w14:paraId="41E76173" w14:textId="67A42B0B"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289,605</w:t>
            </w:r>
          </w:p>
        </w:tc>
        <w:tc>
          <w:tcPr>
            <w:tcW w:w="1713" w:type="dxa"/>
            <w:tcBorders>
              <w:top w:val="nil"/>
              <w:left w:val="nil"/>
              <w:bottom w:val="nil"/>
              <w:right w:val="nil"/>
            </w:tcBorders>
            <w:shd w:val="clear" w:color="000000" w:fill="FFFFFF"/>
            <w:noWrap/>
            <w:vAlign w:val="bottom"/>
            <w:hideMark/>
          </w:tcPr>
          <w:p w14:paraId="649258FC" w14:textId="1DB070F6"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17%</w:t>
            </w:r>
          </w:p>
        </w:tc>
        <w:tc>
          <w:tcPr>
            <w:tcW w:w="271" w:type="dxa"/>
            <w:tcBorders>
              <w:top w:val="nil"/>
              <w:left w:val="nil"/>
              <w:bottom w:val="nil"/>
              <w:right w:val="nil"/>
            </w:tcBorders>
            <w:shd w:val="clear" w:color="000000" w:fill="FFFFFF"/>
            <w:noWrap/>
            <w:vAlign w:val="center"/>
          </w:tcPr>
          <w:p w14:paraId="5D6C9E13" w14:textId="1FDC7885"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2AF939A3" w14:textId="252215C8"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114,202</w:t>
            </w:r>
          </w:p>
        </w:tc>
        <w:tc>
          <w:tcPr>
            <w:tcW w:w="1843" w:type="dxa"/>
            <w:tcBorders>
              <w:top w:val="nil"/>
              <w:left w:val="nil"/>
              <w:bottom w:val="nil"/>
              <w:right w:val="nil"/>
            </w:tcBorders>
            <w:shd w:val="clear" w:color="000000" w:fill="FFFFFF"/>
            <w:noWrap/>
            <w:vAlign w:val="bottom"/>
            <w:hideMark/>
          </w:tcPr>
          <w:p w14:paraId="3624E9EC" w14:textId="1FFDDD3D"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7%</w:t>
            </w:r>
          </w:p>
        </w:tc>
      </w:tr>
      <w:tr w:rsidR="009F412A" w:rsidRPr="00E06132" w14:paraId="7B05DE27"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3CD6B053"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Qld</w:t>
            </w:r>
          </w:p>
        </w:tc>
        <w:tc>
          <w:tcPr>
            <w:tcW w:w="1147" w:type="dxa"/>
            <w:tcBorders>
              <w:top w:val="nil"/>
              <w:left w:val="nil"/>
              <w:bottom w:val="nil"/>
              <w:right w:val="nil"/>
            </w:tcBorders>
            <w:shd w:val="clear" w:color="000000" w:fill="FFFFFF"/>
            <w:noWrap/>
            <w:vAlign w:val="center"/>
            <w:hideMark/>
          </w:tcPr>
          <w:p w14:paraId="133746CF" w14:textId="77E06233"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196,334</w:t>
            </w:r>
          </w:p>
        </w:tc>
        <w:tc>
          <w:tcPr>
            <w:tcW w:w="1713" w:type="dxa"/>
            <w:tcBorders>
              <w:top w:val="nil"/>
              <w:left w:val="nil"/>
              <w:bottom w:val="nil"/>
              <w:right w:val="nil"/>
            </w:tcBorders>
            <w:shd w:val="clear" w:color="000000" w:fill="FFFFFF"/>
            <w:noWrap/>
            <w:vAlign w:val="bottom"/>
            <w:hideMark/>
          </w:tcPr>
          <w:p w14:paraId="4AA420D5" w14:textId="7975F3C2"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14%</w:t>
            </w:r>
          </w:p>
        </w:tc>
        <w:tc>
          <w:tcPr>
            <w:tcW w:w="271" w:type="dxa"/>
            <w:tcBorders>
              <w:top w:val="nil"/>
              <w:left w:val="nil"/>
              <w:bottom w:val="nil"/>
              <w:right w:val="nil"/>
            </w:tcBorders>
            <w:shd w:val="clear" w:color="000000" w:fill="FFFFFF"/>
            <w:noWrap/>
            <w:vAlign w:val="center"/>
          </w:tcPr>
          <w:p w14:paraId="158C569C" w14:textId="4EC6F226"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43E3603C" w14:textId="27F29165"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90,738</w:t>
            </w:r>
          </w:p>
        </w:tc>
        <w:tc>
          <w:tcPr>
            <w:tcW w:w="1843" w:type="dxa"/>
            <w:tcBorders>
              <w:top w:val="nil"/>
              <w:left w:val="nil"/>
              <w:bottom w:val="nil"/>
              <w:right w:val="nil"/>
            </w:tcBorders>
            <w:shd w:val="clear" w:color="000000" w:fill="FFFFFF"/>
            <w:noWrap/>
            <w:vAlign w:val="bottom"/>
            <w:hideMark/>
          </w:tcPr>
          <w:p w14:paraId="04EFB52B" w14:textId="208D7B74"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6%</w:t>
            </w:r>
          </w:p>
        </w:tc>
      </w:tr>
      <w:tr w:rsidR="009F412A" w:rsidRPr="00E06132" w14:paraId="3C702A9C"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2B286C77"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SA</w:t>
            </w:r>
          </w:p>
        </w:tc>
        <w:tc>
          <w:tcPr>
            <w:tcW w:w="1147" w:type="dxa"/>
            <w:tcBorders>
              <w:top w:val="nil"/>
              <w:left w:val="nil"/>
              <w:bottom w:val="nil"/>
              <w:right w:val="nil"/>
            </w:tcBorders>
            <w:shd w:val="clear" w:color="000000" w:fill="FFFFFF"/>
            <w:noWrap/>
            <w:vAlign w:val="center"/>
            <w:hideMark/>
          </w:tcPr>
          <w:p w14:paraId="48D5D318" w14:textId="373BF437"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83,711</w:t>
            </w:r>
          </w:p>
        </w:tc>
        <w:tc>
          <w:tcPr>
            <w:tcW w:w="1713" w:type="dxa"/>
            <w:tcBorders>
              <w:top w:val="nil"/>
              <w:left w:val="nil"/>
              <w:bottom w:val="nil"/>
              <w:right w:val="nil"/>
            </w:tcBorders>
            <w:shd w:val="clear" w:color="000000" w:fill="FFFFFF"/>
            <w:noWrap/>
            <w:vAlign w:val="bottom"/>
            <w:hideMark/>
          </w:tcPr>
          <w:p w14:paraId="4E100C98" w14:textId="77187A37"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22%</w:t>
            </w:r>
          </w:p>
        </w:tc>
        <w:tc>
          <w:tcPr>
            <w:tcW w:w="271" w:type="dxa"/>
            <w:tcBorders>
              <w:top w:val="nil"/>
              <w:left w:val="nil"/>
              <w:bottom w:val="nil"/>
              <w:right w:val="nil"/>
            </w:tcBorders>
            <w:shd w:val="clear" w:color="000000" w:fill="FFFFFF"/>
            <w:noWrap/>
            <w:vAlign w:val="center"/>
          </w:tcPr>
          <w:p w14:paraId="58C00AFE" w14:textId="7A0CD1E7"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5A72A211" w14:textId="3048F55C"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11</w:t>
            </w:r>
          </w:p>
        </w:tc>
        <w:tc>
          <w:tcPr>
            <w:tcW w:w="1843" w:type="dxa"/>
            <w:tcBorders>
              <w:top w:val="nil"/>
              <w:left w:val="nil"/>
              <w:bottom w:val="nil"/>
              <w:right w:val="nil"/>
            </w:tcBorders>
            <w:shd w:val="clear" w:color="000000" w:fill="FFFFFF"/>
            <w:noWrap/>
            <w:vAlign w:val="bottom"/>
            <w:hideMark/>
          </w:tcPr>
          <w:p w14:paraId="7AC04050" w14:textId="37450E58"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0%</w:t>
            </w:r>
          </w:p>
        </w:tc>
      </w:tr>
      <w:tr w:rsidR="009F412A" w:rsidRPr="00E06132" w14:paraId="6F43CEA4"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361F6BBA"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WA</w:t>
            </w:r>
          </w:p>
        </w:tc>
        <w:tc>
          <w:tcPr>
            <w:tcW w:w="1147" w:type="dxa"/>
            <w:tcBorders>
              <w:top w:val="nil"/>
              <w:left w:val="nil"/>
              <w:bottom w:val="nil"/>
              <w:right w:val="nil"/>
            </w:tcBorders>
            <w:shd w:val="clear" w:color="000000" w:fill="FFFFFF"/>
            <w:noWrap/>
            <w:vAlign w:val="center"/>
            <w:hideMark/>
          </w:tcPr>
          <w:p w14:paraId="6E749C3A" w14:textId="07114FBD"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125,083</w:t>
            </w:r>
          </w:p>
        </w:tc>
        <w:tc>
          <w:tcPr>
            <w:tcW w:w="1713" w:type="dxa"/>
            <w:tcBorders>
              <w:top w:val="nil"/>
              <w:left w:val="nil"/>
              <w:bottom w:val="nil"/>
              <w:right w:val="nil"/>
            </w:tcBorders>
            <w:shd w:val="clear" w:color="000000" w:fill="FFFFFF"/>
            <w:noWrap/>
            <w:vAlign w:val="bottom"/>
            <w:hideMark/>
          </w:tcPr>
          <w:p w14:paraId="0A9A5F39" w14:textId="2FBFB57C"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24%</w:t>
            </w:r>
          </w:p>
        </w:tc>
        <w:tc>
          <w:tcPr>
            <w:tcW w:w="271" w:type="dxa"/>
            <w:tcBorders>
              <w:top w:val="nil"/>
              <w:left w:val="nil"/>
              <w:bottom w:val="nil"/>
              <w:right w:val="nil"/>
            </w:tcBorders>
            <w:shd w:val="clear" w:color="000000" w:fill="FFFFFF"/>
            <w:noWrap/>
            <w:vAlign w:val="center"/>
          </w:tcPr>
          <w:p w14:paraId="5F43D4D0" w14:textId="5D086ABA"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484817DD" w14:textId="4A77D9AF"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32,560</w:t>
            </w:r>
          </w:p>
        </w:tc>
        <w:tc>
          <w:tcPr>
            <w:tcW w:w="1843" w:type="dxa"/>
            <w:tcBorders>
              <w:top w:val="nil"/>
              <w:left w:val="nil"/>
              <w:bottom w:val="nil"/>
              <w:right w:val="nil"/>
            </w:tcBorders>
            <w:shd w:val="clear" w:color="000000" w:fill="FFFFFF"/>
            <w:noWrap/>
            <w:vAlign w:val="bottom"/>
            <w:hideMark/>
          </w:tcPr>
          <w:p w14:paraId="10C84D22" w14:textId="208E3C04"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6%</w:t>
            </w:r>
          </w:p>
        </w:tc>
      </w:tr>
      <w:tr w:rsidR="009F412A" w:rsidRPr="00E06132" w14:paraId="73AE3E5E"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175B59C0"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Tas</w:t>
            </w:r>
          </w:p>
        </w:tc>
        <w:tc>
          <w:tcPr>
            <w:tcW w:w="1147" w:type="dxa"/>
            <w:tcBorders>
              <w:top w:val="nil"/>
              <w:left w:val="nil"/>
              <w:bottom w:val="nil"/>
              <w:right w:val="nil"/>
            </w:tcBorders>
            <w:shd w:val="clear" w:color="000000" w:fill="FFFFFF"/>
            <w:noWrap/>
            <w:vAlign w:val="center"/>
            <w:hideMark/>
          </w:tcPr>
          <w:p w14:paraId="268ECB15" w14:textId="272AF88C"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17,648</w:t>
            </w:r>
          </w:p>
        </w:tc>
        <w:tc>
          <w:tcPr>
            <w:tcW w:w="1713" w:type="dxa"/>
            <w:tcBorders>
              <w:top w:val="nil"/>
              <w:left w:val="nil"/>
              <w:bottom w:val="nil"/>
              <w:right w:val="nil"/>
            </w:tcBorders>
            <w:shd w:val="clear" w:color="000000" w:fill="FFFFFF"/>
            <w:noWrap/>
            <w:vAlign w:val="bottom"/>
            <w:hideMark/>
          </w:tcPr>
          <w:p w14:paraId="4F119E2C" w14:textId="30142026"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15%</w:t>
            </w:r>
          </w:p>
        </w:tc>
        <w:tc>
          <w:tcPr>
            <w:tcW w:w="271" w:type="dxa"/>
            <w:tcBorders>
              <w:top w:val="nil"/>
              <w:left w:val="nil"/>
              <w:bottom w:val="nil"/>
              <w:right w:val="nil"/>
            </w:tcBorders>
            <w:shd w:val="clear" w:color="000000" w:fill="FFFFFF"/>
            <w:noWrap/>
            <w:vAlign w:val="center"/>
          </w:tcPr>
          <w:p w14:paraId="71EDEB01" w14:textId="566B78DF"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4F5D6A37" w14:textId="52D6DACB"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3,257</w:t>
            </w:r>
          </w:p>
        </w:tc>
        <w:tc>
          <w:tcPr>
            <w:tcW w:w="1843" w:type="dxa"/>
            <w:tcBorders>
              <w:top w:val="nil"/>
              <w:left w:val="nil"/>
              <w:bottom w:val="nil"/>
              <w:right w:val="nil"/>
            </w:tcBorders>
            <w:shd w:val="clear" w:color="000000" w:fill="FFFFFF"/>
            <w:noWrap/>
            <w:vAlign w:val="bottom"/>
            <w:hideMark/>
          </w:tcPr>
          <w:p w14:paraId="4DC0ACB3" w14:textId="404B9CDB"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3%</w:t>
            </w:r>
          </w:p>
        </w:tc>
      </w:tr>
      <w:tr w:rsidR="009F412A" w:rsidRPr="00E06132" w14:paraId="087000D4"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7E9B9933"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NT</w:t>
            </w:r>
          </w:p>
        </w:tc>
        <w:tc>
          <w:tcPr>
            <w:tcW w:w="1147" w:type="dxa"/>
            <w:tcBorders>
              <w:top w:val="nil"/>
              <w:left w:val="nil"/>
              <w:bottom w:val="nil"/>
              <w:right w:val="nil"/>
            </w:tcBorders>
            <w:shd w:val="clear" w:color="000000" w:fill="FFFFFF"/>
            <w:noWrap/>
            <w:vAlign w:val="center"/>
            <w:hideMark/>
          </w:tcPr>
          <w:p w14:paraId="32513FE0" w14:textId="2E5D6224"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82,718</w:t>
            </w:r>
          </w:p>
        </w:tc>
        <w:tc>
          <w:tcPr>
            <w:tcW w:w="1713" w:type="dxa"/>
            <w:tcBorders>
              <w:top w:val="nil"/>
              <w:left w:val="nil"/>
              <w:bottom w:val="nil"/>
              <w:right w:val="nil"/>
            </w:tcBorders>
            <w:shd w:val="clear" w:color="000000" w:fill="FFFFFF"/>
            <w:noWrap/>
            <w:vAlign w:val="bottom"/>
            <w:hideMark/>
          </w:tcPr>
          <w:p w14:paraId="720C4213" w14:textId="2C8C8F24"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50%</w:t>
            </w:r>
          </w:p>
        </w:tc>
        <w:tc>
          <w:tcPr>
            <w:tcW w:w="271" w:type="dxa"/>
            <w:tcBorders>
              <w:top w:val="nil"/>
              <w:left w:val="nil"/>
              <w:bottom w:val="nil"/>
              <w:right w:val="nil"/>
            </w:tcBorders>
            <w:shd w:val="clear" w:color="000000" w:fill="FFFFFF"/>
            <w:noWrap/>
            <w:vAlign w:val="center"/>
          </w:tcPr>
          <w:p w14:paraId="5B4FBA9A" w14:textId="35EBF20D"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1CB68EC6" w14:textId="75C16A15"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3,091</w:t>
            </w:r>
          </w:p>
        </w:tc>
        <w:tc>
          <w:tcPr>
            <w:tcW w:w="1843" w:type="dxa"/>
            <w:tcBorders>
              <w:top w:val="nil"/>
              <w:left w:val="nil"/>
              <w:bottom w:val="nil"/>
              <w:right w:val="nil"/>
            </w:tcBorders>
            <w:shd w:val="clear" w:color="000000" w:fill="FFFFFF"/>
            <w:noWrap/>
            <w:vAlign w:val="bottom"/>
            <w:hideMark/>
          </w:tcPr>
          <w:p w14:paraId="228FF9D4" w14:textId="719F0CBE"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2%</w:t>
            </w:r>
          </w:p>
        </w:tc>
      </w:tr>
      <w:tr w:rsidR="009F412A" w:rsidRPr="00E06132" w14:paraId="167E1AAB" w14:textId="77777777" w:rsidTr="008D54CA">
        <w:trPr>
          <w:trHeight w:val="300"/>
          <w:jc w:val="center"/>
        </w:trPr>
        <w:tc>
          <w:tcPr>
            <w:tcW w:w="1240" w:type="dxa"/>
            <w:tcBorders>
              <w:top w:val="nil"/>
              <w:left w:val="nil"/>
              <w:bottom w:val="nil"/>
              <w:right w:val="nil"/>
            </w:tcBorders>
            <w:shd w:val="clear" w:color="000000" w:fill="FFFFFF"/>
            <w:noWrap/>
            <w:vAlign w:val="center"/>
            <w:hideMark/>
          </w:tcPr>
          <w:p w14:paraId="4BDC6B14" w14:textId="77777777" w:rsidR="009F412A" w:rsidRPr="00014146" w:rsidRDefault="009F412A" w:rsidP="009F412A">
            <w:pPr>
              <w:spacing w:before="0" w:after="0" w:line="240" w:lineRule="auto"/>
              <w:rPr>
                <w:rFonts w:asciiTheme="minorHAnsi" w:hAnsiTheme="minorHAnsi" w:cstheme="minorHAnsi"/>
                <w:color w:val="000000"/>
                <w:sz w:val="18"/>
                <w:szCs w:val="18"/>
              </w:rPr>
            </w:pPr>
            <w:r w:rsidRPr="00014146">
              <w:rPr>
                <w:rFonts w:asciiTheme="minorHAnsi" w:hAnsiTheme="minorHAnsi" w:cstheme="minorHAnsi"/>
                <w:color w:val="000000"/>
                <w:sz w:val="18"/>
                <w:szCs w:val="18"/>
              </w:rPr>
              <w:t>ACT</w:t>
            </w:r>
          </w:p>
        </w:tc>
        <w:tc>
          <w:tcPr>
            <w:tcW w:w="1147" w:type="dxa"/>
            <w:tcBorders>
              <w:top w:val="nil"/>
              <w:left w:val="nil"/>
              <w:bottom w:val="nil"/>
              <w:right w:val="nil"/>
            </w:tcBorders>
            <w:shd w:val="clear" w:color="000000" w:fill="FFFFFF"/>
            <w:noWrap/>
            <w:vAlign w:val="center"/>
            <w:hideMark/>
          </w:tcPr>
          <w:p w14:paraId="6204C298" w14:textId="099BEEEC"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20,432</w:t>
            </w:r>
          </w:p>
        </w:tc>
        <w:tc>
          <w:tcPr>
            <w:tcW w:w="1713" w:type="dxa"/>
            <w:tcBorders>
              <w:top w:val="nil"/>
              <w:left w:val="nil"/>
              <w:bottom w:val="nil"/>
              <w:right w:val="nil"/>
            </w:tcBorders>
            <w:shd w:val="clear" w:color="000000" w:fill="FFFFFF"/>
            <w:noWrap/>
            <w:vAlign w:val="bottom"/>
            <w:hideMark/>
          </w:tcPr>
          <w:p w14:paraId="6BAA235F" w14:textId="158106BB"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19%</w:t>
            </w:r>
          </w:p>
        </w:tc>
        <w:tc>
          <w:tcPr>
            <w:tcW w:w="271" w:type="dxa"/>
            <w:tcBorders>
              <w:top w:val="nil"/>
              <w:left w:val="nil"/>
              <w:bottom w:val="nil"/>
              <w:right w:val="nil"/>
            </w:tcBorders>
            <w:shd w:val="clear" w:color="000000" w:fill="FFFFFF"/>
            <w:noWrap/>
            <w:vAlign w:val="center"/>
          </w:tcPr>
          <w:p w14:paraId="791BF1C3" w14:textId="2B631F12" w:rsidR="009F412A" w:rsidRPr="00014146" w:rsidRDefault="009F412A" w:rsidP="009F412A">
            <w:pPr>
              <w:spacing w:before="0" w:after="0" w:line="240" w:lineRule="auto"/>
              <w:jc w:val="right"/>
              <w:rPr>
                <w:rFonts w:asciiTheme="minorHAnsi" w:hAnsiTheme="minorHAnsi" w:cstheme="minorHAnsi"/>
                <w:color w:val="000000"/>
                <w:sz w:val="18"/>
                <w:szCs w:val="18"/>
              </w:rPr>
            </w:pPr>
          </w:p>
        </w:tc>
        <w:tc>
          <w:tcPr>
            <w:tcW w:w="1276" w:type="dxa"/>
            <w:tcBorders>
              <w:top w:val="nil"/>
              <w:left w:val="nil"/>
              <w:bottom w:val="nil"/>
              <w:right w:val="nil"/>
            </w:tcBorders>
            <w:shd w:val="clear" w:color="000000" w:fill="FFFFFF"/>
            <w:noWrap/>
            <w:vAlign w:val="center"/>
            <w:hideMark/>
          </w:tcPr>
          <w:p w14:paraId="4016C897" w14:textId="7D8AC938" w:rsidR="009F412A" w:rsidRPr="00014146" w:rsidRDefault="009F412A" w:rsidP="009F412A">
            <w:pPr>
              <w:spacing w:before="0" w:after="0" w:line="240" w:lineRule="auto"/>
              <w:jc w:val="right"/>
              <w:rPr>
                <w:rFonts w:asciiTheme="minorHAnsi" w:hAnsiTheme="minorHAnsi" w:cstheme="minorHAnsi"/>
                <w:color w:val="000000"/>
                <w:sz w:val="18"/>
                <w:szCs w:val="18"/>
              </w:rPr>
            </w:pPr>
            <w:r w:rsidRPr="00014146">
              <w:rPr>
                <w:rFonts w:asciiTheme="minorHAnsi" w:hAnsiTheme="minorHAnsi" w:cstheme="minorHAnsi"/>
                <w:color w:val="000000"/>
                <w:sz w:val="18"/>
                <w:szCs w:val="18"/>
              </w:rPr>
              <w:t>643</w:t>
            </w:r>
          </w:p>
        </w:tc>
        <w:tc>
          <w:tcPr>
            <w:tcW w:w="1843" w:type="dxa"/>
            <w:tcBorders>
              <w:top w:val="nil"/>
              <w:left w:val="nil"/>
              <w:bottom w:val="nil"/>
              <w:right w:val="nil"/>
            </w:tcBorders>
            <w:shd w:val="clear" w:color="000000" w:fill="FFFFFF"/>
            <w:noWrap/>
            <w:vAlign w:val="bottom"/>
            <w:hideMark/>
          </w:tcPr>
          <w:p w14:paraId="451A2159" w14:textId="3779DC93" w:rsidR="009F412A" w:rsidRPr="00014146" w:rsidRDefault="009F412A" w:rsidP="009F412A">
            <w:pPr>
              <w:spacing w:before="0" w:after="0" w:line="240" w:lineRule="auto"/>
              <w:jc w:val="right"/>
              <w:rPr>
                <w:rFonts w:asciiTheme="minorHAnsi" w:hAnsiTheme="minorHAnsi" w:cstheme="minorHAnsi"/>
                <w:color w:val="000000"/>
                <w:sz w:val="18"/>
                <w:szCs w:val="18"/>
              </w:rPr>
            </w:pPr>
            <w:r>
              <w:rPr>
                <w:rFonts w:cs="Arial"/>
                <w:color w:val="000000"/>
                <w:sz w:val="18"/>
                <w:szCs w:val="18"/>
              </w:rPr>
              <w:t>1%</w:t>
            </w:r>
          </w:p>
        </w:tc>
      </w:tr>
      <w:tr w:rsidR="009F412A" w:rsidRPr="00E06132" w14:paraId="41E92087" w14:textId="77777777" w:rsidTr="009F412A">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7ED1C299" w14:textId="77777777" w:rsidR="009F412A" w:rsidRPr="00014146" w:rsidRDefault="009F412A" w:rsidP="009F412A">
            <w:pPr>
              <w:spacing w:before="0" w:after="0" w:line="240" w:lineRule="auto"/>
              <w:rPr>
                <w:rFonts w:asciiTheme="minorHAnsi" w:hAnsiTheme="minorHAnsi" w:cstheme="minorHAnsi"/>
                <w:b/>
                <w:bCs/>
                <w:color w:val="000000"/>
                <w:sz w:val="18"/>
                <w:szCs w:val="18"/>
              </w:rPr>
            </w:pPr>
            <w:r w:rsidRPr="00014146">
              <w:rPr>
                <w:rFonts w:asciiTheme="minorHAnsi" w:hAnsiTheme="minorHAnsi" w:cstheme="minorHAnsi"/>
                <w:b/>
                <w:bCs/>
                <w:color w:val="000000"/>
                <w:sz w:val="18"/>
                <w:szCs w:val="18"/>
              </w:rPr>
              <w:t>National</w:t>
            </w:r>
          </w:p>
        </w:tc>
        <w:tc>
          <w:tcPr>
            <w:tcW w:w="1147" w:type="dxa"/>
            <w:tcBorders>
              <w:top w:val="single" w:sz="4" w:space="0" w:color="auto"/>
              <w:left w:val="nil"/>
              <w:bottom w:val="single" w:sz="4" w:space="0" w:color="auto"/>
              <w:right w:val="nil"/>
            </w:tcBorders>
            <w:shd w:val="clear" w:color="000000" w:fill="FFFFFF"/>
            <w:noWrap/>
            <w:vAlign w:val="center"/>
            <w:hideMark/>
          </w:tcPr>
          <w:p w14:paraId="5023556D" w14:textId="11E3595F" w:rsidR="009F412A" w:rsidRPr="00014146" w:rsidRDefault="009F412A" w:rsidP="009F412A">
            <w:pPr>
              <w:spacing w:before="0" w:after="0" w:line="240" w:lineRule="auto"/>
              <w:jc w:val="right"/>
              <w:rPr>
                <w:rFonts w:asciiTheme="minorHAnsi" w:hAnsiTheme="minorHAnsi" w:cstheme="minorHAnsi"/>
                <w:b/>
                <w:bCs/>
                <w:color w:val="000000"/>
                <w:sz w:val="18"/>
                <w:szCs w:val="18"/>
              </w:rPr>
            </w:pPr>
            <w:r w:rsidRPr="00014146">
              <w:rPr>
                <w:rFonts w:asciiTheme="minorHAnsi" w:hAnsiTheme="minorHAnsi" w:cstheme="minorHAnsi"/>
                <w:b/>
                <w:bCs/>
                <w:color w:val="000000"/>
                <w:sz w:val="18"/>
                <w:szCs w:val="18"/>
              </w:rPr>
              <w:t>1,169,476</w:t>
            </w:r>
          </w:p>
        </w:tc>
        <w:tc>
          <w:tcPr>
            <w:tcW w:w="1713" w:type="dxa"/>
            <w:tcBorders>
              <w:top w:val="single" w:sz="4" w:space="0" w:color="auto"/>
              <w:left w:val="nil"/>
              <w:bottom w:val="single" w:sz="4" w:space="0" w:color="auto"/>
              <w:right w:val="nil"/>
            </w:tcBorders>
            <w:shd w:val="clear" w:color="000000" w:fill="FFFFFF"/>
            <w:noWrap/>
            <w:vAlign w:val="center"/>
            <w:hideMark/>
          </w:tcPr>
          <w:p w14:paraId="76911B86" w14:textId="21366309" w:rsidR="009F412A" w:rsidRPr="00014146" w:rsidRDefault="009F412A" w:rsidP="009F412A">
            <w:pPr>
              <w:spacing w:before="0" w:after="0" w:line="240" w:lineRule="auto"/>
              <w:jc w:val="right"/>
              <w:rPr>
                <w:rFonts w:asciiTheme="minorHAnsi" w:hAnsiTheme="minorHAnsi" w:cstheme="minorHAnsi"/>
                <w:b/>
                <w:bCs/>
                <w:color w:val="000000"/>
                <w:sz w:val="18"/>
                <w:szCs w:val="18"/>
              </w:rPr>
            </w:pPr>
            <w:r>
              <w:rPr>
                <w:rFonts w:cs="Arial"/>
                <w:b/>
                <w:bCs/>
                <w:color w:val="000000"/>
                <w:sz w:val="18"/>
                <w:szCs w:val="18"/>
              </w:rPr>
              <w:t>19%</w:t>
            </w:r>
          </w:p>
        </w:tc>
        <w:tc>
          <w:tcPr>
            <w:tcW w:w="271" w:type="dxa"/>
            <w:tcBorders>
              <w:top w:val="single" w:sz="4" w:space="0" w:color="auto"/>
              <w:left w:val="nil"/>
              <w:bottom w:val="single" w:sz="4" w:space="0" w:color="auto"/>
              <w:right w:val="nil"/>
            </w:tcBorders>
            <w:shd w:val="clear" w:color="000000" w:fill="FFFFFF"/>
            <w:noWrap/>
            <w:vAlign w:val="center"/>
          </w:tcPr>
          <w:p w14:paraId="37D9D738" w14:textId="147CBC26" w:rsidR="009F412A" w:rsidRPr="00014146" w:rsidRDefault="009F412A" w:rsidP="009F412A">
            <w:pPr>
              <w:spacing w:before="0" w:after="0" w:line="240" w:lineRule="auto"/>
              <w:jc w:val="right"/>
              <w:rPr>
                <w:rFonts w:asciiTheme="minorHAnsi" w:hAnsiTheme="minorHAnsi" w:cstheme="minorHAnsi"/>
                <w:b/>
                <w:bCs/>
                <w:color w:val="000000"/>
                <w:sz w:val="18"/>
                <w:szCs w:val="18"/>
              </w:rPr>
            </w:pPr>
          </w:p>
        </w:tc>
        <w:tc>
          <w:tcPr>
            <w:tcW w:w="1276" w:type="dxa"/>
            <w:tcBorders>
              <w:top w:val="single" w:sz="4" w:space="0" w:color="auto"/>
              <w:left w:val="nil"/>
              <w:bottom w:val="single" w:sz="4" w:space="0" w:color="auto"/>
              <w:right w:val="nil"/>
            </w:tcBorders>
            <w:shd w:val="clear" w:color="000000" w:fill="FFFFFF"/>
            <w:noWrap/>
            <w:vAlign w:val="center"/>
            <w:hideMark/>
          </w:tcPr>
          <w:p w14:paraId="3B225CC8" w14:textId="0963DFBC" w:rsidR="009F412A" w:rsidRPr="00014146" w:rsidRDefault="009F412A" w:rsidP="009F412A">
            <w:pPr>
              <w:spacing w:before="0" w:after="0" w:line="240" w:lineRule="auto"/>
              <w:jc w:val="right"/>
              <w:rPr>
                <w:rFonts w:asciiTheme="minorHAnsi" w:hAnsiTheme="minorHAnsi" w:cstheme="minorHAnsi"/>
                <w:b/>
                <w:bCs/>
                <w:color w:val="000000"/>
                <w:sz w:val="18"/>
                <w:szCs w:val="18"/>
              </w:rPr>
            </w:pPr>
            <w:r w:rsidRPr="00014146">
              <w:rPr>
                <w:rFonts w:asciiTheme="minorHAnsi" w:hAnsiTheme="minorHAnsi" w:cstheme="minorHAnsi"/>
                <w:b/>
                <w:bCs/>
                <w:color w:val="000000"/>
                <w:sz w:val="18"/>
                <w:szCs w:val="18"/>
              </w:rPr>
              <w:t>247,742</w:t>
            </w:r>
          </w:p>
        </w:tc>
        <w:tc>
          <w:tcPr>
            <w:tcW w:w="1843" w:type="dxa"/>
            <w:tcBorders>
              <w:top w:val="single" w:sz="4" w:space="0" w:color="auto"/>
              <w:left w:val="nil"/>
              <w:bottom w:val="single" w:sz="4" w:space="0" w:color="auto"/>
              <w:right w:val="nil"/>
            </w:tcBorders>
            <w:shd w:val="clear" w:color="000000" w:fill="FFFFFF"/>
            <w:noWrap/>
            <w:vAlign w:val="center"/>
            <w:hideMark/>
          </w:tcPr>
          <w:p w14:paraId="304E2B8A" w14:textId="4F278AD9" w:rsidR="009F412A" w:rsidRPr="00014146" w:rsidRDefault="009F412A" w:rsidP="009F412A">
            <w:pPr>
              <w:spacing w:before="0" w:after="0" w:line="240" w:lineRule="auto"/>
              <w:jc w:val="right"/>
              <w:rPr>
                <w:rFonts w:asciiTheme="minorHAnsi" w:hAnsiTheme="minorHAnsi" w:cstheme="minorHAnsi"/>
                <w:b/>
                <w:bCs/>
                <w:color w:val="000000"/>
                <w:sz w:val="18"/>
                <w:szCs w:val="18"/>
              </w:rPr>
            </w:pPr>
            <w:r>
              <w:rPr>
                <w:rFonts w:cs="Arial"/>
                <w:b/>
                <w:bCs/>
                <w:color w:val="000000"/>
                <w:sz w:val="18"/>
                <w:szCs w:val="18"/>
              </w:rPr>
              <w:t>4%</w:t>
            </w:r>
          </w:p>
        </w:tc>
      </w:tr>
    </w:tbl>
    <w:p w14:paraId="5DA63C5B" w14:textId="7B9FEDBA" w:rsidR="002371BB" w:rsidRPr="00E06132" w:rsidRDefault="0096034C" w:rsidP="00440E76">
      <w:pPr>
        <w:pStyle w:val="Heading2"/>
      </w:pPr>
      <w:bookmarkStart w:id="43" w:name="_Toc524173859"/>
      <w:bookmarkStart w:id="44" w:name="_Toc25759694"/>
      <w:r>
        <w:t xml:space="preserve">6.2 </w:t>
      </w:r>
      <w:r w:rsidR="007620BE" w:rsidRPr="00E06132">
        <w:t>P</w:t>
      </w:r>
      <w:r w:rsidR="002371BB" w:rsidRPr="00E06132">
        <w:t>atient length of stay</w:t>
      </w:r>
      <w:bookmarkEnd w:id="43"/>
      <w:bookmarkEnd w:id="44"/>
    </w:p>
    <w:p w14:paraId="4D665BEE" w14:textId="6FCAB972" w:rsidR="002371BB" w:rsidRPr="00E06132" w:rsidRDefault="00980D00" w:rsidP="002371BB">
      <w:pPr>
        <w:rPr>
          <w:rFonts w:cs="Arial"/>
          <w:szCs w:val="22"/>
        </w:rPr>
      </w:pPr>
      <w:r w:rsidRPr="00E06132">
        <w:rPr>
          <w:rFonts w:cs="Arial"/>
          <w:szCs w:val="22"/>
        </w:rPr>
        <w:t>In Round 22</w:t>
      </w:r>
      <w:r w:rsidR="002371BB" w:rsidRPr="00E06132">
        <w:rPr>
          <w:rFonts w:cs="Arial"/>
          <w:szCs w:val="22"/>
        </w:rPr>
        <w:t>, the national average length of stay (ALOS) for</w:t>
      </w:r>
      <w:r w:rsidRPr="00E06132">
        <w:rPr>
          <w:rFonts w:cs="Arial"/>
          <w:szCs w:val="22"/>
        </w:rPr>
        <w:t xml:space="preserve"> admitted acute patients is 2.4</w:t>
      </w:r>
      <w:r w:rsidR="00E06132">
        <w:rPr>
          <w:rFonts w:cs="Arial"/>
          <w:szCs w:val="22"/>
        </w:rPr>
        <w:t>0</w:t>
      </w:r>
      <w:r w:rsidR="002371BB" w:rsidRPr="00E06132">
        <w:rPr>
          <w:rFonts w:cs="Arial"/>
          <w:szCs w:val="22"/>
        </w:rPr>
        <w:t xml:space="preserve"> days</w:t>
      </w:r>
      <w:r w:rsidR="00845638" w:rsidRPr="00E06132">
        <w:rPr>
          <w:rFonts w:cs="Arial"/>
          <w:szCs w:val="22"/>
        </w:rPr>
        <w:t>,</w:t>
      </w:r>
      <w:r w:rsidR="002371BB" w:rsidRPr="00E06132">
        <w:rPr>
          <w:rFonts w:cs="Arial"/>
          <w:szCs w:val="22"/>
        </w:rPr>
        <w:t xml:space="preserve"> continuing a downw</w:t>
      </w:r>
      <w:r w:rsidRPr="00E06132">
        <w:rPr>
          <w:rFonts w:cs="Arial"/>
          <w:szCs w:val="22"/>
        </w:rPr>
        <w:t>ard trend from Round 21 (2.43 days) and Round 20 (2.56</w:t>
      </w:r>
      <w:r w:rsidR="002371BB" w:rsidRPr="00E06132">
        <w:rPr>
          <w:rFonts w:cs="Arial"/>
          <w:szCs w:val="22"/>
        </w:rPr>
        <w:t xml:space="preserve"> days).</w:t>
      </w:r>
    </w:p>
    <w:p w14:paraId="6AE19060" w14:textId="77777777" w:rsidR="002371BB" w:rsidRPr="00E06132" w:rsidRDefault="002371BB" w:rsidP="002371BB">
      <w:pPr>
        <w:rPr>
          <w:rFonts w:cs="Arial"/>
          <w:szCs w:val="22"/>
        </w:rPr>
      </w:pPr>
      <w:r w:rsidRPr="00E06132">
        <w:rPr>
          <w:rFonts w:cs="Arial"/>
          <w:szCs w:val="22"/>
        </w:rPr>
        <w:t>Two factors are contributing to this trend: an increased share of same-day patients</w:t>
      </w:r>
      <w:r w:rsidR="00280C95" w:rsidRPr="00E06132">
        <w:rPr>
          <w:rFonts w:cs="Arial"/>
          <w:szCs w:val="22"/>
        </w:rPr>
        <w:t>, and s</w:t>
      </w:r>
      <w:r w:rsidRPr="00E06132">
        <w:rPr>
          <w:rFonts w:cs="Arial"/>
          <w:szCs w:val="22"/>
        </w:rPr>
        <w:t>horter average stays for overnight patients.</w:t>
      </w:r>
    </w:p>
    <w:p w14:paraId="6A6CA7B0" w14:textId="0F651898" w:rsidR="002371BB" w:rsidRPr="00E06132" w:rsidRDefault="002371BB" w:rsidP="002371BB">
      <w:pPr>
        <w:rPr>
          <w:rFonts w:cs="Arial"/>
          <w:szCs w:val="22"/>
        </w:rPr>
      </w:pPr>
      <w:r w:rsidRPr="00E06132">
        <w:rPr>
          <w:rFonts w:cs="Arial"/>
          <w:szCs w:val="22"/>
        </w:rPr>
        <w:t>An increasing share of admitted acute separations represents patients admitted and separated from the hospital on the same</w:t>
      </w:r>
      <w:r w:rsidR="00845638" w:rsidRPr="00E06132">
        <w:rPr>
          <w:rFonts w:cs="Arial"/>
          <w:szCs w:val="22"/>
        </w:rPr>
        <w:t xml:space="preserve"> </w:t>
      </w:r>
      <w:r w:rsidRPr="00E06132">
        <w:rPr>
          <w:rFonts w:cs="Arial"/>
          <w:szCs w:val="22"/>
        </w:rPr>
        <w:t>day</w:t>
      </w:r>
      <w:r w:rsidR="009552F1" w:rsidRPr="00E06132">
        <w:rPr>
          <w:rFonts w:cs="Arial"/>
          <w:szCs w:val="22"/>
        </w:rPr>
        <w:t xml:space="preserve">. </w:t>
      </w:r>
      <w:r w:rsidRPr="00E06132">
        <w:rPr>
          <w:rFonts w:cs="Arial"/>
          <w:szCs w:val="22"/>
        </w:rPr>
        <w:t xml:space="preserve">In Round </w:t>
      </w:r>
      <w:r w:rsidR="00980D00" w:rsidRPr="00E06132">
        <w:rPr>
          <w:rFonts w:cs="Arial"/>
          <w:szCs w:val="22"/>
        </w:rPr>
        <w:t>22, 56.3</w:t>
      </w:r>
      <w:r w:rsidRPr="00E06132">
        <w:rPr>
          <w:rFonts w:cs="Arial"/>
          <w:szCs w:val="22"/>
        </w:rPr>
        <w:t xml:space="preserve"> percent of patients (</w:t>
      </w:r>
      <w:r w:rsidR="00980D00" w:rsidRPr="00E06132">
        <w:rPr>
          <w:rFonts w:cs="Arial"/>
          <w:szCs w:val="22"/>
        </w:rPr>
        <w:t>3.4</w:t>
      </w:r>
      <w:r w:rsidRPr="00E06132">
        <w:rPr>
          <w:rFonts w:cs="Arial"/>
          <w:szCs w:val="22"/>
        </w:rPr>
        <w:t xml:space="preserve"> million) were same-day separations</w:t>
      </w:r>
      <w:r w:rsidR="00845638" w:rsidRPr="00E06132">
        <w:rPr>
          <w:rFonts w:cs="Arial"/>
          <w:szCs w:val="22"/>
        </w:rPr>
        <w:t>,</w:t>
      </w:r>
      <w:r w:rsidRPr="00E06132">
        <w:rPr>
          <w:rFonts w:cs="Arial"/>
          <w:szCs w:val="22"/>
        </w:rPr>
        <w:t xml:space="preserve"> an increase from Round </w:t>
      </w:r>
      <w:r w:rsidR="00980D00" w:rsidRPr="00E06132">
        <w:rPr>
          <w:rFonts w:cs="Arial"/>
          <w:szCs w:val="22"/>
        </w:rPr>
        <w:t>21</w:t>
      </w:r>
      <w:r w:rsidRPr="00E06132">
        <w:rPr>
          <w:rFonts w:cs="Arial"/>
          <w:szCs w:val="22"/>
        </w:rPr>
        <w:t xml:space="preserve"> (</w:t>
      </w:r>
      <w:r w:rsidR="00980D00" w:rsidRPr="00E06132">
        <w:rPr>
          <w:rFonts w:cs="Arial"/>
          <w:szCs w:val="22"/>
        </w:rPr>
        <w:t>5</w:t>
      </w:r>
      <w:r w:rsidR="002236C8">
        <w:rPr>
          <w:rFonts w:cs="Arial"/>
          <w:szCs w:val="22"/>
        </w:rPr>
        <w:t>5.7</w:t>
      </w:r>
      <w:r w:rsidRPr="00E06132">
        <w:rPr>
          <w:rFonts w:cs="Arial"/>
          <w:szCs w:val="22"/>
        </w:rPr>
        <w:t xml:space="preserve"> percent) and Round </w:t>
      </w:r>
      <w:r w:rsidR="00980D00" w:rsidRPr="00E06132">
        <w:rPr>
          <w:rFonts w:cs="Arial"/>
          <w:szCs w:val="22"/>
        </w:rPr>
        <w:t>20 (5</w:t>
      </w:r>
      <w:r w:rsidR="002236C8">
        <w:rPr>
          <w:rFonts w:cs="Arial"/>
          <w:szCs w:val="22"/>
        </w:rPr>
        <w:t>4.6</w:t>
      </w:r>
      <w:r w:rsidRPr="00E06132">
        <w:rPr>
          <w:rFonts w:cs="Arial"/>
          <w:szCs w:val="22"/>
        </w:rPr>
        <w:t xml:space="preserve"> percent).</w:t>
      </w:r>
    </w:p>
    <w:p w14:paraId="6569EBAB" w14:textId="680A438E" w:rsidR="002371BB" w:rsidRPr="00E06132" w:rsidRDefault="002371BB" w:rsidP="002371BB">
      <w:pPr>
        <w:rPr>
          <w:rFonts w:cs="Arial"/>
          <w:szCs w:val="22"/>
        </w:rPr>
      </w:pPr>
      <w:r w:rsidRPr="00E06132">
        <w:rPr>
          <w:rFonts w:cs="Arial"/>
          <w:szCs w:val="22"/>
        </w:rPr>
        <w:t xml:space="preserve">For patients who stayed overnight in hospital, the national average length of stay was </w:t>
      </w:r>
      <w:r w:rsidR="00980D00" w:rsidRPr="00E06132">
        <w:rPr>
          <w:rFonts w:cs="Arial"/>
          <w:szCs w:val="22"/>
        </w:rPr>
        <w:t>4.19</w:t>
      </w:r>
      <w:r w:rsidRPr="00E06132">
        <w:rPr>
          <w:rFonts w:cs="Arial"/>
          <w:szCs w:val="22"/>
        </w:rPr>
        <w:t xml:space="preserve"> days</w:t>
      </w:r>
      <w:r w:rsidR="00845638" w:rsidRPr="00E06132">
        <w:rPr>
          <w:rFonts w:cs="Arial"/>
          <w:szCs w:val="22"/>
        </w:rPr>
        <w:t>,</w:t>
      </w:r>
      <w:r w:rsidR="00980D00" w:rsidRPr="00E06132">
        <w:rPr>
          <w:rFonts w:cs="Arial"/>
          <w:szCs w:val="22"/>
        </w:rPr>
        <w:t xml:space="preserve"> down from Round 21 (4.24 days) and Round 20 (4.45</w:t>
      </w:r>
      <w:r w:rsidRPr="00E06132">
        <w:rPr>
          <w:rFonts w:cs="Arial"/>
          <w:szCs w:val="22"/>
        </w:rPr>
        <w:t xml:space="preserve"> days)</w:t>
      </w:r>
      <w:r w:rsidR="00240C6C" w:rsidRPr="00E06132">
        <w:rPr>
          <w:rFonts w:cs="Arial"/>
          <w:szCs w:val="22"/>
        </w:rPr>
        <w:t>.</w:t>
      </w:r>
    </w:p>
    <w:p w14:paraId="2B82EC12" w14:textId="29AFDDD3" w:rsidR="002371BB" w:rsidRPr="008E1B3B" w:rsidRDefault="009C47B3" w:rsidP="002371BB">
      <w:pPr>
        <w:rPr>
          <w:rFonts w:cs="Arial"/>
          <w:szCs w:val="22"/>
        </w:rPr>
      </w:pPr>
      <w:r w:rsidRPr="00E06132">
        <w:rPr>
          <w:rFonts w:cs="Arial"/>
          <w:szCs w:val="22"/>
        </w:rPr>
        <w:fldChar w:fldCharType="begin"/>
      </w:r>
      <w:r w:rsidRPr="00E06132">
        <w:rPr>
          <w:rFonts w:cs="Arial"/>
          <w:szCs w:val="22"/>
        </w:rPr>
        <w:instrText xml:space="preserve"> REF _Ref524337294 \h </w:instrText>
      </w:r>
      <w:r w:rsidR="00E06132">
        <w:rPr>
          <w:rFonts w:cs="Arial"/>
          <w:szCs w:val="22"/>
        </w:rPr>
        <w:instrText xml:space="preserve"> \* MERGEFORMAT </w:instrText>
      </w:r>
      <w:r w:rsidRPr="00E06132">
        <w:rPr>
          <w:rFonts w:cs="Arial"/>
          <w:szCs w:val="22"/>
        </w:rPr>
      </w:r>
      <w:r w:rsidRPr="00E06132">
        <w:rPr>
          <w:rFonts w:cs="Arial"/>
          <w:szCs w:val="22"/>
        </w:rPr>
        <w:fldChar w:fldCharType="separate"/>
      </w:r>
      <w:r w:rsidR="00423E34">
        <w:t xml:space="preserve">Figure </w:t>
      </w:r>
      <w:r w:rsidR="00423E34">
        <w:rPr>
          <w:noProof/>
        </w:rPr>
        <w:t>1</w:t>
      </w:r>
      <w:r w:rsidRPr="00E06132">
        <w:rPr>
          <w:rFonts w:cs="Arial"/>
          <w:szCs w:val="22"/>
        </w:rPr>
        <w:fldChar w:fldCharType="end"/>
      </w:r>
      <w:r w:rsidR="002371BB" w:rsidRPr="00E06132">
        <w:rPr>
          <w:rFonts w:cs="Arial"/>
          <w:szCs w:val="22"/>
        </w:rPr>
        <w:t xml:space="preserve"> compares the average length of stay of all patients and overnight patients between jurisdictions</w:t>
      </w:r>
      <w:r w:rsidR="009552F1" w:rsidRPr="00E06132">
        <w:rPr>
          <w:rFonts w:cs="Arial"/>
          <w:szCs w:val="22"/>
        </w:rPr>
        <w:t>.</w:t>
      </w:r>
      <w:r w:rsidR="009552F1">
        <w:rPr>
          <w:rFonts w:cs="Arial"/>
          <w:szCs w:val="22"/>
        </w:rPr>
        <w:t xml:space="preserve"> </w:t>
      </w:r>
    </w:p>
    <w:p w14:paraId="58A7260F" w14:textId="55614EC8" w:rsidR="00C83237" w:rsidRDefault="00C83237" w:rsidP="00C525BF">
      <w:pPr>
        <w:pStyle w:val="Caption"/>
      </w:pPr>
      <w:bookmarkStart w:id="45" w:name="_Ref524337294"/>
      <w:bookmarkStart w:id="46" w:name="_Toc524359557"/>
      <w:r>
        <w:lastRenderedPageBreak/>
        <w:t xml:space="preserve">Figure </w:t>
      </w:r>
      <w:fldSimple w:instr=" SEQ Figure \* ARABIC ">
        <w:r w:rsidR="00423E34">
          <w:rPr>
            <w:noProof/>
          </w:rPr>
          <w:t>1</w:t>
        </w:r>
      </w:fldSimple>
      <w:bookmarkEnd w:id="45"/>
      <w:r>
        <w:t xml:space="preserve"> </w:t>
      </w:r>
      <w:r w:rsidRPr="000C7537">
        <w:t xml:space="preserve">Admitted acute </w:t>
      </w:r>
      <w:r w:rsidRPr="00E06132">
        <w:t>average length of stay of all separations and all overnight separations, by jurisdiction</w:t>
      </w:r>
      <w:bookmarkEnd w:id="46"/>
      <w:r w:rsidR="006821EF" w:rsidRPr="00E06132">
        <w:t>,</w:t>
      </w:r>
      <w:r w:rsidR="004A7081" w:rsidRPr="00E06132">
        <w:t xml:space="preserve"> Round 22</w:t>
      </w:r>
    </w:p>
    <w:p w14:paraId="1F6BFE25" w14:textId="53D81C7A" w:rsidR="002371BB" w:rsidRPr="00127C90" w:rsidRDefault="00C2137A" w:rsidP="00172AA0">
      <w:pPr>
        <w:jc w:val="center"/>
        <w:rPr>
          <w:rFonts w:cs="Arial"/>
          <w:b/>
          <w:sz w:val="20"/>
          <w:szCs w:val="20"/>
        </w:rPr>
      </w:pPr>
      <w:r>
        <w:rPr>
          <w:noProof/>
        </w:rPr>
        <mc:AlternateContent>
          <mc:Choice Requires="wps">
            <w:drawing>
              <wp:anchor distT="45720" distB="45720" distL="114300" distR="114300" simplePos="0" relativeHeight="251686912" behindDoc="0" locked="0" layoutInCell="1" allowOverlap="1" wp14:anchorId="54214D37" wp14:editId="222FF405">
                <wp:simplePos x="0" y="0"/>
                <wp:positionH relativeFrom="column">
                  <wp:posOffset>-77419</wp:posOffset>
                </wp:positionH>
                <wp:positionV relativeFrom="paragraph">
                  <wp:posOffset>723239</wp:posOffset>
                </wp:positionV>
                <wp:extent cx="518795" cy="382905"/>
                <wp:effectExtent l="0" t="0" r="0" b="0"/>
                <wp:wrapNone/>
                <wp:docPr id="31" name="Text Box 2" title="Chart Verticle Axis -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82905"/>
                        </a:xfrm>
                        <a:prstGeom prst="rect">
                          <a:avLst/>
                        </a:prstGeom>
                        <a:noFill/>
                        <a:ln w="9525">
                          <a:noFill/>
                          <a:miter lim="800000"/>
                          <a:headEnd/>
                          <a:tailEnd/>
                        </a:ln>
                      </wps:spPr>
                      <wps:txbx>
                        <w:txbxContent>
                          <w:p w14:paraId="219EE848" w14:textId="3B8FE3C7" w:rsidR="007B2A6F" w:rsidRPr="0042421F" w:rsidRDefault="007B2A6F">
                            <w:pPr>
                              <w:rPr>
                                <w:sz w:val="18"/>
                              </w:rPr>
                            </w:pPr>
                            <w:r w:rsidRPr="0042421F">
                              <w:rPr>
                                <w:sz w:val="18"/>
                              </w:rPr>
                              <w:t>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4D37" id="_x0000_s1027" type="#_x0000_t202" alt="Title: Chart Verticle Axis - Days" style="position:absolute;left:0;text-align:left;margin-left:-6.1pt;margin-top:56.95pt;width:40.85pt;height:30.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" filled="f" stroked="f">
                <v:textbox>
                  <w:txbxContent>
                    <w:p w14:paraId="219EE848" w14:textId="3B8FE3C7" w:rsidR="007B2A6F" w:rsidRPr="0042421F" w:rsidRDefault="007B2A6F">
                      <w:pPr>
                        <w:rPr>
                          <w:sz w:val="18"/>
                        </w:rPr>
                      </w:pPr>
                      <w:r w:rsidRPr="0042421F">
                        <w:rPr>
                          <w:sz w:val="18"/>
                        </w:rPr>
                        <w:t>Days</w:t>
                      </w:r>
                    </w:p>
                  </w:txbxContent>
                </v:textbox>
              </v:shape>
            </w:pict>
          </mc:Fallback>
        </mc:AlternateContent>
      </w:r>
      <w:r w:rsidR="0042421F">
        <w:rPr>
          <w:noProof/>
        </w:rPr>
        <w:drawing>
          <wp:inline distT="0" distB="0" distL="0" distR="0" wp14:anchorId="32076A34" wp14:editId="027A4665">
            <wp:extent cx="5676595" cy="3405603"/>
            <wp:effectExtent l="0" t="0" r="635" b="4445"/>
            <wp:docPr id="7" name="Chart 7" descr="This figure is a bar graph of average length stay and average length of stay overnight by jurisdiction as well as lines indicating the national average.  " title="Figure 1 Admitted acute average length of stay of all separations and all overnight separations, by jurisdiction, Round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018C1D" w14:textId="77777777" w:rsidR="002371BB" w:rsidRDefault="002371BB" w:rsidP="00566857">
      <w:pPr>
        <w:ind w:left="720"/>
      </w:pPr>
    </w:p>
    <w:p w14:paraId="0F68F0A2" w14:textId="7DE0ED7A" w:rsidR="002371BB" w:rsidRPr="008E1B3B" w:rsidRDefault="002371BB" w:rsidP="002371BB">
      <w:pPr>
        <w:rPr>
          <w:rFonts w:cs="Arial"/>
          <w:szCs w:val="22"/>
        </w:rPr>
      </w:pPr>
      <w:r w:rsidRPr="00E06132">
        <w:rPr>
          <w:rFonts w:cs="Arial"/>
          <w:szCs w:val="22"/>
        </w:rPr>
        <w:t>The Northern Territory, which had the highest share of same-day patients (7</w:t>
      </w:r>
      <w:r w:rsidR="00A85870" w:rsidRPr="00E06132">
        <w:rPr>
          <w:rFonts w:cs="Arial"/>
          <w:szCs w:val="22"/>
        </w:rPr>
        <w:t>2</w:t>
      </w:r>
      <w:r w:rsidRPr="00E06132">
        <w:rPr>
          <w:rFonts w:cs="Arial"/>
          <w:szCs w:val="22"/>
        </w:rPr>
        <w:t xml:space="preserve"> percent), had the lowest average length of stay (1.9</w:t>
      </w:r>
      <w:r w:rsidR="00A85870" w:rsidRPr="00E06132">
        <w:rPr>
          <w:rFonts w:cs="Arial"/>
          <w:szCs w:val="22"/>
        </w:rPr>
        <w:t>3</w:t>
      </w:r>
      <w:r w:rsidRPr="00E06132">
        <w:rPr>
          <w:rFonts w:cs="Arial"/>
          <w:szCs w:val="22"/>
        </w:rPr>
        <w:t xml:space="preserve"> days). Conversely, New South Wales</w:t>
      </w:r>
      <w:r w:rsidR="00E47FAD" w:rsidRPr="00E06132">
        <w:rPr>
          <w:rFonts w:cs="Arial"/>
          <w:szCs w:val="22"/>
        </w:rPr>
        <w:t>, which</w:t>
      </w:r>
      <w:r w:rsidRPr="00E06132">
        <w:rPr>
          <w:rFonts w:cs="Arial"/>
          <w:szCs w:val="22"/>
        </w:rPr>
        <w:t xml:space="preserve"> had the lowest share of same-day patients (48 percent)</w:t>
      </w:r>
      <w:r w:rsidR="00E47FAD" w:rsidRPr="00E06132">
        <w:rPr>
          <w:rFonts w:cs="Arial"/>
          <w:szCs w:val="22"/>
        </w:rPr>
        <w:t xml:space="preserve">, had </w:t>
      </w:r>
      <w:r w:rsidRPr="00E06132">
        <w:rPr>
          <w:rFonts w:cs="Arial"/>
          <w:szCs w:val="22"/>
        </w:rPr>
        <w:t>the highest average length of stay (2.8</w:t>
      </w:r>
      <w:r w:rsidR="00611100" w:rsidRPr="00E06132">
        <w:rPr>
          <w:rFonts w:cs="Arial"/>
          <w:szCs w:val="22"/>
        </w:rPr>
        <w:t>6</w:t>
      </w:r>
      <w:r w:rsidRPr="00E06132">
        <w:rPr>
          <w:rFonts w:cs="Arial"/>
          <w:szCs w:val="22"/>
        </w:rPr>
        <w:t xml:space="preserve"> days).</w:t>
      </w:r>
    </w:p>
    <w:p w14:paraId="47E41DE4" w14:textId="77777777" w:rsidR="00E521E0" w:rsidRDefault="00E521E0">
      <w:pPr>
        <w:spacing w:before="0" w:after="0" w:line="240" w:lineRule="auto"/>
      </w:pPr>
    </w:p>
    <w:p w14:paraId="155B7FA9" w14:textId="77777777" w:rsidR="003C7472" w:rsidRDefault="003C7472">
      <w:pPr>
        <w:spacing w:before="0" w:after="0" w:line="240" w:lineRule="auto"/>
        <w:rPr>
          <w:rFonts w:ascii="Arial Bold" w:hAnsi="Arial Bold"/>
          <w:b/>
          <w:sz w:val="40"/>
          <w:szCs w:val="44"/>
        </w:rPr>
      </w:pPr>
      <w:bookmarkStart w:id="47" w:name="_Toc524173860"/>
      <w:r>
        <w:br w:type="page"/>
      </w:r>
    </w:p>
    <w:p w14:paraId="29268873" w14:textId="722336A8" w:rsidR="00E521E0" w:rsidRPr="00226F81" w:rsidRDefault="00E521E0" w:rsidP="0096034C">
      <w:pPr>
        <w:pStyle w:val="Heading1"/>
        <w:numPr>
          <w:ilvl w:val="0"/>
          <w:numId w:val="23"/>
        </w:numPr>
      </w:pPr>
      <w:bookmarkStart w:id="48" w:name="_Toc25759695"/>
      <w:r w:rsidRPr="00226F81">
        <w:lastRenderedPageBreak/>
        <w:t>Supplementary material</w:t>
      </w:r>
      <w:bookmarkEnd w:id="47"/>
      <w:bookmarkEnd w:id="48"/>
    </w:p>
    <w:p w14:paraId="464D6C15" w14:textId="6CE840C7" w:rsidR="00E521E0" w:rsidRPr="00226F81" w:rsidRDefault="00195004" w:rsidP="00E521E0">
      <w:pPr>
        <w:rPr>
          <w:rFonts w:cs="Arial"/>
          <w:szCs w:val="22"/>
        </w:rPr>
      </w:pPr>
      <w:r w:rsidRPr="00226F81">
        <w:rPr>
          <w:rFonts w:cs="Arial"/>
          <w:szCs w:val="22"/>
        </w:rPr>
        <w:t>More information about th</w:t>
      </w:r>
      <w:r w:rsidR="00736FAD" w:rsidRPr="00226F81">
        <w:rPr>
          <w:rFonts w:cs="Arial"/>
          <w:szCs w:val="22"/>
        </w:rPr>
        <w:t>e Round 22</w:t>
      </w:r>
      <w:r w:rsidR="00E521E0" w:rsidRPr="00226F81">
        <w:rPr>
          <w:rFonts w:cs="Arial"/>
          <w:szCs w:val="22"/>
        </w:rPr>
        <w:t xml:space="preserve"> </w:t>
      </w:r>
      <w:r w:rsidRPr="00226F81">
        <w:rPr>
          <w:rFonts w:cs="Arial"/>
          <w:szCs w:val="22"/>
        </w:rPr>
        <w:t>NHCDC results is available in the following supplementary material:</w:t>
      </w:r>
    </w:p>
    <w:p w14:paraId="23384656" w14:textId="07736FEC" w:rsidR="00E521E0" w:rsidRPr="00226F81" w:rsidRDefault="004A7081" w:rsidP="003F1387">
      <w:pPr>
        <w:pStyle w:val="ListParagraph"/>
      </w:pPr>
      <w:r w:rsidRPr="00226F81">
        <w:t>Round 22</w:t>
      </w:r>
      <w:r w:rsidR="00C44B10" w:rsidRPr="00226F81">
        <w:t xml:space="preserve"> </w:t>
      </w:r>
      <w:r w:rsidR="005A3868" w:rsidRPr="00226F81">
        <w:t>NHCDC</w:t>
      </w:r>
      <w:r w:rsidR="00E521E0" w:rsidRPr="00226F81">
        <w:t xml:space="preserve"> Report Appendix tables – </w:t>
      </w:r>
      <w:r w:rsidR="00B66B9C" w:rsidRPr="00226F81">
        <w:t>D</w:t>
      </w:r>
      <w:r w:rsidR="00E521E0" w:rsidRPr="00226F81">
        <w:t xml:space="preserve">etailed </w:t>
      </w:r>
      <w:r w:rsidR="00B66B9C" w:rsidRPr="00226F81">
        <w:t xml:space="preserve">multi-year NHCDC </w:t>
      </w:r>
      <w:r w:rsidR="00E521E0" w:rsidRPr="00226F81">
        <w:t>results by activity stream and jurisdiction</w:t>
      </w:r>
      <w:r w:rsidR="00956916" w:rsidRPr="00226F81">
        <w:t>.</w:t>
      </w:r>
      <w:r w:rsidR="00CB4C9A" w:rsidRPr="00226F81">
        <w:t xml:space="preserve"> </w:t>
      </w:r>
    </w:p>
    <w:p w14:paraId="40EF0983" w14:textId="77777777" w:rsidR="00CB4C9A" w:rsidRPr="00226F81" w:rsidRDefault="00CB4C9A" w:rsidP="00CB4C9A">
      <w:pPr>
        <w:spacing w:before="0" w:after="0" w:line="240" w:lineRule="auto"/>
      </w:pPr>
    </w:p>
    <w:p w14:paraId="2D4CD03D" w14:textId="70178E18" w:rsidR="00CB4C9A" w:rsidRPr="00226F81" w:rsidRDefault="00CB4C9A" w:rsidP="0096034C">
      <w:pPr>
        <w:pStyle w:val="Heading1"/>
        <w:numPr>
          <w:ilvl w:val="0"/>
          <w:numId w:val="23"/>
        </w:numPr>
      </w:pPr>
      <w:bookmarkStart w:id="49" w:name="_Toc25759696"/>
      <w:r w:rsidRPr="00226F81">
        <w:t>Data Quality Sta</w:t>
      </w:r>
      <w:r w:rsidR="00A45CD6" w:rsidRPr="00226F81">
        <w:t>tements</w:t>
      </w:r>
      <w:bookmarkEnd w:id="49"/>
    </w:p>
    <w:p w14:paraId="76DD9258" w14:textId="0C788302" w:rsidR="00CB4C9A" w:rsidRPr="00226F81" w:rsidRDefault="00EF34FD" w:rsidP="00CB4C9A">
      <w:r w:rsidRPr="00226F81">
        <w:rPr>
          <w:rFonts w:cs="Arial"/>
          <w:szCs w:val="22"/>
        </w:rPr>
        <w:t>Each jurisdiction provides IHPA with a Data Quality Statement (</w:t>
      </w:r>
      <w:r w:rsidR="00CB4C9A" w:rsidRPr="00226F81">
        <w:rPr>
          <w:rFonts w:cs="Arial"/>
          <w:szCs w:val="22"/>
        </w:rPr>
        <w:t xml:space="preserve">Appendix </w:t>
      </w:r>
      <w:r w:rsidR="000C5BE2">
        <w:rPr>
          <w:rFonts w:cs="Arial"/>
          <w:szCs w:val="22"/>
        </w:rPr>
        <w:t>A</w:t>
      </w:r>
      <w:r w:rsidRPr="00226F81">
        <w:rPr>
          <w:rFonts w:cs="Arial"/>
          <w:szCs w:val="22"/>
        </w:rPr>
        <w:t xml:space="preserve">) </w:t>
      </w:r>
      <w:r w:rsidR="00C8702F" w:rsidRPr="00226F81">
        <w:t>to highlight key aspects that may impact on a jurisdiction’s results. This may include variations with respect to costs, practices, participation and coverage of results that have occurred in the Round.</w:t>
      </w:r>
    </w:p>
    <w:p w14:paraId="3158C24E" w14:textId="3E8F39FB" w:rsidR="00A87F36" w:rsidRDefault="00EF34FD" w:rsidP="00702317">
      <w:r w:rsidRPr="00226F81">
        <w:t xml:space="preserve">These Data Quality Statements should be considered when reading the </w:t>
      </w:r>
      <w:r w:rsidR="005A3868" w:rsidRPr="00226F81">
        <w:t>NHCDC</w:t>
      </w:r>
      <w:r w:rsidRPr="00226F81">
        <w:t xml:space="preserve"> Report and when using data included in the report.</w:t>
      </w:r>
    </w:p>
    <w:p w14:paraId="4A6BD7C6" w14:textId="068B36FC" w:rsidR="00E30D16" w:rsidRDefault="00E30D16">
      <w:pPr>
        <w:spacing w:before="0" w:after="0" w:line="240" w:lineRule="auto"/>
      </w:pPr>
      <w:r>
        <w:br w:type="page"/>
      </w:r>
    </w:p>
    <w:p w14:paraId="08BB2D5D" w14:textId="1DCC95F4" w:rsidR="005D59CB" w:rsidRDefault="00F472D6" w:rsidP="00440E76">
      <w:pPr>
        <w:pStyle w:val="Heading1"/>
      </w:pPr>
      <w:bookmarkStart w:id="50" w:name="_Toc15451631"/>
      <w:bookmarkStart w:id="51" w:name="_Toc25759697"/>
      <w:r>
        <w:lastRenderedPageBreak/>
        <w:t>Appendix A</w:t>
      </w:r>
      <w:r w:rsidR="005D59CB">
        <w:t>. Data Quality Statements</w:t>
      </w:r>
      <w:bookmarkEnd w:id="50"/>
      <w:bookmarkEnd w:id="51"/>
      <w:r w:rsidR="005D59CB">
        <w:t xml:space="preserve"> </w:t>
      </w:r>
    </w:p>
    <w:p w14:paraId="0FC8081A" w14:textId="77777777" w:rsidR="005D59CB" w:rsidRPr="00F94514" w:rsidRDefault="005D59CB" w:rsidP="005D59CB">
      <w:pPr>
        <w:rPr>
          <w:rFonts w:asciiTheme="majorHAnsi" w:hAnsiTheme="majorHAnsi"/>
          <w:b/>
          <w:sz w:val="28"/>
          <w:szCs w:val="28"/>
        </w:rPr>
      </w:pPr>
      <w:r w:rsidRPr="00F94514">
        <w:rPr>
          <w:rFonts w:asciiTheme="majorHAnsi" w:hAnsiTheme="majorHAnsi"/>
          <w:b/>
          <w:sz w:val="28"/>
          <w:szCs w:val="28"/>
        </w:rPr>
        <w:t>ACT</w:t>
      </w:r>
    </w:p>
    <w:p w14:paraId="07EB9395" w14:textId="77777777" w:rsidR="005D59CB" w:rsidRPr="00CB4C9A" w:rsidRDefault="000F5F13" w:rsidP="005D59CB">
      <w:r>
        <w:rPr>
          <w:noProof/>
        </w:rPr>
        <w:drawing>
          <wp:inline distT="0" distB="0" distL="0" distR="0" wp14:anchorId="5679C4D9" wp14:editId="2C50483E">
            <wp:extent cx="5216202" cy="7323667"/>
            <wp:effectExtent l="0" t="0" r="3810" b="0"/>
            <wp:docPr id="28" name="Picture 28" descr="Page 1 of ACT Data Quality Statement" title="ACT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8447" cy="7354900"/>
                    </a:xfrm>
                    <a:prstGeom prst="rect">
                      <a:avLst/>
                    </a:prstGeom>
                  </pic:spPr>
                </pic:pic>
              </a:graphicData>
            </a:graphic>
          </wp:inline>
        </w:drawing>
      </w:r>
    </w:p>
    <w:p w14:paraId="73896F34" w14:textId="77777777" w:rsidR="00CB4C9A" w:rsidRDefault="000F5F13" w:rsidP="000F5F13">
      <w:pPr>
        <w:spacing w:before="0" w:after="0" w:line="240" w:lineRule="auto"/>
      </w:pPr>
      <w:r>
        <w:br w:type="page"/>
      </w:r>
      <w:r>
        <w:rPr>
          <w:noProof/>
        </w:rPr>
        <w:lastRenderedPageBreak/>
        <w:drawing>
          <wp:inline distT="0" distB="0" distL="0" distR="0" wp14:anchorId="41B8D60E" wp14:editId="79547956">
            <wp:extent cx="5770630" cy="8121650"/>
            <wp:effectExtent l="0" t="0" r="1905" b="0"/>
            <wp:docPr id="289" name="Picture 289" descr="Page 2 of ACT Data Quality Statement" title="ACT Data Qualit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7800" cy="8131742"/>
                    </a:xfrm>
                    <a:prstGeom prst="rect">
                      <a:avLst/>
                    </a:prstGeom>
                  </pic:spPr>
                </pic:pic>
              </a:graphicData>
            </a:graphic>
          </wp:inline>
        </w:drawing>
      </w:r>
    </w:p>
    <w:p w14:paraId="7A7C00F1" w14:textId="77777777" w:rsidR="000F5F13" w:rsidRPr="00E521E0" w:rsidRDefault="000F5F13" w:rsidP="000F5F13">
      <w:pPr>
        <w:spacing w:before="0" w:after="0" w:line="240" w:lineRule="auto"/>
        <w:sectPr w:rsidR="000F5F13" w:rsidRPr="00E521E0" w:rsidSect="00BB51DC">
          <w:headerReference w:type="default" r:id="rId16"/>
          <w:footerReference w:type="default" r:id="rId17"/>
          <w:pgSz w:w="11906" w:h="16838" w:code="9"/>
          <w:pgMar w:top="2041" w:right="1276" w:bottom="1134" w:left="1021" w:header="680" w:footer="510" w:gutter="0"/>
          <w:pgNumType w:start="1"/>
          <w:cols w:space="708"/>
          <w:titlePg/>
          <w:docGrid w:linePitch="360"/>
        </w:sectPr>
      </w:pPr>
      <w:r>
        <w:rPr>
          <w:noProof/>
        </w:rPr>
        <w:lastRenderedPageBreak/>
        <w:drawing>
          <wp:inline distT="0" distB="0" distL="0" distR="0" wp14:anchorId="63B64E1A" wp14:editId="3F56887A">
            <wp:extent cx="5784187" cy="8089900"/>
            <wp:effectExtent l="0" t="0" r="7620" b="6350"/>
            <wp:docPr id="290" name="Picture 290" descr="Page 3 of ACT Data Quality Statement" title="ACT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8556" cy="8109996"/>
                    </a:xfrm>
                    <a:prstGeom prst="rect">
                      <a:avLst/>
                    </a:prstGeom>
                  </pic:spPr>
                </pic:pic>
              </a:graphicData>
            </a:graphic>
          </wp:inline>
        </w:drawing>
      </w:r>
    </w:p>
    <w:p w14:paraId="023D22DA" w14:textId="77777777" w:rsidR="004B6247" w:rsidRPr="00AA3DC6" w:rsidRDefault="004B6247" w:rsidP="00AA3DC6">
      <w:pPr>
        <w:rPr>
          <w:rFonts w:cs="Arial"/>
          <w:b/>
          <w:sz w:val="28"/>
          <w:szCs w:val="28"/>
        </w:rPr>
      </w:pPr>
      <w:r w:rsidRPr="00AA3DC6">
        <w:rPr>
          <w:rFonts w:cs="Arial"/>
          <w:b/>
          <w:sz w:val="28"/>
          <w:szCs w:val="28"/>
        </w:rPr>
        <w:lastRenderedPageBreak/>
        <w:t xml:space="preserve"> </w:t>
      </w:r>
      <w:bookmarkStart w:id="52" w:name="_Toc15451632"/>
      <w:r w:rsidRPr="00AA3DC6">
        <w:rPr>
          <w:rFonts w:cs="Arial"/>
          <w:b/>
          <w:sz w:val="28"/>
          <w:szCs w:val="28"/>
        </w:rPr>
        <w:t>New South Wales</w:t>
      </w:r>
      <w:bookmarkEnd w:id="52"/>
    </w:p>
    <w:p w14:paraId="7E6EBE10" w14:textId="77777777" w:rsidR="00DF77D5" w:rsidRDefault="000F5F13">
      <w:pPr>
        <w:spacing w:before="0" w:after="0" w:line="240" w:lineRule="auto"/>
        <w:rPr>
          <w:rFonts w:eastAsia="Arial" w:cs="Arial"/>
          <w:szCs w:val="22"/>
          <w:lang w:eastAsia="en-US"/>
        </w:rPr>
      </w:pPr>
      <w:r>
        <w:rPr>
          <w:noProof/>
        </w:rPr>
        <w:drawing>
          <wp:inline distT="0" distB="0" distL="0" distR="0" wp14:anchorId="02290D36" wp14:editId="04A1E58C">
            <wp:extent cx="5298519" cy="7461683"/>
            <wp:effectExtent l="0" t="0" r="0" b="6350"/>
            <wp:docPr id="291" name="Picture 291" descr="Page 1 of NSW Data Quality Statement" title="NSW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8652" cy="7475953"/>
                    </a:xfrm>
                    <a:prstGeom prst="rect">
                      <a:avLst/>
                    </a:prstGeom>
                  </pic:spPr>
                </pic:pic>
              </a:graphicData>
            </a:graphic>
          </wp:inline>
        </w:drawing>
      </w:r>
    </w:p>
    <w:p w14:paraId="797E66D8" w14:textId="77777777" w:rsidR="00DF77D5" w:rsidRDefault="00DF77D5">
      <w:pPr>
        <w:spacing w:before="0" w:after="0" w:line="240" w:lineRule="auto"/>
        <w:rPr>
          <w:rFonts w:eastAsia="Arial" w:cs="Arial"/>
          <w:szCs w:val="22"/>
          <w:lang w:eastAsia="en-US"/>
        </w:rPr>
      </w:pPr>
      <w:r>
        <w:rPr>
          <w:rFonts w:eastAsia="Arial" w:cs="Arial"/>
          <w:szCs w:val="22"/>
          <w:lang w:eastAsia="en-US"/>
        </w:rPr>
        <w:br w:type="page"/>
      </w:r>
    </w:p>
    <w:p w14:paraId="013C6721" w14:textId="77777777" w:rsidR="004B6247" w:rsidRPr="004A7081" w:rsidRDefault="000F5F13">
      <w:pPr>
        <w:spacing w:before="0" w:after="0" w:line="240" w:lineRule="auto"/>
      </w:pPr>
      <w:r>
        <w:rPr>
          <w:noProof/>
        </w:rPr>
        <w:lastRenderedPageBreak/>
        <w:drawing>
          <wp:inline distT="0" distB="0" distL="0" distR="0" wp14:anchorId="3A01F080" wp14:editId="7047D13C">
            <wp:extent cx="5755175" cy="7493000"/>
            <wp:effectExtent l="0" t="0" r="0" b="0"/>
            <wp:docPr id="3" name="Picture 3" descr="Page 2 of NSW Data Quality Statement" title="NSW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552" cy="7498699"/>
                    </a:xfrm>
                    <a:prstGeom prst="rect">
                      <a:avLst/>
                    </a:prstGeom>
                  </pic:spPr>
                </pic:pic>
              </a:graphicData>
            </a:graphic>
          </wp:inline>
        </w:drawing>
      </w:r>
      <w:r>
        <w:rPr>
          <w:noProof/>
        </w:rPr>
        <w:lastRenderedPageBreak/>
        <w:drawing>
          <wp:inline distT="0" distB="0" distL="0" distR="0" wp14:anchorId="3E800BDA" wp14:editId="4FEEEF14">
            <wp:extent cx="5785426" cy="7550150"/>
            <wp:effectExtent l="0" t="0" r="6350" b="0"/>
            <wp:docPr id="6" name="Picture 6" descr="Page 3 of NSW Data Quality Statement" title="NSW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8423" cy="7554062"/>
                    </a:xfrm>
                    <a:prstGeom prst="rect">
                      <a:avLst/>
                    </a:prstGeom>
                  </pic:spPr>
                </pic:pic>
              </a:graphicData>
            </a:graphic>
          </wp:inline>
        </w:drawing>
      </w:r>
      <w:r w:rsidR="004B6247">
        <w:rPr>
          <w:rFonts w:eastAsia="Arial" w:cs="Arial"/>
          <w:szCs w:val="22"/>
          <w:lang w:eastAsia="en-US"/>
        </w:rPr>
        <w:br w:type="page"/>
      </w:r>
    </w:p>
    <w:p w14:paraId="054D1DCE" w14:textId="1DECE59F" w:rsidR="004B6247" w:rsidRDefault="004B6247" w:rsidP="004B6247">
      <w:pPr>
        <w:rPr>
          <w:rFonts w:asciiTheme="majorHAnsi" w:hAnsiTheme="majorHAnsi"/>
          <w:b/>
          <w:sz w:val="28"/>
          <w:szCs w:val="28"/>
        </w:rPr>
      </w:pPr>
      <w:r w:rsidRPr="00F94514">
        <w:rPr>
          <w:rFonts w:asciiTheme="majorHAnsi" w:hAnsiTheme="majorHAnsi"/>
          <w:b/>
          <w:sz w:val="28"/>
          <w:szCs w:val="28"/>
        </w:rPr>
        <w:lastRenderedPageBreak/>
        <w:t>Northern Territory</w:t>
      </w:r>
    </w:p>
    <w:p w14:paraId="2431C6B3" w14:textId="49C1F2C7" w:rsidR="00450810" w:rsidRDefault="00450810" w:rsidP="004B6247">
      <w:pPr>
        <w:rPr>
          <w:rFonts w:asciiTheme="majorHAnsi" w:hAnsiTheme="majorHAnsi"/>
          <w:b/>
          <w:sz w:val="28"/>
          <w:szCs w:val="28"/>
        </w:rPr>
      </w:pPr>
      <w:r>
        <w:rPr>
          <w:noProof/>
        </w:rPr>
        <w:drawing>
          <wp:inline distT="0" distB="0" distL="0" distR="0" wp14:anchorId="308BA15F" wp14:editId="2401EFF0">
            <wp:extent cx="5305425" cy="7762875"/>
            <wp:effectExtent l="0" t="0" r="9525" b="9525"/>
            <wp:docPr id="11" name="Picture 11" descr="Page 1 of NT Data Quality Statement" title="NT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5425" cy="7762875"/>
                    </a:xfrm>
                    <a:prstGeom prst="rect">
                      <a:avLst/>
                    </a:prstGeom>
                  </pic:spPr>
                </pic:pic>
              </a:graphicData>
            </a:graphic>
          </wp:inline>
        </w:drawing>
      </w:r>
    </w:p>
    <w:p w14:paraId="7649DC04" w14:textId="77777777" w:rsidR="00DE2857" w:rsidRDefault="00DE2857" w:rsidP="004B6247">
      <w:pPr>
        <w:rPr>
          <w:rFonts w:asciiTheme="majorHAnsi" w:hAnsiTheme="majorHAnsi"/>
          <w:b/>
          <w:sz w:val="28"/>
          <w:szCs w:val="28"/>
        </w:rPr>
      </w:pPr>
    </w:p>
    <w:p w14:paraId="2D3D0158" w14:textId="7C5C26CF" w:rsidR="002069AD" w:rsidRPr="00F94514" w:rsidRDefault="002069AD" w:rsidP="004B6247">
      <w:pPr>
        <w:rPr>
          <w:rFonts w:asciiTheme="majorHAnsi" w:hAnsiTheme="majorHAnsi"/>
          <w:b/>
          <w:sz w:val="28"/>
          <w:szCs w:val="28"/>
        </w:rPr>
      </w:pPr>
      <w:r w:rsidRPr="00F94514">
        <w:rPr>
          <w:rFonts w:asciiTheme="majorHAnsi" w:hAnsiTheme="majorHAnsi"/>
          <w:b/>
          <w:sz w:val="28"/>
          <w:szCs w:val="28"/>
        </w:rPr>
        <w:lastRenderedPageBreak/>
        <w:t>Queensland</w:t>
      </w:r>
    </w:p>
    <w:p w14:paraId="18695846" w14:textId="77777777" w:rsidR="00F10565" w:rsidRDefault="004B1041" w:rsidP="00F10565">
      <w:pPr>
        <w:rPr>
          <w:noProof/>
        </w:rPr>
      </w:pPr>
      <w:r>
        <w:rPr>
          <w:noProof/>
        </w:rPr>
        <w:drawing>
          <wp:inline distT="0" distB="0" distL="0" distR="0" wp14:anchorId="0887C6C7" wp14:editId="42BAC4B3">
            <wp:extent cx="5499535" cy="7780867"/>
            <wp:effectExtent l="0" t="0" r="6350" b="0"/>
            <wp:docPr id="30" name="Picture 30" descr="Page 1 of QLD Data Quality Statement" title="QLD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2118" cy="7812818"/>
                    </a:xfrm>
                    <a:prstGeom prst="rect">
                      <a:avLst/>
                    </a:prstGeom>
                  </pic:spPr>
                </pic:pic>
              </a:graphicData>
            </a:graphic>
          </wp:inline>
        </w:drawing>
      </w:r>
      <w:r w:rsidR="00F10565" w:rsidRPr="00F10565">
        <w:rPr>
          <w:noProof/>
        </w:rPr>
        <w:t xml:space="preserve"> </w:t>
      </w:r>
      <w:r w:rsidR="00F10565">
        <w:rPr>
          <w:noProof/>
        </w:rPr>
        <w:br w:type="page"/>
      </w:r>
    </w:p>
    <w:p w14:paraId="7F91D99C" w14:textId="738B6D80" w:rsidR="002069AD" w:rsidRDefault="00F10565" w:rsidP="00736FAD">
      <w:pPr>
        <w:rPr>
          <w:rFonts w:cs="Arial"/>
          <w:b/>
          <w:sz w:val="28"/>
          <w:szCs w:val="28"/>
        </w:rPr>
      </w:pPr>
      <w:r>
        <w:rPr>
          <w:noProof/>
        </w:rPr>
        <w:lastRenderedPageBreak/>
        <w:drawing>
          <wp:inline distT="0" distB="0" distL="0" distR="0" wp14:anchorId="73905952" wp14:editId="1978EE26">
            <wp:extent cx="5731934" cy="8044736"/>
            <wp:effectExtent l="0" t="0" r="2540" b="0"/>
            <wp:docPr id="19" name="Picture 19" descr="Page 2 of QLD Data Quality Statement" title="QLD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9923" cy="8055948"/>
                    </a:xfrm>
                    <a:prstGeom prst="rect">
                      <a:avLst/>
                    </a:prstGeom>
                  </pic:spPr>
                </pic:pic>
              </a:graphicData>
            </a:graphic>
          </wp:inline>
        </w:drawing>
      </w:r>
      <w:r w:rsidRPr="00F10565">
        <w:rPr>
          <w:noProof/>
        </w:rPr>
        <w:t xml:space="preserve"> </w:t>
      </w:r>
      <w:r>
        <w:rPr>
          <w:noProof/>
        </w:rPr>
        <w:lastRenderedPageBreak/>
        <w:drawing>
          <wp:inline distT="0" distB="0" distL="0" distR="0" wp14:anchorId="68B94E3A" wp14:editId="050FBDE4">
            <wp:extent cx="5738240" cy="8060267"/>
            <wp:effectExtent l="0" t="0" r="0" b="0"/>
            <wp:docPr id="21" name="Picture 21" descr="Page 3 of QLD Data Quality Statement" title="QLD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4616" cy="8069224"/>
                    </a:xfrm>
                    <a:prstGeom prst="rect">
                      <a:avLst/>
                    </a:prstGeom>
                  </pic:spPr>
                </pic:pic>
              </a:graphicData>
            </a:graphic>
          </wp:inline>
        </w:drawing>
      </w:r>
      <w:r w:rsidRPr="00F10565">
        <w:rPr>
          <w:noProof/>
        </w:rPr>
        <w:t xml:space="preserve"> </w:t>
      </w:r>
      <w:r>
        <w:rPr>
          <w:noProof/>
        </w:rPr>
        <w:lastRenderedPageBreak/>
        <w:drawing>
          <wp:inline distT="0" distB="0" distL="0" distR="0" wp14:anchorId="607326B8" wp14:editId="6A44D73C">
            <wp:extent cx="5700390" cy="8034867"/>
            <wp:effectExtent l="0" t="0" r="0" b="4445"/>
            <wp:docPr id="29" name="Picture 29" descr="Page 4 of QLD Data Quality Statement" title="QLD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1489" cy="8050512"/>
                    </a:xfrm>
                    <a:prstGeom prst="rect">
                      <a:avLst/>
                    </a:prstGeom>
                  </pic:spPr>
                </pic:pic>
              </a:graphicData>
            </a:graphic>
          </wp:inline>
        </w:drawing>
      </w:r>
    </w:p>
    <w:p w14:paraId="0B397D7F" w14:textId="77777777" w:rsidR="00DE2857" w:rsidRDefault="00DE2857" w:rsidP="002069AD">
      <w:pPr>
        <w:rPr>
          <w:rFonts w:asciiTheme="majorHAnsi" w:hAnsiTheme="majorHAnsi"/>
          <w:b/>
          <w:sz w:val="28"/>
          <w:szCs w:val="28"/>
        </w:rPr>
      </w:pPr>
    </w:p>
    <w:p w14:paraId="19562E4F" w14:textId="100AD928" w:rsidR="002069AD" w:rsidRPr="00F94514" w:rsidRDefault="002069AD" w:rsidP="002069AD">
      <w:pPr>
        <w:rPr>
          <w:rFonts w:asciiTheme="majorHAnsi" w:hAnsiTheme="majorHAnsi"/>
          <w:b/>
          <w:sz w:val="28"/>
          <w:szCs w:val="28"/>
        </w:rPr>
      </w:pPr>
      <w:r w:rsidRPr="00F94514">
        <w:rPr>
          <w:rFonts w:asciiTheme="majorHAnsi" w:hAnsiTheme="majorHAnsi"/>
          <w:b/>
          <w:sz w:val="28"/>
          <w:szCs w:val="28"/>
        </w:rPr>
        <w:lastRenderedPageBreak/>
        <w:t>South Australia</w:t>
      </w:r>
    </w:p>
    <w:p w14:paraId="1A3B5143" w14:textId="77777777" w:rsidR="00DF77D5" w:rsidRDefault="000F5F13" w:rsidP="004A7081">
      <w:pPr>
        <w:spacing w:before="0" w:after="0" w:line="240" w:lineRule="auto"/>
        <w:rPr>
          <w:rFonts w:cs="Arial"/>
          <w:b/>
          <w:sz w:val="28"/>
          <w:szCs w:val="28"/>
        </w:rPr>
      </w:pPr>
      <w:r>
        <w:rPr>
          <w:noProof/>
        </w:rPr>
        <w:drawing>
          <wp:inline distT="0" distB="0" distL="0" distR="0" wp14:anchorId="109CFA04" wp14:editId="1DA57DA3">
            <wp:extent cx="5200940" cy="7374467"/>
            <wp:effectExtent l="0" t="0" r="0" b="0"/>
            <wp:docPr id="8" name="Picture 8" descr="Page 1 of SA Data Quality Statement" title="S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6784" cy="7396932"/>
                    </a:xfrm>
                    <a:prstGeom prst="rect">
                      <a:avLst/>
                    </a:prstGeom>
                  </pic:spPr>
                </pic:pic>
              </a:graphicData>
            </a:graphic>
          </wp:inline>
        </w:drawing>
      </w:r>
    </w:p>
    <w:p w14:paraId="70A93288" w14:textId="77777777" w:rsidR="00DF77D5" w:rsidRDefault="00DF77D5">
      <w:pPr>
        <w:spacing w:before="0" w:after="0" w:line="240" w:lineRule="auto"/>
        <w:rPr>
          <w:rFonts w:cs="Arial"/>
          <w:b/>
          <w:sz w:val="28"/>
          <w:szCs w:val="28"/>
        </w:rPr>
      </w:pPr>
      <w:r>
        <w:rPr>
          <w:rFonts w:cs="Arial"/>
          <w:b/>
          <w:sz w:val="28"/>
          <w:szCs w:val="28"/>
        </w:rPr>
        <w:br w:type="page"/>
      </w:r>
    </w:p>
    <w:p w14:paraId="26047847" w14:textId="77777777" w:rsidR="00F747FA" w:rsidRDefault="000F5F13" w:rsidP="004A7081">
      <w:pPr>
        <w:spacing w:before="0" w:after="0" w:line="240" w:lineRule="auto"/>
        <w:rPr>
          <w:rFonts w:cs="Arial"/>
          <w:b/>
          <w:sz w:val="28"/>
          <w:szCs w:val="28"/>
        </w:rPr>
      </w:pPr>
      <w:r>
        <w:rPr>
          <w:noProof/>
        </w:rPr>
        <w:lastRenderedPageBreak/>
        <w:drawing>
          <wp:inline distT="0" distB="0" distL="0" distR="0" wp14:anchorId="5FDCEE16" wp14:editId="4D165105">
            <wp:extent cx="5762625" cy="8162925"/>
            <wp:effectExtent l="0" t="0" r="9525" b="9525"/>
            <wp:docPr id="9" name="Picture 9" descr="Page 2 of SA Data Quality Statement" title="S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2625" cy="8162925"/>
                    </a:xfrm>
                    <a:prstGeom prst="rect">
                      <a:avLst/>
                    </a:prstGeom>
                  </pic:spPr>
                </pic:pic>
              </a:graphicData>
            </a:graphic>
          </wp:inline>
        </w:drawing>
      </w:r>
      <w:r>
        <w:rPr>
          <w:noProof/>
        </w:rPr>
        <w:lastRenderedPageBreak/>
        <w:drawing>
          <wp:inline distT="0" distB="0" distL="0" distR="0" wp14:anchorId="49A9358C" wp14:editId="5BF158A0">
            <wp:extent cx="5762625" cy="8124825"/>
            <wp:effectExtent l="0" t="0" r="9525" b="9525"/>
            <wp:docPr id="12" name="Picture 12" descr="Page 3 of SA Data Quality Statement" title="S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2625" cy="8124825"/>
                    </a:xfrm>
                    <a:prstGeom prst="rect">
                      <a:avLst/>
                    </a:prstGeom>
                  </pic:spPr>
                </pic:pic>
              </a:graphicData>
            </a:graphic>
          </wp:inline>
        </w:drawing>
      </w:r>
      <w:r>
        <w:rPr>
          <w:noProof/>
        </w:rPr>
        <w:lastRenderedPageBreak/>
        <w:drawing>
          <wp:inline distT="0" distB="0" distL="0" distR="0" wp14:anchorId="4A9A320B" wp14:editId="1CE9905D">
            <wp:extent cx="5772150" cy="8124825"/>
            <wp:effectExtent l="0" t="0" r="0" b="9525"/>
            <wp:docPr id="13" name="Picture 13" descr="Page 4 of SA Data Quality Statement" title="S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150" cy="8124825"/>
                    </a:xfrm>
                    <a:prstGeom prst="rect">
                      <a:avLst/>
                    </a:prstGeom>
                  </pic:spPr>
                </pic:pic>
              </a:graphicData>
            </a:graphic>
          </wp:inline>
        </w:drawing>
      </w:r>
    </w:p>
    <w:p w14:paraId="148712CA" w14:textId="77777777" w:rsidR="0084535F" w:rsidRPr="00F94514" w:rsidRDefault="0084535F" w:rsidP="0084535F">
      <w:pPr>
        <w:rPr>
          <w:rFonts w:asciiTheme="majorHAnsi" w:hAnsiTheme="majorHAnsi"/>
          <w:b/>
          <w:sz w:val="28"/>
          <w:szCs w:val="28"/>
        </w:rPr>
      </w:pPr>
      <w:r w:rsidRPr="00F94514">
        <w:rPr>
          <w:rFonts w:asciiTheme="majorHAnsi" w:hAnsiTheme="majorHAnsi"/>
          <w:b/>
          <w:sz w:val="28"/>
          <w:szCs w:val="28"/>
        </w:rPr>
        <w:lastRenderedPageBreak/>
        <w:t>Tasmania</w:t>
      </w:r>
    </w:p>
    <w:p w14:paraId="1CE87E71" w14:textId="77777777" w:rsidR="00DF77D5" w:rsidRDefault="000F5F13" w:rsidP="0084535F">
      <w:pPr>
        <w:rPr>
          <w:rFonts w:cs="Arial"/>
          <w:b/>
          <w:sz w:val="28"/>
          <w:szCs w:val="28"/>
        </w:rPr>
      </w:pPr>
      <w:r>
        <w:rPr>
          <w:noProof/>
        </w:rPr>
        <w:drawing>
          <wp:inline distT="0" distB="0" distL="0" distR="0" wp14:anchorId="4C57DEA8" wp14:editId="35D2F3DD">
            <wp:extent cx="5428192" cy="7639699"/>
            <wp:effectExtent l="0" t="0" r="1270" b="0"/>
            <wp:docPr id="26" name="Picture 26" descr="Page 1 of Tasmania Data Quality Statement" title="Tasman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9467" cy="7669641"/>
                    </a:xfrm>
                    <a:prstGeom prst="rect">
                      <a:avLst/>
                    </a:prstGeom>
                  </pic:spPr>
                </pic:pic>
              </a:graphicData>
            </a:graphic>
          </wp:inline>
        </w:drawing>
      </w:r>
    </w:p>
    <w:p w14:paraId="1E476B3A" w14:textId="77777777" w:rsidR="00DF77D5" w:rsidRDefault="00DF77D5">
      <w:pPr>
        <w:spacing w:before="0" w:after="0" w:line="240" w:lineRule="auto"/>
        <w:rPr>
          <w:rFonts w:cs="Arial"/>
          <w:b/>
          <w:sz w:val="28"/>
          <w:szCs w:val="28"/>
        </w:rPr>
      </w:pPr>
      <w:r>
        <w:rPr>
          <w:rFonts w:cs="Arial"/>
          <w:b/>
          <w:sz w:val="28"/>
          <w:szCs w:val="28"/>
        </w:rPr>
        <w:br w:type="page"/>
      </w:r>
    </w:p>
    <w:p w14:paraId="34E9500F" w14:textId="77777777" w:rsidR="0084535F" w:rsidRDefault="000F5F13" w:rsidP="0084535F">
      <w:pPr>
        <w:rPr>
          <w:rFonts w:cs="Arial"/>
          <w:b/>
          <w:sz w:val="28"/>
          <w:szCs w:val="28"/>
        </w:rPr>
      </w:pPr>
      <w:r>
        <w:rPr>
          <w:noProof/>
        </w:rPr>
        <w:lastRenderedPageBreak/>
        <w:drawing>
          <wp:inline distT="0" distB="0" distL="0" distR="0" wp14:anchorId="1171D9E8" wp14:editId="40C13F89">
            <wp:extent cx="5752951" cy="8108950"/>
            <wp:effectExtent l="0" t="0" r="635" b="6350"/>
            <wp:docPr id="27" name="Picture 27" descr="Page 2 of Tasmania Data Quality Statement" title="Tasman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7712" cy="8115661"/>
                    </a:xfrm>
                    <a:prstGeom prst="rect">
                      <a:avLst/>
                    </a:prstGeom>
                  </pic:spPr>
                </pic:pic>
              </a:graphicData>
            </a:graphic>
          </wp:inline>
        </w:drawing>
      </w:r>
    </w:p>
    <w:p w14:paraId="75B12DEE" w14:textId="77777777" w:rsidR="00DF77D5" w:rsidRDefault="004B6247" w:rsidP="000F5F13">
      <w:pPr>
        <w:rPr>
          <w:rFonts w:cs="Arial"/>
          <w:b/>
          <w:sz w:val="28"/>
          <w:szCs w:val="28"/>
        </w:rPr>
      </w:pPr>
      <w:r>
        <w:rPr>
          <w:rFonts w:eastAsia="Arial" w:cs="Arial"/>
          <w:szCs w:val="22"/>
          <w:lang w:eastAsia="en-US"/>
        </w:rPr>
        <w:br w:type="page"/>
      </w:r>
      <w:r w:rsidR="004A7081" w:rsidRPr="00F94514">
        <w:rPr>
          <w:rFonts w:asciiTheme="majorHAnsi" w:hAnsiTheme="majorHAnsi"/>
          <w:b/>
          <w:sz w:val="28"/>
          <w:szCs w:val="28"/>
        </w:rPr>
        <w:lastRenderedPageBreak/>
        <w:t>Victoria</w:t>
      </w:r>
    </w:p>
    <w:p w14:paraId="293C058A" w14:textId="77777777" w:rsidR="00DF77D5" w:rsidRDefault="000F5F13" w:rsidP="000F5F13">
      <w:pPr>
        <w:rPr>
          <w:rFonts w:cs="Arial"/>
          <w:b/>
          <w:sz w:val="28"/>
          <w:szCs w:val="28"/>
        </w:rPr>
      </w:pPr>
      <w:r>
        <w:rPr>
          <w:noProof/>
        </w:rPr>
        <w:drawing>
          <wp:inline distT="0" distB="0" distL="0" distR="0" wp14:anchorId="30176437" wp14:editId="66EDDB86">
            <wp:extent cx="5223934" cy="7332864"/>
            <wp:effectExtent l="0" t="0" r="0" b="1905"/>
            <wp:docPr id="18" name="Picture 18" descr="Page 1 of Victoria Data Quality Statement" title="Victor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1491" cy="7343471"/>
                    </a:xfrm>
                    <a:prstGeom prst="rect">
                      <a:avLst/>
                    </a:prstGeom>
                  </pic:spPr>
                </pic:pic>
              </a:graphicData>
            </a:graphic>
          </wp:inline>
        </w:drawing>
      </w:r>
    </w:p>
    <w:p w14:paraId="7EAD3F31" w14:textId="77777777" w:rsidR="00DF77D5" w:rsidRDefault="00DF77D5">
      <w:pPr>
        <w:spacing w:before="0" w:after="0" w:line="240" w:lineRule="auto"/>
        <w:rPr>
          <w:rFonts w:cs="Arial"/>
          <w:b/>
          <w:sz w:val="28"/>
          <w:szCs w:val="28"/>
        </w:rPr>
      </w:pPr>
      <w:r>
        <w:rPr>
          <w:rFonts w:cs="Arial"/>
          <w:b/>
          <w:sz w:val="28"/>
          <w:szCs w:val="28"/>
        </w:rPr>
        <w:br w:type="page"/>
      </w:r>
    </w:p>
    <w:p w14:paraId="575E469E" w14:textId="77777777" w:rsidR="00507186" w:rsidRPr="000F5F13" w:rsidRDefault="000F5F13" w:rsidP="000F5F13">
      <w:pPr>
        <w:rPr>
          <w:rFonts w:cs="Arial"/>
          <w:b/>
          <w:sz w:val="28"/>
          <w:szCs w:val="28"/>
        </w:rPr>
      </w:pPr>
      <w:r>
        <w:rPr>
          <w:noProof/>
        </w:rPr>
        <w:lastRenderedPageBreak/>
        <w:drawing>
          <wp:inline distT="0" distB="0" distL="0" distR="0" wp14:anchorId="3534F730" wp14:editId="07D1A683">
            <wp:extent cx="5771763" cy="8115300"/>
            <wp:effectExtent l="0" t="0" r="635" b="0"/>
            <wp:docPr id="22" name="Picture 22" descr="Page 2 of Victoria Data Quality Statement" title="Victor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5822" cy="8121007"/>
                    </a:xfrm>
                    <a:prstGeom prst="rect">
                      <a:avLst/>
                    </a:prstGeom>
                  </pic:spPr>
                </pic:pic>
              </a:graphicData>
            </a:graphic>
          </wp:inline>
        </w:drawing>
      </w:r>
      <w:r>
        <w:rPr>
          <w:noProof/>
        </w:rPr>
        <w:lastRenderedPageBreak/>
        <w:drawing>
          <wp:inline distT="0" distB="0" distL="0" distR="0" wp14:anchorId="13D2F067" wp14:editId="7268F392">
            <wp:extent cx="5759450" cy="8097988"/>
            <wp:effectExtent l="0" t="0" r="0" b="0"/>
            <wp:docPr id="23" name="Picture 23" descr="Page 3 of Victoria Data Quality Statement" title="Victor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3263" cy="8103349"/>
                    </a:xfrm>
                    <a:prstGeom prst="rect">
                      <a:avLst/>
                    </a:prstGeom>
                  </pic:spPr>
                </pic:pic>
              </a:graphicData>
            </a:graphic>
          </wp:inline>
        </w:drawing>
      </w:r>
      <w:r>
        <w:rPr>
          <w:noProof/>
        </w:rPr>
        <w:lastRenderedPageBreak/>
        <w:drawing>
          <wp:inline distT="0" distB="0" distL="0" distR="0" wp14:anchorId="7BB53EB5" wp14:editId="29F8BC91">
            <wp:extent cx="5778500" cy="8125997"/>
            <wp:effectExtent l="0" t="0" r="0" b="8890"/>
            <wp:docPr id="24" name="Picture 24" descr="Page 4 of Victoria Data Quality Statement" title="Victor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82948" cy="8132251"/>
                    </a:xfrm>
                    <a:prstGeom prst="rect">
                      <a:avLst/>
                    </a:prstGeom>
                  </pic:spPr>
                </pic:pic>
              </a:graphicData>
            </a:graphic>
          </wp:inline>
        </w:drawing>
      </w:r>
      <w:r>
        <w:rPr>
          <w:noProof/>
        </w:rPr>
        <w:lastRenderedPageBreak/>
        <w:drawing>
          <wp:inline distT="0" distB="0" distL="0" distR="0" wp14:anchorId="1E5E862B" wp14:editId="5F237D75">
            <wp:extent cx="5759846" cy="8077200"/>
            <wp:effectExtent l="0" t="0" r="0" b="0"/>
            <wp:docPr id="25" name="Picture 25" descr="Page 5 of Victoria Data Quality Statement" title="Victori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5315" cy="8084870"/>
                    </a:xfrm>
                    <a:prstGeom prst="rect">
                      <a:avLst/>
                    </a:prstGeom>
                  </pic:spPr>
                </pic:pic>
              </a:graphicData>
            </a:graphic>
          </wp:inline>
        </w:drawing>
      </w:r>
    </w:p>
    <w:p w14:paraId="3DD389BC" w14:textId="77777777" w:rsidR="00DE2857" w:rsidRDefault="00DE2857" w:rsidP="00507186">
      <w:pPr>
        <w:rPr>
          <w:rFonts w:asciiTheme="majorHAnsi" w:hAnsiTheme="majorHAnsi"/>
          <w:b/>
          <w:sz w:val="28"/>
          <w:szCs w:val="28"/>
        </w:rPr>
      </w:pPr>
    </w:p>
    <w:p w14:paraId="56C7F323" w14:textId="5104BD00" w:rsidR="00507186" w:rsidRPr="00F94514" w:rsidRDefault="00507186" w:rsidP="00507186">
      <w:pPr>
        <w:rPr>
          <w:rFonts w:asciiTheme="majorHAnsi" w:hAnsiTheme="majorHAnsi"/>
          <w:b/>
          <w:sz w:val="28"/>
          <w:szCs w:val="28"/>
        </w:rPr>
      </w:pPr>
      <w:r w:rsidRPr="00F94514">
        <w:rPr>
          <w:rFonts w:asciiTheme="majorHAnsi" w:hAnsiTheme="majorHAnsi"/>
          <w:b/>
          <w:sz w:val="28"/>
          <w:szCs w:val="28"/>
        </w:rPr>
        <w:lastRenderedPageBreak/>
        <w:t>Western Australia</w:t>
      </w:r>
    </w:p>
    <w:p w14:paraId="4FC77A74" w14:textId="77777777" w:rsidR="00E8452A" w:rsidRDefault="000F5F13">
      <w:pPr>
        <w:spacing w:before="0" w:after="0" w:line="240" w:lineRule="auto"/>
      </w:pPr>
      <w:r>
        <w:rPr>
          <w:noProof/>
        </w:rPr>
        <w:drawing>
          <wp:inline distT="0" distB="0" distL="0" distR="0" wp14:anchorId="667117AE" wp14:editId="2F43C46F">
            <wp:extent cx="5687238" cy="7924800"/>
            <wp:effectExtent l="0" t="0" r="8890" b="0"/>
            <wp:docPr id="14" name="Picture 14" descr="Page 1 of WA Data Quality Statement" title="W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08568" cy="7954522"/>
                    </a:xfrm>
                    <a:prstGeom prst="rect">
                      <a:avLst/>
                    </a:prstGeom>
                  </pic:spPr>
                </pic:pic>
              </a:graphicData>
            </a:graphic>
          </wp:inline>
        </w:drawing>
      </w:r>
      <w:r w:rsidR="00E8452A">
        <w:br w:type="page"/>
      </w:r>
    </w:p>
    <w:p w14:paraId="32B18DD5" w14:textId="77777777" w:rsidR="00E8452A" w:rsidRDefault="000F5F13">
      <w:pPr>
        <w:spacing w:before="0" w:after="0" w:line="240" w:lineRule="auto"/>
      </w:pPr>
      <w:r>
        <w:rPr>
          <w:noProof/>
        </w:rPr>
        <w:lastRenderedPageBreak/>
        <w:drawing>
          <wp:inline distT="0" distB="0" distL="0" distR="0" wp14:anchorId="57269560" wp14:editId="705061F7">
            <wp:extent cx="5758838" cy="8026400"/>
            <wp:effectExtent l="0" t="0" r="0" b="0"/>
            <wp:docPr id="15" name="Picture 15" descr="Page 1 of WA Data Quality Statement" title="W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82" cy="8029109"/>
                    </a:xfrm>
                    <a:prstGeom prst="rect">
                      <a:avLst/>
                    </a:prstGeom>
                  </pic:spPr>
                </pic:pic>
              </a:graphicData>
            </a:graphic>
          </wp:inline>
        </w:drawing>
      </w:r>
      <w:r>
        <w:rPr>
          <w:noProof/>
        </w:rPr>
        <w:lastRenderedPageBreak/>
        <w:drawing>
          <wp:inline distT="0" distB="0" distL="0" distR="0" wp14:anchorId="127D8FF3" wp14:editId="2D270D80">
            <wp:extent cx="5788177" cy="8039100"/>
            <wp:effectExtent l="0" t="0" r="3175" b="0"/>
            <wp:docPr id="16" name="Picture 16" descr="Page 2 of WA Data Quality Statement" title="W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2886" cy="8045640"/>
                    </a:xfrm>
                    <a:prstGeom prst="rect">
                      <a:avLst/>
                    </a:prstGeom>
                  </pic:spPr>
                </pic:pic>
              </a:graphicData>
            </a:graphic>
          </wp:inline>
        </w:drawing>
      </w:r>
      <w:r>
        <w:rPr>
          <w:noProof/>
        </w:rPr>
        <w:lastRenderedPageBreak/>
        <w:drawing>
          <wp:inline distT="0" distB="0" distL="0" distR="0" wp14:anchorId="302C7A21" wp14:editId="4F472E6F">
            <wp:extent cx="5772150" cy="8112178"/>
            <wp:effectExtent l="0" t="0" r="0" b="3175"/>
            <wp:docPr id="17" name="Picture 17" descr="Page 3 of WA Data Quality Statement" title="WA Data Qual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4300" cy="8115200"/>
                    </a:xfrm>
                    <a:prstGeom prst="rect">
                      <a:avLst/>
                    </a:prstGeom>
                  </pic:spPr>
                </pic:pic>
              </a:graphicData>
            </a:graphic>
          </wp:inline>
        </w:drawing>
      </w:r>
    </w:p>
    <w:p w14:paraId="609AE81D" w14:textId="77777777" w:rsidR="00507186" w:rsidRDefault="00507186">
      <w:pPr>
        <w:spacing w:before="0" w:after="0" w:line="240" w:lineRule="auto"/>
      </w:pPr>
    </w:p>
    <w:p w14:paraId="31C7822B" w14:textId="77777777" w:rsidR="00562759" w:rsidRDefault="00FE7211" w:rsidP="00350852">
      <w:r>
        <w:rPr>
          <w:noProof/>
        </w:rPr>
        <w:lastRenderedPageBreak/>
        <mc:AlternateContent>
          <mc:Choice Requires="wps">
            <w:drawing>
              <wp:anchor distT="0" distB="0" distL="114300" distR="114300" simplePos="0" relativeHeight="251682816" behindDoc="0" locked="0" layoutInCell="1" allowOverlap="1" wp14:anchorId="41D4B5EF" wp14:editId="1D0C2FBC">
                <wp:simplePos x="0" y="0"/>
                <wp:positionH relativeFrom="column">
                  <wp:posOffset>152400</wp:posOffset>
                </wp:positionH>
                <wp:positionV relativeFrom="margin">
                  <wp:posOffset>7630160</wp:posOffset>
                </wp:positionV>
                <wp:extent cx="1943280" cy="1257480"/>
                <wp:effectExtent l="0" t="0" r="0" b="0"/>
                <wp:wrapSquare wrapText="bothSides"/>
                <wp:docPr id="2" name="Text Box 2" title="IHPA Contact Details"/>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35398" w14:textId="77777777" w:rsidR="007B2A6F" w:rsidRPr="00D111B6" w:rsidRDefault="007B2A6F" w:rsidP="00C650A7">
                            <w:pPr>
                              <w:pStyle w:val="Address"/>
                            </w:pPr>
                            <w:r w:rsidRPr="00D111B6">
                              <w:t>Independent Hospital Pricing Authority</w:t>
                            </w:r>
                          </w:p>
                          <w:p w14:paraId="509ACDE7" w14:textId="77777777" w:rsidR="007B2A6F" w:rsidRPr="0078371E" w:rsidRDefault="007B2A6F">
                            <w:pPr>
                              <w:pStyle w:val="Address"/>
                            </w:pPr>
                            <w:r w:rsidRPr="0078371E">
                              <w:t> </w:t>
                            </w:r>
                          </w:p>
                          <w:p w14:paraId="5DD9EF08" w14:textId="77777777" w:rsidR="007B2A6F" w:rsidRPr="00D111B6" w:rsidRDefault="007B2A6F" w:rsidP="00C650A7">
                            <w:pPr>
                              <w:pStyle w:val="Address"/>
                              <w:rPr>
                                <w:color w:val="7EC352" w:themeColor="accent3"/>
                              </w:rPr>
                            </w:pPr>
                            <w:r w:rsidRPr="00D111B6">
                              <w:rPr>
                                <w:color w:val="7EC352" w:themeColor="accent3"/>
                              </w:rPr>
                              <w:t>Level 6, 1 Oxford Street</w:t>
                            </w:r>
                          </w:p>
                          <w:p w14:paraId="0CB3F720" w14:textId="77777777" w:rsidR="007B2A6F" w:rsidRPr="00D111B6" w:rsidRDefault="007B2A6F" w:rsidP="00C650A7">
                            <w:pPr>
                              <w:pStyle w:val="Address"/>
                              <w:rPr>
                                <w:color w:val="7EC352" w:themeColor="accent3"/>
                              </w:rPr>
                            </w:pPr>
                            <w:r w:rsidRPr="00D111B6">
                              <w:rPr>
                                <w:color w:val="7EC352" w:themeColor="accent3"/>
                              </w:rPr>
                              <w:t>Sydney NSW 2000</w:t>
                            </w:r>
                          </w:p>
                          <w:p w14:paraId="6F1C4BB5" w14:textId="77777777" w:rsidR="007B2A6F" w:rsidRPr="0078371E" w:rsidRDefault="007B2A6F">
                            <w:pPr>
                              <w:pStyle w:val="Address"/>
                            </w:pPr>
                          </w:p>
                          <w:p w14:paraId="2B914ABA" w14:textId="77777777" w:rsidR="007B2A6F" w:rsidRPr="00C650A7" w:rsidRDefault="007B2A6F">
                            <w:pPr>
                              <w:pStyle w:val="Address"/>
                            </w:pPr>
                            <w:r w:rsidRPr="00D111B6">
                              <w:t>Phone</w:t>
                            </w:r>
                            <w:r w:rsidRPr="00C650A7">
                              <w:t xml:space="preserve"> </w:t>
                            </w:r>
                            <w:r w:rsidRPr="00D111B6">
                              <w:rPr>
                                <w:color w:val="7EC352" w:themeColor="accent3"/>
                              </w:rPr>
                              <w:t>02 8215 1100</w:t>
                            </w:r>
                          </w:p>
                          <w:p w14:paraId="7FEC91AA" w14:textId="77777777" w:rsidR="007B2A6F" w:rsidRPr="00C650A7" w:rsidRDefault="007B2A6F">
                            <w:pPr>
                              <w:pStyle w:val="Address"/>
                            </w:pPr>
                            <w:r w:rsidRPr="00D111B6">
                              <w:t>Email</w:t>
                            </w:r>
                            <w:r w:rsidRPr="00C650A7">
                              <w:t xml:space="preserve"> </w:t>
                            </w:r>
                            <w:r w:rsidRPr="00D111B6">
                              <w:rPr>
                                <w:color w:val="7EC352" w:themeColor="accent3"/>
                              </w:rPr>
                              <w:t>enquiries.ihpa@ihpa.gov.au</w:t>
                            </w:r>
                          </w:p>
                          <w:p w14:paraId="319D2DA1" w14:textId="77777777" w:rsidR="007B2A6F" w:rsidRPr="00C650A7" w:rsidRDefault="007B2A6F">
                            <w:pPr>
                              <w:pStyle w:val="Address"/>
                            </w:pPr>
                            <w:r w:rsidRPr="00D111B6">
                              <w:t>Twitter</w:t>
                            </w:r>
                            <w:r w:rsidRPr="00C650A7">
                              <w:t xml:space="preserve"> </w:t>
                            </w:r>
                            <w:r w:rsidRPr="00D111B6">
                              <w:rPr>
                                <w:color w:val="7EC352" w:themeColor="accent3"/>
                              </w:rPr>
                              <w:t>@IHPAnews</w:t>
                            </w:r>
                          </w:p>
                          <w:p w14:paraId="75EC5187" w14:textId="77777777" w:rsidR="007B2A6F" w:rsidRPr="0078371E" w:rsidRDefault="007B2A6F">
                            <w:pPr>
                              <w:pStyle w:val="Address"/>
                            </w:pPr>
                          </w:p>
                          <w:p w14:paraId="0600924C" w14:textId="77777777" w:rsidR="007B2A6F" w:rsidRPr="0078371E" w:rsidRDefault="007B2A6F">
                            <w:pPr>
                              <w:pStyle w:val="Address"/>
                            </w:pPr>
                            <w:r w:rsidRPr="0078371E">
                              <w:t>www.ihpa.gov.au</w:t>
                            </w:r>
                          </w:p>
                          <w:p w14:paraId="5EF91099" w14:textId="77777777" w:rsidR="007B2A6F" w:rsidRPr="0078371E" w:rsidRDefault="007B2A6F">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B5EF" id="_x0000_s1028" type="#_x0000_t202" alt="Title: IHPA Contact Details" style="position:absolute;margin-left:12pt;margin-top:600.8pt;width:153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" filled="f" stroked="f">
                <v:textbox inset="0,0,0,0">
                  <w:txbxContent>
                    <w:p w14:paraId="4EB35398" w14:textId="77777777" w:rsidR="007B2A6F" w:rsidRPr="00D111B6" w:rsidRDefault="007B2A6F" w:rsidP="00C650A7">
                      <w:pPr>
                        <w:pStyle w:val="Address"/>
                      </w:pPr>
                      <w:r w:rsidRPr="00D111B6">
                        <w:t>Independent Hospital Pricing Authority</w:t>
                      </w:r>
                    </w:p>
                    <w:p w14:paraId="509ACDE7" w14:textId="77777777" w:rsidR="007B2A6F" w:rsidRPr="0078371E" w:rsidRDefault="007B2A6F">
                      <w:pPr>
                        <w:pStyle w:val="Address"/>
                      </w:pPr>
                      <w:r w:rsidRPr="0078371E">
                        <w:t> </w:t>
                      </w:r>
                    </w:p>
                    <w:p w14:paraId="5DD9EF08" w14:textId="77777777" w:rsidR="007B2A6F" w:rsidRPr="00D111B6" w:rsidRDefault="007B2A6F" w:rsidP="00C650A7">
                      <w:pPr>
                        <w:pStyle w:val="Address"/>
                        <w:rPr>
                          <w:color w:val="7EC352" w:themeColor="accent3"/>
                        </w:rPr>
                      </w:pPr>
                      <w:r w:rsidRPr="00D111B6">
                        <w:rPr>
                          <w:color w:val="7EC352" w:themeColor="accent3"/>
                        </w:rPr>
                        <w:t>Level 6, 1 Oxford Street</w:t>
                      </w:r>
                    </w:p>
                    <w:p w14:paraId="0CB3F720" w14:textId="77777777" w:rsidR="007B2A6F" w:rsidRPr="00D111B6" w:rsidRDefault="007B2A6F" w:rsidP="00C650A7">
                      <w:pPr>
                        <w:pStyle w:val="Address"/>
                        <w:rPr>
                          <w:color w:val="7EC352" w:themeColor="accent3"/>
                        </w:rPr>
                      </w:pPr>
                      <w:r w:rsidRPr="00D111B6">
                        <w:rPr>
                          <w:color w:val="7EC352" w:themeColor="accent3"/>
                        </w:rPr>
                        <w:t>Sydney NSW 2000</w:t>
                      </w:r>
                    </w:p>
                    <w:p w14:paraId="6F1C4BB5" w14:textId="77777777" w:rsidR="007B2A6F" w:rsidRPr="0078371E" w:rsidRDefault="007B2A6F">
                      <w:pPr>
                        <w:pStyle w:val="Address"/>
                      </w:pPr>
                    </w:p>
                    <w:p w14:paraId="2B914ABA" w14:textId="77777777" w:rsidR="007B2A6F" w:rsidRPr="00C650A7" w:rsidRDefault="007B2A6F">
                      <w:pPr>
                        <w:pStyle w:val="Address"/>
                      </w:pPr>
                      <w:r w:rsidRPr="00D111B6">
                        <w:t>Phone</w:t>
                      </w:r>
                      <w:r w:rsidRPr="00C650A7">
                        <w:t xml:space="preserve"> </w:t>
                      </w:r>
                      <w:r w:rsidRPr="00D111B6">
                        <w:rPr>
                          <w:color w:val="7EC352" w:themeColor="accent3"/>
                        </w:rPr>
                        <w:t>02 8215 1100</w:t>
                      </w:r>
                    </w:p>
                    <w:p w14:paraId="7FEC91AA" w14:textId="77777777" w:rsidR="007B2A6F" w:rsidRPr="00C650A7" w:rsidRDefault="007B2A6F">
                      <w:pPr>
                        <w:pStyle w:val="Address"/>
                      </w:pPr>
                      <w:r w:rsidRPr="00D111B6">
                        <w:t>Email</w:t>
                      </w:r>
                      <w:r w:rsidRPr="00C650A7">
                        <w:t xml:space="preserve"> </w:t>
                      </w:r>
                      <w:r w:rsidRPr="00D111B6">
                        <w:rPr>
                          <w:color w:val="7EC352" w:themeColor="accent3"/>
                        </w:rPr>
                        <w:t>enquiries.ihpa@ihpa.gov.au</w:t>
                      </w:r>
                    </w:p>
                    <w:p w14:paraId="319D2DA1" w14:textId="77777777" w:rsidR="007B2A6F" w:rsidRPr="00C650A7" w:rsidRDefault="007B2A6F">
                      <w:pPr>
                        <w:pStyle w:val="Address"/>
                      </w:pPr>
                      <w:r w:rsidRPr="00D111B6">
                        <w:t>Twitter</w:t>
                      </w:r>
                      <w:r w:rsidRPr="00C650A7">
                        <w:t xml:space="preserve"> </w:t>
                      </w:r>
                      <w:r w:rsidRPr="00D111B6">
                        <w:rPr>
                          <w:color w:val="7EC352" w:themeColor="accent3"/>
                        </w:rPr>
                        <w:t>@IHPAnews</w:t>
                      </w:r>
                    </w:p>
                    <w:p w14:paraId="75EC5187" w14:textId="77777777" w:rsidR="007B2A6F" w:rsidRPr="0078371E" w:rsidRDefault="007B2A6F">
                      <w:pPr>
                        <w:pStyle w:val="Address"/>
                      </w:pPr>
                    </w:p>
                    <w:p w14:paraId="0600924C" w14:textId="77777777" w:rsidR="007B2A6F" w:rsidRPr="0078371E" w:rsidRDefault="007B2A6F">
                      <w:pPr>
                        <w:pStyle w:val="Address"/>
                      </w:pPr>
                      <w:r w:rsidRPr="0078371E">
                        <w:t>www.ihpa.gov.au</w:t>
                      </w:r>
                    </w:p>
                    <w:p w14:paraId="5EF91099" w14:textId="77777777" w:rsidR="007B2A6F" w:rsidRPr="0078371E" w:rsidRDefault="007B2A6F">
                      <w:pPr>
                        <w:pStyle w:val="Address"/>
                      </w:pPr>
                    </w:p>
                  </w:txbxContent>
                </v:textbox>
                <w10:wrap type="square" anchory="margin"/>
              </v:shape>
            </w:pict>
          </mc:Fallback>
        </mc:AlternateContent>
      </w:r>
      <w:r w:rsidR="00043CF6">
        <w:rPr>
          <w:noProof/>
        </w:rPr>
        <w:drawing>
          <wp:anchor distT="0" distB="0" distL="114300" distR="114300" simplePos="0" relativeHeight="251678720" behindDoc="1" locked="1" layoutInCell="0" allowOverlap="1" wp14:anchorId="769F8DDD" wp14:editId="6BC44728">
            <wp:simplePos x="0" y="0"/>
            <wp:positionH relativeFrom="page">
              <wp:posOffset>-109855</wp:posOffset>
            </wp:positionH>
            <wp:positionV relativeFrom="page">
              <wp:posOffset>-66675</wp:posOffset>
            </wp:positionV>
            <wp:extent cx="7654925" cy="10825480"/>
            <wp:effectExtent l="0" t="0" r="3175" b="0"/>
            <wp:wrapNone/>
            <wp:docPr id="1" name="Picture 1" descr="Decorative" title="Back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2">
                      <a:extLst>
                        <a:ext uri="{28A0092B-C50C-407E-A947-70E740481C1C}">
                          <a14:useLocalDpi xmlns:a14="http://schemas.microsoft.com/office/drawing/2010/main" val="0"/>
                        </a:ext>
                      </a:extLst>
                    </a:blip>
                    <a:stretch>
                      <a:fillRect/>
                    </a:stretch>
                  </pic:blipFill>
                  <pic:spPr>
                    <a:xfrm>
                      <a:off x="0" y="0"/>
                      <a:ext cx="7654925" cy="10825480"/>
                    </a:xfrm>
                    <a:prstGeom prst="rect">
                      <a:avLst/>
                    </a:prstGeom>
                  </pic:spPr>
                </pic:pic>
              </a:graphicData>
            </a:graphic>
            <wp14:sizeRelH relativeFrom="margin">
              <wp14:pctWidth>0</wp14:pctWidth>
            </wp14:sizeRelH>
            <wp14:sizeRelV relativeFrom="margin">
              <wp14:pctHeight>0</wp14:pctHeight>
            </wp14:sizeRelV>
          </wp:anchor>
        </w:drawing>
      </w:r>
    </w:p>
    <w:sectPr w:rsidR="00562759" w:rsidSect="0062568F">
      <w:pgSz w:w="11906" w:h="16838" w:code="9"/>
      <w:pgMar w:top="2041" w:right="1440" w:bottom="1021"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4DFC3" w14:textId="77777777" w:rsidR="007B2A6F" w:rsidRDefault="007B2A6F">
      <w:r>
        <w:separator/>
      </w:r>
    </w:p>
  </w:endnote>
  <w:endnote w:type="continuationSeparator" w:id="0">
    <w:p w14:paraId="3553A90F" w14:textId="77777777" w:rsidR="007B2A6F" w:rsidRDefault="007B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1780"/>
      <w:docPartObj>
        <w:docPartGallery w:val="Page Numbers (Bottom of Page)"/>
        <w:docPartUnique/>
      </w:docPartObj>
    </w:sdtPr>
    <w:sdtEndPr>
      <w:rPr>
        <w:noProof/>
        <w:sz w:val="20"/>
        <w:szCs w:val="20"/>
      </w:rPr>
    </w:sdtEndPr>
    <w:sdtContent>
      <w:p w14:paraId="291DB88A" w14:textId="3B9E6B10" w:rsidR="007B2A6F" w:rsidRDefault="007B2A6F">
        <w:pPr>
          <w:pStyle w:val="Footer"/>
          <w:jc w:val="right"/>
        </w:pPr>
        <w:r w:rsidRPr="003C7472">
          <w:rPr>
            <w:sz w:val="20"/>
            <w:szCs w:val="20"/>
          </w:rPr>
          <w:fldChar w:fldCharType="begin"/>
        </w:r>
        <w:r w:rsidRPr="003C7472">
          <w:rPr>
            <w:sz w:val="20"/>
            <w:szCs w:val="20"/>
          </w:rPr>
          <w:instrText xml:space="preserve"> PAGE   \* MERGEFORMAT </w:instrText>
        </w:r>
        <w:r w:rsidRPr="003C7472">
          <w:rPr>
            <w:sz w:val="20"/>
            <w:szCs w:val="20"/>
          </w:rPr>
          <w:fldChar w:fldCharType="separate"/>
        </w:r>
        <w:r w:rsidR="00423E34">
          <w:rPr>
            <w:noProof/>
            <w:sz w:val="20"/>
            <w:szCs w:val="20"/>
          </w:rPr>
          <w:t>4</w:t>
        </w:r>
        <w:r w:rsidRPr="003C7472">
          <w:rPr>
            <w:noProof/>
            <w:sz w:val="20"/>
            <w:szCs w:val="20"/>
          </w:rPr>
          <w:fldChar w:fldCharType="end"/>
        </w:r>
      </w:p>
    </w:sdtContent>
  </w:sdt>
  <w:p w14:paraId="743D5C39" w14:textId="77777777" w:rsidR="007B2A6F" w:rsidRPr="00C67EE3" w:rsidRDefault="007B2A6F">
    <w:pPr>
      <w:pStyle w:val="Footer"/>
      <w:rPr>
        <w:rFonts w:ascii="Arial Bold" w:hAnsi="Arial Bold"/>
        <w:sz w:val="7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5421B" w14:textId="77777777" w:rsidR="007B2A6F" w:rsidRDefault="007B2A6F">
      <w:r>
        <w:separator/>
      </w:r>
    </w:p>
  </w:footnote>
  <w:footnote w:type="continuationSeparator" w:id="0">
    <w:p w14:paraId="793B3CCA" w14:textId="77777777" w:rsidR="007B2A6F" w:rsidRDefault="007B2A6F">
      <w:r>
        <w:continuationSeparator/>
      </w:r>
    </w:p>
  </w:footnote>
  <w:footnote w:id="1">
    <w:p w14:paraId="7F2A399F" w14:textId="77777777" w:rsidR="007B2A6F" w:rsidRDefault="007B2A6F" w:rsidP="002714CE">
      <w:pPr>
        <w:pStyle w:val="FootnoteText"/>
      </w:pPr>
      <w:r>
        <w:rPr>
          <w:rStyle w:val="FootnoteReference"/>
        </w:rPr>
        <w:footnoteRef/>
      </w:r>
      <w:r>
        <w:t xml:space="preserve"> </w:t>
      </w:r>
      <w:hyperlink r:id="rId1" w:history="1">
        <w:r>
          <w:rPr>
            <w:rStyle w:val="Hyperlink"/>
          </w:rPr>
          <w:t>https://www.ihpa.gov.au/publications/australian-hospital-patient-costing-standards-version-40</w:t>
        </w:r>
      </w:hyperlink>
    </w:p>
  </w:footnote>
  <w:footnote w:id="2">
    <w:p w14:paraId="41EAC07C" w14:textId="6C2C70B3" w:rsidR="007B2A6F" w:rsidRDefault="007B2A6F">
      <w:pPr>
        <w:pStyle w:val="FootnoteText"/>
      </w:pPr>
      <w:r>
        <w:rPr>
          <w:rStyle w:val="FootnoteReference"/>
        </w:rPr>
        <w:footnoteRef/>
      </w:r>
      <w:r>
        <w:t xml:space="preserve"> Tab 12 of the Round 23 Data Request Specifications includes the cost bucket matrix for Round 23: </w:t>
      </w:r>
      <w:hyperlink r:id="rId2" w:history="1">
        <w:r w:rsidRPr="00035BC9">
          <w:rPr>
            <w:rStyle w:val="Hyperlink"/>
          </w:rPr>
          <w:t>https://www.ihpa.gov.au/sites/default/files/publications/national_hospital_cost_data_collection_-_data_request_specifications_round_23.xlsx</w:t>
        </w:r>
      </w:hyperlink>
      <w:r>
        <w:t xml:space="preserve"> </w:t>
      </w:r>
    </w:p>
  </w:footnote>
  <w:footnote w:id="3">
    <w:p w14:paraId="765D8850" w14:textId="58BAB5F0" w:rsidR="007B2A6F" w:rsidRDefault="007B2A6F">
      <w:pPr>
        <w:pStyle w:val="FootnoteText"/>
      </w:pPr>
      <w:r>
        <w:rPr>
          <w:rStyle w:val="FootnoteReference"/>
        </w:rPr>
        <w:footnoteRef/>
      </w:r>
      <w:r>
        <w:t xml:space="preserve"> Within the Emergency Department cost bucket</w:t>
      </w:r>
    </w:p>
  </w:footnote>
  <w:footnote w:id="4">
    <w:p w14:paraId="36E0B69C" w14:textId="068FC709" w:rsidR="007B2A6F" w:rsidRPr="00AA1805" w:rsidRDefault="007B2A6F" w:rsidP="004369F2">
      <w:pPr>
        <w:widowControl w:val="0"/>
        <w:spacing w:before="0" w:after="0" w:line="240" w:lineRule="auto"/>
        <w:rPr>
          <w:rFonts w:cs="Arial"/>
          <w:sz w:val="18"/>
        </w:rPr>
      </w:pPr>
      <w:r>
        <w:rPr>
          <w:rStyle w:val="FootnoteReference"/>
        </w:rPr>
        <w:footnoteRef/>
      </w:r>
      <w:r>
        <w:t xml:space="preserve"> </w:t>
      </w:r>
      <w:r w:rsidRPr="00D210EB">
        <w:rPr>
          <w:sz w:val="18"/>
          <w:szCs w:val="20"/>
        </w:rPr>
        <w:t>Note that different counting rules led to a change in the denominator for Community mental health activity between Round 21 and 22.  Round 21 included phases and service contacts, while Round 22 included only phases. As such, the results for this category are not directly comparable.</w:t>
      </w:r>
      <w:r>
        <w:rPr>
          <w:rFonts w:cs="Arial"/>
          <w:sz w:val="18"/>
        </w:rPr>
        <w:t xml:space="preserve"> </w:t>
      </w:r>
    </w:p>
    <w:p w14:paraId="55F294D4" w14:textId="689F0070" w:rsidR="007B2A6F" w:rsidRDefault="007B2A6F">
      <w:pPr>
        <w:pStyle w:val="FootnoteText"/>
      </w:pPr>
    </w:p>
  </w:footnote>
  <w:footnote w:id="5">
    <w:p w14:paraId="4530285E" w14:textId="783F696C" w:rsidR="007B2A6F" w:rsidRDefault="007B2A6F">
      <w:pPr>
        <w:pStyle w:val="FootnoteText"/>
      </w:pPr>
      <w:r>
        <w:rPr>
          <w:rStyle w:val="FootnoteReference"/>
        </w:rPr>
        <w:footnoteRef/>
      </w:r>
      <w:r>
        <w:t xml:space="preserve"> </w:t>
      </w:r>
      <w:hyperlink r:id="rId3" w:history="1">
        <w:r>
          <w:rPr>
            <w:rStyle w:val="Hyperlink"/>
          </w:rPr>
          <w:t>https://www.ihpa.gov.au/what-we-do/abf-data-request-specifications-2017-18</w:t>
        </w:r>
      </w:hyperlink>
    </w:p>
  </w:footnote>
  <w:footnote w:id="6">
    <w:p w14:paraId="1E08B5E6" w14:textId="77777777" w:rsidR="007B2A6F" w:rsidRPr="00B61DB9" w:rsidRDefault="007B2A6F" w:rsidP="00100787">
      <w:pPr>
        <w:pStyle w:val="FootnoteText"/>
        <w:rPr>
          <w:lang w:val="en-GB"/>
        </w:rPr>
      </w:pPr>
      <w:r>
        <w:rPr>
          <w:rStyle w:val="FootnoteReference"/>
        </w:rPr>
        <w:footnoteRef/>
      </w:r>
      <w:r>
        <w:t xml:space="preserve"> For more information about IHPA’s hospital activity collection visit: </w:t>
      </w:r>
      <w:hyperlink r:id="rId4" w:history="1">
        <w:r w:rsidRPr="00F74200">
          <w:rPr>
            <w:rStyle w:val="Hyperlink"/>
          </w:rPr>
          <w:t>https://www.ihpa.gov.au/what-we-do/data-collection</w:t>
        </w:r>
      </w:hyperlink>
      <w:r>
        <w:t xml:space="preserve"> </w:t>
      </w:r>
    </w:p>
  </w:footnote>
  <w:footnote w:id="7">
    <w:p w14:paraId="0EA7F50C" w14:textId="5C655A8A" w:rsidR="007B2A6F" w:rsidRPr="0006252E" w:rsidRDefault="007B2A6F" w:rsidP="002A3926">
      <w:pPr>
        <w:pStyle w:val="FootnoteText"/>
      </w:pPr>
      <w:r w:rsidRPr="0006252E">
        <w:rPr>
          <w:rStyle w:val="FootnoteReference"/>
        </w:rPr>
        <w:footnoteRef/>
      </w:r>
      <w:r w:rsidRPr="0006252E">
        <w:t xml:space="preserve"> Australian Revised –Diagnosis Related Groups Version 10.0</w:t>
      </w:r>
    </w:p>
  </w:footnote>
  <w:footnote w:id="8">
    <w:p w14:paraId="5C709909" w14:textId="77777777" w:rsidR="007B2A6F" w:rsidRPr="0006252E" w:rsidRDefault="007B2A6F" w:rsidP="002A3926">
      <w:pPr>
        <w:pStyle w:val="FootnoteText"/>
      </w:pPr>
      <w:r w:rsidRPr="0006252E">
        <w:rPr>
          <w:rStyle w:val="FootnoteReference"/>
        </w:rPr>
        <w:footnoteRef/>
      </w:r>
      <w:r w:rsidRPr="0006252E">
        <w:t xml:space="preserve"> DRG: F23Z</w:t>
      </w:r>
    </w:p>
  </w:footnote>
  <w:footnote w:id="9">
    <w:p w14:paraId="66ABD9A4" w14:textId="439325A3" w:rsidR="007B2A6F" w:rsidRPr="0006252E" w:rsidRDefault="007B2A6F" w:rsidP="002A3926">
      <w:pPr>
        <w:pStyle w:val="FootnoteText"/>
      </w:pPr>
      <w:r w:rsidRPr="0006252E">
        <w:rPr>
          <w:rStyle w:val="FootnoteReference"/>
        </w:rPr>
        <w:footnoteRef/>
      </w:r>
      <w:r w:rsidRPr="0006252E">
        <w:t xml:space="preserve"> This figure is also referred to as the cost weight. Cost Weights are included for all acute admitted care separation types in the Appendix Tables.</w:t>
      </w:r>
    </w:p>
  </w:footnote>
  <w:footnote w:id="10">
    <w:p w14:paraId="69C94D94" w14:textId="77777777" w:rsidR="007B2A6F" w:rsidRDefault="007B2A6F" w:rsidP="002A3926">
      <w:pPr>
        <w:pStyle w:val="FootnoteText"/>
      </w:pPr>
      <w:r w:rsidRPr="0006252E">
        <w:rPr>
          <w:rStyle w:val="FootnoteReference"/>
        </w:rPr>
        <w:footnoteRef/>
      </w:r>
      <w:r w:rsidRPr="0006252E">
        <w:t xml:space="preserve"> DRG: G48B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60D8" w14:textId="77777777" w:rsidR="007B2A6F" w:rsidRPr="00CC2138" w:rsidRDefault="007B2A6F" w:rsidP="00C650A7">
    <w:pPr>
      <w:pStyle w:val="Versionanddate"/>
    </w:pPr>
    <w:r w:rsidRPr="006F7C01">
      <w:rPr>
        <w:rStyle w:val="BookTitle"/>
        <w:noProof/>
      </w:rPr>
      <w:drawing>
        <wp:anchor distT="0" distB="0" distL="114300" distR="114300" simplePos="0" relativeHeight="251657728" behindDoc="1" locked="0" layoutInCell="0" allowOverlap="1" wp14:anchorId="2FADF967" wp14:editId="1F264837">
          <wp:simplePos x="0" y="0"/>
          <wp:positionH relativeFrom="page">
            <wp:posOffset>-211666</wp:posOffset>
          </wp:positionH>
          <wp:positionV relativeFrom="page">
            <wp:posOffset>-118533</wp:posOffset>
          </wp:positionV>
          <wp:extent cx="6285844" cy="1035685"/>
          <wp:effectExtent l="0" t="0" r="1270" b="0"/>
          <wp:wrapNone/>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307865" cy="1039313"/>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National Hospital Cost Data</w:t>
    </w:r>
    <w:r w:rsidRPr="006F7C01">
      <w:rPr>
        <w:rStyle w:val="BookTitle"/>
      </w:rPr>
      <w:t xml:space="preserve"> </w:t>
    </w:r>
    <w:r>
      <w:rPr>
        <w:rStyle w:val="BookTitle"/>
      </w:rPr>
      <w:t xml:space="preserve">Collection </w:t>
    </w:r>
    <w:r w:rsidRPr="006F7C01">
      <w:rPr>
        <w:rStyle w:val="BookTitle"/>
      </w:rPr>
      <w:t>Report</w:t>
    </w:r>
    <w:r>
      <w:rPr>
        <w:rStyle w:val="BookTitle"/>
      </w:rPr>
      <w:t xml:space="preserve">: </w:t>
    </w:r>
    <w:r>
      <w:rPr>
        <w:rStyle w:val="BookTitle"/>
      </w:rPr>
      <w:br/>
      <w:t>Public Sector, Round 22 (Financial Year 2017-18)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9C350C"/>
    <w:multiLevelType w:val="hybridMultilevel"/>
    <w:tmpl w:val="1C8C82AA"/>
    <w:lvl w:ilvl="0" w:tplc="0C090001">
      <w:start w:val="1"/>
      <w:numFmt w:val="bullet"/>
      <w:lvlText w:val=""/>
      <w:lvlJc w:val="left"/>
      <w:pPr>
        <w:ind w:left="1620" w:hanging="360"/>
      </w:pPr>
      <w:rPr>
        <w:rFonts w:ascii="Symbol" w:hAnsi="Symbol" w:hint="default"/>
      </w:rPr>
    </w:lvl>
    <w:lvl w:ilvl="1" w:tplc="3B14C70E">
      <w:numFmt w:val="bullet"/>
      <w:lvlText w:val="·"/>
      <w:lvlJc w:val="left"/>
      <w:pPr>
        <w:ind w:left="2490" w:hanging="510"/>
      </w:pPr>
      <w:rPr>
        <w:rFonts w:ascii="Arial" w:eastAsia="Times New Roman" w:hAnsi="Arial" w:cs="Arial" w:hint="default"/>
        <w:color w:val="58595B"/>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1" w15:restartNumberingAfterBreak="0">
    <w:nsid w:val="105C5267"/>
    <w:multiLevelType w:val="hybridMultilevel"/>
    <w:tmpl w:val="1E060B50"/>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2" w15:restartNumberingAfterBreak="0">
    <w:nsid w:val="206A4C5B"/>
    <w:multiLevelType w:val="multilevel"/>
    <w:tmpl w:val="1C344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4" w15:restartNumberingAfterBreak="0">
    <w:nsid w:val="3CC80308"/>
    <w:multiLevelType w:val="hybridMultilevel"/>
    <w:tmpl w:val="95184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DBC273C">
      <w:start w:val="3"/>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790C6A"/>
    <w:multiLevelType w:val="hybridMultilevel"/>
    <w:tmpl w:val="C5421546"/>
    <w:lvl w:ilvl="0" w:tplc="89D2A03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53679B"/>
    <w:multiLevelType w:val="hybridMultilevel"/>
    <w:tmpl w:val="7EF63E22"/>
    <w:lvl w:ilvl="0" w:tplc="F22E6D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42906"/>
    <w:multiLevelType w:val="hybridMultilevel"/>
    <w:tmpl w:val="A10AA104"/>
    <w:lvl w:ilvl="0" w:tplc="995AA690">
      <w:start w:val="1"/>
      <w:numFmt w:val="bullet"/>
      <w:pStyle w:val="ListParagraph"/>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74450C"/>
    <w:multiLevelType w:val="hybridMultilevel"/>
    <w:tmpl w:val="3F4A843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20" w15:restartNumberingAfterBreak="0">
    <w:nsid w:val="539248FA"/>
    <w:multiLevelType w:val="hybridMultilevel"/>
    <w:tmpl w:val="E5DCA5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4D43B6"/>
    <w:multiLevelType w:val="hybridMultilevel"/>
    <w:tmpl w:val="2F80AB2E"/>
    <w:lvl w:ilvl="0" w:tplc="863045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6C21AA"/>
    <w:multiLevelType w:val="multilevel"/>
    <w:tmpl w:val="7E6C9832"/>
    <w:lvl w:ilvl="0">
      <w:start w:val="1"/>
      <w:numFmt w:val="bullet"/>
      <w:lvlText w:val=""/>
      <w:lvlJc w:val="left"/>
      <w:pPr>
        <w:tabs>
          <w:tab w:val="num" w:pos="567"/>
        </w:tabs>
        <w:ind w:left="567" w:hanging="567"/>
      </w:pPr>
      <w:rPr>
        <w:rFonts w:ascii="Wingdings" w:hAnsi="Wingdings" w:hint="default"/>
        <w:b w:val="0"/>
        <w:i w:val="0"/>
        <w:color w:val="000000"/>
        <w:sz w:val="22"/>
      </w:rPr>
    </w:lvl>
    <w:lvl w:ilvl="1">
      <w:start w:val="1"/>
      <w:numFmt w:val="bullet"/>
      <w:lvlText w:val=""/>
      <w:lvlJc w:val="left"/>
      <w:pPr>
        <w:tabs>
          <w:tab w:val="num" w:pos="1134"/>
        </w:tabs>
        <w:ind w:left="1134" w:hanging="567"/>
      </w:pPr>
      <w:rPr>
        <w:rFonts w:ascii="Wingdings" w:hAnsi="Wingdings" w:hint="default"/>
        <w:b w:val="0"/>
        <w:i w:val="0"/>
        <w:color w:val="000000"/>
        <w:sz w:val="22"/>
      </w:rPr>
    </w:lvl>
    <w:lvl w:ilvl="2">
      <w:start w:val="1"/>
      <w:numFmt w:val="bullet"/>
      <w:lvlText w:val=""/>
      <w:lvlJc w:val="left"/>
      <w:pPr>
        <w:tabs>
          <w:tab w:val="num" w:pos="1701"/>
        </w:tabs>
        <w:ind w:left="1701" w:hanging="567"/>
      </w:pPr>
      <w:rPr>
        <w:rFonts w:ascii="Wingdings" w:hAnsi="Wingdings" w:hint="default"/>
        <w:color w:val="000000"/>
        <w:sz w:val="22"/>
      </w:rPr>
    </w:lvl>
    <w:lvl w:ilvl="3">
      <w:start w:val="1"/>
      <w:numFmt w:val="bullet"/>
      <w:lvlText w:val=""/>
      <w:lvlJc w:val="left"/>
      <w:pPr>
        <w:tabs>
          <w:tab w:val="num" w:pos="2268"/>
        </w:tabs>
        <w:ind w:left="2268" w:hanging="567"/>
      </w:pPr>
      <w:rPr>
        <w:rFonts w:ascii="Wingdings" w:hAnsi="Wingdings" w:hint="default"/>
        <w:b w:val="0"/>
        <w:i w:val="0"/>
        <w:color w:val="auto"/>
        <w:sz w:val="22"/>
      </w:rPr>
    </w:lvl>
    <w:lvl w:ilvl="4">
      <w:start w:val="1"/>
      <w:numFmt w:val="bullet"/>
      <w:lvlText w:val=""/>
      <w:lvlJc w:val="left"/>
      <w:pPr>
        <w:tabs>
          <w:tab w:val="num" w:pos="2835"/>
        </w:tabs>
        <w:ind w:left="2835" w:hanging="567"/>
      </w:pPr>
      <w:rPr>
        <w:rFonts w:ascii="Wingdings" w:hAnsi="Wingdings" w:hint="default"/>
        <w:color w:val="auto"/>
      </w:rPr>
    </w:lvl>
    <w:lvl w:ilvl="5">
      <w:start w:val="1"/>
      <w:numFmt w:val="bullet"/>
      <w:lvlText w:val=""/>
      <w:lvlJc w:val="left"/>
      <w:pPr>
        <w:tabs>
          <w:tab w:val="num" w:pos="3402"/>
        </w:tabs>
        <w:ind w:left="3402" w:hanging="567"/>
      </w:pPr>
      <w:rPr>
        <w:rFonts w:ascii="Wingdings" w:hAnsi="Wingdings" w:hint="default"/>
        <w:color w:val="auto"/>
      </w:rPr>
    </w:lvl>
    <w:lvl w:ilvl="6">
      <w:start w:val="1"/>
      <w:numFmt w:val="none"/>
      <w:suff w:val="nothing"/>
      <w:lvlText w:val=""/>
      <w:lvlJc w:val="left"/>
      <w:pPr>
        <w:ind w:left="-567" w:firstLine="0"/>
      </w:pPr>
      <w:rPr>
        <w:rFonts w:hint="default"/>
        <w:color w:val="auto"/>
      </w:rPr>
    </w:lvl>
    <w:lvl w:ilvl="7">
      <w:start w:val="1"/>
      <w:numFmt w:val="none"/>
      <w:suff w:val="nothing"/>
      <w:lvlText w:val=""/>
      <w:lvlJc w:val="left"/>
      <w:pPr>
        <w:ind w:left="-567" w:firstLine="0"/>
      </w:pPr>
      <w:rPr>
        <w:rFonts w:hint="default"/>
        <w:color w:val="003366"/>
        <w:sz w:val="20"/>
      </w:rPr>
    </w:lvl>
    <w:lvl w:ilvl="8">
      <w:start w:val="1"/>
      <w:numFmt w:val="none"/>
      <w:suff w:val="nothing"/>
      <w:lvlText w:val=""/>
      <w:lvlJc w:val="left"/>
      <w:pPr>
        <w:ind w:left="-567" w:firstLine="0"/>
      </w:pPr>
      <w:rPr>
        <w:rFonts w:hint="default"/>
        <w:color w:val="ED7F00"/>
      </w:rPr>
    </w:lvl>
  </w:abstractNum>
  <w:abstractNum w:abstractNumId="23" w15:restartNumberingAfterBreak="0">
    <w:nsid w:val="67D65560"/>
    <w:multiLevelType w:val="hybridMultilevel"/>
    <w:tmpl w:val="FF2CE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6"/>
  </w:num>
  <w:num w:numId="14">
    <w:abstractNumId w:val="21"/>
  </w:num>
  <w:num w:numId="15">
    <w:abstractNumId w:val="19"/>
  </w:num>
  <w:num w:numId="16">
    <w:abstractNumId w:val="11"/>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7"/>
  </w:num>
  <w:num w:numId="21">
    <w:abstractNumId w:val="18"/>
  </w:num>
  <w:num w:numId="22">
    <w:abstractNumId w:val="23"/>
  </w:num>
  <w:num w:numId="23">
    <w:abstractNumId w:val="20"/>
  </w:num>
  <w:num w:numId="2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93C"/>
    <w:rsid w:val="00000FE9"/>
    <w:rsid w:val="0000327B"/>
    <w:rsid w:val="00005785"/>
    <w:rsid w:val="0000666B"/>
    <w:rsid w:val="000067E1"/>
    <w:rsid w:val="00006876"/>
    <w:rsid w:val="000071EA"/>
    <w:rsid w:val="000079AD"/>
    <w:rsid w:val="00007D1F"/>
    <w:rsid w:val="00010D84"/>
    <w:rsid w:val="00010F15"/>
    <w:rsid w:val="00011CC6"/>
    <w:rsid w:val="00011CE3"/>
    <w:rsid w:val="00014146"/>
    <w:rsid w:val="00020C02"/>
    <w:rsid w:val="00022E9C"/>
    <w:rsid w:val="00022FFD"/>
    <w:rsid w:val="00024EF0"/>
    <w:rsid w:val="00025631"/>
    <w:rsid w:val="00027B26"/>
    <w:rsid w:val="0003038D"/>
    <w:rsid w:val="00030705"/>
    <w:rsid w:val="00032861"/>
    <w:rsid w:val="000329AE"/>
    <w:rsid w:val="00032B77"/>
    <w:rsid w:val="00032E57"/>
    <w:rsid w:val="000330B0"/>
    <w:rsid w:val="00033C8D"/>
    <w:rsid w:val="0003481E"/>
    <w:rsid w:val="00034877"/>
    <w:rsid w:val="00034AAF"/>
    <w:rsid w:val="00035874"/>
    <w:rsid w:val="00040276"/>
    <w:rsid w:val="00042285"/>
    <w:rsid w:val="0004307D"/>
    <w:rsid w:val="00043256"/>
    <w:rsid w:val="00043CF6"/>
    <w:rsid w:val="000456F8"/>
    <w:rsid w:val="0004587B"/>
    <w:rsid w:val="00045A89"/>
    <w:rsid w:val="00045B7C"/>
    <w:rsid w:val="00046F8E"/>
    <w:rsid w:val="00047524"/>
    <w:rsid w:val="0005040E"/>
    <w:rsid w:val="0005087D"/>
    <w:rsid w:val="00050F9E"/>
    <w:rsid w:val="00053097"/>
    <w:rsid w:val="00053788"/>
    <w:rsid w:val="000547EF"/>
    <w:rsid w:val="00055119"/>
    <w:rsid w:val="00056004"/>
    <w:rsid w:val="0005787F"/>
    <w:rsid w:val="0006075A"/>
    <w:rsid w:val="00061C84"/>
    <w:rsid w:val="00062484"/>
    <w:rsid w:val="0006252E"/>
    <w:rsid w:val="00062E67"/>
    <w:rsid w:val="00063129"/>
    <w:rsid w:val="00064EE9"/>
    <w:rsid w:val="00065022"/>
    <w:rsid w:val="00065252"/>
    <w:rsid w:val="00065A5E"/>
    <w:rsid w:val="00066ADA"/>
    <w:rsid w:val="00070681"/>
    <w:rsid w:val="00070897"/>
    <w:rsid w:val="00072EE7"/>
    <w:rsid w:val="0007448B"/>
    <w:rsid w:val="00080A09"/>
    <w:rsid w:val="00081CEB"/>
    <w:rsid w:val="000827B6"/>
    <w:rsid w:val="00082D54"/>
    <w:rsid w:val="00083082"/>
    <w:rsid w:val="000844B4"/>
    <w:rsid w:val="000873F9"/>
    <w:rsid w:val="00087B2C"/>
    <w:rsid w:val="00087DBD"/>
    <w:rsid w:val="000902C8"/>
    <w:rsid w:val="00090718"/>
    <w:rsid w:val="000919CE"/>
    <w:rsid w:val="00091B4E"/>
    <w:rsid w:val="00091CD7"/>
    <w:rsid w:val="00093DD5"/>
    <w:rsid w:val="000972A4"/>
    <w:rsid w:val="000A03DD"/>
    <w:rsid w:val="000A111B"/>
    <w:rsid w:val="000A1A09"/>
    <w:rsid w:val="000A25F2"/>
    <w:rsid w:val="000A426E"/>
    <w:rsid w:val="000A47A8"/>
    <w:rsid w:val="000A4D2B"/>
    <w:rsid w:val="000A58FB"/>
    <w:rsid w:val="000A73FB"/>
    <w:rsid w:val="000B0939"/>
    <w:rsid w:val="000B218A"/>
    <w:rsid w:val="000B56E6"/>
    <w:rsid w:val="000C014D"/>
    <w:rsid w:val="000C29B4"/>
    <w:rsid w:val="000C336F"/>
    <w:rsid w:val="000C5BE2"/>
    <w:rsid w:val="000C5CD8"/>
    <w:rsid w:val="000C7A69"/>
    <w:rsid w:val="000D1158"/>
    <w:rsid w:val="000D12DD"/>
    <w:rsid w:val="000D3144"/>
    <w:rsid w:val="000D4703"/>
    <w:rsid w:val="000D4EA4"/>
    <w:rsid w:val="000D6207"/>
    <w:rsid w:val="000D79D8"/>
    <w:rsid w:val="000E12D4"/>
    <w:rsid w:val="000E39EF"/>
    <w:rsid w:val="000E4F9D"/>
    <w:rsid w:val="000E5768"/>
    <w:rsid w:val="000E620E"/>
    <w:rsid w:val="000E6355"/>
    <w:rsid w:val="000F0714"/>
    <w:rsid w:val="000F0BD6"/>
    <w:rsid w:val="000F1D03"/>
    <w:rsid w:val="000F2063"/>
    <w:rsid w:val="000F3D28"/>
    <w:rsid w:val="000F5F13"/>
    <w:rsid w:val="000F63C4"/>
    <w:rsid w:val="000F651F"/>
    <w:rsid w:val="00100200"/>
    <w:rsid w:val="00100787"/>
    <w:rsid w:val="0010229E"/>
    <w:rsid w:val="0010263D"/>
    <w:rsid w:val="00102824"/>
    <w:rsid w:val="0010300A"/>
    <w:rsid w:val="001057D3"/>
    <w:rsid w:val="00107039"/>
    <w:rsid w:val="0010741C"/>
    <w:rsid w:val="00107A0A"/>
    <w:rsid w:val="001121C3"/>
    <w:rsid w:val="00112976"/>
    <w:rsid w:val="001131F0"/>
    <w:rsid w:val="001139C7"/>
    <w:rsid w:val="00114EBC"/>
    <w:rsid w:val="00115F35"/>
    <w:rsid w:val="00117648"/>
    <w:rsid w:val="00121088"/>
    <w:rsid w:val="001220C4"/>
    <w:rsid w:val="001231DF"/>
    <w:rsid w:val="0012427E"/>
    <w:rsid w:val="001247E0"/>
    <w:rsid w:val="00125B8B"/>
    <w:rsid w:val="00126750"/>
    <w:rsid w:val="001271A1"/>
    <w:rsid w:val="00131C0F"/>
    <w:rsid w:val="001325BF"/>
    <w:rsid w:val="001329DF"/>
    <w:rsid w:val="00132F0D"/>
    <w:rsid w:val="00133713"/>
    <w:rsid w:val="00135B7E"/>
    <w:rsid w:val="00135EB0"/>
    <w:rsid w:val="00135F65"/>
    <w:rsid w:val="00135FE5"/>
    <w:rsid w:val="00140FC9"/>
    <w:rsid w:val="001413C5"/>
    <w:rsid w:val="0014231B"/>
    <w:rsid w:val="00142956"/>
    <w:rsid w:val="00142D10"/>
    <w:rsid w:val="00144868"/>
    <w:rsid w:val="001452BC"/>
    <w:rsid w:val="00150D2A"/>
    <w:rsid w:val="00150E25"/>
    <w:rsid w:val="00150EA9"/>
    <w:rsid w:val="0015149F"/>
    <w:rsid w:val="00151650"/>
    <w:rsid w:val="00152BF6"/>
    <w:rsid w:val="001544F6"/>
    <w:rsid w:val="00154873"/>
    <w:rsid w:val="00154E04"/>
    <w:rsid w:val="00154FB0"/>
    <w:rsid w:val="00155B98"/>
    <w:rsid w:val="00157001"/>
    <w:rsid w:val="00157709"/>
    <w:rsid w:val="001608B1"/>
    <w:rsid w:val="00160E91"/>
    <w:rsid w:val="00164477"/>
    <w:rsid w:val="0016492B"/>
    <w:rsid w:val="00164C34"/>
    <w:rsid w:val="001655DD"/>
    <w:rsid w:val="00165626"/>
    <w:rsid w:val="00167CF4"/>
    <w:rsid w:val="0017004C"/>
    <w:rsid w:val="0017018F"/>
    <w:rsid w:val="001704C8"/>
    <w:rsid w:val="0017147C"/>
    <w:rsid w:val="0017194E"/>
    <w:rsid w:val="00171EFA"/>
    <w:rsid w:val="0017249B"/>
    <w:rsid w:val="001727A4"/>
    <w:rsid w:val="00172AA0"/>
    <w:rsid w:val="00173AF8"/>
    <w:rsid w:val="001740B5"/>
    <w:rsid w:val="00174E91"/>
    <w:rsid w:val="00175452"/>
    <w:rsid w:val="00176E42"/>
    <w:rsid w:val="00177EC4"/>
    <w:rsid w:val="001805F3"/>
    <w:rsid w:val="00181533"/>
    <w:rsid w:val="001824C8"/>
    <w:rsid w:val="00182698"/>
    <w:rsid w:val="001843D8"/>
    <w:rsid w:val="0018446F"/>
    <w:rsid w:val="0018525C"/>
    <w:rsid w:val="001864FD"/>
    <w:rsid w:val="001943DD"/>
    <w:rsid w:val="0019442C"/>
    <w:rsid w:val="00195004"/>
    <w:rsid w:val="001959B1"/>
    <w:rsid w:val="00196BAC"/>
    <w:rsid w:val="001A09FE"/>
    <w:rsid w:val="001A13F6"/>
    <w:rsid w:val="001A26BA"/>
    <w:rsid w:val="001A2C5B"/>
    <w:rsid w:val="001A2D78"/>
    <w:rsid w:val="001A7249"/>
    <w:rsid w:val="001B0588"/>
    <w:rsid w:val="001B244D"/>
    <w:rsid w:val="001B27A1"/>
    <w:rsid w:val="001B385A"/>
    <w:rsid w:val="001B3904"/>
    <w:rsid w:val="001B3AEC"/>
    <w:rsid w:val="001B3E8D"/>
    <w:rsid w:val="001B5259"/>
    <w:rsid w:val="001B598B"/>
    <w:rsid w:val="001B60D4"/>
    <w:rsid w:val="001B6F28"/>
    <w:rsid w:val="001B70F3"/>
    <w:rsid w:val="001B7DDF"/>
    <w:rsid w:val="001C245B"/>
    <w:rsid w:val="001C28D2"/>
    <w:rsid w:val="001C2D5A"/>
    <w:rsid w:val="001C3539"/>
    <w:rsid w:val="001C3BE6"/>
    <w:rsid w:val="001C4999"/>
    <w:rsid w:val="001C4F4F"/>
    <w:rsid w:val="001C52C9"/>
    <w:rsid w:val="001C6BA1"/>
    <w:rsid w:val="001D141C"/>
    <w:rsid w:val="001D2904"/>
    <w:rsid w:val="001D652D"/>
    <w:rsid w:val="001D68A7"/>
    <w:rsid w:val="001D693F"/>
    <w:rsid w:val="001D6F9E"/>
    <w:rsid w:val="001D77A9"/>
    <w:rsid w:val="001E38FB"/>
    <w:rsid w:val="001E52C2"/>
    <w:rsid w:val="001E7EFE"/>
    <w:rsid w:val="001F0BE1"/>
    <w:rsid w:val="001F101A"/>
    <w:rsid w:val="001F24EF"/>
    <w:rsid w:val="001F4A3B"/>
    <w:rsid w:val="001F56C7"/>
    <w:rsid w:val="001F69BD"/>
    <w:rsid w:val="00203039"/>
    <w:rsid w:val="00204B17"/>
    <w:rsid w:val="002069AD"/>
    <w:rsid w:val="002069D2"/>
    <w:rsid w:val="00210360"/>
    <w:rsid w:val="002116D5"/>
    <w:rsid w:val="00211DA2"/>
    <w:rsid w:val="00213693"/>
    <w:rsid w:val="002138B5"/>
    <w:rsid w:val="002158E3"/>
    <w:rsid w:val="00215CCB"/>
    <w:rsid w:val="0021695F"/>
    <w:rsid w:val="00216CF5"/>
    <w:rsid w:val="0022037B"/>
    <w:rsid w:val="00220464"/>
    <w:rsid w:val="00222A09"/>
    <w:rsid w:val="00222C8D"/>
    <w:rsid w:val="002236C8"/>
    <w:rsid w:val="002256A8"/>
    <w:rsid w:val="00226F81"/>
    <w:rsid w:val="00227BF6"/>
    <w:rsid w:val="00230799"/>
    <w:rsid w:val="00230E6B"/>
    <w:rsid w:val="00232B97"/>
    <w:rsid w:val="0023397F"/>
    <w:rsid w:val="00234C13"/>
    <w:rsid w:val="0023523A"/>
    <w:rsid w:val="002371BB"/>
    <w:rsid w:val="0023757C"/>
    <w:rsid w:val="00237C47"/>
    <w:rsid w:val="002402E4"/>
    <w:rsid w:val="00240C6C"/>
    <w:rsid w:val="002421A0"/>
    <w:rsid w:val="00242B98"/>
    <w:rsid w:val="00244250"/>
    <w:rsid w:val="002445A1"/>
    <w:rsid w:val="00244CB0"/>
    <w:rsid w:val="00246FE6"/>
    <w:rsid w:val="002470E3"/>
    <w:rsid w:val="00250188"/>
    <w:rsid w:val="002510C9"/>
    <w:rsid w:val="00251B58"/>
    <w:rsid w:val="0025207D"/>
    <w:rsid w:val="002521C1"/>
    <w:rsid w:val="0025279E"/>
    <w:rsid w:val="0025304E"/>
    <w:rsid w:val="00254DE9"/>
    <w:rsid w:val="00255A18"/>
    <w:rsid w:val="002615D3"/>
    <w:rsid w:val="00264805"/>
    <w:rsid w:val="00264D1E"/>
    <w:rsid w:val="002650F6"/>
    <w:rsid w:val="002672F1"/>
    <w:rsid w:val="00267982"/>
    <w:rsid w:val="002679AE"/>
    <w:rsid w:val="00271414"/>
    <w:rsid w:val="002714CE"/>
    <w:rsid w:val="00271922"/>
    <w:rsid w:val="00273412"/>
    <w:rsid w:val="0027373F"/>
    <w:rsid w:val="00274ACF"/>
    <w:rsid w:val="002773FA"/>
    <w:rsid w:val="00280C95"/>
    <w:rsid w:val="0028159B"/>
    <w:rsid w:val="00282671"/>
    <w:rsid w:val="00282861"/>
    <w:rsid w:val="002843E2"/>
    <w:rsid w:val="00284841"/>
    <w:rsid w:val="002868E4"/>
    <w:rsid w:val="00287BAA"/>
    <w:rsid w:val="00293489"/>
    <w:rsid w:val="00295860"/>
    <w:rsid w:val="00296F5E"/>
    <w:rsid w:val="00297F07"/>
    <w:rsid w:val="002A21EF"/>
    <w:rsid w:val="002A30F0"/>
    <w:rsid w:val="002A3926"/>
    <w:rsid w:val="002A6DF5"/>
    <w:rsid w:val="002A7BF1"/>
    <w:rsid w:val="002B0FD2"/>
    <w:rsid w:val="002B1760"/>
    <w:rsid w:val="002B2FD3"/>
    <w:rsid w:val="002B5F53"/>
    <w:rsid w:val="002B6406"/>
    <w:rsid w:val="002B6809"/>
    <w:rsid w:val="002B7F9D"/>
    <w:rsid w:val="002C01E1"/>
    <w:rsid w:val="002C2631"/>
    <w:rsid w:val="002C3735"/>
    <w:rsid w:val="002C4231"/>
    <w:rsid w:val="002C7080"/>
    <w:rsid w:val="002D00B0"/>
    <w:rsid w:val="002D2364"/>
    <w:rsid w:val="002D2E16"/>
    <w:rsid w:val="002D761D"/>
    <w:rsid w:val="002E45F0"/>
    <w:rsid w:val="002E68CC"/>
    <w:rsid w:val="002E7553"/>
    <w:rsid w:val="002E7778"/>
    <w:rsid w:val="002F1033"/>
    <w:rsid w:val="002F3541"/>
    <w:rsid w:val="002F5D37"/>
    <w:rsid w:val="002F6E5E"/>
    <w:rsid w:val="00300265"/>
    <w:rsid w:val="00300E43"/>
    <w:rsid w:val="00302CB8"/>
    <w:rsid w:val="00304B3E"/>
    <w:rsid w:val="00304D97"/>
    <w:rsid w:val="003059E1"/>
    <w:rsid w:val="003067B8"/>
    <w:rsid w:val="00307D96"/>
    <w:rsid w:val="00307F9A"/>
    <w:rsid w:val="00311704"/>
    <w:rsid w:val="0031180A"/>
    <w:rsid w:val="00311BB1"/>
    <w:rsid w:val="00313127"/>
    <w:rsid w:val="00313304"/>
    <w:rsid w:val="003155F4"/>
    <w:rsid w:val="00320309"/>
    <w:rsid w:val="00321065"/>
    <w:rsid w:val="00321D1E"/>
    <w:rsid w:val="003224ED"/>
    <w:rsid w:val="0032530E"/>
    <w:rsid w:val="00325A61"/>
    <w:rsid w:val="00326976"/>
    <w:rsid w:val="003311D7"/>
    <w:rsid w:val="003327F6"/>
    <w:rsid w:val="00332B8B"/>
    <w:rsid w:val="0033521E"/>
    <w:rsid w:val="00335AB1"/>
    <w:rsid w:val="003369BE"/>
    <w:rsid w:val="00337CA2"/>
    <w:rsid w:val="003404A4"/>
    <w:rsid w:val="00342D61"/>
    <w:rsid w:val="003459F7"/>
    <w:rsid w:val="00347104"/>
    <w:rsid w:val="00350852"/>
    <w:rsid w:val="0035096E"/>
    <w:rsid w:val="00352196"/>
    <w:rsid w:val="0035219F"/>
    <w:rsid w:val="003547D1"/>
    <w:rsid w:val="00355D01"/>
    <w:rsid w:val="00357C82"/>
    <w:rsid w:val="00360B81"/>
    <w:rsid w:val="003617E2"/>
    <w:rsid w:val="0036204F"/>
    <w:rsid w:val="00363D76"/>
    <w:rsid w:val="00365646"/>
    <w:rsid w:val="00365964"/>
    <w:rsid w:val="00366283"/>
    <w:rsid w:val="0036777E"/>
    <w:rsid w:val="003701FA"/>
    <w:rsid w:val="00371627"/>
    <w:rsid w:val="00372A26"/>
    <w:rsid w:val="0037484C"/>
    <w:rsid w:val="00374852"/>
    <w:rsid w:val="003749CD"/>
    <w:rsid w:val="00374A6C"/>
    <w:rsid w:val="00381899"/>
    <w:rsid w:val="00382718"/>
    <w:rsid w:val="00382B3B"/>
    <w:rsid w:val="00382F46"/>
    <w:rsid w:val="003833F5"/>
    <w:rsid w:val="00384BA2"/>
    <w:rsid w:val="00385ED2"/>
    <w:rsid w:val="00391F86"/>
    <w:rsid w:val="003923FB"/>
    <w:rsid w:val="00393F00"/>
    <w:rsid w:val="003945C0"/>
    <w:rsid w:val="00396580"/>
    <w:rsid w:val="003A0527"/>
    <w:rsid w:val="003A25A7"/>
    <w:rsid w:val="003A3B96"/>
    <w:rsid w:val="003A46E7"/>
    <w:rsid w:val="003B1C60"/>
    <w:rsid w:val="003B2573"/>
    <w:rsid w:val="003B4C44"/>
    <w:rsid w:val="003B535C"/>
    <w:rsid w:val="003B7E77"/>
    <w:rsid w:val="003C2120"/>
    <w:rsid w:val="003C2F18"/>
    <w:rsid w:val="003C33A2"/>
    <w:rsid w:val="003C3F9C"/>
    <w:rsid w:val="003C4266"/>
    <w:rsid w:val="003C57CF"/>
    <w:rsid w:val="003C7472"/>
    <w:rsid w:val="003D030E"/>
    <w:rsid w:val="003D040D"/>
    <w:rsid w:val="003D1EA0"/>
    <w:rsid w:val="003D1F39"/>
    <w:rsid w:val="003D1F49"/>
    <w:rsid w:val="003D2061"/>
    <w:rsid w:val="003D2578"/>
    <w:rsid w:val="003E0A18"/>
    <w:rsid w:val="003E1E4B"/>
    <w:rsid w:val="003E1FE3"/>
    <w:rsid w:val="003E32A7"/>
    <w:rsid w:val="003E6438"/>
    <w:rsid w:val="003E6673"/>
    <w:rsid w:val="003E6B07"/>
    <w:rsid w:val="003E6B3A"/>
    <w:rsid w:val="003E75F6"/>
    <w:rsid w:val="003F043A"/>
    <w:rsid w:val="003F0886"/>
    <w:rsid w:val="003F0E35"/>
    <w:rsid w:val="003F1387"/>
    <w:rsid w:val="003F1A33"/>
    <w:rsid w:val="003F1F77"/>
    <w:rsid w:val="003F2EAC"/>
    <w:rsid w:val="003F3072"/>
    <w:rsid w:val="003F463F"/>
    <w:rsid w:val="00400076"/>
    <w:rsid w:val="004024E4"/>
    <w:rsid w:val="0040321B"/>
    <w:rsid w:val="00406289"/>
    <w:rsid w:val="00406578"/>
    <w:rsid w:val="004074EF"/>
    <w:rsid w:val="004102C3"/>
    <w:rsid w:val="00410A0E"/>
    <w:rsid w:val="00412568"/>
    <w:rsid w:val="0041307C"/>
    <w:rsid w:val="00413699"/>
    <w:rsid w:val="0041379A"/>
    <w:rsid w:val="004167B4"/>
    <w:rsid w:val="004167BC"/>
    <w:rsid w:val="00417163"/>
    <w:rsid w:val="00417937"/>
    <w:rsid w:val="00420044"/>
    <w:rsid w:val="0042032D"/>
    <w:rsid w:val="00421F38"/>
    <w:rsid w:val="004225DC"/>
    <w:rsid w:val="00423A41"/>
    <w:rsid w:val="00423E34"/>
    <w:rsid w:val="0042421F"/>
    <w:rsid w:val="00425FBA"/>
    <w:rsid w:val="0042618F"/>
    <w:rsid w:val="00430D7E"/>
    <w:rsid w:val="00432332"/>
    <w:rsid w:val="00432368"/>
    <w:rsid w:val="00433B04"/>
    <w:rsid w:val="0043574B"/>
    <w:rsid w:val="004358E0"/>
    <w:rsid w:val="004369F2"/>
    <w:rsid w:val="00436F80"/>
    <w:rsid w:val="00437578"/>
    <w:rsid w:val="0043784D"/>
    <w:rsid w:val="00440256"/>
    <w:rsid w:val="00440E22"/>
    <w:rsid w:val="00440E76"/>
    <w:rsid w:val="004451CC"/>
    <w:rsid w:val="0044547D"/>
    <w:rsid w:val="004465B2"/>
    <w:rsid w:val="00446F93"/>
    <w:rsid w:val="00450810"/>
    <w:rsid w:val="00451A74"/>
    <w:rsid w:val="00453777"/>
    <w:rsid w:val="00454B9B"/>
    <w:rsid w:val="00454F68"/>
    <w:rsid w:val="004552AB"/>
    <w:rsid w:val="0045622C"/>
    <w:rsid w:val="004570AB"/>
    <w:rsid w:val="00460320"/>
    <w:rsid w:val="0046161B"/>
    <w:rsid w:val="00464660"/>
    <w:rsid w:val="00464FB1"/>
    <w:rsid w:val="00465398"/>
    <w:rsid w:val="00466D70"/>
    <w:rsid w:val="00467185"/>
    <w:rsid w:val="00467736"/>
    <w:rsid w:val="0047050C"/>
    <w:rsid w:val="004730D8"/>
    <w:rsid w:val="00473AE9"/>
    <w:rsid w:val="004741B3"/>
    <w:rsid w:val="004750DB"/>
    <w:rsid w:val="00480641"/>
    <w:rsid w:val="00480F21"/>
    <w:rsid w:val="0048108E"/>
    <w:rsid w:val="00484441"/>
    <w:rsid w:val="0048537F"/>
    <w:rsid w:val="00486C85"/>
    <w:rsid w:val="004874E5"/>
    <w:rsid w:val="00487885"/>
    <w:rsid w:val="00490A65"/>
    <w:rsid w:val="0049116C"/>
    <w:rsid w:val="004930C9"/>
    <w:rsid w:val="004938DB"/>
    <w:rsid w:val="00493F62"/>
    <w:rsid w:val="00494832"/>
    <w:rsid w:val="004957C2"/>
    <w:rsid w:val="00495AF1"/>
    <w:rsid w:val="00495D86"/>
    <w:rsid w:val="00496370"/>
    <w:rsid w:val="00496DC7"/>
    <w:rsid w:val="00497A89"/>
    <w:rsid w:val="004A1BE7"/>
    <w:rsid w:val="004A20E6"/>
    <w:rsid w:val="004A4CED"/>
    <w:rsid w:val="004A6463"/>
    <w:rsid w:val="004A6BE6"/>
    <w:rsid w:val="004A7081"/>
    <w:rsid w:val="004B02F5"/>
    <w:rsid w:val="004B0828"/>
    <w:rsid w:val="004B1041"/>
    <w:rsid w:val="004B3042"/>
    <w:rsid w:val="004B3304"/>
    <w:rsid w:val="004B3DF1"/>
    <w:rsid w:val="004B4858"/>
    <w:rsid w:val="004B4BC0"/>
    <w:rsid w:val="004B5555"/>
    <w:rsid w:val="004B6247"/>
    <w:rsid w:val="004B7D57"/>
    <w:rsid w:val="004C0484"/>
    <w:rsid w:val="004C4AF8"/>
    <w:rsid w:val="004C5B64"/>
    <w:rsid w:val="004C777E"/>
    <w:rsid w:val="004D16A4"/>
    <w:rsid w:val="004D2DE1"/>
    <w:rsid w:val="004D3C19"/>
    <w:rsid w:val="004D3C7F"/>
    <w:rsid w:val="004D729D"/>
    <w:rsid w:val="004D7953"/>
    <w:rsid w:val="004E2B48"/>
    <w:rsid w:val="004E38EA"/>
    <w:rsid w:val="004E49B9"/>
    <w:rsid w:val="004E49D2"/>
    <w:rsid w:val="004E6682"/>
    <w:rsid w:val="004E6D8A"/>
    <w:rsid w:val="004E7816"/>
    <w:rsid w:val="004F0003"/>
    <w:rsid w:val="004F13E4"/>
    <w:rsid w:val="004F15EF"/>
    <w:rsid w:val="004F22FE"/>
    <w:rsid w:val="004F6C1F"/>
    <w:rsid w:val="004F774D"/>
    <w:rsid w:val="005013B0"/>
    <w:rsid w:val="005015E4"/>
    <w:rsid w:val="005017A6"/>
    <w:rsid w:val="00502314"/>
    <w:rsid w:val="0050291D"/>
    <w:rsid w:val="005030DD"/>
    <w:rsid w:val="005064CD"/>
    <w:rsid w:val="00506748"/>
    <w:rsid w:val="00506C00"/>
    <w:rsid w:val="0050701A"/>
    <w:rsid w:val="00507186"/>
    <w:rsid w:val="00511016"/>
    <w:rsid w:val="00513A6F"/>
    <w:rsid w:val="005159B3"/>
    <w:rsid w:val="0051611C"/>
    <w:rsid w:val="00520A60"/>
    <w:rsid w:val="00522C03"/>
    <w:rsid w:val="00525AB8"/>
    <w:rsid w:val="00525EA4"/>
    <w:rsid w:val="00525FFF"/>
    <w:rsid w:val="0052791F"/>
    <w:rsid w:val="0053195F"/>
    <w:rsid w:val="00532CFF"/>
    <w:rsid w:val="00533FA0"/>
    <w:rsid w:val="005344EF"/>
    <w:rsid w:val="005346DE"/>
    <w:rsid w:val="005351D3"/>
    <w:rsid w:val="00536880"/>
    <w:rsid w:val="0053742D"/>
    <w:rsid w:val="00540AD0"/>
    <w:rsid w:val="00540C41"/>
    <w:rsid w:val="00540FDA"/>
    <w:rsid w:val="00541DA7"/>
    <w:rsid w:val="00541EE2"/>
    <w:rsid w:val="00543A76"/>
    <w:rsid w:val="005523D1"/>
    <w:rsid w:val="005525B6"/>
    <w:rsid w:val="00553603"/>
    <w:rsid w:val="00554851"/>
    <w:rsid w:val="00554A8F"/>
    <w:rsid w:val="0055532E"/>
    <w:rsid w:val="00555BC3"/>
    <w:rsid w:val="00557C8E"/>
    <w:rsid w:val="005600A8"/>
    <w:rsid w:val="00561B2B"/>
    <w:rsid w:val="00562759"/>
    <w:rsid w:val="0056357E"/>
    <w:rsid w:val="0056387D"/>
    <w:rsid w:val="00564952"/>
    <w:rsid w:val="0056645F"/>
    <w:rsid w:val="00566857"/>
    <w:rsid w:val="00571AB1"/>
    <w:rsid w:val="00572362"/>
    <w:rsid w:val="0057292C"/>
    <w:rsid w:val="00573411"/>
    <w:rsid w:val="00575430"/>
    <w:rsid w:val="00577E1C"/>
    <w:rsid w:val="00577ED4"/>
    <w:rsid w:val="00580DB1"/>
    <w:rsid w:val="005814AC"/>
    <w:rsid w:val="00582AEF"/>
    <w:rsid w:val="00584676"/>
    <w:rsid w:val="00584B4E"/>
    <w:rsid w:val="005854B7"/>
    <w:rsid w:val="00586A83"/>
    <w:rsid w:val="00587AB1"/>
    <w:rsid w:val="0059070B"/>
    <w:rsid w:val="0059283C"/>
    <w:rsid w:val="005937B0"/>
    <w:rsid w:val="005938EE"/>
    <w:rsid w:val="005942A2"/>
    <w:rsid w:val="00597F15"/>
    <w:rsid w:val="005A0D95"/>
    <w:rsid w:val="005A19CE"/>
    <w:rsid w:val="005A224B"/>
    <w:rsid w:val="005A2DFD"/>
    <w:rsid w:val="005A3868"/>
    <w:rsid w:val="005A77A6"/>
    <w:rsid w:val="005B1225"/>
    <w:rsid w:val="005B17D8"/>
    <w:rsid w:val="005B1D82"/>
    <w:rsid w:val="005B2126"/>
    <w:rsid w:val="005B2187"/>
    <w:rsid w:val="005B3421"/>
    <w:rsid w:val="005B4077"/>
    <w:rsid w:val="005B4D35"/>
    <w:rsid w:val="005C107F"/>
    <w:rsid w:val="005C13F2"/>
    <w:rsid w:val="005C28B0"/>
    <w:rsid w:val="005C2F01"/>
    <w:rsid w:val="005C5F3C"/>
    <w:rsid w:val="005D01BE"/>
    <w:rsid w:val="005D1177"/>
    <w:rsid w:val="005D1D13"/>
    <w:rsid w:val="005D3133"/>
    <w:rsid w:val="005D4434"/>
    <w:rsid w:val="005D5460"/>
    <w:rsid w:val="005D59CB"/>
    <w:rsid w:val="005D6A31"/>
    <w:rsid w:val="005E08CD"/>
    <w:rsid w:val="005E37E8"/>
    <w:rsid w:val="005E6AD0"/>
    <w:rsid w:val="005E74C5"/>
    <w:rsid w:val="005F219D"/>
    <w:rsid w:val="005F2437"/>
    <w:rsid w:val="005F318A"/>
    <w:rsid w:val="005F5157"/>
    <w:rsid w:val="005F7710"/>
    <w:rsid w:val="005F7F28"/>
    <w:rsid w:val="006004F7"/>
    <w:rsid w:val="00603261"/>
    <w:rsid w:val="00607597"/>
    <w:rsid w:val="00610F93"/>
    <w:rsid w:val="00611100"/>
    <w:rsid w:val="00611371"/>
    <w:rsid w:val="006127CC"/>
    <w:rsid w:val="00614102"/>
    <w:rsid w:val="006243C6"/>
    <w:rsid w:val="00624DF8"/>
    <w:rsid w:val="0062568F"/>
    <w:rsid w:val="006257E3"/>
    <w:rsid w:val="00626DD3"/>
    <w:rsid w:val="006273BC"/>
    <w:rsid w:val="00632009"/>
    <w:rsid w:val="00633CF1"/>
    <w:rsid w:val="00635A6C"/>
    <w:rsid w:val="00636E6C"/>
    <w:rsid w:val="00637091"/>
    <w:rsid w:val="00642839"/>
    <w:rsid w:val="00644683"/>
    <w:rsid w:val="0064481C"/>
    <w:rsid w:val="006457F8"/>
    <w:rsid w:val="00645CCB"/>
    <w:rsid w:val="00646DEF"/>
    <w:rsid w:val="0064700E"/>
    <w:rsid w:val="006478CB"/>
    <w:rsid w:val="00647EE6"/>
    <w:rsid w:val="00650B88"/>
    <w:rsid w:val="00652C58"/>
    <w:rsid w:val="006530EF"/>
    <w:rsid w:val="006554DD"/>
    <w:rsid w:val="006579B0"/>
    <w:rsid w:val="00657AB5"/>
    <w:rsid w:val="00660951"/>
    <w:rsid w:val="00663419"/>
    <w:rsid w:val="006636E2"/>
    <w:rsid w:val="00663F4C"/>
    <w:rsid w:val="006659EE"/>
    <w:rsid w:val="00666273"/>
    <w:rsid w:val="00667FA9"/>
    <w:rsid w:val="0067233D"/>
    <w:rsid w:val="00672B2E"/>
    <w:rsid w:val="00672ECB"/>
    <w:rsid w:val="006745AE"/>
    <w:rsid w:val="00676870"/>
    <w:rsid w:val="00676AF3"/>
    <w:rsid w:val="00676D89"/>
    <w:rsid w:val="00677895"/>
    <w:rsid w:val="00677BEF"/>
    <w:rsid w:val="006814A3"/>
    <w:rsid w:val="006817A5"/>
    <w:rsid w:val="006821EF"/>
    <w:rsid w:val="00682387"/>
    <w:rsid w:val="00682AFC"/>
    <w:rsid w:val="00683344"/>
    <w:rsid w:val="006845BC"/>
    <w:rsid w:val="00684FC9"/>
    <w:rsid w:val="00685F41"/>
    <w:rsid w:val="0069072B"/>
    <w:rsid w:val="0069174B"/>
    <w:rsid w:val="00693340"/>
    <w:rsid w:val="00696464"/>
    <w:rsid w:val="006966E2"/>
    <w:rsid w:val="00697B5F"/>
    <w:rsid w:val="006A04C7"/>
    <w:rsid w:val="006A07B4"/>
    <w:rsid w:val="006A2D3F"/>
    <w:rsid w:val="006A3D5F"/>
    <w:rsid w:val="006A3FA4"/>
    <w:rsid w:val="006A5459"/>
    <w:rsid w:val="006B05E3"/>
    <w:rsid w:val="006B09BC"/>
    <w:rsid w:val="006B27E8"/>
    <w:rsid w:val="006B2FFD"/>
    <w:rsid w:val="006B4210"/>
    <w:rsid w:val="006B602C"/>
    <w:rsid w:val="006B6D5D"/>
    <w:rsid w:val="006B6E55"/>
    <w:rsid w:val="006B7B5A"/>
    <w:rsid w:val="006C0801"/>
    <w:rsid w:val="006C0C2C"/>
    <w:rsid w:val="006C1EAA"/>
    <w:rsid w:val="006C216F"/>
    <w:rsid w:val="006C45D4"/>
    <w:rsid w:val="006C5761"/>
    <w:rsid w:val="006C6F6A"/>
    <w:rsid w:val="006D011C"/>
    <w:rsid w:val="006D0649"/>
    <w:rsid w:val="006D0659"/>
    <w:rsid w:val="006D2042"/>
    <w:rsid w:val="006D66E3"/>
    <w:rsid w:val="006D7314"/>
    <w:rsid w:val="006D7855"/>
    <w:rsid w:val="006E010C"/>
    <w:rsid w:val="006E1003"/>
    <w:rsid w:val="006E1315"/>
    <w:rsid w:val="006E13A2"/>
    <w:rsid w:val="006E16BF"/>
    <w:rsid w:val="006E18F0"/>
    <w:rsid w:val="006E193C"/>
    <w:rsid w:val="006E38AF"/>
    <w:rsid w:val="006E43F4"/>
    <w:rsid w:val="006E4F93"/>
    <w:rsid w:val="006E6B93"/>
    <w:rsid w:val="006F0FA9"/>
    <w:rsid w:val="006F1174"/>
    <w:rsid w:val="006F2747"/>
    <w:rsid w:val="006F3747"/>
    <w:rsid w:val="006F4300"/>
    <w:rsid w:val="006F4572"/>
    <w:rsid w:val="006F7C01"/>
    <w:rsid w:val="00700135"/>
    <w:rsid w:val="00702317"/>
    <w:rsid w:val="00702F6A"/>
    <w:rsid w:val="00703ECF"/>
    <w:rsid w:val="00704815"/>
    <w:rsid w:val="00704E3A"/>
    <w:rsid w:val="00705180"/>
    <w:rsid w:val="00705EA3"/>
    <w:rsid w:val="007077A3"/>
    <w:rsid w:val="00711605"/>
    <w:rsid w:val="00711DF6"/>
    <w:rsid w:val="00716D83"/>
    <w:rsid w:val="00716FBC"/>
    <w:rsid w:val="00717090"/>
    <w:rsid w:val="007202E8"/>
    <w:rsid w:val="00720739"/>
    <w:rsid w:val="00721490"/>
    <w:rsid w:val="0072253E"/>
    <w:rsid w:val="0072391C"/>
    <w:rsid w:val="00723E1F"/>
    <w:rsid w:val="0072443D"/>
    <w:rsid w:val="007247E5"/>
    <w:rsid w:val="007248B7"/>
    <w:rsid w:val="007254CA"/>
    <w:rsid w:val="00726263"/>
    <w:rsid w:val="00726CF2"/>
    <w:rsid w:val="00727552"/>
    <w:rsid w:val="00730CF8"/>
    <w:rsid w:val="00731A90"/>
    <w:rsid w:val="00731C40"/>
    <w:rsid w:val="00732608"/>
    <w:rsid w:val="00733251"/>
    <w:rsid w:val="00736DCA"/>
    <w:rsid w:val="00736FAD"/>
    <w:rsid w:val="0074054B"/>
    <w:rsid w:val="00741CEF"/>
    <w:rsid w:val="00745301"/>
    <w:rsid w:val="00745C47"/>
    <w:rsid w:val="00746879"/>
    <w:rsid w:val="0075003D"/>
    <w:rsid w:val="00751D97"/>
    <w:rsid w:val="00752C55"/>
    <w:rsid w:val="00755435"/>
    <w:rsid w:val="007562D4"/>
    <w:rsid w:val="00756EA3"/>
    <w:rsid w:val="007573FA"/>
    <w:rsid w:val="00760802"/>
    <w:rsid w:val="00760C5F"/>
    <w:rsid w:val="00760C74"/>
    <w:rsid w:val="00761DBF"/>
    <w:rsid w:val="00761FCF"/>
    <w:rsid w:val="007620BE"/>
    <w:rsid w:val="007627F8"/>
    <w:rsid w:val="00762A03"/>
    <w:rsid w:val="0076344D"/>
    <w:rsid w:val="007638CD"/>
    <w:rsid w:val="00765503"/>
    <w:rsid w:val="00766890"/>
    <w:rsid w:val="0076778D"/>
    <w:rsid w:val="00767808"/>
    <w:rsid w:val="00767B7E"/>
    <w:rsid w:val="00771D7D"/>
    <w:rsid w:val="00772597"/>
    <w:rsid w:val="007745B7"/>
    <w:rsid w:val="00774B27"/>
    <w:rsid w:val="007750C8"/>
    <w:rsid w:val="00776538"/>
    <w:rsid w:val="00776E66"/>
    <w:rsid w:val="007802BE"/>
    <w:rsid w:val="00780EEF"/>
    <w:rsid w:val="0078134C"/>
    <w:rsid w:val="00781C47"/>
    <w:rsid w:val="0078236C"/>
    <w:rsid w:val="007837C7"/>
    <w:rsid w:val="00784B44"/>
    <w:rsid w:val="0078524A"/>
    <w:rsid w:val="00785465"/>
    <w:rsid w:val="00787656"/>
    <w:rsid w:val="00787A47"/>
    <w:rsid w:val="00791767"/>
    <w:rsid w:val="0079268A"/>
    <w:rsid w:val="00792AFA"/>
    <w:rsid w:val="00793345"/>
    <w:rsid w:val="00794859"/>
    <w:rsid w:val="00797C88"/>
    <w:rsid w:val="007A1013"/>
    <w:rsid w:val="007A1B37"/>
    <w:rsid w:val="007A33AF"/>
    <w:rsid w:val="007A4CA9"/>
    <w:rsid w:val="007A5C31"/>
    <w:rsid w:val="007A7D19"/>
    <w:rsid w:val="007A7EC2"/>
    <w:rsid w:val="007B042D"/>
    <w:rsid w:val="007B05BB"/>
    <w:rsid w:val="007B06E0"/>
    <w:rsid w:val="007B079A"/>
    <w:rsid w:val="007B17C2"/>
    <w:rsid w:val="007B17D0"/>
    <w:rsid w:val="007B2777"/>
    <w:rsid w:val="007B2A6F"/>
    <w:rsid w:val="007B46E4"/>
    <w:rsid w:val="007B54C0"/>
    <w:rsid w:val="007B6E0A"/>
    <w:rsid w:val="007B764C"/>
    <w:rsid w:val="007C118A"/>
    <w:rsid w:val="007C1B8B"/>
    <w:rsid w:val="007C25B6"/>
    <w:rsid w:val="007C28D4"/>
    <w:rsid w:val="007C55AD"/>
    <w:rsid w:val="007C636F"/>
    <w:rsid w:val="007C656C"/>
    <w:rsid w:val="007D37CF"/>
    <w:rsid w:val="007D39EB"/>
    <w:rsid w:val="007D3CDD"/>
    <w:rsid w:val="007E26DC"/>
    <w:rsid w:val="007E3E5E"/>
    <w:rsid w:val="007E447D"/>
    <w:rsid w:val="007E6D44"/>
    <w:rsid w:val="007E74E1"/>
    <w:rsid w:val="007E77A8"/>
    <w:rsid w:val="007F1FCC"/>
    <w:rsid w:val="007F44CC"/>
    <w:rsid w:val="007F491C"/>
    <w:rsid w:val="00800FA2"/>
    <w:rsid w:val="00803BF8"/>
    <w:rsid w:val="008061C9"/>
    <w:rsid w:val="008066D8"/>
    <w:rsid w:val="00806CAF"/>
    <w:rsid w:val="00807238"/>
    <w:rsid w:val="0081001E"/>
    <w:rsid w:val="00810851"/>
    <w:rsid w:val="00811A18"/>
    <w:rsid w:val="00813711"/>
    <w:rsid w:val="00815E76"/>
    <w:rsid w:val="00817359"/>
    <w:rsid w:val="00820671"/>
    <w:rsid w:val="00821E64"/>
    <w:rsid w:val="008263C2"/>
    <w:rsid w:val="00827666"/>
    <w:rsid w:val="00827B4E"/>
    <w:rsid w:val="008307DB"/>
    <w:rsid w:val="00831042"/>
    <w:rsid w:val="00833398"/>
    <w:rsid w:val="00835C0B"/>
    <w:rsid w:val="00835D9D"/>
    <w:rsid w:val="00835FC9"/>
    <w:rsid w:val="008368F8"/>
    <w:rsid w:val="00836BA9"/>
    <w:rsid w:val="008370E3"/>
    <w:rsid w:val="008418FA"/>
    <w:rsid w:val="00842959"/>
    <w:rsid w:val="00843390"/>
    <w:rsid w:val="0084535F"/>
    <w:rsid w:val="00845638"/>
    <w:rsid w:val="00847EAB"/>
    <w:rsid w:val="00847F04"/>
    <w:rsid w:val="008504C3"/>
    <w:rsid w:val="0085161F"/>
    <w:rsid w:val="0085235A"/>
    <w:rsid w:val="00854138"/>
    <w:rsid w:val="00854410"/>
    <w:rsid w:val="0085443E"/>
    <w:rsid w:val="008544DF"/>
    <w:rsid w:val="00856E20"/>
    <w:rsid w:val="008601F0"/>
    <w:rsid w:val="008605D8"/>
    <w:rsid w:val="00860AAD"/>
    <w:rsid w:val="00860DC6"/>
    <w:rsid w:val="008615CA"/>
    <w:rsid w:val="00861AA6"/>
    <w:rsid w:val="0086615C"/>
    <w:rsid w:val="00866263"/>
    <w:rsid w:val="008708F3"/>
    <w:rsid w:val="00871354"/>
    <w:rsid w:val="008721D4"/>
    <w:rsid w:val="00873611"/>
    <w:rsid w:val="00873C8F"/>
    <w:rsid w:val="00874FB3"/>
    <w:rsid w:val="00876EB4"/>
    <w:rsid w:val="00880BE3"/>
    <w:rsid w:val="00881359"/>
    <w:rsid w:val="00882093"/>
    <w:rsid w:val="00882588"/>
    <w:rsid w:val="008835F5"/>
    <w:rsid w:val="00883B97"/>
    <w:rsid w:val="00884327"/>
    <w:rsid w:val="00884ADE"/>
    <w:rsid w:val="008856CF"/>
    <w:rsid w:val="00885864"/>
    <w:rsid w:val="00886525"/>
    <w:rsid w:val="00887230"/>
    <w:rsid w:val="00890A1D"/>
    <w:rsid w:val="00890AAA"/>
    <w:rsid w:val="00891D79"/>
    <w:rsid w:val="00891D89"/>
    <w:rsid w:val="0089383B"/>
    <w:rsid w:val="00893C48"/>
    <w:rsid w:val="0089534B"/>
    <w:rsid w:val="00895517"/>
    <w:rsid w:val="0089616F"/>
    <w:rsid w:val="0089638D"/>
    <w:rsid w:val="008A0232"/>
    <w:rsid w:val="008A4DBD"/>
    <w:rsid w:val="008A7EFC"/>
    <w:rsid w:val="008B01A6"/>
    <w:rsid w:val="008B0470"/>
    <w:rsid w:val="008B06C5"/>
    <w:rsid w:val="008B164E"/>
    <w:rsid w:val="008B2E78"/>
    <w:rsid w:val="008B3DCF"/>
    <w:rsid w:val="008B4F85"/>
    <w:rsid w:val="008B502A"/>
    <w:rsid w:val="008B57D8"/>
    <w:rsid w:val="008B6BFE"/>
    <w:rsid w:val="008B7A65"/>
    <w:rsid w:val="008C0576"/>
    <w:rsid w:val="008C0B97"/>
    <w:rsid w:val="008C1219"/>
    <w:rsid w:val="008C123E"/>
    <w:rsid w:val="008C137D"/>
    <w:rsid w:val="008C2111"/>
    <w:rsid w:val="008C22DD"/>
    <w:rsid w:val="008C3809"/>
    <w:rsid w:val="008C3ED0"/>
    <w:rsid w:val="008C5E94"/>
    <w:rsid w:val="008C5F79"/>
    <w:rsid w:val="008C65D7"/>
    <w:rsid w:val="008D196A"/>
    <w:rsid w:val="008D2A10"/>
    <w:rsid w:val="008D3548"/>
    <w:rsid w:val="008D3CF2"/>
    <w:rsid w:val="008D4C7B"/>
    <w:rsid w:val="008D54CA"/>
    <w:rsid w:val="008D5F27"/>
    <w:rsid w:val="008D75AC"/>
    <w:rsid w:val="008D7943"/>
    <w:rsid w:val="008E3EF2"/>
    <w:rsid w:val="008E46FC"/>
    <w:rsid w:val="008E51C9"/>
    <w:rsid w:val="008E5BEB"/>
    <w:rsid w:val="008E6306"/>
    <w:rsid w:val="008F0A0F"/>
    <w:rsid w:val="008F4C1C"/>
    <w:rsid w:val="008F580D"/>
    <w:rsid w:val="008F68F7"/>
    <w:rsid w:val="008F7E24"/>
    <w:rsid w:val="009005A6"/>
    <w:rsid w:val="009006CF"/>
    <w:rsid w:val="00900C71"/>
    <w:rsid w:val="009024C4"/>
    <w:rsid w:val="00902A1C"/>
    <w:rsid w:val="009037B6"/>
    <w:rsid w:val="009044D0"/>
    <w:rsid w:val="009052C2"/>
    <w:rsid w:val="00906CBE"/>
    <w:rsid w:val="00910024"/>
    <w:rsid w:val="00910384"/>
    <w:rsid w:val="009128A9"/>
    <w:rsid w:val="0091643D"/>
    <w:rsid w:val="00916E33"/>
    <w:rsid w:val="0092093B"/>
    <w:rsid w:val="009216AF"/>
    <w:rsid w:val="00925FD2"/>
    <w:rsid w:val="00930669"/>
    <w:rsid w:val="00932C33"/>
    <w:rsid w:val="00932E09"/>
    <w:rsid w:val="00934227"/>
    <w:rsid w:val="009342CE"/>
    <w:rsid w:val="00936E65"/>
    <w:rsid w:val="00940305"/>
    <w:rsid w:val="009427A1"/>
    <w:rsid w:val="00942FFE"/>
    <w:rsid w:val="00944C96"/>
    <w:rsid w:val="009551E0"/>
    <w:rsid w:val="009552F1"/>
    <w:rsid w:val="0095654E"/>
    <w:rsid w:val="00956916"/>
    <w:rsid w:val="00956F3C"/>
    <w:rsid w:val="0096034C"/>
    <w:rsid w:val="00961B28"/>
    <w:rsid w:val="00963729"/>
    <w:rsid w:val="00965DD5"/>
    <w:rsid w:val="00970F5F"/>
    <w:rsid w:val="0097146D"/>
    <w:rsid w:val="0097182A"/>
    <w:rsid w:val="00971C34"/>
    <w:rsid w:val="00971DFA"/>
    <w:rsid w:val="00972488"/>
    <w:rsid w:val="009726D0"/>
    <w:rsid w:val="0097421D"/>
    <w:rsid w:val="00976117"/>
    <w:rsid w:val="00976A23"/>
    <w:rsid w:val="009800BC"/>
    <w:rsid w:val="00980B2C"/>
    <w:rsid w:val="00980D00"/>
    <w:rsid w:val="009816F6"/>
    <w:rsid w:val="00985220"/>
    <w:rsid w:val="00985C24"/>
    <w:rsid w:val="0098702F"/>
    <w:rsid w:val="009871E7"/>
    <w:rsid w:val="009900F0"/>
    <w:rsid w:val="00990B9B"/>
    <w:rsid w:val="00991769"/>
    <w:rsid w:val="00993236"/>
    <w:rsid w:val="0099392A"/>
    <w:rsid w:val="00993D8C"/>
    <w:rsid w:val="00994E3D"/>
    <w:rsid w:val="00995D05"/>
    <w:rsid w:val="0099781B"/>
    <w:rsid w:val="009A1D2A"/>
    <w:rsid w:val="009A24FA"/>
    <w:rsid w:val="009A297E"/>
    <w:rsid w:val="009A4E73"/>
    <w:rsid w:val="009A6127"/>
    <w:rsid w:val="009A6311"/>
    <w:rsid w:val="009A6893"/>
    <w:rsid w:val="009A6AD6"/>
    <w:rsid w:val="009B0415"/>
    <w:rsid w:val="009B0CC1"/>
    <w:rsid w:val="009B1009"/>
    <w:rsid w:val="009B12B8"/>
    <w:rsid w:val="009B2462"/>
    <w:rsid w:val="009B2BB8"/>
    <w:rsid w:val="009B5A4D"/>
    <w:rsid w:val="009B5DFE"/>
    <w:rsid w:val="009B70D9"/>
    <w:rsid w:val="009B713C"/>
    <w:rsid w:val="009C06B7"/>
    <w:rsid w:val="009C0F18"/>
    <w:rsid w:val="009C12C6"/>
    <w:rsid w:val="009C2461"/>
    <w:rsid w:val="009C2555"/>
    <w:rsid w:val="009C47B3"/>
    <w:rsid w:val="009C7778"/>
    <w:rsid w:val="009D06AE"/>
    <w:rsid w:val="009D09E2"/>
    <w:rsid w:val="009D1AF2"/>
    <w:rsid w:val="009D1E42"/>
    <w:rsid w:val="009D56A5"/>
    <w:rsid w:val="009D61F8"/>
    <w:rsid w:val="009D7148"/>
    <w:rsid w:val="009E02FD"/>
    <w:rsid w:val="009E0699"/>
    <w:rsid w:val="009E12A1"/>
    <w:rsid w:val="009E2E0B"/>
    <w:rsid w:val="009E4455"/>
    <w:rsid w:val="009E487D"/>
    <w:rsid w:val="009E4C74"/>
    <w:rsid w:val="009E5594"/>
    <w:rsid w:val="009E62B6"/>
    <w:rsid w:val="009E651B"/>
    <w:rsid w:val="009E67D1"/>
    <w:rsid w:val="009F0F3A"/>
    <w:rsid w:val="009F18CD"/>
    <w:rsid w:val="009F35DA"/>
    <w:rsid w:val="009F37D2"/>
    <w:rsid w:val="009F3E5D"/>
    <w:rsid w:val="009F412A"/>
    <w:rsid w:val="009F43D0"/>
    <w:rsid w:val="009F4455"/>
    <w:rsid w:val="00A00568"/>
    <w:rsid w:val="00A00884"/>
    <w:rsid w:val="00A00CD9"/>
    <w:rsid w:val="00A01500"/>
    <w:rsid w:val="00A02A53"/>
    <w:rsid w:val="00A02F62"/>
    <w:rsid w:val="00A02FA3"/>
    <w:rsid w:val="00A030C3"/>
    <w:rsid w:val="00A04803"/>
    <w:rsid w:val="00A04847"/>
    <w:rsid w:val="00A06451"/>
    <w:rsid w:val="00A07808"/>
    <w:rsid w:val="00A10147"/>
    <w:rsid w:val="00A10157"/>
    <w:rsid w:val="00A10B59"/>
    <w:rsid w:val="00A11331"/>
    <w:rsid w:val="00A12B64"/>
    <w:rsid w:val="00A131E6"/>
    <w:rsid w:val="00A13843"/>
    <w:rsid w:val="00A146A5"/>
    <w:rsid w:val="00A15E61"/>
    <w:rsid w:val="00A17466"/>
    <w:rsid w:val="00A17C30"/>
    <w:rsid w:val="00A20437"/>
    <w:rsid w:val="00A204B3"/>
    <w:rsid w:val="00A20576"/>
    <w:rsid w:val="00A21106"/>
    <w:rsid w:val="00A21593"/>
    <w:rsid w:val="00A221F7"/>
    <w:rsid w:val="00A22C21"/>
    <w:rsid w:val="00A2604E"/>
    <w:rsid w:val="00A26E9D"/>
    <w:rsid w:val="00A31CCE"/>
    <w:rsid w:val="00A33C95"/>
    <w:rsid w:val="00A34FF3"/>
    <w:rsid w:val="00A35351"/>
    <w:rsid w:val="00A361C7"/>
    <w:rsid w:val="00A36723"/>
    <w:rsid w:val="00A41293"/>
    <w:rsid w:val="00A4455E"/>
    <w:rsid w:val="00A45CD6"/>
    <w:rsid w:val="00A46DF5"/>
    <w:rsid w:val="00A4767F"/>
    <w:rsid w:val="00A5021C"/>
    <w:rsid w:val="00A5149A"/>
    <w:rsid w:val="00A53650"/>
    <w:rsid w:val="00A53E51"/>
    <w:rsid w:val="00A57183"/>
    <w:rsid w:val="00A6019C"/>
    <w:rsid w:val="00A60693"/>
    <w:rsid w:val="00A6196D"/>
    <w:rsid w:val="00A619C0"/>
    <w:rsid w:val="00A61ADF"/>
    <w:rsid w:val="00A624CB"/>
    <w:rsid w:val="00A62AC0"/>
    <w:rsid w:val="00A66EFC"/>
    <w:rsid w:val="00A70843"/>
    <w:rsid w:val="00A71406"/>
    <w:rsid w:val="00A741C5"/>
    <w:rsid w:val="00A76BD2"/>
    <w:rsid w:val="00A82262"/>
    <w:rsid w:val="00A8267D"/>
    <w:rsid w:val="00A82E14"/>
    <w:rsid w:val="00A83A30"/>
    <w:rsid w:val="00A85870"/>
    <w:rsid w:val="00A867CA"/>
    <w:rsid w:val="00A8688E"/>
    <w:rsid w:val="00A8722B"/>
    <w:rsid w:val="00A87F36"/>
    <w:rsid w:val="00A901E9"/>
    <w:rsid w:val="00A917B6"/>
    <w:rsid w:val="00A91831"/>
    <w:rsid w:val="00A91B3B"/>
    <w:rsid w:val="00A92291"/>
    <w:rsid w:val="00A92BBB"/>
    <w:rsid w:val="00A93B4F"/>
    <w:rsid w:val="00A93CCD"/>
    <w:rsid w:val="00A94A8B"/>
    <w:rsid w:val="00A94F7A"/>
    <w:rsid w:val="00A95940"/>
    <w:rsid w:val="00A95D3B"/>
    <w:rsid w:val="00A97256"/>
    <w:rsid w:val="00A97341"/>
    <w:rsid w:val="00A97513"/>
    <w:rsid w:val="00AA0081"/>
    <w:rsid w:val="00AA3044"/>
    <w:rsid w:val="00AA3BE5"/>
    <w:rsid w:val="00AA3DC6"/>
    <w:rsid w:val="00AA4E4D"/>
    <w:rsid w:val="00AA596E"/>
    <w:rsid w:val="00AB09ED"/>
    <w:rsid w:val="00AB3DC0"/>
    <w:rsid w:val="00AB4CBB"/>
    <w:rsid w:val="00AB76BA"/>
    <w:rsid w:val="00AC00AE"/>
    <w:rsid w:val="00AC125E"/>
    <w:rsid w:val="00AC13B3"/>
    <w:rsid w:val="00AC45DF"/>
    <w:rsid w:val="00AC474D"/>
    <w:rsid w:val="00AC4DFD"/>
    <w:rsid w:val="00AC5663"/>
    <w:rsid w:val="00AC58FD"/>
    <w:rsid w:val="00AC7A75"/>
    <w:rsid w:val="00AD0F6D"/>
    <w:rsid w:val="00AD1166"/>
    <w:rsid w:val="00AD19D2"/>
    <w:rsid w:val="00AD1A96"/>
    <w:rsid w:val="00AD2522"/>
    <w:rsid w:val="00AD3042"/>
    <w:rsid w:val="00AD793A"/>
    <w:rsid w:val="00AE0120"/>
    <w:rsid w:val="00AE103E"/>
    <w:rsid w:val="00AE257F"/>
    <w:rsid w:val="00AE2BCE"/>
    <w:rsid w:val="00AE2C8C"/>
    <w:rsid w:val="00AE3038"/>
    <w:rsid w:val="00AE3B41"/>
    <w:rsid w:val="00AE3D4A"/>
    <w:rsid w:val="00AE4A77"/>
    <w:rsid w:val="00AE5956"/>
    <w:rsid w:val="00AE619F"/>
    <w:rsid w:val="00AE7A88"/>
    <w:rsid w:val="00AF20F5"/>
    <w:rsid w:val="00AF2A56"/>
    <w:rsid w:val="00AF63AB"/>
    <w:rsid w:val="00AF77A9"/>
    <w:rsid w:val="00B00D0A"/>
    <w:rsid w:val="00B00E69"/>
    <w:rsid w:val="00B01784"/>
    <w:rsid w:val="00B03033"/>
    <w:rsid w:val="00B0388B"/>
    <w:rsid w:val="00B03BEE"/>
    <w:rsid w:val="00B0517E"/>
    <w:rsid w:val="00B070BD"/>
    <w:rsid w:val="00B11314"/>
    <w:rsid w:val="00B113E3"/>
    <w:rsid w:val="00B1156A"/>
    <w:rsid w:val="00B134F3"/>
    <w:rsid w:val="00B138E3"/>
    <w:rsid w:val="00B13FB5"/>
    <w:rsid w:val="00B14363"/>
    <w:rsid w:val="00B15BAB"/>
    <w:rsid w:val="00B15ED0"/>
    <w:rsid w:val="00B178FA"/>
    <w:rsid w:val="00B17D8E"/>
    <w:rsid w:val="00B207C3"/>
    <w:rsid w:val="00B212B8"/>
    <w:rsid w:val="00B21A8D"/>
    <w:rsid w:val="00B23267"/>
    <w:rsid w:val="00B23906"/>
    <w:rsid w:val="00B257BF"/>
    <w:rsid w:val="00B27149"/>
    <w:rsid w:val="00B32449"/>
    <w:rsid w:val="00B34771"/>
    <w:rsid w:val="00B35B4D"/>
    <w:rsid w:val="00B362F0"/>
    <w:rsid w:val="00B3633C"/>
    <w:rsid w:val="00B36652"/>
    <w:rsid w:val="00B373D1"/>
    <w:rsid w:val="00B425AB"/>
    <w:rsid w:val="00B47090"/>
    <w:rsid w:val="00B5007D"/>
    <w:rsid w:val="00B50C69"/>
    <w:rsid w:val="00B52921"/>
    <w:rsid w:val="00B532D1"/>
    <w:rsid w:val="00B541E3"/>
    <w:rsid w:val="00B5546E"/>
    <w:rsid w:val="00B61DB9"/>
    <w:rsid w:val="00B61E3E"/>
    <w:rsid w:val="00B6232F"/>
    <w:rsid w:val="00B63029"/>
    <w:rsid w:val="00B63EFD"/>
    <w:rsid w:val="00B6521B"/>
    <w:rsid w:val="00B66B9C"/>
    <w:rsid w:val="00B67A79"/>
    <w:rsid w:val="00B70C4D"/>
    <w:rsid w:val="00B72D62"/>
    <w:rsid w:val="00B73683"/>
    <w:rsid w:val="00B74365"/>
    <w:rsid w:val="00B767AF"/>
    <w:rsid w:val="00B76CCD"/>
    <w:rsid w:val="00B80511"/>
    <w:rsid w:val="00B80798"/>
    <w:rsid w:val="00B80876"/>
    <w:rsid w:val="00B80E58"/>
    <w:rsid w:val="00B82C3C"/>
    <w:rsid w:val="00B82DE6"/>
    <w:rsid w:val="00B831CD"/>
    <w:rsid w:val="00B83C46"/>
    <w:rsid w:val="00B842DF"/>
    <w:rsid w:val="00B85329"/>
    <w:rsid w:val="00B853B9"/>
    <w:rsid w:val="00B8709B"/>
    <w:rsid w:val="00B87182"/>
    <w:rsid w:val="00B90BCB"/>
    <w:rsid w:val="00B91B9D"/>
    <w:rsid w:val="00B9305C"/>
    <w:rsid w:val="00B94E7C"/>
    <w:rsid w:val="00BA2521"/>
    <w:rsid w:val="00BA298E"/>
    <w:rsid w:val="00BA2D45"/>
    <w:rsid w:val="00BA31DA"/>
    <w:rsid w:val="00BA5E20"/>
    <w:rsid w:val="00BA607C"/>
    <w:rsid w:val="00BA6734"/>
    <w:rsid w:val="00BA7B3F"/>
    <w:rsid w:val="00BB35EA"/>
    <w:rsid w:val="00BB3E2A"/>
    <w:rsid w:val="00BB50BB"/>
    <w:rsid w:val="00BB51DC"/>
    <w:rsid w:val="00BB57EF"/>
    <w:rsid w:val="00BB7121"/>
    <w:rsid w:val="00BB7BE2"/>
    <w:rsid w:val="00BC0479"/>
    <w:rsid w:val="00BC0BDC"/>
    <w:rsid w:val="00BC1032"/>
    <w:rsid w:val="00BC14B6"/>
    <w:rsid w:val="00BC1651"/>
    <w:rsid w:val="00BC16B4"/>
    <w:rsid w:val="00BC16F5"/>
    <w:rsid w:val="00BC18FF"/>
    <w:rsid w:val="00BC2364"/>
    <w:rsid w:val="00BC287D"/>
    <w:rsid w:val="00BC2A38"/>
    <w:rsid w:val="00BC3040"/>
    <w:rsid w:val="00BC46EB"/>
    <w:rsid w:val="00BC583F"/>
    <w:rsid w:val="00BC59A4"/>
    <w:rsid w:val="00BC643B"/>
    <w:rsid w:val="00BD0276"/>
    <w:rsid w:val="00BD32E5"/>
    <w:rsid w:val="00BD350E"/>
    <w:rsid w:val="00BD36C4"/>
    <w:rsid w:val="00BD4E18"/>
    <w:rsid w:val="00BE1095"/>
    <w:rsid w:val="00BE150A"/>
    <w:rsid w:val="00BE2951"/>
    <w:rsid w:val="00BE42CC"/>
    <w:rsid w:val="00BE4E7B"/>
    <w:rsid w:val="00BE4FAE"/>
    <w:rsid w:val="00BE6304"/>
    <w:rsid w:val="00BE6767"/>
    <w:rsid w:val="00BE6A35"/>
    <w:rsid w:val="00BE6E0B"/>
    <w:rsid w:val="00BE78EC"/>
    <w:rsid w:val="00BF1437"/>
    <w:rsid w:val="00BF23B1"/>
    <w:rsid w:val="00BF46EE"/>
    <w:rsid w:val="00BF5CA1"/>
    <w:rsid w:val="00BF7A1E"/>
    <w:rsid w:val="00C01C4F"/>
    <w:rsid w:val="00C0613C"/>
    <w:rsid w:val="00C10D05"/>
    <w:rsid w:val="00C14FBA"/>
    <w:rsid w:val="00C15633"/>
    <w:rsid w:val="00C15D9E"/>
    <w:rsid w:val="00C15EA1"/>
    <w:rsid w:val="00C1626D"/>
    <w:rsid w:val="00C17A8E"/>
    <w:rsid w:val="00C20022"/>
    <w:rsid w:val="00C2137A"/>
    <w:rsid w:val="00C24F70"/>
    <w:rsid w:val="00C25DC2"/>
    <w:rsid w:val="00C32081"/>
    <w:rsid w:val="00C321E8"/>
    <w:rsid w:val="00C33479"/>
    <w:rsid w:val="00C35F49"/>
    <w:rsid w:val="00C37F00"/>
    <w:rsid w:val="00C40ED2"/>
    <w:rsid w:val="00C41F10"/>
    <w:rsid w:val="00C432DD"/>
    <w:rsid w:val="00C4423A"/>
    <w:rsid w:val="00C44B10"/>
    <w:rsid w:val="00C44EE3"/>
    <w:rsid w:val="00C501FE"/>
    <w:rsid w:val="00C525BF"/>
    <w:rsid w:val="00C5277A"/>
    <w:rsid w:val="00C52E47"/>
    <w:rsid w:val="00C5784B"/>
    <w:rsid w:val="00C57867"/>
    <w:rsid w:val="00C6202F"/>
    <w:rsid w:val="00C624F9"/>
    <w:rsid w:val="00C6286B"/>
    <w:rsid w:val="00C639FF"/>
    <w:rsid w:val="00C6442A"/>
    <w:rsid w:val="00C64D15"/>
    <w:rsid w:val="00C650A7"/>
    <w:rsid w:val="00C66088"/>
    <w:rsid w:val="00C67C4C"/>
    <w:rsid w:val="00C67EE3"/>
    <w:rsid w:val="00C70878"/>
    <w:rsid w:val="00C71A2F"/>
    <w:rsid w:val="00C72BFB"/>
    <w:rsid w:val="00C72F5E"/>
    <w:rsid w:val="00C7496A"/>
    <w:rsid w:val="00C74B5D"/>
    <w:rsid w:val="00C74E17"/>
    <w:rsid w:val="00C74F74"/>
    <w:rsid w:val="00C7554B"/>
    <w:rsid w:val="00C80951"/>
    <w:rsid w:val="00C8205E"/>
    <w:rsid w:val="00C82EB5"/>
    <w:rsid w:val="00C83237"/>
    <w:rsid w:val="00C83B72"/>
    <w:rsid w:val="00C85A5B"/>
    <w:rsid w:val="00C86DBF"/>
    <w:rsid w:val="00C8702F"/>
    <w:rsid w:val="00C87966"/>
    <w:rsid w:val="00C87E3F"/>
    <w:rsid w:val="00C902DE"/>
    <w:rsid w:val="00C90508"/>
    <w:rsid w:val="00C916AE"/>
    <w:rsid w:val="00C93AAA"/>
    <w:rsid w:val="00C956DF"/>
    <w:rsid w:val="00C95FCD"/>
    <w:rsid w:val="00C97188"/>
    <w:rsid w:val="00CA0639"/>
    <w:rsid w:val="00CA11D0"/>
    <w:rsid w:val="00CA1E0D"/>
    <w:rsid w:val="00CA2E02"/>
    <w:rsid w:val="00CA3E5A"/>
    <w:rsid w:val="00CA48DB"/>
    <w:rsid w:val="00CA583A"/>
    <w:rsid w:val="00CA5EC6"/>
    <w:rsid w:val="00CA68BA"/>
    <w:rsid w:val="00CA7DA4"/>
    <w:rsid w:val="00CB0E2B"/>
    <w:rsid w:val="00CB1819"/>
    <w:rsid w:val="00CB4C9A"/>
    <w:rsid w:val="00CB5744"/>
    <w:rsid w:val="00CB7022"/>
    <w:rsid w:val="00CB7BC5"/>
    <w:rsid w:val="00CC03AF"/>
    <w:rsid w:val="00CC2138"/>
    <w:rsid w:val="00CC468A"/>
    <w:rsid w:val="00CC499C"/>
    <w:rsid w:val="00CC586D"/>
    <w:rsid w:val="00CC7DBC"/>
    <w:rsid w:val="00CD1A40"/>
    <w:rsid w:val="00CD1BA3"/>
    <w:rsid w:val="00CD1D23"/>
    <w:rsid w:val="00CD20F9"/>
    <w:rsid w:val="00CD3612"/>
    <w:rsid w:val="00CD3E69"/>
    <w:rsid w:val="00CD6B7D"/>
    <w:rsid w:val="00CD7939"/>
    <w:rsid w:val="00CD7D29"/>
    <w:rsid w:val="00CE060D"/>
    <w:rsid w:val="00CE0847"/>
    <w:rsid w:val="00CE0B6C"/>
    <w:rsid w:val="00CE11D0"/>
    <w:rsid w:val="00CE2937"/>
    <w:rsid w:val="00CE4708"/>
    <w:rsid w:val="00CE4A94"/>
    <w:rsid w:val="00CE4C50"/>
    <w:rsid w:val="00CE56F0"/>
    <w:rsid w:val="00CE6858"/>
    <w:rsid w:val="00CE7450"/>
    <w:rsid w:val="00CE770C"/>
    <w:rsid w:val="00CF28DD"/>
    <w:rsid w:val="00CF50BE"/>
    <w:rsid w:val="00CF5F1C"/>
    <w:rsid w:val="00CF7625"/>
    <w:rsid w:val="00D0506A"/>
    <w:rsid w:val="00D111B6"/>
    <w:rsid w:val="00D1289C"/>
    <w:rsid w:val="00D1666F"/>
    <w:rsid w:val="00D17140"/>
    <w:rsid w:val="00D2071A"/>
    <w:rsid w:val="00D210EB"/>
    <w:rsid w:val="00D30F73"/>
    <w:rsid w:val="00D30F97"/>
    <w:rsid w:val="00D313A0"/>
    <w:rsid w:val="00D36FE0"/>
    <w:rsid w:val="00D40799"/>
    <w:rsid w:val="00D40D9F"/>
    <w:rsid w:val="00D40F7D"/>
    <w:rsid w:val="00D41A06"/>
    <w:rsid w:val="00D42ABF"/>
    <w:rsid w:val="00D42F40"/>
    <w:rsid w:val="00D45B67"/>
    <w:rsid w:val="00D4636C"/>
    <w:rsid w:val="00D46496"/>
    <w:rsid w:val="00D47D76"/>
    <w:rsid w:val="00D5034A"/>
    <w:rsid w:val="00D508D5"/>
    <w:rsid w:val="00D51F49"/>
    <w:rsid w:val="00D527A0"/>
    <w:rsid w:val="00D52CF5"/>
    <w:rsid w:val="00D530EB"/>
    <w:rsid w:val="00D54AFA"/>
    <w:rsid w:val="00D55EE8"/>
    <w:rsid w:val="00D562CB"/>
    <w:rsid w:val="00D569D1"/>
    <w:rsid w:val="00D56AD8"/>
    <w:rsid w:val="00D56C05"/>
    <w:rsid w:val="00D56C25"/>
    <w:rsid w:val="00D5785A"/>
    <w:rsid w:val="00D61508"/>
    <w:rsid w:val="00D61884"/>
    <w:rsid w:val="00D6375F"/>
    <w:rsid w:val="00D64C48"/>
    <w:rsid w:val="00D6680B"/>
    <w:rsid w:val="00D6686F"/>
    <w:rsid w:val="00D72F4F"/>
    <w:rsid w:val="00D731C4"/>
    <w:rsid w:val="00D73275"/>
    <w:rsid w:val="00D74EB4"/>
    <w:rsid w:val="00D75CC7"/>
    <w:rsid w:val="00D80014"/>
    <w:rsid w:val="00D801FC"/>
    <w:rsid w:val="00D82C5B"/>
    <w:rsid w:val="00D82CFD"/>
    <w:rsid w:val="00D852B2"/>
    <w:rsid w:val="00D85BE0"/>
    <w:rsid w:val="00D87FD7"/>
    <w:rsid w:val="00D91466"/>
    <w:rsid w:val="00D915ED"/>
    <w:rsid w:val="00D92249"/>
    <w:rsid w:val="00D92300"/>
    <w:rsid w:val="00D938DF"/>
    <w:rsid w:val="00D947C6"/>
    <w:rsid w:val="00D94AFC"/>
    <w:rsid w:val="00D950E6"/>
    <w:rsid w:val="00D955E7"/>
    <w:rsid w:val="00D97047"/>
    <w:rsid w:val="00DA3619"/>
    <w:rsid w:val="00DA5387"/>
    <w:rsid w:val="00DB0B88"/>
    <w:rsid w:val="00DB1652"/>
    <w:rsid w:val="00DB5584"/>
    <w:rsid w:val="00DB58A6"/>
    <w:rsid w:val="00DB6B99"/>
    <w:rsid w:val="00DC001A"/>
    <w:rsid w:val="00DD4E1D"/>
    <w:rsid w:val="00DD4F44"/>
    <w:rsid w:val="00DD686C"/>
    <w:rsid w:val="00DE15FA"/>
    <w:rsid w:val="00DE2857"/>
    <w:rsid w:val="00DE2AC3"/>
    <w:rsid w:val="00DE2E40"/>
    <w:rsid w:val="00DE3598"/>
    <w:rsid w:val="00DE3FBD"/>
    <w:rsid w:val="00DE43F5"/>
    <w:rsid w:val="00DE65FB"/>
    <w:rsid w:val="00DE6B92"/>
    <w:rsid w:val="00DE7677"/>
    <w:rsid w:val="00DF3943"/>
    <w:rsid w:val="00DF420A"/>
    <w:rsid w:val="00DF77D5"/>
    <w:rsid w:val="00E022E5"/>
    <w:rsid w:val="00E02472"/>
    <w:rsid w:val="00E041F0"/>
    <w:rsid w:val="00E06132"/>
    <w:rsid w:val="00E109B4"/>
    <w:rsid w:val="00E128D8"/>
    <w:rsid w:val="00E130C3"/>
    <w:rsid w:val="00E15056"/>
    <w:rsid w:val="00E16A70"/>
    <w:rsid w:val="00E17401"/>
    <w:rsid w:val="00E17EDF"/>
    <w:rsid w:val="00E2082D"/>
    <w:rsid w:val="00E2157C"/>
    <w:rsid w:val="00E221E2"/>
    <w:rsid w:val="00E23ABA"/>
    <w:rsid w:val="00E23AE1"/>
    <w:rsid w:val="00E24303"/>
    <w:rsid w:val="00E27A16"/>
    <w:rsid w:val="00E27B0C"/>
    <w:rsid w:val="00E30D16"/>
    <w:rsid w:val="00E32398"/>
    <w:rsid w:val="00E35ED6"/>
    <w:rsid w:val="00E36A92"/>
    <w:rsid w:val="00E40F7B"/>
    <w:rsid w:val="00E4171A"/>
    <w:rsid w:val="00E420DB"/>
    <w:rsid w:val="00E46D60"/>
    <w:rsid w:val="00E47C33"/>
    <w:rsid w:val="00E47F58"/>
    <w:rsid w:val="00E47FAD"/>
    <w:rsid w:val="00E521E0"/>
    <w:rsid w:val="00E54BFC"/>
    <w:rsid w:val="00E55F30"/>
    <w:rsid w:val="00E56D9D"/>
    <w:rsid w:val="00E6005E"/>
    <w:rsid w:val="00E604DE"/>
    <w:rsid w:val="00E60E2E"/>
    <w:rsid w:val="00E673BB"/>
    <w:rsid w:val="00E71A2D"/>
    <w:rsid w:val="00E74A73"/>
    <w:rsid w:val="00E7547E"/>
    <w:rsid w:val="00E759B0"/>
    <w:rsid w:val="00E77330"/>
    <w:rsid w:val="00E81277"/>
    <w:rsid w:val="00E816CC"/>
    <w:rsid w:val="00E81B0C"/>
    <w:rsid w:val="00E823C1"/>
    <w:rsid w:val="00E82DB7"/>
    <w:rsid w:val="00E8452A"/>
    <w:rsid w:val="00E8579C"/>
    <w:rsid w:val="00E865FE"/>
    <w:rsid w:val="00E904DC"/>
    <w:rsid w:val="00E91408"/>
    <w:rsid w:val="00E91759"/>
    <w:rsid w:val="00E923E4"/>
    <w:rsid w:val="00E9329E"/>
    <w:rsid w:val="00E955BC"/>
    <w:rsid w:val="00E9654B"/>
    <w:rsid w:val="00EA0B98"/>
    <w:rsid w:val="00EA18DB"/>
    <w:rsid w:val="00EA2FBA"/>
    <w:rsid w:val="00EA3FDD"/>
    <w:rsid w:val="00EA4166"/>
    <w:rsid w:val="00EA4DC5"/>
    <w:rsid w:val="00EA66DF"/>
    <w:rsid w:val="00EA6ADC"/>
    <w:rsid w:val="00EB13A7"/>
    <w:rsid w:val="00EB147B"/>
    <w:rsid w:val="00EB14DF"/>
    <w:rsid w:val="00EB1A4D"/>
    <w:rsid w:val="00EB3A07"/>
    <w:rsid w:val="00EB5539"/>
    <w:rsid w:val="00EB7D43"/>
    <w:rsid w:val="00EC0DC7"/>
    <w:rsid w:val="00EC3F31"/>
    <w:rsid w:val="00EC4650"/>
    <w:rsid w:val="00EC52E7"/>
    <w:rsid w:val="00EC6CC5"/>
    <w:rsid w:val="00EC707B"/>
    <w:rsid w:val="00ED3661"/>
    <w:rsid w:val="00ED3698"/>
    <w:rsid w:val="00ED4631"/>
    <w:rsid w:val="00ED4794"/>
    <w:rsid w:val="00EE000F"/>
    <w:rsid w:val="00EE019B"/>
    <w:rsid w:val="00EE1489"/>
    <w:rsid w:val="00EE265C"/>
    <w:rsid w:val="00EE4C4B"/>
    <w:rsid w:val="00EE5C63"/>
    <w:rsid w:val="00EF23E2"/>
    <w:rsid w:val="00EF34FD"/>
    <w:rsid w:val="00EF53C3"/>
    <w:rsid w:val="00F0095C"/>
    <w:rsid w:val="00F01129"/>
    <w:rsid w:val="00F01CCA"/>
    <w:rsid w:val="00F01F2C"/>
    <w:rsid w:val="00F02104"/>
    <w:rsid w:val="00F04455"/>
    <w:rsid w:val="00F06C17"/>
    <w:rsid w:val="00F10565"/>
    <w:rsid w:val="00F11516"/>
    <w:rsid w:val="00F1632B"/>
    <w:rsid w:val="00F17682"/>
    <w:rsid w:val="00F20D9A"/>
    <w:rsid w:val="00F21539"/>
    <w:rsid w:val="00F23A7E"/>
    <w:rsid w:val="00F24E92"/>
    <w:rsid w:val="00F334CB"/>
    <w:rsid w:val="00F3495A"/>
    <w:rsid w:val="00F34A91"/>
    <w:rsid w:val="00F34E2C"/>
    <w:rsid w:val="00F370BC"/>
    <w:rsid w:val="00F37143"/>
    <w:rsid w:val="00F41962"/>
    <w:rsid w:val="00F472D6"/>
    <w:rsid w:val="00F50562"/>
    <w:rsid w:val="00F50A92"/>
    <w:rsid w:val="00F50D01"/>
    <w:rsid w:val="00F5381E"/>
    <w:rsid w:val="00F563BC"/>
    <w:rsid w:val="00F56BC1"/>
    <w:rsid w:val="00F618C4"/>
    <w:rsid w:val="00F64ED1"/>
    <w:rsid w:val="00F65774"/>
    <w:rsid w:val="00F65A34"/>
    <w:rsid w:val="00F65F4C"/>
    <w:rsid w:val="00F66BD3"/>
    <w:rsid w:val="00F6732A"/>
    <w:rsid w:val="00F71A60"/>
    <w:rsid w:val="00F725DA"/>
    <w:rsid w:val="00F7358F"/>
    <w:rsid w:val="00F73DD6"/>
    <w:rsid w:val="00F747FA"/>
    <w:rsid w:val="00F7536E"/>
    <w:rsid w:val="00F755D3"/>
    <w:rsid w:val="00F75652"/>
    <w:rsid w:val="00F768F0"/>
    <w:rsid w:val="00F77E3A"/>
    <w:rsid w:val="00F8168B"/>
    <w:rsid w:val="00F81CF2"/>
    <w:rsid w:val="00F81F93"/>
    <w:rsid w:val="00F82F43"/>
    <w:rsid w:val="00F857D1"/>
    <w:rsid w:val="00F91DCC"/>
    <w:rsid w:val="00F92EDB"/>
    <w:rsid w:val="00F9323F"/>
    <w:rsid w:val="00F937DB"/>
    <w:rsid w:val="00F938BE"/>
    <w:rsid w:val="00F943FE"/>
    <w:rsid w:val="00F94514"/>
    <w:rsid w:val="00F94A26"/>
    <w:rsid w:val="00F95814"/>
    <w:rsid w:val="00F95CE9"/>
    <w:rsid w:val="00F9684F"/>
    <w:rsid w:val="00F97100"/>
    <w:rsid w:val="00F97303"/>
    <w:rsid w:val="00FA01D9"/>
    <w:rsid w:val="00FA3EF1"/>
    <w:rsid w:val="00FA406F"/>
    <w:rsid w:val="00FA6006"/>
    <w:rsid w:val="00FA6BDC"/>
    <w:rsid w:val="00FA750C"/>
    <w:rsid w:val="00FA793F"/>
    <w:rsid w:val="00FB0401"/>
    <w:rsid w:val="00FB5FE9"/>
    <w:rsid w:val="00FB728F"/>
    <w:rsid w:val="00FB75D4"/>
    <w:rsid w:val="00FC1DFB"/>
    <w:rsid w:val="00FC1EF2"/>
    <w:rsid w:val="00FC2233"/>
    <w:rsid w:val="00FC2824"/>
    <w:rsid w:val="00FC3108"/>
    <w:rsid w:val="00FC3343"/>
    <w:rsid w:val="00FC33BA"/>
    <w:rsid w:val="00FC35AB"/>
    <w:rsid w:val="00FC5C10"/>
    <w:rsid w:val="00FC6134"/>
    <w:rsid w:val="00FC654D"/>
    <w:rsid w:val="00FC6F70"/>
    <w:rsid w:val="00FD0555"/>
    <w:rsid w:val="00FD0691"/>
    <w:rsid w:val="00FD1441"/>
    <w:rsid w:val="00FD3C9E"/>
    <w:rsid w:val="00FD4F4C"/>
    <w:rsid w:val="00FD52B0"/>
    <w:rsid w:val="00FD5961"/>
    <w:rsid w:val="00FD6CA3"/>
    <w:rsid w:val="00FE3EFA"/>
    <w:rsid w:val="00FE48CE"/>
    <w:rsid w:val="00FE5C56"/>
    <w:rsid w:val="00FE5E20"/>
    <w:rsid w:val="00FE7211"/>
    <w:rsid w:val="00FE77DC"/>
    <w:rsid w:val="00FE7AAC"/>
    <w:rsid w:val="00FE7B06"/>
    <w:rsid w:val="00FE7E98"/>
    <w:rsid w:val="00FF06BC"/>
    <w:rsid w:val="00FF20AC"/>
    <w:rsid w:val="00FF323C"/>
    <w:rsid w:val="00FF3801"/>
    <w:rsid w:val="00FF3A27"/>
    <w:rsid w:val="00FF3B27"/>
    <w:rsid w:val="00FF4FF4"/>
    <w:rsid w:val="00FF5CFA"/>
    <w:rsid w:val="00FF6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1"/>
    <o:shapelayout v:ext="edit">
      <o:idmap v:ext="edit" data="1"/>
    </o:shapelayout>
  </w:shapeDefaults>
  <w:decimalSymbol w:val="."/>
  <w:listSeparator w:val=","/>
  <w14:docId w14:val="195E3EF5"/>
  <w15:docId w15:val="{D57E7EEF-30CF-47AD-9710-BF12BD5B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qFormat/>
    <w:rsid w:val="003B4C44"/>
    <w:pPr>
      <w:keepNext/>
      <w:keepLines/>
      <w:spacing w:before="240" w:after="240" w:line="240" w:lineRule="auto"/>
      <w:contextualSpacing/>
      <w:outlineLvl w:val="0"/>
    </w:pPr>
    <w:rPr>
      <w:rFonts w:ascii="Arial Bold" w:hAnsi="Arial Bold"/>
      <w:b/>
      <w:sz w:val="40"/>
      <w:szCs w:val="44"/>
    </w:rPr>
  </w:style>
  <w:style w:type="paragraph" w:styleId="Heading2">
    <w:name w:val="heading 2"/>
    <w:basedOn w:val="Heading1"/>
    <w:next w:val="Normal"/>
    <w:link w:val="Heading2Char"/>
    <w:autoRedefine/>
    <w:uiPriority w:val="2"/>
    <w:qFormat/>
    <w:rsid w:val="00440E76"/>
    <w:pPr>
      <w:numPr>
        <w:ilvl w:val="1"/>
      </w:numPr>
      <w:spacing w:before="360"/>
      <w:ind w:left="567" w:hanging="567"/>
      <w:outlineLvl w:val="1"/>
    </w:pPr>
    <w:rPr>
      <w:rFonts w:asciiTheme="majorHAnsi" w:hAnsiTheme="majorHAnsi"/>
      <w:sz w:val="28"/>
      <w:szCs w:val="28"/>
    </w:rPr>
  </w:style>
  <w:style w:type="paragraph" w:styleId="Heading3">
    <w:name w:val="heading 3"/>
    <w:basedOn w:val="Normal"/>
    <w:next w:val="Normal"/>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847F04"/>
    <w:pPr>
      <w:tabs>
        <w:tab w:val="right" w:pos="10319"/>
      </w:tabs>
      <w:spacing w:before="0" w:after="0" w:line="240" w:lineRule="auto"/>
    </w:pPr>
    <w:rPr>
      <w:b/>
      <w:sz w:val="96"/>
      <w:szCs w:val="96"/>
    </w:rPr>
  </w:style>
  <w:style w:type="paragraph" w:styleId="Title">
    <w:name w:val="Title"/>
    <w:basedOn w:val="Normal"/>
    <w:next w:val="Subtitle"/>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qFormat/>
    <w:rsid w:val="00D91466"/>
    <w:pPr>
      <w:numPr>
        <w:numId w:val="1"/>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rsid w:val="002A3926"/>
    <w:pPr>
      <w:spacing w:before="0" w:after="0" w:line="240" w:lineRule="auto"/>
      <w:ind w:left="142" w:hanging="142"/>
    </w:pPr>
    <w:rPr>
      <w:sz w:val="18"/>
      <w:szCs w:val="20"/>
    </w:rPr>
  </w:style>
  <w:style w:type="character" w:customStyle="1" w:styleId="FootnoteTextChar">
    <w:name w:val="Footnote Text Char"/>
    <w:basedOn w:val="DefaultParagraphFont"/>
    <w:link w:val="FootnoteText"/>
    <w:rsid w:val="002A3926"/>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basedOn w:val="Normal"/>
    <w:link w:val="ListParagraphChar"/>
    <w:autoRedefine/>
    <w:uiPriority w:val="34"/>
    <w:qFormat/>
    <w:rsid w:val="003F1387"/>
    <w:pPr>
      <w:numPr>
        <w:numId w:val="21"/>
      </w:numPr>
      <w:spacing w:before="0" w:after="0" w:line="240" w:lineRule="auto"/>
    </w:pPr>
    <w:rPr>
      <w:rFonts w:cs="Arial"/>
      <w:szCs w:val="22"/>
    </w:rPr>
  </w:style>
  <w:style w:type="character" w:customStyle="1" w:styleId="Heading2Char">
    <w:name w:val="Heading 2 Char"/>
    <w:basedOn w:val="DefaultParagraphFont"/>
    <w:link w:val="Heading2"/>
    <w:uiPriority w:val="2"/>
    <w:rsid w:val="00440E76"/>
    <w:rPr>
      <w:rFonts w:asciiTheme="majorHAnsi" w:hAnsiTheme="majorHAnsi"/>
      <w:b/>
      <w:sz w:val="28"/>
      <w:szCs w:val="28"/>
    </w:rPr>
  </w:style>
  <w:style w:type="paragraph" w:styleId="TOC1">
    <w:name w:val="toc 1"/>
    <w:basedOn w:val="Normal"/>
    <w:next w:val="Normal"/>
    <w:autoRedefine/>
    <w:uiPriority w:val="39"/>
    <w:qFormat/>
    <w:rsid w:val="00135B7E"/>
    <w:pPr>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135B7E"/>
    <w:pPr>
      <w:spacing w:after="0"/>
      <w:ind w:left="220"/>
    </w:pPr>
    <w:rPr>
      <w:rFonts w:asciiTheme="minorHAnsi" w:hAnsiTheme="minorHAnsi" w:cstheme="minorHAnsi"/>
      <w:b/>
      <w:bCs/>
      <w:szCs w:val="22"/>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AE3B41"/>
    <w:pPr>
      <w:spacing w:after="120"/>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043CF6"/>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043CF6"/>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C650A7"/>
    <w:pPr>
      <w:spacing w:before="0" w:after="0" w:line="192" w:lineRule="exact"/>
    </w:pPr>
    <w:rPr>
      <w:b/>
      <w:bCs/>
      <w:color w:val="FFFFFF" w:themeColor="background2"/>
      <w:sz w:val="16"/>
      <w:szCs w:val="16"/>
    </w:rPr>
  </w:style>
  <w:style w:type="paragraph" w:customStyle="1" w:styleId="Organisation">
    <w:name w:val="Organisation"/>
    <w:basedOn w:val="Normal"/>
    <w:next w:val="Title"/>
    <w:autoRedefine/>
    <w:uiPriority w:val="1"/>
    <w:qFormat/>
    <w:rsid w:val="00250188"/>
    <w:pPr>
      <w:spacing w:before="0" w:after="1320"/>
      <w:jc w:val="both"/>
    </w:pPr>
    <w:rPr>
      <w:b/>
      <w:noProof/>
      <w:color w:val="004200" w:themeColor="accent1"/>
      <w:sz w:val="20"/>
      <w:szCs w:val="16"/>
    </w:rPr>
  </w:style>
  <w:style w:type="paragraph" w:customStyle="1" w:styleId="Versionanddate">
    <w:name w:val="Version and date"/>
    <w:basedOn w:val="Subtitle"/>
    <w:next w:val="Normal"/>
    <w:autoRedefine/>
    <w:uiPriority w:val="1"/>
    <w:qFormat/>
    <w:rsid w:val="00C650A7"/>
    <w:pPr>
      <w:spacing w:before="0" w:after="0" w:line="80" w:lineRule="atLeast"/>
    </w:pPr>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autoRedefine/>
    <w:unhideWhenUsed/>
    <w:qFormat/>
    <w:rsid w:val="00CC2138"/>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6F7C01"/>
    <w:rPr>
      <w:rFonts w:ascii="Arial Bold" w:hAnsi="Arial Bold"/>
      <w:b/>
      <w:bCs/>
      <w:i w:val="0"/>
      <w:caps w:val="0"/>
      <w:smallCaps w:val="0"/>
      <w:strike w:val="0"/>
      <w:dstrike w:val="0"/>
      <w:vanish w:val="0"/>
      <w:color w:val="FFFFFF" w:themeColor="background1"/>
      <w:spacing w:val="5"/>
      <w:sz w:val="16"/>
      <w:vertAlign w:val="baseline"/>
    </w:rPr>
  </w:style>
  <w:style w:type="paragraph" w:styleId="Caption">
    <w:name w:val="caption"/>
    <w:basedOn w:val="Normal"/>
    <w:next w:val="Normal"/>
    <w:autoRedefine/>
    <w:unhideWhenUsed/>
    <w:rsid w:val="00C525BF"/>
    <w:pPr>
      <w:keepNext/>
      <w:spacing w:before="360" w:after="200" w:line="240" w:lineRule="auto"/>
    </w:pPr>
    <w:rPr>
      <w:rFonts w:asciiTheme="minorHAnsi" w:hAnsiTheme="minorHAnsi" w:cstheme="minorHAnsi"/>
      <w:b/>
      <w:bCs/>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uiPriority w:val="99"/>
    <w:unhideWhenUsed/>
    <w:rsid w:val="00766890"/>
    <w:pPr>
      <w:tabs>
        <w:tab w:val="right" w:leader="dot" w:pos="9356"/>
      </w:tabs>
      <w:spacing w:after="0"/>
      <w:ind w:right="373"/>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8D7943"/>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character" w:customStyle="1" w:styleId="ListParagraphChar">
    <w:name w:val="List Paragraph Char"/>
    <w:link w:val="ListParagraph"/>
    <w:uiPriority w:val="34"/>
    <w:locked/>
    <w:rsid w:val="003F1387"/>
    <w:rPr>
      <w:rFonts w:ascii="Arial" w:hAnsi="Arial" w:cs="Arial"/>
      <w:sz w:val="22"/>
      <w:szCs w:val="22"/>
    </w:rPr>
  </w:style>
  <w:style w:type="paragraph" w:styleId="Revision">
    <w:name w:val="Revision"/>
    <w:hidden/>
    <w:uiPriority w:val="99"/>
    <w:semiHidden/>
    <w:rsid w:val="00BC14B6"/>
    <w:rPr>
      <w:rFonts w:ascii="Arial" w:hAnsi="Arial"/>
      <w:sz w:val="22"/>
      <w:szCs w:val="24"/>
    </w:rPr>
  </w:style>
  <w:style w:type="character" w:customStyle="1" w:styleId="FooterChar">
    <w:name w:val="Footer Char"/>
    <w:basedOn w:val="DefaultParagraphFont"/>
    <w:link w:val="Footer"/>
    <w:uiPriority w:val="99"/>
    <w:rsid w:val="003C7472"/>
    <w:rPr>
      <w:rFonts w:ascii="Arial" w:hAnsi="Arial"/>
      <w:b/>
      <w:sz w:val="96"/>
      <w:szCs w:val="96"/>
    </w:rPr>
  </w:style>
  <w:style w:type="paragraph" w:customStyle="1" w:styleId="TableListNumber">
    <w:name w:val="Table List Number"/>
    <w:basedOn w:val="Normal"/>
    <w:rsid w:val="001231DF"/>
    <w:pPr>
      <w:numPr>
        <w:numId w:val="18"/>
      </w:numPr>
      <w:spacing w:before="60" w:after="40" w:line="240" w:lineRule="auto"/>
    </w:pPr>
    <w:rPr>
      <w:rFonts w:eastAsia="MS Mincho"/>
      <w:lang w:eastAsia="en-US"/>
    </w:rPr>
  </w:style>
  <w:style w:type="character" w:customStyle="1" w:styleId="Heading1Char">
    <w:name w:val="Heading 1 Char"/>
    <w:link w:val="Heading1"/>
    <w:locked/>
    <w:rsid w:val="001231DF"/>
    <w:rPr>
      <w:rFonts w:ascii="Arial Bold" w:hAnsi="Arial Bold"/>
      <w:b/>
      <w:sz w:val="4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173">
      <w:bodyDiv w:val="1"/>
      <w:marLeft w:val="0"/>
      <w:marRight w:val="0"/>
      <w:marTop w:val="0"/>
      <w:marBottom w:val="0"/>
      <w:divBdr>
        <w:top w:val="none" w:sz="0" w:space="0" w:color="auto"/>
        <w:left w:val="none" w:sz="0" w:space="0" w:color="auto"/>
        <w:bottom w:val="none" w:sz="0" w:space="0" w:color="auto"/>
        <w:right w:val="none" w:sz="0" w:space="0" w:color="auto"/>
      </w:divBdr>
    </w:div>
    <w:div w:id="18168962">
      <w:bodyDiv w:val="1"/>
      <w:marLeft w:val="0"/>
      <w:marRight w:val="0"/>
      <w:marTop w:val="0"/>
      <w:marBottom w:val="0"/>
      <w:divBdr>
        <w:top w:val="none" w:sz="0" w:space="0" w:color="auto"/>
        <w:left w:val="none" w:sz="0" w:space="0" w:color="auto"/>
        <w:bottom w:val="none" w:sz="0" w:space="0" w:color="auto"/>
        <w:right w:val="none" w:sz="0" w:space="0" w:color="auto"/>
      </w:divBdr>
    </w:div>
    <w:div w:id="70081326">
      <w:bodyDiv w:val="1"/>
      <w:marLeft w:val="0"/>
      <w:marRight w:val="0"/>
      <w:marTop w:val="0"/>
      <w:marBottom w:val="0"/>
      <w:divBdr>
        <w:top w:val="none" w:sz="0" w:space="0" w:color="auto"/>
        <w:left w:val="none" w:sz="0" w:space="0" w:color="auto"/>
        <w:bottom w:val="none" w:sz="0" w:space="0" w:color="auto"/>
        <w:right w:val="none" w:sz="0" w:space="0" w:color="auto"/>
      </w:divBdr>
    </w:div>
    <w:div w:id="81949423">
      <w:bodyDiv w:val="1"/>
      <w:marLeft w:val="0"/>
      <w:marRight w:val="0"/>
      <w:marTop w:val="0"/>
      <w:marBottom w:val="0"/>
      <w:divBdr>
        <w:top w:val="none" w:sz="0" w:space="0" w:color="auto"/>
        <w:left w:val="none" w:sz="0" w:space="0" w:color="auto"/>
        <w:bottom w:val="none" w:sz="0" w:space="0" w:color="auto"/>
        <w:right w:val="none" w:sz="0" w:space="0" w:color="auto"/>
      </w:divBdr>
    </w:div>
    <w:div w:id="99372771">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344871339">
      <w:bodyDiv w:val="1"/>
      <w:marLeft w:val="0"/>
      <w:marRight w:val="0"/>
      <w:marTop w:val="0"/>
      <w:marBottom w:val="0"/>
      <w:divBdr>
        <w:top w:val="none" w:sz="0" w:space="0" w:color="auto"/>
        <w:left w:val="none" w:sz="0" w:space="0" w:color="auto"/>
        <w:bottom w:val="none" w:sz="0" w:space="0" w:color="auto"/>
        <w:right w:val="none" w:sz="0" w:space="0" w:color="auto"/>
      </w:divBdr>
    </w:div>
    <w:div w:id="355543769">
      <w:bodyDiv w:val="1"/>
      <w:marLeft w:val="0"/>
      <w:marRight w:val="0"/>
      <w:marTop w:val="0"/>
      <w:marBottom w:val="0"/>
      <w:divBdr>
        <w:top w:val="none" w:sz="0" w:space="0" w:color="auto"/>
        <w:left w:val="none" w:sz="0" w:space="0" w:color="auto"/>
        <w:bottom w:val="none" w:sz="0" w:space="0" w:color="auto"/>
        <w:right w:val="none" w:sz="0" w:space="0" w:color="auto"/>
      </w:divBdr>
    </w:div>
    <w:div w:id="381254866">
      <w:bodyDiv w:val="1"/>
      <w:marLeft w:val="0"/>
      <w:marRight w:val="0"/>
      <w:marTop w:val="0"/>
      <w:marBottom w:val="0"/>
      <w:divBdr>
        <w:top w:val="none" w:sz="0" w:space="0" w:color="auto"/>
        <w:left w:val="none" w:sz="0" w:space="0" w:color="auto"/>
        <w:bottom w:val="none" w:sz="0" w:space="0" w:color="auto"/>
        <w:right w:val="none" w:sz="0" w:space="0" w:color="auto"/>
      </w:divBdr>
    </w:div>
    <w:div w:id="491217036">
      <w:bodyDiv w:val="1"/>
      <w:marLeft w:val="0"/>
      <w:marRight w:val="0"/>
      <w:marTop w:val="0"/>
      <w:marBottom w:val="0"/>
      <w:divBdr>
        <w:top w:val="none" w:sz="0" w:space="0" w:color="auto"/>
        <w:left w:val="none" w:sz="0" w:space="0" w:color="auto"/>
        <w:bottom w:val="none" w:sz="0" w:space="0" w:color="auto"/>
        <w:right w:val="none" w:sz="0" w:space="0" w:color="auto"/>
      </w:divBdr>
    </w:div>
    <w:div w:id="495077180">
      <w:bodyDiv w:val="1"/>
      <w:marLeft w:val="0"/>
      <w:marRight w:val="0"/>
      <w:marTop w:val="0"/>
      <w:marBottom w:val="0"/>
      <w:divBdr>
        <w:top w:val="none" w:sz="0" w:space="0" w:color="auto"/>
        <w:left w:val="none" w:sz="0" w:space="0" w:color="auto"/>
        <w:bottom w:val="none" w:sz="0" w:space="0" w:color="auto"/>
        <w:right w:val="none" w:sz="0" w:space="0" w:color="auto"/>
      </w:divBdr>
    </w:div>
    <w:div w:id="539787248">
      <w:bodyDiv w:val="1"/>
      <w:marLeft w:val="0"/>
      <w:marRight w:val="0"/>
      <w:marTop w:val="0"/>
      <w:marBottom w:val="0"/>
      <w:divBdr>
        <w:top w:val="none" w:sz="0" w:space="0" w:color="auto"/>
        <w:left w:val="none" w:sz="0" w:space="0" w:color="auto"/>
        <w:bottom w:val="none" w:sz="0" w:space="0" w:color="auto"/>
        <w:right w:val="none" w:sz="0" w:space="0" w:color="auto"/>
      </w:divBdr>
    </w:div>
    <w:div w:id="607737577">
      <w:bodyDiv w:val="1"/>
      <w:marLeft w:val="0"/>
      <w:marRight w:val="0"/>
      <w:marTop w:val="0"/>
      <w:marBottom w:val="0"/>
      <w:divBdr>
        <w:top w:val="none" w:sz="0" w:space="0" w:color="auto"/>
        <w:left w:val="none" w:sz="0" w:space="0" w:color="auto"/>
        <w:bottom w:val="none" w:sz="0" w:space="0" w:color="auto"/>
        <w:right w:val="none" w:sz="0" w:space="0" w:color="auto"/>
      </w:divBdr>
    </w:div>
    <w:div w:id="625619165">
      <w:bodyDiv w:val="1"/>
      <w:marLeft w:val="0"/>
      <w:marRight w:val="0"/>
      <w:marTop w:val="0"/>
      <w:marBottom w:val="0"/>
      <w:divBdr>
        <w:top w:val="none" w:sz="0" w:space="0" w:color="auto"/>
        <w:left w:val="none" w:sz="0" w:space="0" w:color="auto"/>
        <w:bottom w:val="none" w:sz="0" w:space="0" w:color="auto"/>
        <w:right w:val="none" w:sz="0" w:space="0" w:color="auto"/>
      </w:divBdr>
    </w:div>
    <w:div w:id="675957007">
      <w:bodyDiv w:val="1"/>
      <w:marLeft w:val="0"/>
      <w:marRight w:val="0"/>
      <w:marTop w:val="0"/>
      <w:marBottom w:val="0"/>
      <w:divBdr>
        <w:top w:val="none" w:sz="0" w:space="0" w:color="auto"/>
        <w:left w:val="none" w:sz="0" w:space="0" w:color="auto"/>
        <w:bottom w:val="none" w:sz="0" w:space="0" w:color="auto"/>
        <w:right w:val="none" w:sz="0" w:space="0" w:color="auto"/>
      </w:divBdr>
    </w:div>
    <w:div w:id="676545089">
      <w:bodyDiv w:val="1"/>
      <w:marLeft w:val="0"/>
      <w:marRight w:val="0"/>
      <w:marTop w:val="0"/>
      <w:marBottom w:val="0"/>
      <w:divBdr>
        <w:top w:val="none" w:sz="0" w:space="0" w:color="auto"/>
        <w:left w:val="none" w:sz="0" w:space="0" w:color="auto"/>
        <w:bottom w:val="none" w:sz="0" w:space="0" w:color="auto"/>
        <w:right w:val="none" w:sz="0" w:space="0" w:color="auto"/>
      </w:divBdr>
    </w:div>
    <w:div w:id="683441850">
      <w:bodyDiv w:val="1"/>
      <w:marLeft w:val="0"/>
      <w:marRight w:val="0"/>
      <w:marTop w:val="0"/>
      <w:marBottom w:val="0"/>
      <w:divBdr>
        <w:top w:val="none" w:sz="0" w:space="0" w:color="auto"/>
        <w:left w:val="none" w:sz="0" w:space="0" w:color="auto"/>
        <w:bottom w:val="none" w:sz="0" w:space="0" w:color="auto"/>
        <w:right w:val="none" w:sz="0" w:space="0" w:color="auto"/>
      </w:divBdr>
    </w:div>
    <w:div w:id="730538394">
      <w:bodyDiv w:val="1"/>
      <w:marLeft w:val="0"/>
      <w:marRight w:val="0"/>
      <w:marTop w:val="0"/>
      <w:marBottom w:val="0"/>
      <w:divBdr>
        <w:top w:val="none" w:sz="0" w:space="0" w:color="auto"/>
        <w:left w:val="none" w:sz="0" w:space="0" w:color="auto"/>
        <w:bottom w:val="none" w:sz="0" w:space="0" w:color="auto"/>
        <w:right w:val="none" w:sz="0" w:space="0" w:color="auto"/>
      </w:divBdr>
    </w:div>
    <w:div w:id="74869933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74712963">
      <w:bodyDiv w:val="1"/>
      <w:marLeft w:val="0"/>
      <w:marRight w:val="0"/>
      <w:marTop w:val="0"/>
      <w:marBottom w:val="0"/>
      <w:divBdr>
        <w:top w:val="none" w:sz="0" w:space="0" w:color="auto"/>
        <w:left w:val="none" w:sz="0" w:space="0" w:color="auto"/>
        <w:bottom w:val="none" w:sz="0" w:space="0" w:color="auto"/>
        <w:right w:val="none" w:sz="0" w:space="0" w:color="auto"/>
      </w:divBdr>
    </w:div>
    <w:div w:id="787774542">
      <w:bodyDiv w:val="1"/>
      <w:marLeft w:val="0"/>
      <w:marRight w:val="0"/>
      <w:marTop w:val="0"/>
      <w:marBottom w:val="0"/>
      <w:divBdr>
        <w:top w:val="none" w:sz="0" w:space="0" w:color="auto"/>
        <w:left w:val="none" w:sz="0" w:space="0" w:color="auto"/>
        <w:bottom w:val="none" w:sz="0" w:space="0" w:color="auto"/>
        <w:right w:val="none" w:sz="0" w:space="0" w:color="auto"/>
      </w:divBdr>
    </w:div>
    <w:div w:id="926813194">
      <w:bodyDiv w:val="1"/>
      <w:marLeft w:val="0"/>
      <w:marRight w:val="0"/>
      <w:marTop w:val="0"/>
      <w:marBottom w:val="0"/>
      <w:divBdr>
        <w:top w:val="none" w:sz="0" w:space="0" w:color="auto"/>
        <w:left w:val="none" w:sz="0" w:space="0" w:color="auto"/>
        <w:bottom w:val="none" w:sz="0" w:space="0" w:color="auto"/>
        <w:right w:val="none" w:sz="0" w:space="0" w:color="auto"/>
      </w:divBdr>
    </w:div>
    <w:div w:id="930705042">
      <w:bodyDiv w:val="1"/>
      <w:marLeft w:val="0"/>
      <w:marRight w:val="0"/>
      <w:marTop w:val="0"/>
      <w:marBottom w:val="0"/>
      <w:divBdr>
        <w:top w:val="none" w:sz="0" w:space="0" w:color="auto"/>
        <w:left w:val="none" w:sz="0" w:space="0" w:color="auto"/>
        <w:bottom w:val="none" w:sz="0" w:space="0" w:color="auto"/>
        <w:right w:val="none" w:sz="0" w:space="0" w:color="auto"/>
      </w:divBdr>
    </w:div>
    <w:div w:id="953290374">
      <w:bodyDiv w:val="1"/>
      <w:marLeft w:val="0"/>
      <w:marRight w:val="0"/>
      <w:marTop w:val="0"/>
      <w:marBottom w:val="0"/>
      <w:divBdr>
        <w:top w:val="none" w:sz="0" w:space="0" w:color="auto"/>
        <w:left w:val="none" w:sz="0" w:space="0" w:color="auto"/>
        <w:bottom w:val="none" w:sz="0" w:space="0" w:color="auto"/>
        <w:right w:val="none" w:sz="0" w:space="0" w:color="auto"/>
      </w:divBdr>
    </w:div>
    <w:div w:id="978072389">
      <w:bodyDiv w:val="1"/>
      <w:marLeft w:val="0"/>
      <w:marRight w:val="0"/>
      <w:marTop w:val="0"/>
      <w:marBottom w:val="0"/>
      <w:divBdr>
        <w:top w:val="none" w:sz="0" w:space="0" w:color="auto"/>
        <w:left w:val="none" w:sz="0" w:space="0" w:color="auto"/>
        <w:bottom w:val="none" w:sz="0" w:space="0" w:color="auto"/>
        <w:right w:val="none" w:sz="0" w:space="0" w:color="auto"/>
      </w:divBdr>
    </w:div>
    <w:div w:id="995643437">
      <w:bodyDiv w:val="1"/>
      <w:marLeft w:val="0"/>
      <w:marRight w:val="0"/>
      <w:marTop w:val="0"/>
      <w:marBottom w:val="0"/>
      <w:divBdr>
        <w:top w:val="none" w:sz="0" w:space="0" w:color="auto"/>
        <w:left w:val="none" w:sz="0" w:space="0" w:color="auto"/>
        <w:bottom w:val="none" w:sz="0" w:space="0" w:color="auto"/>
        <w:right w:val="none" w:sz="0" w:space="0" w:color="auto"/>
      </w:divBdr>
    </w:div>
    <w:div w:id="1018044109">
      <w:bodyDiv w:val="1"/>
      <w:marLeft w:val="0"/>
      <w:marRight w:val="0"/>
      <w:marTop w:val="0"/>
      <w:marBottom w:val="0"/>
      <w:divBdr>
        <w:top w:val="none" w:sz="0" w:space="0" w:color="auto"/>
        <w:left w:val="none" w:sz="0" w:space="0" w:color="auto"/>
        <w:bottom w:val="none" w:sz="0" w:space="0" w:color="auto"/>
        <w:right w:val="none" w:sz="0" w:space="0" w:color="auto"/>
      </w:divBdr>
    </w:div>
    <w:div w:id="1027029274">
      <w:bodyDiv w:val="1"/>
      <w:marLeft w:val="0"/>
      <w:marRight w:val="0"/>
      <w:marTop w:val="0"/>
      <w:marBottom w:val="0"/>
      <w:divBdr>
        <w:top w:val="none" w:sz="0" w:space="0" w:color="auto"/>
        <w:left w:val="none" w:sz="0" w:space="0" w:color="auto"/>
        <w:bottom w:val="none" w:sz="0" w:space="0" w:color="auto"/>
        <w:right w:val="none" w:sz="0" w:space="0" w:color="auto"/>
      </w:divBdr>
    </w:div>
    <w:div w:id="1047752988">
      <w:bodyDiv w:val="1"/>
      <w:marLeft w:val="0"/>
      <w:marRight w:val="0"/>
      <w:marTop w:val="0"/>
      <w:marBottom w:val="0"/>
      <w:divBdr>
        <w:top w:val="none" w:sz="0" w:space="0" w:color="auto"/>
        <w:left w:val="none" w:sz="0" w:space="0" w:color="auto"/>
        <w:bottom w:val="none" w:sz="0" w:space="0" w:color="auto"/>
        <w:right w:val="none" w:sz="0" w:space="0" w:color="auto"/>
      </w:divBdr>
    </w:div>
    <w:div w:id="1151675719">
      <w:bodyDiv w:val="1"/>
      <w:marLeft w:val="0"/>
      <w:marRight w:val="0"/>
      <w:marTop w:val="0"/>
      <w:marBottom w:val="0"/>
      <w:divBdr>
        <w:top w:val="none" w:sz="0" w:space="0" w:color="auto"/>
        <w:left w:val="none" w:sz="0" w:space="0" w:color="auto"/>
        <w:bottom w:val="none" w:sz="0" w:space="0" w:color="auto"/>
        <w:right w:val="none" w:sz="0" w:space="0" w:color="auto"/>
      </w:divBdr>
    </w:div>
    <w:div w:id="1165705478">
      <w:bodyDiv w:val="1"/>
      <w:marLeft w:val="0"/>
      <w:marRight w:val="0"/>
      <w:marTop w:val="0"/>
      <w:marBottom w:val="0"/>
      <w:divBdr>
        <w:top w:val="none" w:sz="0" w:space="0" w:color="auto"/>
        <w:left w:val="none" w:sz="0" w:space="0" w:color="auto"/>
        <w:bottom w:val="none" w:sz="0" w:space="0" w:color="auto"/>
        <w:right w:val="none" w:sz="0" w:space="0" w:color="auto"/>
      </w:divBdr>
    </w:div>
    <w:div w:id="1240017245">
      <w:bodyDiv w:val="1"/>
      <w:marLeft w:val="0"/>
      <w:marRight w:val="0"/>
      <w:marTop w:val="0"/>
      <w:marBottom w:val="0"/>
      <w:divBdr>
        <w:top w:val="none" w:sz="0" w:space="0" w:color="auto"/>
        <w:left w:val="none" w:sz="0" w:space="0" w:color="auto"/>
        <w:bottom w:val="none" w:sz="0" w:space="0" w:color="auto"/>
        <w:right w:val="none" w:sz="0" w:space="0" w:color="auto"/>
      </w:divBdr>
    </w:div>
    <w:div w:id="127520652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8710060">
      <w:bodyDiv w:val="1"/>
      <w:marLeft w:val="0"/>
      <w:marRight w:val="0"/>
      <w:marTop w:val="0"/>
      <w:marBottom w:val="0"/>
      <w:divBdr>
        <w:top w:val="none" w:sz="0" w:space="0" w:color="auto"/>
        <w:left w:val="none" w:sz="0" w:space="0" w:color="auto"/>
        <w:bottom w:val="none" w:sz="0" w:space="0" w:color="auto"/>
        <w:right w:val="none" w:sz="0" w:space="0" w:color="auto"/>
      </w:divBdr>
    </w:div>
    <w:div w:id="1320231007">
      <w:bodyDiv w:val="1"/>
      <w:marLeft w:val="0"/>
      <w:marRight w:val="0"/>
      <w:marTop w:val="0"/>
      <w:marBottom w:val="0"/>
      <w:divBdr>
        <w:top w:val="none" w:sz="0" w:space="0" w:color="auto"/>
        <w:left w:val="none" w:sz="0" w:space="0" w:color="auto"/>
        <w:bottom w:val="none" w:sz="0" w:space="0" w:color="auto"/>
        <w:right w:val="none" w:sz="0" w:space="0" w:color="auto"/>
      </w:divBdr>
    </w:div>
    <w:div w:id="1377008202">
      <w:bodyDiv w:val="1"/>
      <w:marLeft w:val="0"/>
      <w:marRight w:val="0"/>
      <w:marTop w:val="0"/>
      <w:marBottom w:val="0"/>
      <w:divBdr>
        <w:top w:val="none" w:sz="0" w:space="0" w:color="auto"/>
        <w:left w:val="none" w:sz="0" w:space="0" w:color="auto"/>
        <w:bottom w:val="none" w:sz="0" w:space="0" w:color="auto"/>
        <w:right w:val="none" w:sz="0" w:space="0" w:color="auto"/>
      </w:divBdr>
    </w:div>
    <w:div w:id="1393575258">
      <w:bodyDiv w:val="1"/>
      <w:marLeft w:val="0"/>
      <w:marRight w:val="0"/>
      <w:marTop w:val="0"/>
      <w:marBottom w:val="0"/>
      <w:divBdr>
        <w:top w:val="none" w:sz="0" w:space="0" w:color="auto"/>
        <w:left w:val="none" w:sz="0" w:space="0" w:color="auto"/>
        <w:bottom w:val="none" w:sz="0" w:space="0" w:color="auto"/>
        <w:right w:val="none" w:sz="0" w:space="0" w:color="auto"/>
      </w:divBdr>
    </w:div>
    <w:div w:id="1403330429">
      <w:bodyDiv w:val="1"/>
      <w:marLeft w:val="0"/>
      <w:marRight w:val="0"/>
      <w:marTop w:val="0"/>
      <w:marBottom w:val="0"/>
      <w:divBdr>
        <w:top w:val="none" w:sz="0" w:space="0" w:color="auto"/>
        <w:left w:val="none" w:sz="0" w:space="0" w:color="auto"/>
        <w:bottom w:val="none" w:sz="0" w:space="0" w:color="auto"/>
        <w:right w:val="none" w:sz="0" w:space="0" w:color="auto"/>
      </w:divBdr>
    </w:div>
    <w:div w:id="1404329929">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72139281">
      <w:bodyDiv w:val="1"/>
      <w:marLeft w:val="0"/>
      <w:marRight w:val="0"/>
      <w:marTop w:val="0"/>
      <w:marBottom w:val="0"/>
      <w:divBdr>
        <w:top w:val="none" w:sz="0" w:space="0" w:color="auto"/>
        <w:left w:val="none" w:sz="0" w:space="0" w:color="auto"/>
        <w:bottom w:val="none" w:sz="0" w:space="0" w:color="auto"/>
        <w:right w:val="none" w:sz="0" w:space="0" w:color="auto"/>
      </w:divBdr>
    </w:div>
    <w:div w:id="1486045899">
      <w:bodyDiv w:val="1"/>
      <w:marLeft w:val="0"/>
      <w:marRight w:val="0"/>
      <w:marTop w:val="0"/>
      <w:marBottom w:val="0"/>
      <w:divBdr>
        <w:top w:val="none" w:sz="0" w:space="0" w:color="auto"/>
        <w:left w:val="none" w:sz="0" w:space="0" w:color="auto"/>
        <w:bottom w:val="none" w:sz="0" w:space="0" w:color="auto"/>
        <w:right w:val="none" w:sz="0" w:space="0" w:color="auto"/>
      </w:divBdr>
    </w:div>
    <w:div w:id="1488672255">
      <w:bodyDiv w:val="1"/>
      <w:marLeft w:val="0"/>
      <w:marRight w:val="0"/>
      <w:marTop w:val="0"/>
      <w:marBottom w:val="0"/>
      <w:divBdr>
        <w:top w:val="none" w:sz="0" w:space="0" w:color="auto"/>
        <w:left w:val="none" w:sz="0" w:space="0" w:color="auto"/>
        <w:bottom w:val="none" w:sz="0" w:space="0" w:color="auto"/>
        <w:right w:val="none" w:sz="0" w:space="0" w:color="auto"/>
      </w:divBdr>
    </w:div>
    <w:div w:id="1524512085">
      <w:bodyDiv w:val="1"/>
      <w:marLeft w:val="0"/>
      <w:marRight w:val="0"/>
      <w:marTop w:val="0"/>
      <w:marBottom w:val="0"/>
      <w:divBdr>
        <w:top w:val="none" w:sz="0" w:space="0" w:color="auto"/>
        <w:left w:val="none" w:sz="0" w:space="0" w:color="auto"/>
        <w:bottom w:val="none" w:sz="0" w:space="0" w:color="auto"/>
        <w:right w:val="none" w:sz="0" w:space="0" w:color="auto"/>
      </w:divBdr>
    </w:div>
    <w:div w:id="1558053577">
      <w:bodyDiv w:val="1"/>
      <w:marLeft w:val="0"/>
      <w:marRight w:val="0"/>
      <w:marTop w:val="0"/>
      <w:marBottom w:val="0"/>
      <w:divBdr>
        <w:top w:val="none" w:sz="0" w:space="0" w:color="auto"/>
        <w:left w:val="none" w:sz="0" w:space="0" w:color="auto"/>
        <w:bottom w:val="none" w:sz="0" w:space="0" w:color="auto"/>
        <w:right w:val="none" w:sz="0" w:space="0" w:color="auto"/>
      </w:divBdr>
    </w:div>
    <w:div w:id="1559783007">
      <w:bodyDiv w:val="1"/>
      <w:marLeft w:val="0"/>
      <w:marRight w:val="0"/>
      <w:marTop w:val="0"/>
      <w:marBottom w:val="0"/>
      <w:divBdr>
        <w:top w:val="none" w:sz="0" w:space="0" w:color="auto"/>
        <w:left w:val="none" w:sz="0" w:space="0" w:color="auto"/>
        <w:bottom w:val="none" w:sz="0" w:space="0" w:color="auto"/>
        <w:right w:val="none" w:sz="0" w:space="0" w:color="auto"/>
      </w:divBdr>
    </w:div>
    <w:div w:id="1634209425">
      <w:bodyDiv w:val="1"/>
      <w:marLeft w:val="0"/>
      <w:marRight w:val="0"/>
      <w:marTop w:val="0"/>
      <w:marBottom w:val="0"/>
      <w:divBdr>
        <w:top w:val="none" w:sz="0" w:space="0" w:color="auto"/>
        <w:left w:val="none" w:sz="0" w:space="0" w:color="auto"/>
        <w:bottom w:val="none" w:sz="0" w:space="0" w:color="auto"/>
        <w:right w:val="none" w:sz="0" w:space="0" w:color="auto"/>
      </w:divBdr>
    </w:div>
    <w:div w:id="1695612985">
      <w:bodyDiv w:val="1"/>
      <w:marLeft w:val="0"/>
      <w:marRight w:val="0"/>
      <w:marTop w:val="0"/>
      <w:marBottom w:val="0"/>
      <w:divBdr>
        <w:top w:val="none" w:sz="0" w:space="0" w:color="auto"/>
        <w:left w:val="none" w:sz="0" w:space="0" w:color="auto"/>
        <w:bottom w:val="none" w:sz="0" w:space="0" w:color="auto"/>
        <w:right w:val="none" w:sz="0" w:space="0" w:color="auto"/>
      </w:divBdr>
    </w:div>
    <w:div w:id="1797334170">
      <w:bodyDiv w:val="1"/>
      <w:marLeft w:val="0"/>
      <w:marRight w:val="0"/>
      <w:marTop w:val="0"/>
      <w:marBottom w:val="0"/>
      <w:divBdr>
        <w:top w:val="none" w:sz="0" w:space="0" w:color="auto"/>
        <w:left w:val="none" w:sz="0" w:space="0" w:color="auto"/>
        <w:bottom w:val="none" w:sz="0" w:space="0" w:color="auto"/>
        <w:right w:val="none" w:sz="0" w:space="0" w:color="auto"/>
      </w:divBdr>
    </w:div>
    <w:div w:id="1806042892">
      <w:bodyDiv w:val="1"/>
      <w:marLeft w:val="0"/>
      <w:marRight w:val="0"/>
      <w:marTop w:val="0"/>
      <w:marBottom w:val="0"/>
      <w:divBdr>
        <w:top w:val="none" w:sz="0" w:space="0" w:color="auto"/>
        <w:left w:val="none" w:sz="0" w:space="0" w:color="auto"/>
        <w:bottom w:val="none" w:sz="0" w:space="0" w:color="auto"/>
        <w:right w:val="none" w:sz="0" w:space="0" w:color="auto"/>
      </w:divBdr>
    </w:div>
    <w:div w:id="1811093521">
      <w:bodyDiv w:val="1"/>
      <w:marLeft w:val="0"/>
      <w:marRight w:val="0"/>
      <w:marTop w:val="0"/>
      <w:marBottom w:val="0"/>
      <w:divBdr>
        <w:top w:val="none" w:sz="0" w:space="0" w:color="auto"/>
        <w:left w:val="none" w:sz="0" w:space="0" w:color="auto"/>
        <w:bottom w:val="none" w:sz="0" w:space="0" w:color="auto"/>
        <w:right w:val="none" w:sz="0" w:space="0" w:color="auto"/>
      </w:divBdr>
    </w:div>
    <w:div w:id="1846822359">
      <w:bodyDiv w:val="1"/>
      <w:marLeft w:val="0"/>
      <w:marRight w:val="0"/>
      <w:marTop w:val="0"/>
      <w:marBottom w:val="0"/>
      <w:divBdr>
        <w:top w:val="none" w:sz="0" w:space="0" w:color="auto"/>
        <w:left w:val="none" w:sz="0" w:space="0" w:color="auto"/>
        <w:bottom w:val="none" w:sz="0" w:space="0" w:color="auto"/>
        <w:right w:val="none" w:sz="0" w:space="0" w:color="auto"/>
      </w:divBdr>
    </w:div>
    <w:div w:id="1860117529">
      <w:bodyDiv w:val="1"/>
      <w:marLeft w:val="0"/>
      <w:marRight w:val="0"/>
      <w:marTop w:val="0"/>
      <w:marBottom w:val="0"/>
      <w:divBdr>
        <w:top w:val="none" w:sz="0" w:space="0" w:color="auto"/>
        <w:left w:val="none" w:sz="0" w:space="0" w:color="auto"/>
        <w:bottom w:val="none" w:sz="0" w:space="0" w:color="auto"/>
        <w:right w:val="none" w:sz="0" w:space="0" w:color="auto"/>
      </w:divBdr>
    </w:div>
    <w:div w:id="1931156513">
      <w:bodyDiv w:val="1"/>
      <w:marLeft w:val="0"/>
      <w:marRight w:val="0"/>
      <w:marTop w:val="0"/>
      <w:marBottom w:val="0"/>
      <w:divBdr>
        <w:top w:val="none" w:sz="0" w:space="0" w:color="auto"/>
        <w:left w:val="none" w:sz="0" w:space="0" w:color="auto"/>
        <w:bottom w:val="none" w:sz="0" w:space="0" w:color="auto"/>
        <w:right w:val="none" w:sz="0" w:space="0" w:color="auto"/>
      </w:divBdr>
    </w:div>
    <w:div w:id="1941716026">
      <w:bodyDiv w:val="1"/>
      <w:marLeft w:val="0"/>
      <w:marRight w:val="0"/>
      <w:marTop w:val="0"/>
      <w:marBottom w:val="0"/>
      <w:divBdr>
        <w:top w:val="none" w:sz="0" w:space="0" w:color="auto"/>
        <w:left w:val="none" w:sz="0" w:space="0" w:color="auto"/>
        <w:bottom w:val="none" w:sz="0" w:space="0" w:color="auto"/>
        <w:right w:val="none" w:sz="0" w:space="0" w:color="auto"/>
      </w:divBdr>
    </w:div>
    <w:div w:id="1942759963">
      <w:bodyDiv w:val="1"/>
      <w:marLeft w:val="0"/>
      <w:marRight w:val="0"/>
      <w:marTop w:val="0"/>
      <w:marBottom w:val="0"/>
      <w:divBdr>
        <w:top w:val="none" w:sz="0" w:space="0" w:color="auto"/>
        <w:left w:val="none" w:sz="0" w:space="0" w:color="auto"/>
        <w:bottom w:val="none" w:sz="0" w:space="0" w:color="auto"/>
        <w:right w:val="none" w:sz="0" w:space="0" w:color="auto"/>
      </w:divBdr>
    </w:div>
    <w:div w:id="1957171458">
      <w:bodyDiv w:val="1"/>
      <w:marLeft w:val="0"/>
      <w:marRight w:val="0"/>
      <w:marTop w:val="0"/>
      <w:marBottom w:val="0"/>
      <w:divBdr>
        <w:top w:val="none" w:sz="0" w:space="0" w:color="auto"/>
        <w:left w:val="none" w:sz="0" w:space="0" w:color="auto"/>
        <w:bottom w:val="none" w:sz="0" w:space="0" w:color="auto"/>
        <w:right w:val="none" w:sz="0" w:space="0" w:color="auto"/>
      </w:divBdr>
    </w:div>
    <w:div w:id="1973367440">
      <w:bodyDiv w:val="1"/>
      <w:marLeft w:val="0"/>
      <w:marRight w:val="0"/>
      <w:marTop w:val="0"/>
      <w:marBottom w:val="0"/>
      <w:divBdr>
        <w:top w:val="none" w:sz="0" w:space="0" w:color="auto"/>
        <w:left w:val="none" w:sz="0" w:space="0" w:color="auto"/>
        <w:bottom w:val="none" w:sz="0" w:space="0" w:color="auto"/>
        <w:right w:val="none" w:sz="0" w:space="0" w:color="auto"/>
      </w:divBdr>
    </w:div>
    <w:div w:id="1973905063">
      <w:bodyDiv w:val="1"/>
      <w:marLeft w:val="0"/>
      <w:marRight w:val="0"/>
      <w:marTop w:val="0"/>
      <w:marBottom w:val="0"/>
      <w:divBdr>
        <w:top w:val="none" w:sz="0" w:space="0" w:color="auto"/>
        <w:left w:val="none" w:sz="0" w:space="0" w:color="auto"/>
        <w:bottom w:val="none" w:sz="0" w:space="0" w:color="auto"/>
        <w:right w:val="none" w:sz="0" w:space="0" w:color="auto"/>
      </w:divBdr>
    </w:div>
    <w:div w:id="1974671526">
      <w:bodyDiv w:val="1"/>
      <w:marLeft w:val="0"/>
      <w:marRight w:val="0"/>
      <w:marTop w:val="0"/>
      <w:marBottom w:val="0"/>
      <w:divBdr>
        <w:top w:val="none" w:sz="0" w:space="0" w:color="auto"/>
        <w:left w:val="none" w:sz="0" w:space="0" w:color="auto"/>
        <w:bottom w:val="none" w:sz="0" w:space="0" w:color="auto"/>
        <w:right w:val="none" w:sz="0" w:space="0" w:color="auto"/>
      </w:divBdr>
    </w:div>
    <w:div w:id="1993488593">
      <w:bodyDiv w:val="1"/>
      <w:marLeft w:val="0"/>
      <w:marRight w:val="0"/>
      <w:marTop w:val="0"/>
      <w:marBottom w:val="0"/>
      <w:divBdr>
        <w:top w:val="none" w:sz="0" w:space="0" w:color="auto"/>
        <w:left w:val="none" w:sz="0" w:space="0" w:color="auto"/>
        <w:bottom w:val="none" w:sz="0" w:space="0" w:color="auto"/>
        <w:right w:val="none" w:sz="0" w:space="0" w:color="auto"/>
      </w:divBdr>
    </w:div>
    <w:div w:id="2036811294">
      <w:bodyDiv w:val="1"/>
      <w:marLeft w:val="0"/>
      <w:marRight w:val="0"/>
      <w:marTop w:val="0"/>
      <w:marBottom w:val="0"/>
      <w:divBdr>
        <w:top w:val="none" w:sz="0" w:space="0" w:color="auto"/>
        <w:left w:val="none" w:sz="0" w:space="0" w:color="auto"/>
        <w:bottom w:val="none" w:sz="0" w:space="0" w:color="auto"/>
        <w:right w:val="none" w:sz="0" w:space="0" w:color="auto"/>
      </w:divBdr>
    </w:div>
    <w:div w:id="20498364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901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creativecommons.org/licenses/by/3.0/au/legalcode"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hpa.gov.au/what-we-do/abf-data-request-specifications-2017-18" TargetMode="External"/><Relationship Id="rId2" Type="http://schemas.openxmlformats.org/officeDocument/2006/relationships/hyperlink" Target="https://www.ihpa.gov.au/sites/default/files/publications/national_hospital_cost_data_collection_-_data_request_specifications_round_23.xlsx" TargetMode="External"/><Relationship Id="rId1" Type="http://schemas.openxmlformats.org/officeDocument/2006/relationships/hyperlink" Target="https://www.ihpa.gov.au/publications/australian-hospital-patient-costing-standards-version-40" TargetMode="External"/><Relationship Id="rId4" Type="http://schemas.openxmlformats.org/officeDocument/2006/relationships/hyperlink" Target="https://www.ihpa.gov.au/what-we-do/data-coll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IHPAPORTAL\SharedFolder\Working\Cost%20Reports\Round%2022\05%20Cost%20Report%20(word%20version)\Working%20out\Cost%20Report%20Appendix%20-%20work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20172819718559E-2"/>
          <c:y val="3.4528551800366146E-2"/>
          <c:w val="0.91999569344698051"/>
          <c:h val="0.77376457855023073"/>
        </c:manualLayout>
      </c:layout>
      <c:barChart>
        <c:barDir val="col"/>
        <c:grouping val="clustered"/>
        <c:varyColors val="0"/>
        <c:ser>
          <c:idx val="0"/>
          <c:order val="0"/>
          <c:tx>
            <c:strRef>
              <c:f>'9 Acute SD Overnight'!$B$44</c:f>
              <c:strCache>
                <c:ptCount val="1"/>
                <c:pt idx="0">
                  <c:v>Jurisdiction ALOS</c:v>
                </c:pt>
              </c:strCache>
            </c:strRef>
          </c:tx>
          <c:spPr>
            <a:solidFill>
              <a:srgbClr val="003300"/>
            </a:solidFill>
            <a:ln>
              <a:noFill/>
            </a:ln>
            <a:effectLst/>
          </c:spPr>
          <c:invertIfNegative val="0"/>
          <c:cat>
            <c:strRef>
              <c:f>'9 Acute SD Overnight'!$C$43:$J$43</c:f>
              <c:strCache>
                <c:ptCount val="8"/>
                <c:pt idx="0">
                  <c:v>NSW</c:v>
                </c:pt>
                <c:pt idx="1">
                  <c:v>Vic</c:v>
                </c:pt>
                <c:pt idx="2">
                  <c:v>Qld</c:v>
                </c:pt>
                <c:pt idx="3">
                  <c:v>SA</c:v>
                </c:pt>
                <c:pt idx="4">
                  <c:v>WA</c:v>
                </c:pt>
                <c:pt idx="5">
                  <c:v>Tas</c:v>
                </c:pt>
                <c:pt idx="6">
                  <c:v>NT</c:v>
                </c:pt>
                <c:pt idx="7">
                  <c:v>ACT</c:v>
                </c:pt>
              </c:strCache>
            </c:strRef>
          </c:cat>
          <c:val>
            <c:numRef>
              <c:f>'9 Acute SD Overnight'!$C$44:$J$44</c:f>
              <c:numCache>
                <c:formatCode>_(* #,##0.00_);_(* \(#,##0.00\);_(* "-"??_);_(@_)</c:formatCode>
                <c:ptCount val="8"/>
                <c:pt idx="0">
                  <c:v>2.8579747183999999</c:v>
                </c:pt>
                <c:pt idx="1">
                  <c:v>2.2265057176999998</c:v>
                </c:pt>
                <c:pt idx="2">
                  <c:v>2.0867475024000002</c:v>
                </c:pt>
                <c:pt idx="3">
                  <c:v>2.6757554532999999</c:v>
                </c:pt>
                <c:pt idx="4">
                  <c:v>2.1605128494999999</c:v>
                </c:pt>
                <c:pt idx="5">
                  <c:v>2.6645708689999998</c:v>
                </c:pt>
                <c:pt idx="6">
                  <c:v>1.9272437600000001</c:v>
                </c:pt>
                <c:pt idx="7">
                  <c:v>2.5764878362000001</c:v>
                </c:pt>
              </c:numCache>
            </c:numRef>
          </c:val>
          <c:extLst>
            <c:ext xmlns:c16="http://schemas.microsoft.com/office/drawing/2014/chart" uri="{C3380CC4-5D6E-409C-BE32-E72D297353CC}">
              <c16:uniqueId val="{00000000-5FF2-423B-A3BC-A9661134A7A0}"/>
            </c:ext>
          </c:extLst>
        </c:ser>
        <c:ser>
          <c:idx val="1"/>
          <c:order val="1"/>
          <c:tx>
            <c:strRef>
              <c:f>'9 Acute SD Overnight'!$B$45</c:f>
              <c:strCache>
                <c:ptCount val="1"/>
                <c:pt idx="0">
                  <c:v>Jurisdiction (ALOS overnight)</c:v>
                </c:pt>
              </c:strCache>
            </c:strRef>
          </c:tx>
          <c:spPr>
            <a:solidFill>
              <a:srgbClr val="008000"/>
            </a:solidFill>
            <a:ln>
              <a:noFill/>
            </a:ln>
            <a:effectLst/>
          </c:spPr>
          <c:invertIfNegative val="0"/>
          <c:cat>
            <c:strRef>
              <c:f>'9 Acute SD Overnight'!$C$43:$J$43</c:f>
              <c:strCache>
                <c:ptCount val="8"/>
                <c:pt idx="0">
                  <c:v>NSW</c:v>
                </c:pt>
                <c:pt idx="1">
                  <c:v>Vic</c:v>
                </c:pt>
                <c:pt idx="2">
                  <c:v>Qld</c:v>
                </c:pt>
                <c:pt idx="3">
                  <c:v>SA</c:v>
                </c:pt>
                <c:pt idx="4">
                  <c:v>WA</c:v>
                </c:pt>
                <c:pt idx="5">
                  <c:v>Tas</c:v>
                </c:pt>
                <c:pt idx="6">
                  <c:v>NT</c:v>
                </c:pt>
                <c:pt idx="7">
                  <c:v>ACT</c:v>
                </c:pt>
              </c:strCache>
            </c:strRef>
          </c:cat>
          <c:val>
            <c:numRef>
              <c:f>'9 Acute SD Overnight'!$C$45:$J$45</c:f>
              <c:numCache>
                <c:formatCode>_(* #,##0.00_);_(* \(#,##0.00\);_(* "-"??_);_(@_)</c:formatCode>
                <c:ptCount val="8"/>
                <c:pt idx="0">
                  <c:v>4.5695196368</c:v>
                </c:pt>
                <c:pt idx="1">
                  <c:v>4.1703785074999997</c:v>
                </c:pt>
                <c:pt idx="2">
                  <c:v>3.6385040903000001</c:v>
                </c:pt>
                <c:pt idx="3">
                  <c:v>4.4349766829000004</c:v>
                </c:pt>
                <c:pt idx="4">
                  <c:v>3.8502464555999998</c:v>
                </c:pt>
                <c:pt idx="5">
                  <c:v>4.6250761566999996</c:v>
                </c:pt>
                <c:pt idx="6">
                  <c:v>4.2577389533999996</c:v>
                </c:pt>
                <c:pt idx="7">
                  <c:v>4.4237443285999998</c:v>
                </c:pt>
              </c:numCache>
            </c:numRef>
          </c:val>
          <c:extLst>
            <c:ext xmlns:c16="http://schemas.microsoft.com/office/drawing/2014/chart" uri="{C3380CC4-5D6E-409C-BE32-E72D297353CC}">
              <c16:uniqueId val="{00000001-5FF2-423B-A3BC-A9661134A7A0}"/>
            </c:ext>
          </c:extLst>
        </c:ser>
        <c:dLbls>
          <c:showLegendKey val="0"/>
          <c:showVal val="0"/>
          <c:showCatName val="0"/>
          <c:showSerName val="0"/>
          <c:showPercent val="0"/>
          <c:showBubbleSize val="0"/>
        </c:dLbls>
        <c:gapWidth val="68"/>
        <c:overlap val="-1"/>
        <c:axId val="142457472"/>
        <c:axId val="142463360"/>
      </c:barChart>
      <c:lineChart>
        <c:grouping val="standard"/>
        <c:varyColors val="0"/>
        <c:ser>
          <c:idx val="2"/>
          <c:order val="2"/>
          <c:tx>
            <c:strRef>
              <c:f>'9 Acute SD Overnight'!$B$47</c:f>
              <c:strCache>
                <c:ptCount val="1"/>
                <c:pt idx="0">
                  <c:v>National (ALOS overnight)</c:v>
                </c:pt>
              </c:strCache>
            </c:strRef>
          </c:tx>
          <c:spPr>
            <a:ln w="28575" cap="rnd">
              <a:solidFill>
                <a:schemeClr val="accent3"/>
              </a:solidFill>
              <a:prstDash val="dash"/>
              <a:round/>
            </a:ln>
            <a:effectLst/>
          </c:spPr>
          <c:marker>
            <c:symbol val="none"/>
          </c:marker>
          <c:cat>
            <c:strRef>
              <c:f>'9 Acute SD Overnight'!$C$43:$J$43</c:f>
              <c:strCache>
                <c:ptCount val="8"/>
                <c:pt idx="0">
                  <c:v>NSW</c:v>
                </c:pt>
                <c:pt idx="1">
                  <c:v>Vic</c:v>
                </c:pt>
                <c:pt idx="2">
                  <c:v>Qld</c:v>
                </c:pt>
                <c:pt idx="3">
                  <c:v>SA</c:v>
                </c:pt>
                <c:pt idx="4">
                  <c:v>WA</c:v>
                </c:pt>
                <c:pt idx="5">
                  <c:v>Tas</c:v>
                </c:pt>
                <c:pt idx="6">
                  <c:v>NT</c:v>
                </c:pt>
                <c:pt idx="7">
                  <c:v>ACT</c:v>
                </c:pt>
              </c:strCache>
            </c:strRef>
          </c:cat>
          <c:val>
            <c:numRef>
              <c:f>'9 Acute SD Overnight'!$C$47:$J$47</c:f>
              <c:numCache>
                <c:formatCode>_(* #,##0.00_);_(* \(#,##0.00\);_(* "-"??_);_(@_)</c:formatCode>
                <c:ptCount val="8"/>
                <c:pt idx="0">
                  <c:v>4.1912581680000001</c:v>
                </c:pt>
                <c:pt idx="1">
                  <c:v>4.1912581680000001</c:v>
                </c:pt>
                <c:pt idx="2">
                  <c:v>4.1912581680000001</c:v>
                </c:pt>
                <c:pt idx="3">
                  <c:v>4.1912581680000001</c:v>
                </c:pt>
                <c:pt idx="4">
                  <c:v>4.1912581680000001</c:v>
                </c:pt>
                <c:pt idx="5">
                  <c:v>4.1912581680000001</c:v>
                </c:pt>
                <c:pt idx="6">
                  <c:v>4.1912581680000001</c:v>
                </c:pt>
                <c:pt idx="7">
                  <c:v>4.1912581680000001</c:v>
                </c:pt>
              </c:numCache>
            </c:numRef>
          </c:val>
          <c:smooth val="0"/>
          <c:extLst>
            <c:ext xmlns:c16="http://schemas.microsoft.com/office/drawing/2014/chart" uri="{C3380CC4-5D6E-409C-BE32-E72D297353CC}">
              <c16:uniqueId val="{00000002-5FF2-423B-A3BC-A9661134A7A0}"/>
            </c:ext>
          </c:extLst>
        </c:ser>
        <c:ser>
          <c:idx val="3"/>
          <c:order val="3"/>
          <c:tx>
            <c:strRef>
              <c:f>'9 Acute SD Overnight'!$B$46</c:f>
              <c:strCache>
                <c:ptCount val="1"/>
                <c:pt idx="0">
                  <c:v>National ALOS</c:v>
                </c:pt>
              </c:strCache>
            </c:strRef>
          </c:tx>
          <c:spPr>
            <a:ln w="28575" cap="rnd">
              <a:solidFill>
                <a:schemeClr val="bg1">
                  <a:lumMod val="50000"/>
                </a:schemeClr>
              </a:solidFill>
              <a:prstDash val="dash"/>
              <a:round/>
            </a:ln>
            <a:effectLst/>
          </c:spPr>
          <c:marker>
            <c:symbol val="none"/>
          </c:marker>
          <c:cat>
            <c:strRef>
              <c:f>'9 Acute SD Overnight'!$C$43:$J$43</c:f>
              <c:strCache>
                <c:ptCount val="8"/>
                <c:pt idx="0">
                  <c:v>NSW</c:v>
                </c:pt>
                <c:pt idx="1">
                  <c:v>Vic</c:v>
                </c:pt>
                <c:pt idx="2">
                  <c:v>Qld</c:v>
                </c:pt>
                <c:pt idx="3">
                  <c:v>SA</c:v>
                </c:pt>
                <c:pt idx="4">
                  <c:v>WA</c:v>
                </c:pt>
                <c:pt idx="5">
                  <c:v>Tas</c:v>
                </c:pt>
                <c:pt idx="6">
                  <c:v>NT</c:v>
                </c:pt>
                <c:pt idx="7">
                  <c:v>ACT</c:v>
                </c:pt>
              </c:strCache>
            </c:strRef>
          </c:cat>
          <c:val>
            <c:numRef>
              <c:f>'9 Acute SD Overnight'!$C$46:$J$46</c:f>
              <c:numCache>
                <c:formatCode>_(* #,##0.00_);_(* \(#,##0.00\);_(* "-"??_);_(@_)</c:formatCode>
                <c:ptCount val="8"/>
                <c:pt idx="0">
                  <c:v>2.3950422085</c:v>
                </c:pt>
                <c:pt idx="1">
                  <c:v>2.3950422085</c:v>
                </c:pt>
                <c:pt idx="2">
                  <c:v>2.3950422085</c:v>
                </c:pt>
                <c:pt idx="3">
                  <c:v>2.3950422085</c:v>
                </c:pt>
                <c:pt idx="4">
                  <c:v>2.3950422085</c:v>
                </c:pt>
                <c:pt idx="5">
                  <c:v>2.3950422085</c:v>
                </c:pt>
                <c:pt idx="6">
                  <c:v>2.3950422085</c:v>
                </c:pt>
                <c:pt idx="7">
                  <c:v>2.3950422085</c:v>
                </c:pt>
              </c:numCache>
            </c:numRef>
          </c:val>
          <c:smooth val="0"/>
          <c:extLst>
            <c:ext xmlns:c16="http://schemas.microsoft.com/office/drawing/2014/chart" uri="{C3380CC4-5D6E-409C-BE32-E72D297353CC}">
              <c16:uniqueId val="{00000003-5FF2-423B-A3BC-A9661134A7A0}"/>
            </c:ext>
          </c:extLst>
        </c:ser>
        <c:dLbls>
          <c:showLegendKey val="0"/>
          <c:showVal val="0"/>
          <c:showCatName val="0"/>
          <c:showSerName val="0"/>
          <c:showPercent val="0"/>
          <c:showBubbleSize val="0"/>
        </c:dLbls>
        <c:marker val="1"/>
        <c:smooth val="0"/>
        <c:axId val="142457472"/>
        <c:axId val="142463360"/>
      </c:lineChart>
      <c:catAx>
        <c:axId val="14245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63360"/>
        <c:crossesAt val="0"/>
        <c:auto val="1"/>
        <c:lblAlgn val="ctr"/>
        <c:lblOffset val="100"/>
        <c:noMultiLvlLbl val="0"/>
      </c:catAx>
      <c:valAx>
        <c:axId val="142463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57472"/>
        <c:crosses val="autoZero"/>
        <c:crossBetween val="between"/>
        <c:majorUnit val="1"/>
      </c:valAx>
      <c:spPr>
        <a:noFill/>
        <a:ln>
          <a:noFill/>
        </a:ln>
        <a:effectLst/>
      </c:spPr>
    </c:plotArea>
    <c:legend>
      <c:legendPos val="b"/>
      <c:layout>
        <c:manualLayout>
          <c:xMode val="edge"/>
          <c:yMode val="edge"/>
          <c:x val="0.1215683267855141"/>
          <c:y val="0.87909047263181228"/>
          <c:w val="0.75309674380695724"/>
          <c:h val="0.1037041496048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DBDA3-11D3-4E7C-BB36-79057B50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48</Pages>
  <Words>5329</Words>
  <Characters>30378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35636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Darryl</dc:creator>
  <cp:lastModifiedBy>Miller, Darryl</cp:lastModifiedBy>
  <cp:revision>25</cp:revision>
  <cp:lastPrinted>2020-02-06T04:01:00Z</cp:lastPrinted>
  <dcterms:created xsi:type="dcterms:W3CDTF">2019-11-11T22:04:00Z</dcterms:created>
  <dcterms:modified xsi:type="dcterms:W3CDTF">2020-02-06T04:03:00Z</dcterms:modified>
</cp:coreProperties>
</file>