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bookmarkStart w:id="1" w:name="_MON_1611733491"/>
    <w:bookmarkEnd w:id="1"/>
    <w:p w:rsidR="00CC586D" w:rsidRPr="001727A4" w:rsidRDefault="005D59CB" w:rsidP="008C2111">
      <w:pPr>
        <w:pStyle w:val="Organisation"/>
      </w:pPr>
      <w:r>
        <w:object w:dxaOrig="8306" w:dyaOrig="27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5.25pt;height:14.25pt" o:ole="">
            <v:imagedata r:id="rId9" o:title=""/>
          </v:shape>
          <o:OLEObject Type="Embed" ProgID="Word.Document.12" ShapeID="_x0000_i1025" DrawAspect="Content" ObjectID="_1613489240" r:id="rId10">
            <o:FieldCodes>\s</o:FieldCodes>
          </o:OLEObject>
        </w:object>
      </w:r>
      <w:r w:rsidR="00CC586D" w:rsidRPr="001727A4">
        <w:t>Independent Hospital Pricing Authority</w:t>
      </w:r>
    </w:p>
    <w:p w:rsidR="005C107F" w:rsidRPr="00847F04" w:rsidRDefault="005C107F" w:rsidP="005C107F">
      <w:pPr>
        <w:pStyle w:val="Header"/>
        <w:rPr>
          <w:sz w:val="84"/>
          <w:szCs w:val="84"/>
        </w:rPr>
      </w:pPr>
      <w:r>
        <w:rPr>
          <w:sz w:val="84"/>
          <w:szCs w:val="84"/>
        </w:rPr>
        <w:t>National Hospital Cost Data Collection Report</w:t>
      </w:r>
      <w:r w:rsidRPr="00847F04">
        <w:rPr>
          <w:sz w:val="84"/>
          <w:szCs w:val="84"/>
        </w:rPr>
        <w:t xml:space="preserve"> </w:t>
      </w:r>
    </w:p>
    <w:p w:rsidR="005C107F" w:rsidRPr="00C9780D" w:rsidRDefault="005C107F" w:rsidP="005C107F">
      <w:pPr>
        <w:rPr>
          <w:rFonts w:cs="Arial"/>
          <w:b/>
          <w:sz w:val="32"/>
          <w:szCs w:val="32"/>
        </w:rPr>
      </w:pPr>
      <w:r>
        <w:rPr>
          <w:rFonts w:cs="Arial"/>
          <w:b/>
          <w:sz w:val="32"/>
          <w:szCs w:val="32"/>
        </w:rPr>
        <w:t>Public Sector, Round 21 (Financial Year 2016-17)</w:t>
      </w:r>
    </w:p>
    <w:p w:rsidR="0064481C" w:rsidRDefault="0064481C" w:rsidP="00496370">
      <w:pPr>
        <w:pStyle w:val="Versionanddate"/>
      </w:pPr>
    </w:p>
    <w:p w:rsidR="00BC1032" w:rsidRPr="00976117" w:rsidRDefault="00011CC6" w:rsidP="00496370">
      <w:pPr>
        <w:pStyle w:val="Versionanddate"/>
      </w:pPr>
      <w:r>
        <w:t>March</w:t>
      </w:r>
      <w:r w:rsidR="00772597">
        <w:t xml:space="preserve"> 2019</w:t>
      </w:r>
    </w:p>
    <w:p w:rsidR="0035219F" w:rsidRDefault="00043CF6" w:rsidP="0035219F">
      <w:r w:rsidRPr="001727A4">
        <w:rPr>
          <w:b/>
          <w:noProof/>
          <w:color w:val="008542" w:themeColor="accent2"/>
          <w:sz w:val="16"/>
          <w:szCs w:val="16"/>
        </w:rPr>
        <w:drawing>
          <wp:anchor distT="0" distB="0" distL="114300" distR="114300" simplePos="0" relativeHeight="251674624" behindDoc="1" locked="1" layoutInCell="0" allowOverlap="1" wp14:anchorId="2AE29143" wp14:editId="50EB85CA">
            <wp:simplePos x="0" y="0"/>
            <wp:positionH relativeFrom="page">
              <wp:posOffset>0</wp:posOffset>
            </wp:positionH>
            <wp:positionV relativeFrom="page">
              <wp:posOffset>0</wp:posOffset>
            </wp:positionV>
            <wp:extent cx="7592400" cy="10738800"/>
            <wp:effectExtent l="0" t="0" r="8890" b="5715"/>
            <wp:wrapNone/>
            <wp:docPr id="5" name="Picture 5" descr="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_Cover.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92400" cy="10738800"/>
                    </a:xfrm>
                    <a:prstGeom prst="rect">
                      <a:avLst/>
                    </a:prstGeom>
                  </pic:spPr>
                </pic:pic>
              </a:graphicData>
            </a:graphic>
            <wp14:sizeRelH relativeFrom="margin">
              <wp14:pctWidth>0</wp14:pctWidth>
            </wp14:sizeRelH>
            <wp14:sizeRelV relativeFrom="margin">
              <wp14:pctHeight>0</wp14:pctHeight>
            </wp14:sizeRelV>
          </wp:anchor>
        </w:drawing>
      </w:r>
      <w:r w:rsidR="0035219F">
        <w:br w:type="page"/>
      </w:r>
    </w:p>
    <w:p w:rsidR="00BC1032" w:rsidRDefault="009E651B" w:rsidP="008C2111">
      <w:pPr>
        <w:pStyle w:val="Report"/>
      </w:pPr>
      <w:r w:rsidRPr="009E651B">
        <w:lastRenderedPageBreak/>
        <w:t xml:space="preserve">National Hospital Cost Data Collection Report: </w:t>
      </w:r>
      <w:r w:rsidR="005C107F">
        <w:t xml:space="preserve">Public Sector, </w:t>
      </w:r>
      <w:r w:rsidRPr="009E651B">
        <w:t>Round 2</w:t>
      </w:r>
      <w:r w:rsidR="00454B9B">
        <w:t>1</w:t>
      </w:r>
      <w:r w:rsidRPr="009E651B">
        <w:t xml:space="preserve"> Financ</w:t>
      </w:r>
      <w:r>
        <w:t xml:space="preserve">ial </w:t>
      </w:r>
      <w:proofErr w:type="gramStart"/>
      <w:r>
        <w:t>Year</w:t>
      </w:r>
      <w:proofErr w:type="gramEnd"/>
      <w:r>
        <w:t xml:space="preserve"> 201</w:t>
      </w:r>
      <w:r w:rsidR="00454B9B">
        <w:t>6</w:t>
      </w:r>
      <w:r>
        <w:t>-1</w:t>
      </w:r>
      <w:r w:rsidR="00454B9B">
        <w:t>7</w:t>
      </w:r>
    </w:p>
    <w:p w:rsidR="00BC1032" w:rsidRDefault="00BC1032" w:rsidP="00BC1032"/>
    <w:p w:rsidR="00BC1032" w:rsidRDefault="00BC1032" w:rsidP="00BC1032">
      <w:r>
        <w:t>© Independent Hospital Pricing Authority 201</w:t>
      </w:r>
      <w:r w:rsidR="00772597">
        <w:t>9</w:t>
      </w:r>
    </w:p>
    <w:p w:rsidR="00BC1032" w:rsidRDefault="00BC1032" w:rsidP="00BC1032">
      <w:r>
        <w:t xml:space="preserve">This publication is available for your use under a </w:t>
      </w:r>
      <w:hyperlink r:id="rId12" w:history="1">
        <w:r w:rsidRPr="002A4C1B">
          <w:t>Creative Commons BY Attribution 3.0 Australia</w:t>
        </w:r>
      </w:hyperlink>
      <w:r>
        <w:t xml:space="preserve"> licence, with the exception of the Independent Hospital Pricing Authority logo, photographs, images, signatures and where otherwise stated. The full licence terms are available from </w:t>
      </w:r>
      <w:hyperlink r:id="rId13" w:history="1">
        <w:r w:rsidRPr="002A4C1B">
          <w:t>the Creative Commons website</w:t>
        </w:r>
      </w:hyperlink>
      <w:r>
        <w:t>.</w:t>
      </w:r>
    </w:p>
    <w:p w:rsidR="00BC1032" w:rsidRDefault="00BC1032" w:rsidP="00BC1032">
      <w:r w:rsidRPr="006150B7">
        <w:rPr>
          <w:rFonts w:cs="Calibri"/>
          <w:noProof/>
          <w:sz w:val="24"/>
        </w:rPr>
        <w:drawing>
          <wp:inline distT="0" distB="0" distL="0" distR="0" wp14:anchorId="7678770A" wp14:editId="067BA09D">
            <wp:extent cx="804087" cy="2857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C by_grey"/>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804087" cy="285750"/>
                    </a:xfrm>
                    <a:prstGeom prst="rect">
                      <a:avLst/>
                    </a:prstGeom>
                    <a:noFill/>
                    <a:ln>
                      <a:noFill/>
                    </a:ln>
                  </pic:spPr>
                </pic:pic>
              </a:graphicData>
            </a:graphic>
          </wp:inline>
        </w:drawing>
      </w:r>
    </w:p>
    <w:p w:rsidR="00BC1032" w:rsidRDefault="00BC1032" w:rsidP="00BC1032">
      <w:r>
        <w:t xml:space="preserve">Use of Independent Hospital Pricing Authority material under a </w:t>
      </w:r>
      <w:hyperlink r:id="rId15" w:history="1">
        <w:r w:rsidRPr="002A4C1B">
          <w:t>Creative Commons BY Attribution 3.0 Australia</w:t>
        </w:r>
      </w:hyperlink>
      <w:r>
        <w:t xml:space="preserve"> licence requires you to attribute the work (but not in any way that suggests that the Independent Hospital Pricing Authority endorses you or your use of the work).</w:t>
      </w:r>
    </w:p>
    <w:p w:rsidR="00BC1032" w:rsidRPr="002A4C1B" w:rsidRDefault="00BC1032" w:rsidP="00BC1032">
      <w:pPr>
        <w:rPr>
          <w:i/>
        </w:rPr>
      </w:pPr>
      <w:proofErr w:type="gramStart"/>
      <w:r w:rsidRPr="002A4C1B">
        <w:rPr>
          <w:i/>
        </w:rPr>
        <w:t>Independent Hospital Pricing Authority material used 'as supplied'.</w:t>
      </w:r>
      <w:proofErr w:type="gramEnd"/>
    </w:p>
    <w:p w:rsidR="00BC1032" w:rsidRDefault="00BC1032" w:rsidP="00BC1032">
      <w:r>
        <w:t>Provided you have not modified or transformed Independent Hospital Pricing Authority material in any way including, for example, by changing Independent Hospital Pricing Authority text – then the Independent Hospital Pricing Authority prefers the following attribution:</w:t>
      </w:r>
    </w:p>
    <w:p w:rsidR="00BC1032" w:rsidRPr="00BC1032" w:rsidRDefault="00BC1032" w:rsidP="00BC1032">
      <w:pPr>
        <w:pStyle w:val="NormalIndent"/>
        <w:rPr>
          <w:i/>
        </w:rPr>
      </w:pPr>
      <w:r w:rsidRPr="00BC1032">
        <w:rPr>
          <w:i/>
        </w:rPr>
        <w:t>Source: The Independent Hospital Pricing Authority</w:t>
      </w:r>
      <w:r w:rsidRPr="00BC1032">
        <w:rPr>
          <w:i/>
        </w:rPr>
        <w:br w:type="page"/>
      </w:r>
    </w:p>
    <w:sdt>
      <w:sdtPr>
        <w:rPr>
          <w:rFonts w:ascii="Arial" w:eastAsia="Times New Roman" w:hAnsi="Arial" w:cs="Times New Roman"/>
          <w:b w:val="0"/>
          <w:bCs w:val="0"/>
          <w:sz w:val="22"/>
          <w:szCs w:val="24"/>
        </w:rPr>
        <w:id w:val="810762724"/>
        <w:docPartObj>
          <w:docPartGallery w:val="Table of Contents"/>
          <w:docPartUnique/>
        </w:docPartObj>
      </w:sdtPr>
      <w:sdtEndPr>
        <w:rPr>
          <w:noProof/>
          <w:szCs w:val="22"/>
        </w:rPr>
      </w:sdtEndPr>
      <w:sdtContent>
        <w:p w:rsidR="00847F04" w:rsidRPr="00716D83" w:rsidRDefault="00847F04" w:rsidP="003B4C44">
          <w:pPr>
            <w:pStyle w:val="TOCHeading"/>
          </w:pPr>
          <w:r>
            <w:t>Co</w:t>
          </w:r>
          <w:r w:rsidRPr="00716D83">
            <w:t>ntents</w:t>
          </w:r>
        </w:p>
        <w:p w:rsidR="005A3868" w:rsidRDefault="00E923E4">
          <w:pPr>
            <w:pStyle w:val="TOC1"/>
            <w:tabs>
              <w:tab w:val="left" w:pos="440"/>
              <w:tab w:val="right" w:leader="dot" w:pos="9435"/>
            </w:tabs>
            <w:rPr>
              <w:rFonts w:eastAsiaTheme="minorEastAsia" w:cstheme="minorBidi"/>
              <w:b w:val="0"/>
              <w:bCs w:val="0"/>
              <w:i w:val="0"/>
              <w:iCs w:val="0"/>
              <w:noProof/>
              <w:sz w:val="22"/>
              <w:szCs w:val="22"/>
            </w:rPr>
          </w:pPr>
          <w:r w:rsidRPr="00EC4650">
            <w:rPr>
              <w:b w:val="0"/>
              <w:i w:val="0"/>
              <w:iCs w:val="0"/>
              <w:sz w:val="22"/>
              <w:szCs w:val="22"/>
            </w:rPr>
            <w:fldChar w:fldCharType="begin"/>
          </w:r>
          <w:r w:rsidRPr="00EC4650">
            <w:rPr>
              <w:b w:val="0"/>
              <w:i w:val="0"/>
              <w:iCs w:val="0"/>
              <w:sz w:val="22"/>
              <w:szCs w:val="22"/>
            </w:rPr>
            <w:instrText xml:space="preserve"> TOC \o "1-3" \h \z \u </w:instrText>
          </w:r>
          <w:r w:rsidRPr="00EC4650">
            <w:rPr>
              <w:b w:val="0"/>
              <w:i w:val="0"/>
              <w:iCs w:val="0"/>
              <w:sz w:val="22"/>
              <w:szCs w:val="22"/>
            </w:rPr>
            <w:fldChar w:fldCharType="separate"/>
          </w:r>
          <w:hyperlink w:anchor="_Toc530055075" w:history="1">
            <w:r w:rsidR="005A3868" w:rsidRPr="005A47DC">
              <w:rPr>
                <w:rStyle w:val="Hyperlink"/>
                <w:noProof/>
              </w:rPr>
              <w:t>1.</w:t>
            </w:r>
            <w:r w:rsidR="005A3868">
              <w:rPr>
                <w:rFonts w:eastAsiaTheme="minorEastAsia" w:cstheme="minorBidi"/>
                <w:b w:val="0"/>
                <w:bCs w:val="0"/>
                <w:i w:val="0"/>
                <w:iCs w:val="0"/>
                <w:noProof/>
                <w:sz w:val="22"/>
                <w:szCs w:val="22"/>
              </w:rPr>
              <w:tab/>
            </w:r>
            <w:r w:rsidR="005A3868" w:rsidRPr="005A47DC">
              <w:rPr>
                <w:rStyle w:val="Hyperlink"/>
                <w:noProof/>
              </w:rPr>
              <w:t>Purpose of the NHCDC Report</w:t>
            </w:r>
            <w:r w:rsidR="005A3868">
              <w:rPr>
                <w:noProof/>
                <w:webHidden/>
              </w:rPr>
              <w:tab/>
            </w:r>
            <w:r w:rsidR="005A3868">
              <w:rPr>
                <w:noProof/>
                <w:webHidden/>
              </w:rPr>
              <w:fldChar w:fldCharType="begin"/>
            </w:r>
            <w:r w:rsidR="005A3868">
              <w:rPr>
                <w:noProof/>
                <w:webHidden/>
              </w:rPr>
              <w:instrText xml:space="preserve"> PAGEREF _Toc530055075 \h </w:instrText>
            </w:r>
            <w:r w:rsidR="005A3868">
              <w:rPr>
                <w:noProof/>
                <w:webHidden/>
              </w:rPr>
            </w:r>
            <w:r w:rsidR="005A3868">
              <w:rPr>
                <w:noProof/>
                <w:webHidden/>
              </w:rPr>
              <w:fldChar w:fldCharType="separate"/>
            </w:r>
            <w:r w:rsidR="00342D61">
              <w:rPr>
                <w:noProof/>
                <w:webHidden/>
              </w:rPr>
              <w:t>5</w:t>
            </w:r>
            <w:r w:rsidR="005A3868">
              <w:rPr>
                <w:noProof/>
                <w:webHidden/>
              </w:rPr>
              <w:fldChar w:fldCharType="end"/>
            </w:r>
          </w:hyperlink>
        </w:p>
        <w:p w:rsidR="005A3868" w:rsidRDefault="00342D61">
          <w:pPr>
            <w:pStyle w:val="TOC1"/>
            <w:tabs>
              <w:tab w:val="left" w:pos="440"/>
              <w:tab w:val="right" w:leader="dot" w:pos="9435"/>
            </w:tabs>
            <w:rPr>
              <w:rFonts w:eastAsiaTheme="minorEastAsia" w:cstheme="minorBidi"/>
              <w:b w:val="0"/>
              <w:bCs w:val="0"/>
              <w:i w:val="0"/>
              <w:iCs w:val="0"/>
              <w:noProof/>
              <w:sz w:val="22"/>
              <w:szCs w:val="22"/>
            </w:rPr>
          </w:pPr>
          <w:hyperlink w:anchor="_Toc530055076" w:history="1">
            <w:r w:rsidR="005A3868" w:rsidRPr="005A47DC">
              <w:rPr>
                <w:rStyle w:val="Hyperlink"/>
                <w:noProof/>
              </w:rPr>
              <w:t>2.</w:t>
            </w:r>
            <w:r w:rsidR="005A3868">
              <w:rPr>
                <w:rFonts w:eastAsiaTheme="minorEastAsia" w:cstheme="minorBidi"/>
                <w:b w:val="0"/>
                <w:bCs w:val="0"/>
                <w:i w:val="0"/>
                <w:iCs w:val="0"/>
                <w:noProof/>
                <w:sz w:val="22"/>
                <w:szCs w:val="22"/>
              </w:rPr>
              <w:tab/>
            </w:r>
            <w:r w:rsidR="005A3868" w:rsidRPr="005A47DC">
              <w:rPr>
                <w:rStyle w:val="Hyperlink"/>
                <w:noProof/>
              </w:rPr>
              <w:t>What is the NHCDC?</w:t>
            </w:r>
            <w:r w:rsidR="005A3868">
              <w:rPr>
                <w:noProof/>
                <w:webHidden/>
              </w:rPr>
              <w:tab/>
            </w:r>
            <w:r w:rsidR="005A3868">
              <w:rPr>
                <w:noProof/>
                <w:webHidden/>
              </w:rPr>
              <w:fldChar w:fldCharType="begin"/>
            </w:r>
            <w:r w:rsidR="005A3868">
              <w:rPr>
                <w:noProof/>
                <w:webHidden/>
              </w:rPr>
              <w:instrText xml:space="preserve"> PAGEREF _Toc530055076 \h </w:instrText>
            </w:r>
            <w:r w:rsidR="005A3868">
              <w:rPr>
                <w:noProof/>
                <w:webHidden/>
              </w:rPr>
            </w:r>
            <w:r w:rsidR="005A3868">
              <w:rPr>
                <w:noProof/>
                <w:webHidden/>
              </w:rPr>
              <w:fldChar w:fldCharType="separate"/>
            </w:r>
            <w:r>
              <w:rPr>
                <w:noProof/>
                <w:webHidden/>
              </w:rPr>
              <w:t>7</w:t>
            </w:r>
            <w:r w:rsidR="005A3868">
              <w:rPr>
                <w:noProof/>
                <w:webHidden/>
              </w:rPr>
              <w:fldChar w:fldCharType="end"/>
            </w:r>
          </w:hyperlink>
        </w:p>
        <w:p w:rsidR="005A3868" w:rsidRDefault="00342D61">
          <w:pPr>
            <w:pStyle w:val="TOC1"/>
            <w:tabs>
              <w:tab w:val="left" w:pos="440"/>
              <w:tab w:val="right" w:leader="dot" w:pos="9435"/>
            </w:tabs>
            <w:rPr>
              <w:rFonts w:eastAsiaTheme="minorEastAsia" w:cstheme="minorBidi"/>
              <w:b w:val="0"/>
              <w:bCs w:val="0"/>
              <w:i w:val="0"/>
              <w:iCs w:val="0"/>
              <w:noProof/>
              <w:sz w:val="22"/>
              <w:szCs w:val="22"/>
            </w:rPr>
          </w:pPr>
          <w:hyperlink w:anchor="_Toc530055077" w:history="1">
            <w:r w:rsidR="005A3868" w:rsidRPr="005A47DC">
              <w:rPr>
                <w:rStyle w:val="Hyperlink"/>
                <w:noProof/>
              </w:rPr>
              <w:t>3.</w:t>
            </w:r>
            <w:r w:rsidR="005A3868">
              <w:rPr>
                <w:rFonts w:eastAsiaTheme="minorEastAsia" w:cstheme="minorBidi"/>
                <w:b w:val="0"/>
                <w:bCs w:val="0"/>
                <w:i w:val="0"/>
                <w:iCs w:val="0"/>
                <w:noProof/>
                <w:sz w:val="22"/>
                <w:szCs w:val="22"/>
              </w:rPr>
              <w:tab/>
            </w:r>
            <w:r w:rsidR="005A3868" w:rsidRPr="005A47DC">
              <w:rPr>
                <w:rStyle w:val="Hyperlink"/>
                <w:noProof/>
              </w:rPr>
              <w:t>What is Activity Based Funding?</w:t>
            </w:r>
            <w:r w:rsidR="005A3868">
              <w:rPr>
                <w:noProof/>
                <w:webHidden/>
              </w:rPr>
              <w:tab/>
            </w:r>
            <w:r w:rsidR="005A3868">
              <w:rPr>
                <w:noProof/>
                <w:webHidden/>
              </w:rPr>
              <w:fldChar w:fldCharType="begin"/>
            </w:r>
            <w:r w:rsidR="005A3868">
              <w:rPr>
                <w:noProof/>
                <w:webHidden/>
              </w:rPr>
              <w:instrText xml:space="preserve"> PAGEREF _Toc530055077 \h </w:instrText>
            </w:r>
            <w:r w:rsidR="005A3868">
              <w:rPr>
                <w:noProof/>
                <w:webHidden/>
              </w:rPr>
            </w:r>
            <w:r w:rsidR="005A3868">
              <w:rPr>
                <w:noProof/>
                <w:webHidden/>
              </w:rPr>
              <w:fldChar w:fldCharType="separate"/>
            </w:r>
            <w:r>
              <w:rPr>
                <w:noProof/>
                <w:webHidden/>
              </w:rPr>
              <w:t>7</w:t>
            </w:r>
            <w:r w:rsidR="005A3868">
              <w:rPr>
                <w:noProof/>
                <w:webHidden/>
              </w:rPr>
              <w:fldChar w:fldCharType="end"/>
            </w:r>
          </w:hyperlink>
        </w:p>
        <w:p w:rsidR="005A3868" w:rsidRDefault="00342D61">
          <w:pPr>
            <w:pStyle w:val="TOC1"/>
            <w:tabs>
              <w:tab w:val="left" w:pos="440"/>
              <w:tab w:val="right" w:leader="dot" w:pos="9435"/>
            </w:tabs>
            <w:rPr>
              <w:rFonts w:eastAsiaTheme="minorEastAsia" w:cstheme="minorBidi"/>
              <w:b w:val="0"/>
              <w:bCs w:val="0"/>
              <w:i w:val="0"/>
              <w:iCs w:val="0"/>
              <w:noProof/>
              <w:sz w:val="22"/>
              <w:szCs w:val="22"/>
            </w:rPr>
          </w:pPr>
          <w:hyperlink w:anchor="_Toc530055078" w:history="1">
            <w:r w:rsidR="005A3868" w:rsidRPr="005A47DC">
              <w:rPr>
                <w:rStyle w:val="Hyperlink"/>
                <w:noProof/>
              </w:rPr>
              <w:t>4.</w:t>
            </w:r>
            <w:r w:rsidR="005A3868">
              <w:rPr>
                <w:rFonts w:eastAsiaTheme="minorEastAsia" w:cstheme="minorBidi"/>
                <w:b w:val="0"/>
                <w:bCs w:val="0"/>
                <w:i w:val="0"/>
                <w:iCs w:val="0"/>
                <w:noProof/>
                <w:sz w:val="22"/>
                <w:szCs w:val="22"/>
              </w:rPr>
              <w:tab/>
            </w:r>
            <w:r w:rsidR="005A3868" w:rsidRPr="005A47DC">
              <w:rPr>
                <w:rStyle w:val="Hyperlink"/>
                <w:noProof/>
              </w:rPr>
              <w:t>Scope of Round 21</w:t>
            </w:r>
            <w:r w:rsidR="005A3868">
              <w:rPr>
                <w:noProof/>
                <w:webHidden/>
              </w:rPr>
              <w:tab/>
            </w:r>
            <w:r w:rsidR="005A3868">
              <w:rPr>
                <w:noProof/>
                <w:webHidden/>
              </w:rPr>
              <w:fldChar w:fldCharType="begin"/>
            </w:r>
            <w:r w:rsidR="005A3868">
              <w:rPr>
                <w:noProof/>
                <w:webHidden/>
              </w:rPr>
              <w:instrText xml:space="preserve"> PAGEREF _Toc530055078 \h </w:instrText>
            </w:r>
            <w:r w:rsidR="005A3868">
              <w:rPr>
                <w:noProof/>
                <w:webHidden/>
              </w:rPr>
            </w:r>
            <w:r w:rsidR="005A3868">
              <w:rPr>
                <w:noProof/>
                <w:webHidden/>
              </w:rPr>
              <w:fldChar w:fldCharType="separate"/>
            </w:r>
            <w:r>
              <w:rPr>
                <w:noProof/>
                <w:webHidden/>
              </w:rPr>
              <w:t>8</w:t>
            </w:r>
            <w:r w:rsidR="005A3868">
              <w:rPr>
                <w:noProof/>
                <w:webHidden/>
              </w:rPr>
              <w:fldChar w:fldCharType="end"/>
            </w:r>
          </w:hyperlink>
        </w:p>
        <w:p w:rsidR="005A3868" w:rsidRDefault="00342D61">
          <w:pPr>
            <w:pStyle w:val="TOC1"/>
            <w:tabs>
              <w:tab w:val="left" w:pos="440"/>
              <w:tab w:val="right" w:leader="dot" w:pos="9435"/>
            </w:tabs>
            <w:rPr>
              <w:rFonts w:eastAsiaTheme="minorEastAsia" w:cstheme="minorBidi"/>
              <w:b w:val="0"/>
              <w:bCs w:val="0"/>
              <w:i w:val="0"/>
              <w:iCs w:val="0"/>
              <w:noProof/>
              <w:sz w:val="22"/>
              <w:szCs w:val="22"/>
            </w:rPr>
          </w:pPr>
          <w:hyperlink w:anchor="_Toc530055079" w:history="1">
            <w:r w:rsidR="005A3868" w:rsidRPr="005A47DC">
              <w:rPr>
                <w:rStyle w:val="Hyperlink"/>
                <w:noProof/>
              </w:rPr>
              <w:t>5.</w:t>
            </w:r>
            <w:r w:rsidR="005A3868">
              <w:rPr>
                <w:rFonts w:eastAsiaTheme="minorEastAsia" w:cstheme="minorBidi"/>
                <w:b w:val="0"/>
                <w:bCs w:val="0"/>
                <w:i w:val="0"/>
                <w:iCs w:val="0"/>
                <w:noProof/>
                <w:sz w:val="22"/>
                <w:szCs w:val="22"/>
              </w:rPr>
              <w:tab/>
            </w:r>
            <w:r w:rsidR="005A3868" w:rsidRPr="005A47DC">
              <w:rPr>
                <w:rStyle w:val="Hyperlink"/>
                <w:noProof/>
              </w:rPr>
              <w:t>Key results in Round 21</w:t>
            </w:r>
            <w:r w:rsidR="005A3868">
              <w:rPr>
                <w:noProof/>
                <w:webHidden/>
              </w:rPr>
              <w:tab/>
            </w:r>
            <w:r w:rsidR="005A3868">
              <w:rPr>
                <w:noProof/>
                <w:webHidden/>
              </w:rPr>
              <w:fldChar w:fldCharType="begin"/>
            </w:r>
            <w:r w:rsidR="005A3868">
              <w:rPr>
                <w:noProof/>
                <w:webHidden/>
              </w:rPr>
              <w:instrText xml:space="preserve"> PAGEREF _Toc530055079 \h </w:instrText>
            </w:r>
            <w:r w:rsidR="005A3868">
              <w:rPr>
                <w:noProof/>
                <w:webHidden/>
              </w:rPr>
            </w:r>
            <w:r w:rsidR="005A3868">
              <w:rPr>
                <w:noProof/>
                <w:webHidden/>
              </w:rPr>
              <w:fldChar w:fldCharType="separate"/>
            </w:r>
            <w:r>
              <w:rPr>
                <w:noProof/>
                <w:webHidden/>
              </w:rPr>
              <w:t>10</w:t>
            </w:r>
            <w:r w:rsidR="005A3868">
              <w:rPr>
                <w:noProof/>
                <w:webHidden/>
              </w:rPr>
              <w:fldChar w:fldCharType="end"/>
            </w:r>
          </w:hyperlink>
        </w:p>
        <w:p w:rsidR="005A3868" w:rsidRDefault="00342D61">
          <w:pPr>
            <w:pStyle w:val="TOC2"/>
            <w:tabs>
              <w:tab w:val="left" w:pos="880"/>
              <w:tab w:val="right" w:leader="dot" w:pos="9435"/>
            </w:tabs>
            <w:rPr>
              <w:rFonts w:eastAsiaTheme="minorEastAsia" w:cstheme="minorBidi"/>
              <w:b w:val="0"/>
              <w:bCs w:val="0"/>
              <w:noProof/>
            </w:rPr>
          </w:pPr>
          <w:hyperlink w:anchor="_Toc530055080" w:history="1">
            <w:r w:rsidR="005A3868" w:rsidRPr="005A47DC">
              <w:rPr>
                <w:rStyle w:val="Hyperlink"/>
                <w:noProof/>
              </w:rPr>
              <w:t>5.1</w:t>
            </w:r>
            <w:r w:rsidR="005A3868">
              <w:rPr>
                <w:rFonts w:eastAsiaTheme="minorEastAsia" w:cstheme="minorBidi"/>
                <w:b w:val="0"/>
                <w:bCs w:val="0"/>
                <w:noProof/>
              </w:rPr>
              <w:tab/>
            </w:r>
            <w:r w:rsidR="005A3868" w:rsidRPr="005A47DC">
              <w:rPr>
                <w:rStyle w:val="Hyperlink"/>
                <w:noProof/>
              </w:rPr>
              <w:t>Participation</w:t>
            </w:r>
            <w:r w:rsidR="005A3868">
              <w:rPr>
                <w:noProof/>
                <w:webHidden/>
              </w:rPr>
              <w:tab/>
            </w:r>
            <w:r w:rsidR="005A3868">
              <w:rPr>
                <w:noProof/>
                <w:webHidden/>
              </w:rPr>
              <w:fldChar w:fldCharType="begin"/>
            </w:r>
            <w:r w:rsidR="005A3868">
              <w:rPr>
                <w:noProof/>
                <w:webHidden/>
              </w:rPr>
              <w:instrText xml:space="preserve"> PAGEREF _Toc530055080 \h </w:instrText>
            </w:r>
            <w:r w:rsidR="005A3868">
              <w:rPr>
                <w:noProof/>
                <w:webHidden/>
              </w:rPr>
            </w:r>
            <w:r w:rsidR="005A3868">
              <w:rPr>
                <w:noProof/>
                <w:webHidden/>
              </w:rPr>
              <w:fldChar w:fldCharType="separate"/>
            </w:r>
            <w:r>
              <w:rPr>
                <w:noProof/>
                <w:webHidden/>
              </w:rPr>
              <w:t>11</w:t>
            </w:r>
            <w:r w:rsidR="005A3868">
              <w:rPr>
                <w:noProof/>
                <w:webHidden/>
              </w:rPr>
              <w:fldChar w:fldCharType="end"/>
            </w:r>
          </w:hyperlink>
        </w:p>
        <w:p w:rsidR="005A3868" w:rsidRDefault="00342D61">
          <w:pPr>
            <w:pStyle w:val="TOC2"/>
            <w:tabs>
              <w:tab w:val="left" w:pos="880"/>
              <w:tab w:val="right" w:leader="dot" w:pos="9435"/>
            </w:tabs>
            <w:rPr>
              <w:rFonts w:eastAsiaTheme="minorEastAsia" w:cstheme="minorBidi"/>
              <w:b w:val="0"/>
              <w:bCs w:val="0"/>
              <w:noProof/>
            </w:rPr>
          </w:pPr>
          <w:hyperlink w:anchor="_Toc530055081" w:history="1">
            <w:r w:rsidR="005A3868" w:rsidRPr="005A47DC">
              <w:rPr>
                <w:rStyle w:val="Hyperlink"/>
                <w:noProof/>
              </w:rPr>
              <w:t>5.2</w:t>
            </w:r>
            <w:r w:rsidR="005A3868">
              <w:rPr>
                <w:rFonts w:eastAsiaTheme="minorEastAsia" w:cstheme="minorBidi"/>
                <w:b w:val="0"/>
                <w:bCs w:val="0"/>
                <w:noProof/>
              </w:rPr>
              <w:tab/>
            </w:r>
            <w:r w:rsidR="005A3868" w:rsidRPr="005A47DC">
              <w:rPr>
                <w:rStyle w:val="Hyperlink"/>
                <w:noProof/>
              </w:rPr>
              <w:t>Costed activity</w:t>
            </w:r>
            <w:r w:rsidR="005A3868">
              <w:rPr>
                <w:noProof/>
                <w:webHidden/>
              </w:rPr>
              <w:tab/>
            </w:r>
            <w:r w:rsidR="005A3868">
              <w:rPr>
                <w:noProof/>
                <w:webHidden/>
              </w:rPr>
              <w:fldChar w:fldCharType="begin"/>
            </w:r>
            <w:r w:rsidR="005A3868">
              <w:rPr>
                <w:noProof/>
                <w:webHidden/>
              </w:rPr>
              <w:instrText xml:space="preserve"> PAGEREF _Toc530055081 \h </w:instrText>
            </w:r>
            <w:r w:rsidR="005A3868">
              <w:rPr>
                <w:noProof/>
                <w:webHidden/>
              </w:rPr>
            </w:r>
            <w:r w:rsidR="005A3868">
              <w:rPr>
                <w:noProof/>
                <w:webHidden/>
              </w:rPr>
              <w:fldChar w:fldCharType="separate"/>
            </w:r>
            <w:r>
              <w:rPr>
                <w:noProof/>
                <w:webHidden/>
              </w:rPr>
              <w:t>12</w:t>
            </w:r>
            <w:r w:rsidR="005A3868">
              <w:rPr>
                <w:noProof/>
                <w:webHidden/>
              </w:rPr>
              <w:fldChar w:fldCharType="end"/>
            </w:r>
          </w:hyperlink>
        </w:p>
        <w:p w:rsidR="005A3868" w:rsidRDefault="00342D61">
          <w:pPr>
            <w:pStyle w:val="TOC2"/>
            <w:tabs>
              <w:tab w:val="left" w:pos="880"/>
              <w:tab w:val="right" w:leader="dot" w:pos="9435"/>
            </w:tabs>
            <w:rPr>
              <w:rFonts w:eastAsiaTheme="minorEastAsia" w:cstheme="minorBidi"/>
              <w:b w:val="0"/>
              <w:bCs w:val="0"/>
              <w:noProof/>
            </w:rPr>
          </w:pPr>
          <w:hyperlink w:anchor="_Toc530055082" w:history="1">
            <w:r w:rsidR="005A3868" w:rsidRPr="005A47DC">
              <w:rPr>
                <w:rStyle w:val="Hyperlink"/>
                <w:noProof/>
              </w:rPr>
              <w:t>5.3</w:t>
            </w:r>
            <w:r w:rsidR="005A3868">
              <w:rPr>
                <w:rFonts w:eastAsiaTheme="minorEastAsia" w:cstheme="minorBidi"/>
                <w:b w:val="0"/>
                <w:bCs w:val="0"/>
                <w:noProof/>
              </w:rPr>
              <w:tab/>
            </w:r>
            <w:r w:rsidR="005A3868" w:rsidRPr="005A47DC">
              <w:rPr>
                <w:rStyle w:val="Hyperlink"/>
                <w:noProof/>
              </w:rPr>
              <w:t>Total expenditure</w:t>
            </w:r>
            <w:r w:rsidR="005A3868">
              <w:rPr>
                <w:noProof/>
                <w:webHidden/>
              </w:rPr>
              <w:tab/>
            </w:r>
            <w:r w:rsidR="005A3868">
              <w:rPr>
                <w:noProof/>
                <w:webHidden/>
              </w:rPr>
              <w:fldChar w:fldCharType="begin"/>
            </w:r>
            <w:r w:rsidR="005A3868">
              <w:rPr>
                <w:noProof/>
                <w:webHidden/>
              </w:rPr>
              <w:instrText xml:space="preserve"> PAGEREF _Toc530055082 \h </w:instrText>
            </w:r>
            <w:r w:rsidR="005A3868">
              <w:rPr>
                <w:noProof/>
                <w:webHidden/>
              </w:rPr>
            </w:r>
            <w:r w:rsidR="005A3868">
              <w:rPr>
                <w:noProof/>
                <w:webHidden/>
              </w:rPr>
              <w:fldChar w:fldCharType="separate"/>
            </w:r>
            <w:r>
              <w:rPr>
                <w:noProof/>
                <w:webHidden/>
              </w:rPr>
              <w:t>12</w:t>
            </w:r>
            <w:r w:rsidR="005A3868">
              <w:rPr>
                <w:noProof/>
                <w:webHidden/>
              </w:rPr>
              <w:fldChar w:fldCharType="end"/>
            </w:r>
          </w:hyperlink>
        </w:p>
        <w:p w:rsidR="005A3868" w:rsidRDefault="00342D61">
          <w:pPr>
            <w:pStyle w:val="TOC2"/>
            <w:tabs>
              <w:tab w:val="left" w:pos="880"/>
              <w:tab w:val="right" w:leader="dot" w:pos="9435"/>
            </w:tabs>
            <w:rPr>
              <w:rFonts w:eastAsiaTheme="minorEastAsia" w:cstheme="minorBidi"/>
              <w:b w:val="0"/>
              <w:bCs w:val="0"/>
              <w:noProof/>
            </w:rPr>
          </w:pPr>
          <w:hyperlink w:anchor="_Toc530055083" w:history="1">
            <w:r w:rsidR="005A3868" w:rsidRPr="005A47DC">
              <w:rPr>
                <w:rStyle w:val="Hyperlink"/>
                <w:noProof/>
              </w:rPr>
              <w:t>5.4</w:t>
            </w:r>
            <w:r w:rsidR="005A3868">
              <w:rPr>
                <w:rFonts w:eastAsiaTheme="minorEastAsia" w:cstheme="minorBidi"/>
                <w:b w:val="0"/>
                <w:bCs w:val="0"/>
                <w:noProof/>
              </w:rPr>
              <w:tab/>
            </w:r>
            <w:r w:rsidR="005A3868" w:rsidRPr="005A47DC">
              <w:rPr>
                <w:rStyle w:val="Hyperlink"/>
                <w:noProof/>
              </w:rPr>
              <w:t>Average cost</w:t>
            </w:r>
            <w:r w:rsidR="005A3868">
              <w:rPr>
                <w:noProof/>
                <w:webHidden/>
              </w:rPr>
              <w:tab/>
            </w:r>
            <w:r w:rsidR="005A3868">
              <w:rPr>
                <w:noProof/>
                <w:webHidden/>
              </w:rPr>
              <w:fldChar w:fldCharType="begin"/>
            </w:r>
            <w:r w:rsidR="005A3868">
              <w:rPr>
                <w:noProof/>
                <w:webHidden/>
              </w:rPr>
              <w:instrText xml:space="preserve"> PAGEREF _Toc530055083 \h </w:instrText>
            </w:r>
            <w:r w:rsidR="005A3868">
              <w:rPr>
                <w:noProof/>
                <w:webHidden/>
              </w:rPr>
            </w:r>
            <w:r w:rsidR="005A3868">
              <w:rPr>
                <w:noProof/>
                <w:webHidden/>
              </w:rPr>
              <w:fldChar w:fldCharType="separate"/>
            </w:r>
            <w:r>
              <w:rPr>
                <w:noProof/>
                <w:webHidden/>
              </w:rPr>
              <w:t>14</w:t>
            </w:r>
            <w:r w:rsidR="005A3868">
              <w:rPr>
                <w:noProof/>
                <w:webHidden/>
              </w:rPr>
              <w:fldChar w:fldCharType="end"/>
            </w:r>
          </w:hyperlink>
        </w:p>
        <w:p w:rsidR="005A3868" w:rsidRDefault="00342D61">
          <w:pPr>
            <w:pStyle w:val="TOC2"/>
            <w:tabs>
              <w:tab w:val="left" w:pos="880"/>
              <w:tab w:val="right" w:leader="dot" w:pos="9435"/>
            </w:tabs>
            <w:rPr>
              <w:rFonts w:eastAsiaTheme="minorEastAsia" w:cstheme="minorBidi"/>
              <w:b w:val="0"/>
              <w:bCs w:val="0"/>
              <w:noProof/>
            </w:rPr>
          </w:pPr>
          <w:hyperlink w:anchor="_Toc530055084" w:history="1">
            <w:r w:rsidR="005A3868" w:rsidRPr="005A47DC">
              <w:rPr>
                <w:rStyle w:val="Hyperlink"/>
                <w:noProof/>
              </w:rPr>
              <w:t>5.5</w:t>
            </w:r>
            <w:r w:rsidR="005A3868">
              <w:rPr>
                <w:rFonts w:eastAsiaTheme="minorEastAsia" w:cstheme="minorBidi"/>
                <w:b w:val="0"/>
                <w:bCs w:val="0"/>
                <w:noProof/>
              </w:rPr>
              <w:tab/>
            </w:r>
            <w:r w:rsidR="005A3868" w:rsidRPr="005A47DC">
              <w:rPr>
                <w:rStyle w:val="Hyperlink"/>
                <w:noProof/>
              </w:rPr>
              <w:t>Line items and cost buckets</w:t>
            </w:r>
            <w:r w:rsidR="005A3868">
              <w:rPr>
                <w:noProof/>
                <w:webHidden/>
              </w:rPr>
              <w:tab/>
            </w:r>
            <w:r w:rsidR="005A3868">
              <w:rPr>
                <w:noProof/>
                <w:webHidden/>
              </w:rPr>
              <w:fldChar w:fldCharType="begin"/>
            </w:r>
            <w:r w:rsidR="005A3868">
              <w:rPr>
                <w:noProof/>
                <w:webHidden/>
              </w:rPr>
              <w:instrText xml:space="preserve"> PAGEREF _Toc530055084 \h </w:instrText>
            </w:r>
            <w:r w:rsidR="005A3868">
              <w:rPr>
                <w:noProof/>
                <w:webHidden/>
              </w:rPr>
            </w:r>
            <w:r w:rsidR="005A3868">
              <w:rPr>
                <w:noProof/>
                <w:webHidden/>
              </w:rPr>
              <w:fldChar w:fldCharType="separate"/>
            </w:r>
            <w:r>
              <w:rPr>
                <w:noProof/>
                <w:webHidden/>
              </w:rPr>
              <w:t>14</w:t>
            </w:r>
            <w:r w:rsidR="005A3868">
              <w:rPr>
                <w:noProof/>
                <w:webHidden/>
              </w:rPr>
              <w:fldChar w:fldCharType="end"/>
            </w:r>
          </w:hyperlink>
        </w:p>
        <w:p w:rsidR="005A3868" w:rsidRDefault="00342D61">
          <w:pPr>
            <w:pStyle w:val="TOC1"/>
            <w:tabs>
              <w:tab w:val="left" w:pos="440"/>
              <w:tab w:val="right" w:leader="dot" w:pos="9435"/>
            </w:tabs>
            <w:rPr>
              <w:rFonts w:eastAsiaTheme="minorEastAsia" w:cstheme="minorBidi"/>
              <w:b w:val="0"/>
              <w:bCs w:val="0"/>
              <w:i w:val="0"/>
              <w:iCs w:val="0"/>
              <w:noProof/>
              <w:sz w:val="22"/>
              <w:szCs w:val="22"/>
            </w:rPr>
          </w:pPr>
          <w:hyperlink w:anchor="_Toc530055085" w:history="1">
            <w:r w:rsidR="005A3868" w:rsidRPr="005A47DC">
              <w:rPr>
                <w:rStyle w:val="Hyperlink"/>
                <w:noProof/>
              </w:rPr>
              <w:t>6.</w:t>
            </w:r>
            <w:r w:rsidR="005A3868">
              <w:rPr>
                <w:rFonts w:eastAsiaTheme="minorEastAsia" w:cstheme="minorBidi"/>
                <w:b w:val="0"/>
                <w:bCs w:val="0"/>
                <w:i w:val="0"/>
                <w:iCs w:val="0"/>
                <w:noProof/>
                <w:sz w:val="22"/>
                <w:szCs w:val="22"/>
              </w:rPr>
              <w:tab/>
            </w:r>
            <w:r w:rsidR="005A3868" w:rsidRPr="005A47DC">
              <w:rPr>
                <w:rStyle w:val="Hyperlink"/>
                <w:noProof/>
              </w:rPr>
              <w:t>Admitted acute care</w:t>
            </w:r>
            <w:r w:rsidR="005A3868">
              <w:rPr>
                <w:noProof/>
                <w:webHidden/>
              </w:rPr>
              <w:tab/>
            </w:r>
            <w:r w:rsidR="005A3868">
              <w:rPr>
                <w:noProof/>
                <w:webHidden/>
              </w:rPr>
              <w:fldChar w:fldCharType="begin"/>
            </w:r>
            <w:r w:rsidR="005A3868">
              <w:rPr>
                <w:noProof/>
                <w:webHidden/>
              </w:rPr>
              <w:instrText xml:space="preserve"> PAGEREF _Toc530055085 \h </w:instrText>
            </w:r>
            <w:r w:rsidR="005A3868">
              <w:rPr>
                <w:noProof/>
                <w:webHidden/>
              </w:rPr>
            </w:r>
            <w:r w:rsidR="005A3868">
              <w:rPr>
                <w:noProof/>
                <w:webHidden/>
              </w:rPr>
              <w:fldChar w:fldCharType="separate"/>
            </w:r>
            <w:r>
              <w:rPr>
                <w:noProof/>
                <w:webHidden/>
              </w:rPr>
              <w:t>16</w:t>
            </w:r>
            <w:r w:rsidR="005A3868">
              <w:rPr>
                <w:noProof/>
                <w:webHidden/>
              </w:rPr>
              <w:fldChar w:fldCharType="end"/>
            </w:r>
          </w:hyperlink>
        </w:p>
        <w:p w:rsidR="005A3868" w:rsidRDefault="00342D61">
          <w:pPr>
            <w:pStyle w:val="TOC2"/>
            <w:tabs>
              <w:tab w:val="left" w:pos="880"/>
              <w:tab w:val="right" w:leader="dot" w:pos="9435"/>
            </w:tabs>
            <w:rPr>
              <w:rFonts w:eastAsiaTheme="minorEastAsia" w:cstheme="minorBidi"/>
              <w:b w:val="0"/>
              <w:bCs w:val="0"/>
              <w:noProof/>
            </w:rPr>
          </w:pPr>
          <w:hyperlink w:anchor="_Toc530055086" w:history="1">
            <w:r w:rsidR="005A3868" w:rsidRPr="005A47DC">
              <w:rPr>
                <w:rStyle w:val="Hyperlink"/>
                <w:noProof/>
              </w:rPr>
              <w:t>6.1</w:t>
            </w:r>
            <w:r w:rsidR="005A3868">
              <w:rPr>
                <w:rFonts w:eastAsiaTheme="minorEastAsia" w:cstheme="minorBidi"/>
                <w:b w:val="0"/>
                <w:bCs w:val="0"/>
                <w:noProof/>
              </w:rPr>
              <w:tab/>
            </w:r>
            <w:r w:rsidR="005A3868" w:rsidRPr="005A47DC">
              <w:rPr>
                <w:rStyle w:val="Hyperlink"/>
                <w:noProof/>
              </w:rPr>
              <w:t>Average cost per weighted separation</w:t>
            </w:r>
            <w:r w:rsidR="005A3868">
              <w:rPr>
                <w:noProof/>
                <w:webHidden/>
              </w:rPr>
              <w:tab/>
            </w:r>
            <w:r w:rsidR="005A3868">
              <w:rPr>
                <w:noProof/>
                <w:webHidden/>
              </w:rPr>
              <w:fldChar w:fldCharType="begin"/>
            </w:r>
            <w:r w:rsidR="005A3868">
              <w:rPr>
                <w:noProof/>
                <w:webHidden/>
              </w:rPr>
              <w:instrText xml:space="preserve"> PAGEREF _Toc530055086 \h </w:instrText>
            </w:r>
            <w:r w:rsidR="005A3868">
              <w:rPr>
                <w:noProof/>
                <w:webHidden/>
              </w:rPr>
            </w:r>
            <w:r w:rsidR="005A3868">
              <w:rPr>
                <w:noProof/>
                <w:webHidden/>
              </w:rPr>
              <w:fldChar w:fldCharType="separate"/>
            </w:r>
            <w:r>
              <w:rPr>
                <w:noProof/>
                <w:webHidden/>
              </w:rPr>
              <w:t>16</w:t>
            </w:r>
            <w:r w:rsidR="005A3868">
              <w:rPr>
                <w:noProof/>
                <w:webHidden/>
              </w:rPr>
              <w:fldChar w:fldCharType="end"/>
            </w:r>
          </w:hyperlink>
        </w:p>
        <w:p w:rsidR="005A3868" w:rsidRDefault="00342D61">
          <w:pPr>
            <w:pStyle w:val="TOC2"/>
            <w:tabs>
              <w:tab w:val="left" w:pos="880"/>
              <w:tab w:val="right" w:leader="dot" w:pos="9435"/>
            </w:tabs>
            <w:rPr>
              <w:rFonts w:eastAsiaTheme="minorEastAsia" w:cstheme="minorBidi"/>
              <w:b w:val="0"/>
              <w:bCs w:val="0"/>
              <w:noProof/>
            </w:rPr>
          </w:pPr>
          <w:hyperlink w:anchor="_Toc530055087" w:history="1">
            <w:r w:rsidR="005A3868" w:rsidRPr="005A47DC">
              <w:rPr>
                <w:rStyle w:val="Hyperlink"/>
                <w:noProof/>
              </w:rPr>
              <w:t>6.2</w:t>
            </w:r>
            <w:r w:rsidR="005A3868">
              <w:rPr>
                <w:rFonts w:eastAsiaTheme="minorEastAsia" w:cstheme="minorBidi"/>
                <w:b w:val="0"/>
                <w:bCs w:val="0"/>
                <w:noProof/>
              </w:rPr>
              <w:tab/>
            </w:r>
            <w:r w:rsidR="005A3868" w:rsidRPr="005A47DC">
              <w:rPr>
                <w:rStyle w:val="Hyperlink"/>
                <w:noProof/>
              </w:rPr>
              <w:t>Average cost – excluding emergency department costs</w:t>
            </w:r>
            <w:r w:rsidR="005A3868">
              <w:rPr>
                <w:noProof/>
                <w:webHidden/>
              </w:rPr>
              <w:tab/>
            </w:r>
            <w:r w:rsidR="005A3868">
              <w:rPr>
                <w:noProof/>
                <w:webHidden/>
              </w:rPr>
              <w:fldChar w:fldCharType="begin"/>
            </w:r>
            <w:r w:rsidR="005A3868">
              <w:rPr>
                <w:noProof/>
                <w:webHidden/>
              </w:rPr>
              <w:instrText xml:space="preserve"> PAGEREF _Toc530055087 \h </w:instrText>
            </w:r>
            <w:r w:rsidR="005A3868">
              <w:rPr>
                <w:noProof/>
                <w:webHidden/>
              </w:rPr>
            </w:r>
            <w:r w:rsidR="005A3868">
              <w:rPr>
                <w:noProof/>
                <w:webHidden/>
              </w:rPr>
              <w:fldChar w:fldCharType="separate"/>
            </w:r>
            <w:r>
              <w:rPr>
                <w:noProof/>
                <w:webHidden/>
              </w:rPr>
              <w:t>18</w:t>
            </w:r>
            <w:r w:rsidR="005A3868">
              <w:rPr>
                <w:noProof/>
                <w:webHidden/>
              </w:rPr>
              <w:fldChar w:fldCharType="end"/>
            </w:r>
          </w:hyperlink>
        </w:p>
        <w:p w:rsidR="005A3868" w:rsidRDefault="00342D61">
          <w:pPr>
            <w:pStyle w:val="TOC2"/>
            <w:tabs>
              <w:tab w:val="left" w:pos="880"/>
              <w:tab w:val="right" w:leader="dot" w:pos="9435"/>
            </w:tabs>
            <w:rPr>
              <w:rFonts w:eastAsiaTheme="minorEastAsia" w:cstheme="minorBidi"/>
              <w:b w:val="0"/>
              <w:bCs w:val="0"/>
              <w:noProof/>
            </w:rPr>
          </w:pPr>
          <w:hyperlink w:anchor="_Toc530055088" w:history="1">
            <w:r w:rsidR="005A3868" w:rsidRPr="005A47DC">
              <w:rPr>
                <w:rStyle w:val="Hyperlink"/>
                <w:noProof/>
              </w:rPr>
              <w:t>6.3</w:t>
            </w:r>
            <w:r w:rsidR="005A3868">
              <w:rPr>
                <w:rFonts w:eastAsiaTheme="minorEastAsia" w:cstheme="minorBidi"/>
                <w:b w:val="0"/>
                <w:bCs w:val="0"/>
                <w:noProof/>
              </w:rPr>
              <w:tab/>
            </w:r>
            <w:r w:rsidR="005A3868" w:rsidRPr="005A47DC">
              <w:rPr>
                <w:rStyle w:val="Hyperlink"/>
                <w:noProof/>
              </w:rPr>
              <w:t>Patient length of stay</w:t>
            </w:r>
            <w:r w:rsidR="005A3868">
              <w:rPr>
                <w:noProof/>
                <w:webHidden/>
              </w:rPr>
              <w:tab/>
            </w:r>
            <w:r w:rsidR="005A3868">
              <w:rPr>
                <w:noProof/>
                <w:webHidden/>
              </w:rPr>
              <w:fldChar w:fldCharType="begin"/>
            </w:r>
            <w:r w:rsidR="005A3868">
              <w:rPr>
                <w:noProof/>
                <w:webHidden/>
              </w:rPr>
              <w:instrText xml:space="preserve"> PAGEREF _Toc530055088 \h </w:instrText>
            </w:r>
            <w:r w:rsidR="005A3868">
              <w:rPr>
                <w:noProof/>
                <w:webHidden/>
              </w:rPr>
            </w:r>
            <w:r w:rsidR="005A3868">
              <w:rPr>
                <w:noProof/>
                <w:webHidden/>
              </w:rPr>
              <w:fldChar w:fldCharType="separate"/>
            </w:r>
            <w:r>
              <w:rPr>
                <w:noProof/>
                <w:webHidden/>
              </w:rPr>
              <w:t>18</w:t>
            </w:r>
            <w:r w:rsidR="005A3868">
              <w:rPr>
                <w:noProof/>
                <w:webHidden/>
              </w:rPr>
              <w:fldChar w:fldCharType="end"/>
            </w:r>
          </w:hyperlink>
        </w:p>
        <w:p w:rsidR="005A3868" w:rsidRDefault="00342D61">
          <w:pPr>
            <w:pStyle w:val="TOC1"/>
            <w:tabs>
              <w:tab w:val="left" w:pos="440"/>
              <w:tab w:val="right" w:leader="dot" w:pos="9435"/>
            </w:tabs>
            <w:rPr>
              <w:rFonts w:eastAsiaTheme="minorEastAsia" w:cstheme="minorBidi"/>
              <w:b w:val="0"/>
              <w:bCs w:val="0"/>
              <w:i w:val="0"/>
              <w:iCs w:val="0"/>
              <w:noProof/>
              <w:sz w:val="22"/>
              <w:szCs w:val="22"/>
            </w:rPr>
          </w:pPr>
          <w:hyperlink w:anchor="_Toc530055089" w:history="1">
            <w:r w:rsidR="005A3868" w:rsidRPr="005A47DC">
              <w:rPr>
                <w:rStyle w:val="Hyperlink"/>
                <w:noProof/>
              </w:rPr>
              <w:t>7.</w:t>
            </w:r>
            <w:r w:rsidR="005A3868">
              <w:rPr>
                <w:rFonts w:eastAsiaTheme="minorEastAsia" w:cstheme="minorBidi"/>
                <w:b w:val="0"/>
                <w:bCs w:val="0"/>
                <w:i w:val="0"/>
                <w:iCs w:val="0"/>
                <w:noProof/>
                <w:sz w:val="22"/>
                <w:szCs w:val="22"/>
              </w:rPr>
              <w:tab/>
            </w:r>
            <w:r w:rsidR="005A3868" w:rsidRPr="005A47DC">
              <w:rPr>
                <w:rStyle w:val="Hyperlink"/>
                <w:noProof/>
              </w:rPr>
              <w:t>Mental health</w:t>
            </w:r>
            <w:r w:rsidR="005A3868">
              <w:rPr>
                <w:noProof/>
                <w:webHidden/>
              </w:rPr>
              <w:tab/>
            </w:r>
            <w:r w:rsidR="005A3868">
              <w:rPr>
                <w:noProof/>
                <w:webHidden/>
              </w:rPr>
              <w:fldChar w:fldCharType="begin"/>
            </w:r>
            <w:r w:rsidR="005A3868">
              <w:rPr>
                <w:noProof/>
                <w:webHidden/>
              </w:rPr>
              <w:instrText xml:space="preserve"> PAGEREF _Toc530055089 \h </w:instrText>
            </w:r>
            <w:r w:rsidR="005A3868">
              <w:rPr>
                <w:noProof/>
                <w:webHidden/>
              </w:rPr>
            </w:r>
            <w:r w:rsidR="005A3868">
              <w:rPr>
                <w:noProof/>
                <w:webHidden/>
              </w:rPr>
              <w:fldChar w:fldCharType="separate"/>
            </w:r>
            <w:r>
              <w:rPr>
                <w:noProof/>
                <w:webHidden/>
              </w:rPr>
              <w:t>20</w:t>
            </w:r>
            <w:r w:rsidR="005A3868">
              <w:rPr>
                <w:noProof/>
                <w:webHidden/>
              </w:rPr>
              <w:fldChar w:fldCharType="end"/>
            </w:r>
          </w:hyperlink>
        </w:p>
        <w:p w:rsidR="005A3868" w:rsidRDefault="00342D61">
          <w:pPr>
            <w:pStyle w:val="TOC1"/>
            <w:tabs>
              <w:tab w:val="left" w:pos="440"/>
              <w:tab w:val="right" w:leader="dot" w:pos="9435"/>
            </w:tabs>
            <w:rPr>
              <w:rFonts w:eastAsiaTheme="minorEastAsia" w:cstheme="minorBidi"/>
              <w:b w:val="0"/>
              <w:bCs w:val="0"/>
              <w:i w:val="0"/>
              <w:iCs w:val="0"/>
              <w:noProof/>
              <w:sz w:val="22"/>
              <w:szCs w:val="22"/>
            </w:rPr>
          </w:pPr>
          <w:hyperlink w:anchor="_Toc530055090" w:history="1">
            <w:r w:rsidR="005A3868" w:rsidRPr="005A47DC">
              <w:rPr>
                <w:rStyle w:val="Hyperlink"/>
                <w:noProof/>
              </w:rPr>
              <w:t>8.</w:t>
            </w:r>
            <w:r w:rsidR="005A3868">
              <w:rPr>
                <w:rFonts w:eastAsiaTheme="minorEastAsia" w:cstheme="minorBidi"/>
                <w:b w:val="0"/>
                <w:bCs w:val="0"/>
                <w:i w:val="0"/>
                <w:iCs w:val="0"/>
                <w:noProof/>
                <w:sz w:val="22"/>
                <w:szCs w:val="22"/>
              </w:rPr>
              <w:tab/>
            </w:r>
            <w:r w:rsidR="005A3868" w:rsidRPr="005A47DC">
              <w:rPr>
                <w:rStyle w:val="Hyperlink"/>
                <w:noProof/>
              </w:rPr>
              <w:t>Supplementary material</w:t>
            </w:r>
            <w:r w:rsidR="005A3868">
              <w:rPr>
                <w:noProof/>
                <w:webHidden/>
              </w:rPr>
              <w:tab/>
            </w:r>
            <w:r w:rsidR="005A3868">
              <w:rPr>
                <w:noProof/>
                <w:webHidden/>
              </w:rPr>
              <w:fldChar w:fldCharType="begin"/>
            </w:r>
            <w:r w:rsidR="005A3868">
              <w:rPr>
                <w:noProof/>
                <w:webHidden/>
              </w:rPr>
              <w:instrText xml:space="preserve"> PAGEREF _Toc530055090 \h </w:instrText>
            </w:r>
            <w:r w:rsidR="005A3868">
              <w:rPr>
                <w:noProof/>
                <w:webHidden/>
              </w:rPr>
            </w:r>
            <w:r w:rsidR="005A3868">
              <w:rPr>
                <w:noProof/>
                <w:webHidden/>
              </w:rPr>
              <w:fldChar w:fldCharType="separate"/>
            </w:r>
            <w:r>
              <w:rPr>
                <w:noProof/>
                <w:webHidden/>
              </w:rPr>
              <w:t>21</w:t>
            </w:r>
            <w:r w:rsidR="005A3868">
              <w:rPr>
                <w:noProof/>
                <w:webHidden/>
              </w:rPr>
              <w:fldChar w:fldCharType="end"/>
            </w:r>
          </w:hyperlink>
        </w:p>
        <w:p w:rsidR="005A3868" w:rsidRDefault="00342D61">
          <w:pPr>
            <w:pStyle w:val="TOC1"/>
            <w:tabs>
              <w:tab w:val="left" w:pos="440"/>
              <w:tab w:val="right" w:leader="dot" w:pos="9435"/>
            </w:tabs>
            <w:rPr>
              <w:rFonts w:eastAsiaTheme="minorEastAsia" w:cstheme="minorBidi"/>
              <w:b w:val="0"/>
              <w:bCs w:val="0"/>
              <w:i w:val="0"/>
              <w:iCs w:val="0"/>
              <w:noProof/>
              <w:sz w:val="22"/>
              <w:szCs w:val="22"/>
            </w:rPr>
          </w:pPr>
          <w:hyperlink w:anchor="_Toc530055091" w:history="1">
            <w:r w:rsidR="005A3868" w:rsidRPr="005A47DC">
              <w:rPr>
                <w:rStyle w:val="Hyperlink"/>
                <w:noProof/>
              </w:rPr>
              <w:t>9.</w:t>
            </w:r>
            <w:r w:rsidR="005A3868">
              <w:rPr>
                <w:rFonts w:eastAsiaTheme="minorEastAsia" w:cstheme="minorBidi"/>
                <w:b w:val="0"/>
                <w:bCs w:val="0"/>
                <w:i w:val="0"/>
                <w:iCs w:val="0"/>
                <w:noProof/>
                <w:sz w:val="22"/>
                <w:szCs w:val="22"/>
              </w:rPr>
              <w:tab/>
            </w:r>
            <w:r w:rsidR="005A3868" w:rsidRPr="005A47DC">
              <w:rPr>
                <w:rStyle w:val="Hyperlink"/>
                <w:noProof/>
              </w:rPr>
              <w:t>Data Quality Statements</w:t>
            </w:r>
            <w:r w:rsidR="005A3868">
              <w:rPr>
                <w:noProof/>
                <w:webHidden/>
              </w:rPr>
              <w:tab/>
            </w:r>
            <w:r w:rsidR="005A3868">
              <w:rPr>
                <w:noProof/>
                <w:webHidden/>
              </w:rPr>
              <w:fldChar w:fldCharType="begin"/>
            </w:r>
            <w:r w:rsidR="005A3868">
              <w:rPr>
                <w:noProof/>
                <w:webHidden/>
              </w:rPr>
              <w:instrText xml:space="preserve"> PAGEREF _Toc530055091 \h </w:instrText>
            </w:r>
            <w:r w:rsidR="005A3868">
              <w:rPr>
                <w:noProof/>
                <w:webHidden/>
              </w:rPr>
            </w:r>
            <w:r w:rsidR="005A3868">
              <w:rPr>
                <w:noProof/>
                <w:webHidden/>
              </w:rPr>
              <w:fldChar w:fldCharType="separate"/>
            </w:r>
            <w:r>
              <w:rPr>
                <w:noProof/>
                <w:webHidden/>
              </w:rPr>
              <w:t>21</w:t>
            </w:r>
            <w:r w:rsidR="005A3868">
              <w:rPr>
                <w:noProof/>
                <w:webHidden/>
              </w:rPr>
              <w:fldChar w:fldCharType="end"/>
            </w:r>
          </w:hyperlink>
        </w:p>
        <w:p w:rsidR="00C8702F" w:rsidRPr="00A92BBB" w:rsidRDefault="00E923E4" w:rsidP="00C8702F">
          <w:pPr>
            <w:rPr>
              <w:noProof/>
              <w:szCs w:val="22"/>
            </w:rPr>
          </w:pPr>
          <w:r w:rsidRPr="00EC4650">
            <w:rPr>
              <w:rFonts w:asciiTheme="minorHAnsi" w:hAnsiTheme="minorHAnsi" w:cstheme="minorHAnsi"/>
              <w:iCs/>
              <w:szCs w:val="22"/>
            </w:rPr>
            <w:fldChar w:fldCharType="end"/>
          </w:r>
        </w:p>
      </w:sdtContent>
    </w:sdt>
    <w:p w:rsidR="00C8702F" w:rsidRPr="00A92BBB" w:rsidRDefault="00C8702F" w:rsidP="00C8702F">
      <w:pPr>
        <w:rPr>
          <w:rFonts w:cs="Arial"/>
          <w:szCs w:val="22"/>
        </w:rPr>
      </w:pPr>
      <w:r w:rsidRPr="00A92BBB">
        <w:rPr>
          <w:rFonts w:cs="Arial"/>
          <w:szCs w:val="22"/>
        </w:rPr>
        <w:t xml:space="preserve">Appendix </w:t>
      </w:r>
      <w:proofErr w:type="gramStart"/>
      <w:r w:rsidRPr="00A92BBB">
        <w:rPr>
          <w:rFonts w:cs="Arial"/>
          <w:szCs w:val="22"/>
        </w:rPr>
        <w:t>A</w:t>
      </w:r>
      <w:proofErr w:type="gramEnd"/>
      <w:r w:rsidRPr="00A92BBB">
        <w:rPr>
          <w:rFonts w:cs="Arial"/>
          <w:szCs w:val="22"/>
        </w:rPr>
        <w:t xml:space="preserve"> </w:t>
      </w:r>
      <w:r w:rsidR="005A3868">
        <w:rPr>
          <w:rFonts w:cs="Arial"/>
          <w:szCs w:val="22"/>
        </w:rPr>
        <w:t>NHCDC</w:t>
      </w:r>
      <w:r w:rsidRPr="00A92BBB">
        <w:rPr>
          <w:rFonts w:cs="Arial"/>
          <w:szCs w:val="22"/>
        </w:rPr>
        <w:t xml:space="preserve"> report tables</w:t>
      </w:r>
    </w:p>
    <w:p w:rsidR="00C8702F" w:rsidRPr="00A92BBB" w:rsidRDefault="00C8702F" w:rsidP="00C8702F">
      <w:pPr>
        <w:rPr>
          <w:rFonts w:cs="Arial"/>
          <w:szCs w:val="22"/>
        </w:rPr>
      </w:pPr>
      <w:r w:rsidRPr="00A92BBB">
        <w:rPr>
          <w:rFonts w:cs="Arial"/>
          <w:szCs w:val="22"/>
        </w:rPr>
        <w:t>Appendix B Jurisdictional Data Quality Statements</w:t>
      </w:r>
    </w:p>
    <w:p w:rsidR="00C8702F" w:rsidRPr="00C8702F" w:rsidRDefault="00C8702F" w:rsidP="00C8702F">
      <w:pPr>
        <w:rPr>
          <w:rFonts w:cs="Arial"/>
        </w:rPr>
      </w:pPr>
    </w:p>
    <w:p w:rsidR="00CA68BA" w:rsidRDefault="00CA68BA" w:rsidP="003B4C44">
      <w:pPr>
        <w:pStyle w:val="TOCHeading"/>
      </w:pPr>
      <w:r>
        <w:t>Tables</w:t>
      </w:r>
    </w:p>
    <w:p w:rsidR="009E4455" w:rsidRDefault="00CA68BA">
      <w:pPr>
        <w:pStyle w:val="TableofFigures"/>
        <w:rPr>
          <w:rFonts w:asciiTheme="minorHAnsi" w:eastAsiaTheme="minorEastAsia" w:hAnsiTheme="minorHAnsi" w:cstheme="minorBidi"/>
          <w:noProof/>
          <w:szCs w:val="22"/>
        </w:rPr>
      </w:pPr>
      <w:r>
        <w:fldChar w:fldCharType="begin"/>
      </w:r>
      <w:r>
        <w:instrText xml:space="preserve"> TOC \h \z \c "Table" </w:instrText>
      </w:r>
      <w:r>
        <w:fldChar w:fldCharType="separate"/>
      </w:r>
      <w:hyperlink w:anchor="_Toc527385228" w:history="1">
        <w:r w:rsidR="009E4455" w:rsidRPr="00F71867">
          <w:rPr>
            <w:rStyle w:val="Hyperlink"/>
            <w:noProof/>
          </w:rPr>
          <w:t xml:space="preserve">Table 1 </w:t>
        </w:r>
        <w:r w:rsidR="005A3868">
          <w:rPr>
            <w:rStyle w:val="Hyperlink"/>
            <w:noProof/>
          </w:rPr>
          <w:t>NHCDC</w:t>
        </w:r>
        <w:r w:rsidR="009E4455" w:rsidRPr="00F71867">
          <w:rPr>
            <w:rStyle w:val="Hyperlink"/>
            <w:noProof/>
          </w:rPr>
          <w:t xml:space="preserve"> Report Appendix Tables, Round 21</w:t>
        </w:r>
        <w:r w:rsidR="009E4455">
          <w:rPr>
            <w:noProof/>
            <w:webHidden/>
          </w:rPr>
          <w:tab/>
        </w:r>
        <w:r w:rsidR="009E4455">
          <w:rPr>
            <w:noProof/>
            <w:webHidden/>
          </w:rPr>
          <w:fldChar w:fldCharType="begin"/>
        </w:r>
        <w:r w:rsidR="009E4455">
          <w:rPr>
            <w:noProof/>
            <w:webHidden/>
          </w:rPr>
          <w:instrText xml:space="preserve"> PAGEREF _Toc527385228 \h </w:instrText>
        </w:r>
        <w:r w:rsidR="009E4455">
          <w:rPr>
            <w:noProof/>
            <w:webHidden/>
          </w:rPr>
        </w:r>
        <w:r w:rsidR="009E4455">
          <w:rPr>
            <w:noProof/>
            <w:webHidden/>
          </w:rPr>
          <w:fldChar w:fldCharType="separate"/>
        </w:r>
        <w:r w:rsidR="00342D61">
          <w:rPr>
            <w:noProof/>
            <w:webHidden/>
          </w:rPr>
          <w:t>6</w:t>
        </w:r>
        <w:r w:rsidR="009E4455">
          <w:rPr>
            <w:noProof/>
            <w:webHidden/>
          </w:rPr>
          <w:fldChar w:fldCharType="end"/>
        </w:r>
      </w:hyperlink>
    </w:p>
    <w:p w:rsidR="009E4455" w:rsidRDefault="00342D61">
      <w:pPr>
        <w:pStyle w:val="TableofFigures"/>
        <w:rPr>
          <w:rFonts w:asciiTheme="minorHAnsi" w:eastAsiaTheme="minorEastAsia" w:hAnsiTheme="minorHAnsi" w:cstheme="minorBidi"/>
          <w:noProof/>
          <w:szCs w:val="22"/>
        </w:rPr>
      </w:pPr>
      <w:hyperlink w:anchor="_Toc527385229" w:history="1">
        <w:r w:rsidR="009E4455" w:rsidRPr="00F71867">
          <w:rPr>
            <w:rStyle w:val="Hyperlink"/>
            <w:noProof/>
          </w:rPr>
          <w:t>Table 2 IHPA classifications for different activity streams</w:t>
        </w:r>
        <w:r w:rsidR="009E4455">
          <w:rPr>
            <w:noProof/>
            <w:webHidden/>
          </w:rPr>
          <w:tab/>
        </w:r>
        <w:r w:rsidR="009E4455">
          <w:rPr>
            <w:noProof/>
            <w:webHidden/>
          </w:rPr>
          <w:fldChar w:fldCharType="begin"/>
        </w:r>
        <w:r w:rsidR="009E4455">
          <w:rPr>
            <w:noProof/>
            <w:webHidden/>
          </w:rPr>
          <w:instrText xml:space="preserve"> PAGEREF _Toc527385229 \h </w:instrText>
        </w:r>
        <w:r w:rsidR="009E4455">
          <w:rPr>
            <w:noProof/>
            <w:webHidden/>
          </w:rPr>
        </w:r>
        <w:r w:rsidR="009E4455">
          <w:rPr>
            <w:noProof/>
            <w:webHidden/>
          </w:rPr>
          <w:fldChar w:fldCharType="separate"/>
        </w:r>
        <w:r>
          <w:rPr>
            <w:noProof/>
            <w:webHidden/>
          </w:rPr>
          <w:t>9</w:t>
        </w:r>
        <w:r w:rsidR="009E4455">
          <w:rPr>
            <w:noProof/>
            <w:webHidden/>
          </w:rPr>
          <w:fldChar w:fldCharType="end"/>
        </w:r>
      </w:hyperlink>
    </w:p>
    <w:p w:rsidR="009E4455" w:rsidRDefault="00342D61">
      <w:pPr>
        <w:pStyle w:val="TableofFigures"/>
        <w:rPr>
          <w:rFonts w:asciiTheme="minorHAnsi" w:eastAsiaTheme="minorEastAsia" w:hAnsiTheme="minorHAnsi" w:cstheme="minorBidi"/>
          <w:noProof/>
          <w:szCs w:val="22"/>
        </w:rPr>
      </w:pPr>
      <w:hyperlink w:anchor="_Toc527385230" w:history="1">
        <w:r w:rsidR="009E4455" w:rsidRPr="00F71867">
          <w:rPr>
            <w:rStyle w:val="Hyperlink"/>
            <w:noProof/>
          </w:rPr>
          <w:t>Table 3 Admitted acute separations, selected conditions, Round 21</w:t>
        </w:r>
        <w:r w:rsidR="009E4455">
          <w:rPr>
            <w:noProof/>
            <w:webHidden/>
          </w:rPr>
          <w:tab/>
        </w:r>
        <w:r w:rsidR="009E4455">
          <w:rPr>
            <w:noProof/>
            <w:webHidden/>
          </w:rPr>
          <w:fldChar w:fldCharType="begin"/>
        </w:r>
        <w:r w:rsidR="009E4455">
          <w:rPr>
            <w:noProof/>
            <w:webHidden/>
          </w:rPr>
          <w:instrText xml:space="preserve"> PAGEREF _Toc527385230 \h </w:instrText>
        </w:r>
        <w:r w:rsidR="009E4455">
          <w:rPr>
            <w:noProof/>
            <w:webHidden/>
          </w:rPr>
        </w:r>
        <w:r w:rsidR="009E4455">
          <w:rPr>
            <w:noProof/>
            <w:webHidden/>
          </w:rPr>
          <w:fldChar w:fldCharType="separate"/>
        </w:r>
        <w:r>
          <w:rPr>
            <w:noProof/>
            <w:webHidden/>
          </w:rPr>
          <w:t>10</w:t>
        </w:r>
        <w:r w:rsidR="009E4455">
          <w:rPr>
            <w:noProof/>
            <w:webHidden/>
          </w:rPr>
          <w:fldChar w:fldCharType="end"/>
        </w:r>
      </w:hyperlink>
    </w:p>
    <w:p w:rsidR="009E4455" w:rsidRDefault="00342D61">
      <w:pPr>
        <w:pStyle w:val="TableofFigures"/>
        <w:rPr>
          <w:rFonts w:asciiTheme="minorHAnsi" w:eastAsiaTheme="minorEastAsia" w:hAnsiTheme="minorHAnsi" w:cstheme="minorBidi"/>
          <w:noProof/>
          <w:szCs w:val="22"/>
        </w:rPr>
      </w:pPr>
      <w:hyperlink w:anchor="_Toc527385231" w:history="1">
        <w:r w:rsidR="009E4455" w:rsidRPr="00F71867">
          <w:rPr>
            <w:rStyle w:val="Hyperlink"/>
            <w:noProof/>
          </w:rPr>
          <w:t>Table 4 Summary NHCDC results by activity stream, Round 21</w:t>
        </w:r>
        <w:r w:rsidR="009E4455">
          <w:rPr>
            <w:noProof/>
            <w:webHidden/>
          </w:rPr>
          <w:tab/>
        </w:r>
        <w:r w:rsidR="009E4455">
          <w:rPr>
            <w:noProof/>
            <w:webHidden/>
          </w:rPr>
          <w:fldChar w:fldCharType="begin"/>
        </w:r>
        <w:r w:rsidR="009E4455">
          <w:rPr>
            <w:noProof/>
            <w:webHidden/>
          </w:rPr>
          <w:instrText xml:space="preserve"> PAGEREF _Toc527385231 \h </w:instrText>
        </w:r>
        <w:r w:rsidR="009E4455">
          <w:rPr>
            <w:noProof/>
            <w:webHidden/>
          </w:rPr>
        </w:r>
        <w:r w:rsidR="009E4455">
          <w:rPr>
            <w:noProof/>
            <w:webHidden/>
          </w:rPr>
          <w:fldChar w:fldCharType="separate"/>
        </w:r>
        <w:r>
          <w:rPr>
            <w:noProof/>
            <w:webHidden/>
          </w:rPr>
          <w:t>11</w:t>
        </w:r>
        <w:r w:rsidR="009E4455">
          <w:rPr>
            <w:noProof/>
            <w:webHidden/>
          </w:rPr>
          <w:fldChar w:fldCharType="end"/>
        </w:r>
      </w:hyperlink>
    </w:p>
    <w:p w:rsidR="009E4455" w:rsidRDefault="00342D61">
      <w:pPr>
        <w:pStyle w:val="TableofFigures"/>
        <w:rPr>
          <w:rFonts w:asciiTheme="minorHAnsi" w:eastAsiaTheme="minorEastAsia" w:hAnsiTheme="minorHAnsi" w:cstheme="minorBidi"/>
          <w:noProof/>
          <w:szCs w:val="22"/>
        </w:rPr>
      </w:pPr>
      <w:hyperlink w:anchor="_Toc527385232" w:history="1">
        <w:r w:rsidR="009E4455" w:rsidRPr="00F71867">
          <w:rPr>
            <w:rStyle w:val="Hyperlink"/>
            <w:noProof/>
          </w:rPr>
          <w:t>Table 5 Number of hospitals, by jurisdiction, Round 19-21</w:t>
        </w:r>
        <w:r w:rsidR="009E4455">
          <w:rPr>
            <w:noProof/>
            <w:webHidden/>
          </w:rPr>
          <w:tab/>
        </w:r>
        <w:r w:rsidR="009E4455">
          <w:rPr>
            <w:noProof/>
            <w:webHidden/>
          </w:rPr>
          <w:fldChar w:fldCharType="begin"/>
        </w:r>
        <w:r w:rsidR="009E4455">
          <w:rPr>
            <w:noProof/>
            <w:webHidden/>
          </w:rPr>
          <w:instrText xml:space="preserve"> PAGEREF _Toc527385232 \h </w:instrText>
        </w:r>
        <w:r w:rsidR="009E4455">
          <w:rPr>
            <w:noProof/>
            <w:webHidden/>
          </w:rPr>
        </w:r>
        <w:r w:rsidR="009E4455">
          <w:rPr>
            <w:noProof/>
            <w:webHidden/>
          </w:rPr>
          <w:fldChar w:fldCharType="separate"/>
        </w:r>
        <w:r>
          <w:rPr>
            <w:noProof/>
            <w:webHidden/>
          </w:rPr>
          <w:t>11</w:t>
        </w:r>
        <w:r w:rsidR="009E4455">
          <w:rPr>
            <w:noProof/>
            <w:webHidden/>
          </w:rPr>
          <w:fldChar w:fldCharType="end"/>
        </w:r>
      </w:hyperlink>
    </w:p>
    <w:p w:rsidR="009E4455" w:rsidRDefault="00342D61">
      <w:pPr>
        <w:pStyle w:val="TableofFigures"/>
        <w:rPr>
          <w:rFonts w:asciiTheme="minorHAnsi" w:eastAsiaTheme="minorEastAsia" w:hAnsiTheme="minorHAnsi" w:cstheme="minorBidi"/>
          <w:noProof/>
          <w:szCs w:val="22"/>
        </w:rPr>
      </w:pPr>
      <w:hyperlink w:anchor="_Toc527385233" w:history="1">
        <w:r w:rsidR="009E4455" w:rsidRPr="00F71867">
          <w:rPr>
            <w:rStyle w:val="Hyperlink"/>
            <w:noProof/>
          </w:rPr>
          <w:t>Table 6 Percentage of submitted activity episode data with matching cost data submitted, Round 19-21</w:t>
        </w:r>
        <w:r w:rsidR="009E4455">
          <w:rPr>
            <w:noProof/>
            <w:webHidden/>
          </w:rPr>
          <w:tab/>
        </w:r>
        <w:r w:rsidR="009E4455">
          <w:rPr>
            <w:noProof/>
            <w:webHidden/>
          </w:rPr>
          <w:fldChar w:fldCharType="begin"/>
        </w:r>
        <w:r w:rsidR="009E4455">
          <w:rPr>
            <w:noProof/>
            <w:webHidden/>
          </w:rPr>
          <w:instrText xml:space="preserve"> PAGEREF _Toc527385233 \h </w:instrText>
        </w:r>
        <w:r w:rsidR="009E4455">
          <w:rPr>
            <w:noProof/>
            <w:webHidden/>
          </w:rPr>
        </w:r>
        <w:r w:rsidR="009E4455">
          <w:rPr>
            <w:noProof/>
            <w:webHidden/>
          </w:rPr>
          <w:fldChar w:fldCharType="separate"/>
        </w:r>
        <w:r>
          <w:rPr>
            <w:noProof/>
            <w:webHidden/>
          </w:rPr>
          <w:t>12</w:t>
        </w:r>
        <w:r w:rsidR="009E4455">
          <w:rPr>
            <w:noProof/>
            <w:webHidden/>
          </w:rPr>
          <w:fldChar w:fldCharType="end"/>
        </w:r>
      </w:hyperlink>
    </w:p>
    <w:p w:rsidR="009E4455" w:rsidRDefault="00342D61">
      <w:pPr>
        <w:pStyle w:val="TableofFigures"/>
        <w:rPr>
          <w:rFonts w:asciiTheme="minorHAnsi" w:eastAsiaTheme="minorEastAsia" w:hAnsiTheme="minorHAnsi" w:cstheme="minorBidi"/>
          <w:noProof/>
          <w:szCs w:val="22"/>
        </w:rPr>
      </w:pPr>
      <w:hyperlink w:anchor="_Toc527385234" w:history="1">
        <w:r w:rsidR="009E4455" w:rsidRPr="00F71867">
          <w:rPr>
            <w:rStyle w:val="Hyperlink"/>
            <w:noProof/>
          </w:rPr>
          <w:t>Table 7 Total national expenditure, by activity stream, Round 20-21</w:t>
        </w:r>
        <w:r w:rsidR="009E4455">
          <w:rPr>
            <w:noProof/>
            <w:webHidden/>
          </w:rPr>
          <w:tab/>
        </w:r>
        <w:r w:rsidR="009E4455">
          <w:rPr>
            <w:noProof/>
            <w:webHidden/>
          </w:rPr>
          <w:fldChar w:fldCharType="begin"/>
        </w:r>
        <w:r w:rsidR="009E4455">
          <w:rPr>
            <w:noProof/>
            <w:webHidden/>
          </w:rPr>
          <w:instrText xml:space="preserve"> PAGEREF _Toc527385234 \h </w:instrText>
        </w:r>
        <w:r w:rsidR="009E4455">
          <w:rPr>
            <w:noProof/>
            <w:webHidden/>
          </w:rPr>
        </w:r>
        <w:r w:rsidR="009E4455">
          <w:rPr>
            <w:noProof/>
            <w:webHidden/>
          </w:rPr>
          <w:fldChar w:fldCharType="separate"/>
        </w:r>
        <w:r>
          <w:rPr>
            <w:noProof/>
            <w:webHidden/>
          </w:rPr>
          <w:t>13</w:t>
        </w:r>
        <w:r w:rsidR="009E4455">
          <w:rPr>
            <w:noProof/>
            <w:webHidden/>
          </w:rPr>
          <w:fldChar w:fldCharType="end"/>
        </w:r>
      </w:hyperlink>
    </w:p>
    <w:p w:rsidR="009E4455" w:rsidRDefault="00342D61">
      <w:pPr>
        <w:pStyle w:val="TableofFigures"/>
        <w:rPr>
          <w:rFonts w:asciiTheme="minorHAnsi" w:eastAsiaTheme="minorEastAsia" w:hAnsiTheme="minorHAnsi" w:cstheme="minorBidi"/>
          <w:noProof/>
          <w:szCs w:val="22"/>
        </w:rPr>
      </w:pPr>
      <w:hyperlink w:anchor="_Toc527385235" w:history="1">
        <w:r w:rsidR="009E4455" w:rsidRPr="00F71867">
          <w:rPr>
            <w:rStyle w:val="Hyperlink"/>
            <w:noProof/>
          </w:rPr>
          <w:t>Table 8 Total expenditure, by jurisdiction, Round 19-21</w:t>
        </w:r>
        <w:r w:rsidR="009E4455">
          <w:rPr>
            <w:noProof/>
            <w:webHidden/>
          </w:rPr>
          <w:tab/>
        </w:r>
        <w:r w:rsidR="009E4455">
          <w:rPr>
            <w:noProof/>
            <w:webHidden/>
          </w:rPr>
          <w:fldChar w:fldCharType="begin"/>
        </w:r>
        <w:r w:rsidR="009E4455">
          <w:rPr>
            <w:noProof/>
            <w:webHidden/>
          </w:rPr>
          <w:instrText xml:space="preserve"> PAGEREF _Toc527385235 \h </w:instrText>
        </w:r>
        <w:r w:rsidR="009E4455">
          <w:rPr>
            <w:noProof/>
            <w:webHidden/>
          </w:rPr>
        </w:r>
        <w:r w:rsidR="009E4455">
          <w:rPr>
            <w:noProof/>
            <w:webHidden/>
          </w:rPr>
          <w:fldChar w:fldCharType="separate"/>
        </w:r>
        <w:r>
          <w:rPr>
            <w:noProof/>
            <w:webHidden/>
          </w:rPr>
          <w:t>13</w:t>
        </w:r>
        <w:r w:rsidR="009E4455">
          <w:rPr>
            <w:noProof/>
            <w:webHidden/>
          </w:rPr>
          <w:fldChar w:fldCharType="end"/>
        </w:r>
      </w:hyperlink>
    </w:p>
    <w:p w:rsidR="009E4455" w:rsidRDefault="00342D61">
      <w:pPr>
        <w:pStyle w:val="TableofFigures"/>
        <w:rPr>
          <w:rFonts w:asciiTheme="minorHAnsi" w:eastAsiaTheme="minorEastAsia" w:hAnsiTheme="minorHAnsi" w:cstheme="minorBidi"/>
          <w:noProof/>
          <w:szCs w:val="22"/>
        </w:rPr>
      </w:pPr>
      <w:hyperlink w:anchor="_Toc527385236" w:history="1">
        <w:r w:rsidR="009E4455" w:rsidRPr="00F71867">
          <w:rPr>
            <w:rStyle w:val="Hyperlink"/>
            <w:noProof/>
          </w:rPr>
          <w:t>Table 9 Average cost per episode, by activity stream, Round 20-21</w:t>
        </w:r>
        <w:r w:rsidR="009E4455">
          <w:rPr>
            <w:noProof/>
            <w:webHidden/>
          </w:rPr>
          <w:tab/>
        </w:r>
        <w:r w:rsidR="009E4455">
          <w:rPr>
            <w:noProof/>
            <w:webHidden/>
          </w:rPr>
          <w:fldChar w:fldCharType="begin"/>
        </w:r>
        <w:r w:rsidR="009E4455">
          <w:rPr>
            <w:noProof/>
            <w:webHidden/>
          </w:rPr>
          <w:instrText xml:space="preserve"> PAGEREF _Toc527385236 \h </w:instrText>
        </w:r>
        <w:r w:rsidR="009E4455">
          <w:rPr>
            <w:noProof/>
            <w:webHidden/>
          </w:rPr>
        </w:r>
        <w:r w:rsidR="009E4455">
          <w:rPr>
            <w:noProof/>
            <w:webHidden/>
          </w:rPr>
          <w:fldChar w:fldCharType="separate"/>
        </w:r>
        <w:r>
          <w:rPr>
            <w:noProof/>
            <w:webHidden/>
          </w:rPr>
          <w:t>14</w:t>
        </w:r>
        <w:r w:rsidR="009E4455">
          <w:rPr>
            <w:noProof/>
            <w:webHidden/>
          </w:rPr>
          <w:fldChar w:fldCharType="end"/>
        </w:r>
      </w:hyperlink>
    </w:p>
    <w:p w:rsidR="009E4455" w:rsidRDefault="00342D61">
      <w:pPr>
        <w:pStyle w:val="TableofFigures"/>
        <w:rPr>
          <w:rFonts w:asciiTheme="minorHAnsi" w:eastAsiaTheme="minorEastAsia" w:hAnsiTheme="minorHAnsi" w:cstheme="minorBidi"/>
          <w:noProof/>
          <w:szCs w:val="22"/>
        </w:rPr>
      </w:pPr>
      <w:hyperlink w:anchor="_Toc527385237" w:history="1">
        <w:r w:rsidR="009E4455" w:rsidRPr="00F71867">
          <w:rPr>
            <w:rStyle w:val="Hyperlink"/>
            <w:noProof/>
          </w:rPr>
          <w:t>Table 10 National average cost per line item, by activity stream, Round 21</w:t>
        </w:r>
        <w:r w:rsidR="009E4455">
          <w:rPr>
            <w:noProof/>
            <w:webHidden/>
          </w:rPr>
          <w:tab/>
        </w:r>
        <w:r w:rsidR="009E4455">
          <w:rPr>
            <w:noProof/>
            <w:webHidden/>
          </w:rPr>
          <w:fldChar w:fldCharType="begin"/>
        </w:r>
        <w:r w:rsidR="009E4455">
          <w:rPr>
            <w:noProof/>
            <w:webHidden/>
          </w:rPr>
          <w:instrText xml:space="preserve"> PAGEREF _Toc527385237 \h </w:instrText>
        </w:r>
        <w:r w:rsidR="009E4455">
          <w:rPr>
            <w:noProof/>
            <w:webHidden/>
          </w:rPr>
        </w:r>
        <w:r w:rsidR="009E4455">
          <w:rPr>
            <w:noProof/>
            <w:webHidden/>
          </w:rPr>
          <w:fldChar w:fldCharType="separate"/>
        </w:r>
        <w:r>
          <w:rPr>
            <w:noProof/>
            <w:webHidden/>
          </w:rPr>
          <w:t>15</w:t>
        </w:r>
        <w:r w:rsidR="009E4455">
          <w:rPr>
            <w:noProof/>
            <w:webHidden/>
          </w:rPr>
          <w:fldChar w:fldCharType="end"/>
        </w:r>
      </w:hyperlink>
    </w:p>
    <w:p w:rsidR="009E4455" w:rsidRDefault="00342D61">
      <w:pPr>
        <w:pStyle w:val="TableofFigures"/>
        <w:rPr>
          <w:rFonts w:asciiTheme="minorHAnsi" w:eastAsiaTheme="minorEastAsia" w:hAnsiTheme="minorHAnsi" w:cstheme="minorBidi"/>
          <w:noProof/>
          <w:szCs w:val="22"/>
        </w:rPr>
      </w:pPr>
      <w:hyperlink w:anchor="_Toc527385238" w:history="1">
        <w:r w:rsidR="009E4455" w:rsidRPr="00F71867">
          <w:rPr>
            <w:rStyle w:val="Hyperlink"/>
            <w:noProof/>
          </w:rPr>
          <w:t>Table 11 National average cost per cost bucket, by activity stream, Round 21</w:t>
        </w:r>
        <w:r w:rsidR="009E4455">
          <w:rPr>
            <w:noProof/>
            <w:webHidden/>
          </w:rPr>
          <w:tab/>
        </w:r>
        <w:r w:rsidR="009E4455">
          <w:rPr>
            <w:noProof/>
            <w:webHidden/>
          </w:rPr>
          <w:fldChar w:fldCharType="begin"/>
        </w:r>
        <w:r w:rsidR="009E4455">
          <w:rPr>
            <w:noProof/>
            <w:webHidden/>
          </w:rPr>
          <w:instrText xml:space="preserve"> PAGEREF _Toc527385238 \h </w:instrText>
        </w:r>
        <w:r w:rsidR="009E4455">
          <w:rPr>
            <w:noProof/>
            <w:webHidden/>
          </w:rPr>
        </w:r>
        <w:r w:rsidR="009E4455">
          <w:rPr>
            <w:noProof/>
            <w:webHidden/>
          </w:rPr>
          <w:fldChar w:fldCharType="separate"/>
        </w:r>
        <w:r>
          <w:rPr>
            <w:noProof/>
            <w:webHidden/>
          </w:rPr>
          <w:t>16</w:t>
        </w:r>
        <w:r w:rsidR="009E4455">
          <w:rPr>
            <w:noProof/>
            <w:webHidden/>
          </w:rPr>
          <w:fldChar w:fldCharType="end"/>
        </w:r>
      </w:hyperlink>
    </w:p>
    <w:p w:rsidR="009E4455" w:rsidRDefault="00342D61">
      <w:pPr>
        <w:pStyle w:val="TableofFigures"/>
        <w:rPr>
          <w:rFonts w:asciiTheme="minorHAnsi" w:eastAsiaTheme="minorEastAsia" w:hAnsiTheme="minorHAnsi" w:cstheme="minorBidi"/>
          <w:noProof/>
          <w:szCs w:val="22"/>
        </w:rPr>
      </w:pPr>
      <w:hyperlink w:anchor="_Toc527385239" w:history="1">
        <w:r w:rsidR="009E4455" w:rsidRPr="00F71867">
          <w:rPr>
            <w:rStyle w:val="Hyperlink"/>
            <w:noProof/>
          </w:rPr>
          <w:t>Table 12 Average cost per weighted separation (admitted acute care), by jurisdiction, Round 21</w:t>
        </w:r>
        <w:r w:rsidR="009E4455">
          <w:rPr>
            <w:noProof/>
            <w:webHidden/>
          </w:rPr>
          <w:tab/>
        </w:r>
        <w:r w:rsidR="009E4455">
          <w:rPr>
            <w:noProof/>
            <w:webHidden/>
          </w:rPr>
          <w:fldChar w:fldCharType="begin"/>
        </w:r>
        <w:r w:rsidR="009E4455">
          <w:rPr>
            <w:noProof/>
            <w:webHidden/>
          </w:rPr>
          <w:instrText xml:space="preserve"> PAGEREF _Toc527385239 \h </w:instrText>
        </w:r>
        <w:r w:rsidR="009E4455">
          <w:rPr>
            <w:noProof/>
            <w:webHidden/>
          </w:rPr>
        </w:r>
        <w:r w:rsidR="009E4455">
          <w:rPr>
            <w:noProof/>
            <w:webHidden/>
          </w:rPr>
          <w:fldChar w:fldCharType="separate"/>
        </w:r>
        <w:r>
          <w:rPr>
            <w:noProof/>
            <w:webHidden/>
          </w:rPr>
          <w:t>17</w:t>
        </w:r>
        <w:r w:rsidR="009E4455">
          <w:rPr>
            <w:noProof/>
            <w:webHidden/>
          </w:rPr>
          <w:fldChar w:fldCharType="end"/>
        </w:r>
      </w:hyperlink>
    </w:p>
    <w:p w:rsidR="009E4455" w:rsidRDefault="00342D61">
      <w:pPr>
        <w:pStyle w:val="TableofFigures"/>
        <w:rPr>
          <w:rFonts w:asciiTheme="minorHAnsi" w:eastAsiaTheme="minorEastAsia" w:hAnsiTheme="minorHAnsi" w:cstheme="minorBidi"/>
          <w:noProof/>
          <w:szCs w:val="22"/>
        </w:rPr>
      </w:pPr>
      <w:hyperlink w:anchor="_Toc527385240" w:history="1">
        <w:r w:rsidR="009E4455" w:rsidRPr="009E4455">
          <w:rPr>
            <w:rStyle w:val="Hyperlink"/>
            <w:noProof/>
          </w:rPr>
          <w:t xml:space="preserve">Table 13 </w:t>
        </w:r>
        <w:r w:rsidR="009E4455" w:rsidRPr="009E4455">
          <w:rPr>
            <w:rStyle w:val="Hyperlink"/>
            <w:rFonts w:cs="Arial"/>
            <w:noProof/>
          </w:rPr>
          <w:t>Average cost per admitted acute separation, excluding ED cost bucket, by jurisdiction, Round 21</w:t>
        </w:r>
        <w:r w:rsidR="009E4455">
          <w:rPr>
            <w:noProof/>
            <w:webHidden/>
          </w:rPr>
          <w:tab/>
        </w:r>
        <w:r w:rsidR="009E4455">
          <w:rPr>
            <w:noProof/>
            <w:webHidden/>
          </w:rPr>
          <w:fldChar w:fldCharType="begin"/>
        </w:r>
        <w:r w:rsidR="009E4455">
          <w:rPr>
            <w:noProof/>
            <w:webHidden/>
          </w:rPr>
          <w:instrText xml:space="preserve"> PAGEREF _Toc527385240 \h </w:instrText>
        </w:r>
        <w:r w:rsidR="009E4455">
          <w:rPr>
            <w:noProof/>
            <w:webHidden/>
          </w:rPr>
        </w:r>
        <w:r w:rsidR="009E4455">
          <w:rPr>
            <w:noProof/>
            <w:webHidden/>
          </w:rPr>
          <w:fldChar w:fldCharType="separate"/>
        </w:r>
        <w:r>
          <w:rPr>
            <w:noProof/>
            <w:webHidden/>
          </w:rPr>
          <w:t>18</w:t>
        </w:r>
        <w:r w:rsidR="009E4455">
          <w:rPr>
            <w:noProof/>
            <w:webHidden/>
          </w:rPr>
          <w:fldChar w:fldCharType="end"/>
        </w:r>
      </w:hyperlink>
    </w:p>
    <w:p w:rsidR="009E4455" w:rsidRDefault="00342D61">
      <w:pPr>
        <w:pStyle w:val="TableofFigures"/>
        <w:rPr>
          <w:rFonts w:asciiTheme="minorHAnsi" w:eastAsiaTheme="minorEastAsia" w:hAnsiTheme="minorHAnsi" w:cstheme="minorBidi"/>
          <w:noProof/>
          <w:szCs w:val="22"/>
        </w:rPr>
      </w:pPr>
      <w:hyperlink w:anchor="_Toc527385241" w:history="1">
        <w:r w:rsidR="009E4455" w:rsidRPr="00F71867">
          <w:rPr>
            <w:rStyle w:val="Hyperlink"/>
            <w:noProof/>
          </w:rPr>
          <w:t>Table 14 AMHCC phase level cost data reported to NHCDC, by jurisdiction, Round 21</w:t>
        </w:r>
        <w:r w:rsidR="009E4455">
          <w:rPr>
            <w:noProof/>
            <w:webHidden/>
          </w:rPr>
          <w:tab/>
        </w:r>
        <w:r w:rsidR="009E4455">
          <w:rPr>
            <w:noProof/>
            <w:webHidden/>
          </w:rPr>
          <w:fldChar w:fldCharType="begin"/>
        </w:r>
        <w:r w:rsidR="009E4455">
          <w:rPr>
            <w:noProof/>
            <w:webHidden/>
          </w:rPr>
          <w:instrText xml:space="preserve"> PAGEREF _Toc527385241 \h </w:instrText>
        </w:r>
        <w:r w:rsidR="009E4455">
          <w:rPr>
            <w:noProof/>
            <w:webHidden/>
          </w:rPr>
        </w:r>
        <w:r w:rsidR="009E4455">
          <w:rPr>
            <w:noProof/>
            <w:webHidden/>
          </w:rPr>
          <w:fldChar w:fldCharType="separate"/>
        </w:r>
        <w:r>
          <w:rPr>
            <w:noProof/>
            <w:webHidden/>
          </w:rPr>
          <w:t>20</w:t>
        </w:r>
        <w:r w:rsidR="009E4455">
          <w:rPr>
            <w:noProof/>
            <w:webHidden/>
          </w:rPr>
          <w:fldChar w:fldCharType="end"/>
        </w:r>
      </w:hyperlink>
    </w:p>
    <w:p w:rsidR="00AE3B41" w:rsidRDefault="00CA68BA" w:rsidP="002A3926">
      <w:pPr>
        <w:ind w:left="720"/>
      </w:pPr>
      <w:r>
        <w:fldChar w:fldCharType="end"/>
      </w:r>
    </w:p>
    <w:p w:rsidR="002E68CC" w:rsidRDefault="001B7DDF" w:rsidP="003B4C44">
      <w:pPr>
        <w:pStyle w:val="TOCHeading"/>
        <w:rPr>
          <w:noProof/>
        </w:rPr>
      </w:pPr>
      <w:r>
        <w:t>Figures</w:t>
      </w:r>
      <w:r w:rsidR="00CA68BA">
        <w:fldChar w:fldCharType="begin"/>
      </w:r>
      <w:r w:rsidR="00CA68BA">
        <w:instrText xml:space="preserve"> TOC \h \z \c "Figure" </w:instrText>
      </w:r>
      <w:r w:rsidR="00CA68BA">
        <w:fldChar w:fldCharType="separate"/>
      </w:r>
    </w:p>
    <w:p w:rsidR="002E68CC" w:rsidRDefault="00342D61">
      <w:pPr>
        <w:pStyle w:val="TableofFigures"/>
        <w:rPr>
          <w:rFonts w:asciiTheme="minorHAnsi" w:eastAsiaTheme="minorEastAsia" w:hAnsiTheme="minorHAnsi" w:cstheme="minorBidi"/>
          <w:noProof/>
          <w:szCs w:val="22"/>
        </w:rPr>
      </w:pPr>
      <w:hyperlink w:anchor="_Toc524359557" w:history="1">
        <w:r w:rsidR="002E68CC" w:rsidRPr="006B16BC">
          <w:rPr>
            <w:rStyle w:val="Hyperlink"/>
            <w:noProof/>
          </w:rPr>
          <w:t xml:space="preserve">Figure 1 </w:t>
        </w:r>
        <w:r w:rsidR="002E68CC" w:rsidRPr="006B16BC">
          <w:rPr>
            <w:rStyle w:val="Hyperlink"/>
            <w:rFonts w:cs="Arial"/>
            <w:noProof/>
          </w:rPr>
          <w:t>Admitted acute average length of stay of all separations and all overnight separations, by jurisdiction</w:t>
        </w:r>
        <w:r w:rsidR="002E68CC">
          <w:rPr>
            <w:noProof/>
            <w:webHidden/>
          </w:rPr>
          <w:tab/>
        </w:r>
        <w:r w:rsidR="002E68CC">
          <w:rPr>
            <w:noProof/>
            <w:webHidden/>
          </w:rPr>
          <w:fldChar w:fldCharType="begin"/>
        </w:r>
        <w:r w:rsidR="002E68CC">
          <w:rPr>
            <w:noProof/>
            <w:webHidden/>
          </w:rPr>
          <w:instrText xml:space="preserve"> PAGEREF _Toc524359557 \h </w:instrText>
        </w:r>
        <w:r w:rsidR="002E68CC">
          <w:rPr>
            <w:noProof/>
            <w:webHidden/>
          </w:rPr>
        </w:r>
        <w:r w:rsidR="002E68CC">
          <w:rPr>
            <w:noProof/>
            <w:webHidden/>
          </w:rPr>
          <w:fldChar w:fldCharType="separate"/>
        </w:r>
        <w:r>
          <w:rPr>
            <w:noProof/>
            <w:webHidden/>
          </w:rPr>
          <w:t>19</w:t>
        </w:r>
        <w:r w:rsidR="002E68CC">
          <w:rPr>
            <w:noProof/>
            <w:webHidden/>
          </w:rPr>
          <w:fldChar w:fldCharType="end"/>
        </w:r>
      </w:hyperlink>
    </w:p>
    <w:p w:rsidR="009A6AD6" w:rsidRPr="00F6732A" w:rsidRDefault="00CA68BA" w:rsidP="005F5157">
      <w:r>
        <w:fldChar w:fldCharType="end"/>
      </w:r>
    </w:p>
    <w:p w:rsidR="00417163" w:rsidRDefault="00417163">
      <w:pPr>
        <w:spacing w:before="0" w:after="0" w:line="240" w:lineRule="auto"/>
        <w:rPr>
          <w:rFonts w:ascii="Arial Bold" w:hAnsi="Arial Bold"/>
          <w:b/>
          <w:sz w:val="40"/>
          <w:szCs w:val="44"/>
        </w:rPr>
      </w:pPr>
      <w:bookmarkStart w:id="2" w:name="_Toc524173846"/>
      <w:r>
        <w:br w:type="page"/>
      </w:r>
    </w:p>
    <w:p w:rsidR="002371BB" w:rsidRPr="00B90BCB" w:rsidRDefault="002371BB" w:rsidP="003B4C44">
      <w:pPr>
        <w:pStyle w:val="Heading1"/>
      </w:pPr>
      <w:bookmarkStart w:id="3" w:name="_Toc530055075"/>
      <w:r w:rsidRPr="00B90BCB">
        <w:lastRenderedPageBreak/>
        <w:t xml:space="preserve">Purpose of </w:t>
      </w:r>
      <w:r w:rsidR="007C25B6">
        <w:t xml:space="preserve">the </w:t>
      </w:r>
      <w:r w:rsidR="005A3868">
        <w:t>NHCDC</w:t>
      </w:r>
      <w:r w:rsidRPr="00B90BCB">
        <w:t xml:space="preserve"> Report</w:t>
      </w:r>
      <w:bookmarkEnd w:id="2"/>
      <w:bookmarkEnd w:id="3"/>
    </w:p>
    <w:p w:rsidR="00C72F5E" w:rsidRPr="00056DB3" w:rsidRDefault="005A3868" w:rsidP="00C72F5E">
      <w:pPr>
        <w:rPr>
          <w:rFonts w:cs="Arial"/>
        </w:rPr>
      </w:pPr>
      <w:r>
        <w:rPr>
          <w:rFonts w:cs="Arial"/>
        </w:rPr>
        <w:t>The purpose of this r</w:t>
      </w:r>
      <w:r w:rsidR="00C72F5E" w:rsidRPr="00056DB3">
        <w:rPr>
          <w:rFonts w:cs="Arial"/>
        </w:rPr>
        <w:t>eport is to provide a</w:t>
      </w:r>
      <w:r w:rsidR="00C72F5E">
        <w:rPr>
          <w:rFonts w:cs="Arial"/>
        </w:rPr>
        <w:t xml:space="preserve">n </w:t>
      </w:r>
      <w:r w:rsidR="00C72F5E" w:rsidRPr="00056DB3">
        <w:rPr>
          <w:rFonts w:cs="Arial"/>
        </w:rPr>
        <w:t>overview of the results from the Round 21 National Hospital Cost Data Collection (NHCDC)</w:t>
      </w:r>
      <w:r w:rsidR="009552F1">
        <w:rPr>
          <w:rFonts w:cs="Arial"/>
        </w:rPr>
        <w:t xml:space="preserve">. The report </w:t>
      </w:r>
      <w:r w:rsidR="00C72F5E">
        <w:rPr>
          <w:rFonts w:cs="Arial"/>
        </w:rPr>
        <w:t>gives a</w:t>
      </w:r>
      <w:r w:rsidR="00C72F5E" w:rsidRPr="00056DB3">
        <w:rPr>
          <w:rFonts w:cs="Arial"/>
        </w:rPr>
        <w:t xml:space="preserve"> </w:t>
      </w:r>
      <w:r w:rsidR="00C72F5E">
        <w:rPr>
          <w:rFonts w:cs="Arial"/>
        </w:rPr>
        <w:t>clear picture of hospital</w:t>
      </w:r>
      <w:r w:rsidR="00C72F5E" w:rsidRPr="00056DB3">
        <w:rPr>
          <w:rFonts w:cs="Arial"/>
        </w:rPr>
        <w:t xml:space="preserve"> cost data submitted</w:t>
      </w:r>
      <w:r w:rsidR="00C72F5E">
        <w:rPr>
          <w:rFonts w:cs="Arial"/>
        </w:rPr>
        <w:t xml:space="preserve"> by jurisdictions to the Independent Hospital Pricing Authority (IHPA) </w:t>
      </w:r>
      <w:r w:rsidR="009552F1">
        <w:rPr>
          <w:rFonts w:cs="Arial"/>
        </w:rPr>
        <w:t xml:space="preserve">for </w:t>
      </w:r>
      <w:r w:rsidR="00C72F5E">
        <w:rPr>
          <w:rFonts w:cs="Arial"/>
        </w:rPr>
        <w:t>the Financial Year 2016-17</w:t>
      </w:r>
      <w:r w:rsidR="00C72F5E" w:rsidRPr="00056DB3">
        <w:rPr>
          <w:rFonts w:cs="Arial"/>
        </w:rPr>
        <w:t>.</w:t>
      </w:r>
    </w:p>
    <w:p w:rsidR="00C72F5E" w:rsidRPr="00056DB3" w:rsidRDefault="00C72F5E" w:rsidP="00C72F5E">
      <w:pPr>
        <w:rPr>
          <w:rFonts w:cs="Arial"/>
        </w:rPr>
      </w:pPr>
      <w:r w:rsidRPr="00056DB3">
        <w:rPr>
          <w:rFonts w:cs="Arial"/>
        </w:rPr>
        <w:t>The NHCDC is the cornerstone of IHPA’s work</w:t>
      </w:r>
      <w:r w:rsidR="009552F1">
        <w:rPr>
          <w:rFonts w:cs="Arial"/>
        </w:rPr>
        <w:t xml:space="preserve">. </w:t>
      </w:r>
      <w:r w:rsidRPr="00056DB3">
        <w:rPr>
          <w:rFonts w:cs="Arial"/>
        </w:rPr>
        <w:t>The collection, which is undertaken annually, captures detailed information about the types of services</w:t>
      </w:r>
      <w:r>
        <w:rPr>
          <w:rFonts w:cs="Arial"/>
        </w:rPr>
        <w:t xml:space="preserve"> </w:t>
      </w:r>
      <w:r w:rsidRPr="00056DB3">
        <w:rPr>
          <w:rFonts w:cs="Arial"/>
        </w:rPr>
        <w:t xml:space="preserve">provided to </w:t>
      </w:r>
      <w:r>
        <w:rPr>
          <w:rFonts w:cs="Arial"/>
        </w:rPr>
        <w:t xml:space="preserve">hospital </w:t>
      </w:r>
      <w:r w:rsidRPr="00056DB3">
        <w:rPr>
          <w:rFonts w:cs="Arial"/>
        </w:rPr>
        <w:t xml:space="preserve">patients and the associated costs borne by the hospital. The cost information it captures is </w:t>
      </w:r>
      <w:r>
        <w:rPr>
          <w:rFonts w:cs="Arial"/>
        </w:rPr>
        <w:t xml:space="preserve">the key source of information about costs of treating patients in Australian hospitals and is </w:t>
      </w:r>
      <w:r w:rsidRPr="00056DB3">
        <w:rPr>
          <w:rFonts w:cs="Arial"/>
        </w:rPr>
        <w:t xml:space="preserve">the main </w:t>
      </w:r>
      <w:r>
        <w:rPr>
          <w:rFonts w:cs="Arial"/>
        </w:rPr>
        <w:t>input</w:t>
      </w:r>
      <w:r w:rsidRPr="00056DB3">
        <w:rPr>
          <w:rFonts w:cs="Arial"/>
        </w:rPr>
        <w:t xml:space="preserve"> </w:t>
      </w:r>
      <w:r>
        <w:rPr>
          <w:rFonts w:cs="Arial"/>
        </w:rPr>
        <w:t xml:space="preserve">in IHPA’s determination </w:t>
      </w:r>
      <w:r w:rsidRPr="00056DB3">
        <w:rPr>
          <w:rFonts w:cs="Arial"/>
        </w:rPr>
        <w:t>of</w:t>
      </w:r>
      <w:r>
        <w:rPr>
          <w:rFonts w:cs="Arial"/>
        </w:rPr>
        <w:t xml:space="preserve"> the levels of</w:t>
      </w:r>
      <w:r w:rsidRPr="00056DB3">
        <w:rPr>
          <w:rFonts w:cs="Arial"/>
        </w:rPr>
        <w:t xml:space="preserve"> Commonwealth funding for public hospital</w:t>
      </w:r>
      <w:r>
        <w:rPr>
          <w:rFonts w:cs="Arial"/>
        </w:rPr>
        <w:t xml:space="preserve"> </w:t>
      </w:r>
      <w:r w:rsidRPr="00056DB3">
        <w:rPr>
          <w:rFonts w:cs="Arial"/>
        </w:rPr>
        <w:t>s</w:t>
      </w:r>
      <w:r>
        <w:rPr>
          <w:rFonts w:cs="Arial"/>
        </w:rPr>
        <w:t>ervices in Australia</w:t>
      </w:r>
      <w:r w:rsidR="009552F1">
        <w:rPr>
          <w:rFonts w:cs="Arial"/>
        </w:rPr>
        <w:t xml:space="preserve">. </w:t>
      </w:r>
      <w:r w:rsidRPr="00056DB3">
        <w:rPr>
          <w:rFonts w:cs="Arial"/>
        </w:rPr>
        <w:t xml:space="preserve">IHPA will use the data </w:t>
      </w:r>
      <w:r>
        <w:rPr>
          <w:rFonts w:cs="Arial"/>
        </w:rPr>
        <w:t>from Round 21 N</w:t>
      </w:r>
      <w:r w:rsidR="009552F1">
        <w:rPr>
          <w:rFonts w:cs="Arial"/>
        </w:rPr>
        <w:t>H</w:t>
      </w:r>
      <w:r>
        <w:rPr>
          <w:rFonts w:cs="Arial"/>
        </w:rPr>
        <w:t xml:space="preserve">HDC </w:t>
      </w:r>
      <w:r w:rsidRPr="00056DB3">
        <w:rPr>
          <w:rFonts w:cs="Arial"/>
        </w:rPr>
        <w:t xml:space="preserve">to </w:t>
      </w:r>
      <w:r>
        <w:rPr>
          <w:rFonts w:cs="Arial"/>
        </w:rPr>
        <w:t>inform</w:t>
      </w:r>
      <w:r w:rsidRPr="00056DB3">
        <w:rPr>
          <w:rFonts w:cs="Arial"/>
        </w:rPr>
        <w:t xml:space="preserve"> </w:t>
      </w:r>
      <w:r>
        <w:rPr>
          <w:rFonts w:cs="Arial"/>
        </w:rPr>
        <w:t xml:space="preserve">hospital </w:t>
      </w:r>
      <w:r w:rsidRPr="00056DB3">
        <w:rPr>
          <w:rFonts w:cs="Arial"/>
        </w:rPr>
        <w:t>funding for the period 201</w:t>
      </w:r>
      <w:r w:rsidR="009552F1">
        <w:rPr>
          <w:rFonts w:cs="Arial"/>
        </w:rPr>
        <w:t>9</w:t>
      </w:r>
      <w:r w:rsidRPr="00056DB3">
        <w:rPr>
          <w:rFonts w:cs="Arial"/>
        </w:rPr>
        <w:t>-</w:t>
      </w:r>
      <w:r w:rsidR="009552F1">
        <w:rPr>
          <w:rFonts w:cs="Arial"/>
        </w:rPr>
        <w:t>20</w:t>
      </w:r>
      <w:r w:rsidRPr="00056DB3">
        <w:rPr>
          <w:rFonts w:cs="Arial"/>
        </w:rPr>
        <w:t>.</w:t>
      </w:r>
    </w:p>
    <w:p w:rsidR="00C72F5E" w:rsidRDefault="00C72F5E" w:rsidP="00C72F5E">
      <w:pPr>
        <w:rPr>
          <w:rFonts w:cs="Arial"/>
        </w:rPr>
      </w:pPr>
      <w:r w:rsidRPr="00056DB3">
        <w:rPr>
          <w:rFonts w:cs="Arial"/>
        </w:rPr>
        <w:t xml:space="preserve">After each round of the NHCDC, IHPA publishes the </w:t>
      </w:r>
      <w:r w:rsidR="005A3868">
        <w:rPr>
          <w:rFonts w:cs="Arial"/>
        </w:rPr>
        <w:t>NHCDC</w:t>
      </w:r>
      <w:r w:rsidRPr="00056DB3">
        <w:rPr>
          <w:rFonts w:cs="Arial"/>
        </w:rPr>
        <w:t xml:space="preserve"> Report.</w:t>
      </w:r>
      <w:r w:rsidR="009552F1">
        <w:rPr>
          <w:rFonts w:cs="Arial"/>
        </w:rPr>
        <w:t xml:space="preserve"> </w:t>
      </w:r>
      <w:r w:rsidR="009552F1">
        <w:t>The report allows benchmarking across hospitals and jurisdictions and</w:t>
      </w:r>
      <w:r w:rsidR="003B4C44">
        <w:t>,</w:t>
      </w:r>
      <w:r w:rsidR="009552F1">
        <w:t xml:space="preserve"> through reporting multiple years of cost data</w:t>
      </w:r>
      <w:r w:rsidR="003B4C44">
        <w:t>,</w:t>
      </w:r>
      <w:r w:rsidR="009552F1">
        <w:t xml:space="preserve"> identifies change over time.</w:t>
      </w:r>
    </w:p>
    <w:p w:rsidR="00C72F5E" w:rsidRPr="00056DB3" w:rsidRDefault="00C72F5E" w:rsidP="00C72F5E">
      <w:pPr>
        <w:rPr>
          <w:rFonts w:cs="Arial"/>
        </w:rPr>
      </w:pPr>
      <w:r>
        <w:rPr>
          <w:rFonts w:cs="Arial"/>
        </w:rPr>
        <w:t xml:space="preserve">Specifically, the </w:t>
      </w:r>
      <w:r w:rsidR="005A3868">
        <w:rPr>
          <w:rFonts w:cs="Arial"/>
        </w:rPr>
        <w:t>NHCDC</w:t>
      </w:r>
      <w:r>
        <w:rPr>
          <w:rFonts w:cs="Arial"/>
        </w:rPr>
        <w:t xml:space="preserve"> Report</w:t>
      </w:r>
      <w:r w:rsidRPr="00056DB3">
        <w:rPr>
          <w:rFonts w:cs="Arial"/>
        </w:rPr>
        <w:t xml:space="preserve"> answer</w:t>
      </w:r>
      <w:r>
        <w:rPr>
          <w:rFonts w:cs="Arial"/>
        </w:rPr>
        <w:t xml:space="preserve">s </w:t>
      </w:r>
      <w:r w:rsidRPr="00056DB3">
        <w:rPr>
          <w:rFonts w:cs="Arial"/>
        </w:rPr>
        <w:t>the following questions:</w:t>
      </w:r>
    </w:p>
    <w:p w:rsidR="00C72F5E" w:rsidRDefault="00C72F5E" w:rsidP="002A3926">
      <w:pPr>
        <w:pStyle w:val="ListParagraph"/>
        <w:numPr>
          <w:ilvl w:val="0"/>
          <w:numId w:val="12"/>
        </w:numPr>
      </w:pPr>
      <w:r>
        <w:t>What is the NHCDC?</w:t>
      </w:r>
    </w:p>
    <w:p w:rsidR="00C72F5E" w:rsidRDefault="00C72F5E" w:rsidP="002A3926">
      <w:pPr>
        <w:pStyle w:val="ListParagraph"/>
        <w:numPr>
          <w:ilvl w:val="0"/>
          <w:numId w:val="12"/>
        </w:numPr>
      </w:pPr>
      <w:r w:rsidRPr="00BA7B3F">
        <w:t xml:space="preserve">How does IHPA use the NHCDC? </w:t>
      </w:r>
    </w:p>
    <w:p w:rsidR="00C72F5E" w:rsidRDefault="00C72F5E" w:rsidP="002A3926">
      <w:pPr>
        <w:pStyle w:val="ListParagraph"/>
        <w:numPr>
          <w:ilvl w:val="0"/>
          <w:numId w:val="12"/>
        </w:numPr>
      </w:pPr>
      <w:r>
        <w:t>In Round 21:</w:t>
      </w:r>
    </w:p>
    <w:p w:rsidR="00C72F5E" w:rsidRDefault="00C72F5E" w:rsidP="002A3926">
      <w:pPr>
        <w:pStyle w:val="ListParagraph"/>
        <w:numPr>
          <w:ilvl w:val="1"/>
          <w:numId w:val="12"/>
        </w:numPr>
      </w:pPr>
      <w:r>
        <w:t>How many hospitals participated?</w:t>
      </w:r>
    </w:p>
    <w:p w:rsidR="00C72F5E" w:rsidRPr="00BA7B3F" w:rsidRDefault="00C72F5E" w:rsidP="002A3926">
      <w:pPr>
        <w:pStyle w:val="ListParagraph"/>
        <w:numPr>
          <w:ilvl w:val="1"/>
          <w:numId w:val="12"/>
        </w:numPr>
      </w:pPr>
      <w:r>
        <w:t>What was the level of hospital expenditure?</w:t>
      </w:r>
    </w:p>
    <w:p w:rsidR="00C72F5E" w:rsidRDefault="00C72F5E" w:rsidP="002A3926">
      <w:pPr>
        <w:pStyle w:val="ListParagraph"/>
        <w:numPr>
          <w:ilvl w:val="1"/>
          <w:numId w:val="12"/>
        </w:numPr>
      </w:pPr>
      <w:r>
        <w:t>How much cost data was provided (i.e. costed activity)?</w:t>
      </w:r>
    </w:p>
    <w:p w:rsidR="00C72F5E" w:rsidRDefault="00C72F5E" w:rsidP="002A3926">
      <w:pPr>
        <w:pStyle w:val="ListParagraph"/>
        <w:numPr>
          <w:ilvl w:val="1"/>
          <w:numId w:val="12"/>
        </w:numPr>
      </w:pPr>
      <w:r>
        <w:t>What was the average cost of hospital patient episodes?</w:t>
      </w:r>
    </w:p>
    <w:p w:rsidR="00C72F5E" w:rsidRDefault="00C72F5E" w:rsidP="002A3926">
      <w:pPr>
        <w:pStyle w:val="ListParagraph"/>
        <w:numPr>
          <w:ilvl w:val="1"/>
          <w:numId w:val="12"/>
        </w:numPr>
      </w:pPr>
      <w:r>
        <w:t>What was the average cost of patient episodes across the different hospital activity streams?</w:t>
      </w:r>
    </w:p>
    <w:p w:rsidR="007620BE" w:rsidRPr="007F44CC" w:rsidRDefault="007620BE" w:rsidP="007F44CC">
      <w:pPr>
        <w:pStyle w:val="Caption"/>
        <w:rPr>
          <w:b w:val="0"/>
        </w:rPr>
      </w:pPr>
      <w:r w:rsidRPr="007F44CC">
        <w:rPr>
          <w:b w:val="0"/>
        </w:rPr>
        <w:t>All data presented in th</w:t>
      </w:r>
      <w:r w:rsidR="00BB7BE2" w:rsidRPr="007F44CC">
        <w:rPr>
          <w:b w:val="0"/>
        </w:rPr>
        <w:t xml:space="preserve">e </w:t>
      </w:r>
      <w:r w:rsidR="005A3868">
        <w:rPr>
          <w:b w:val="0"/>
        </w:rPr>
        <w:t>NHCDC</w:t>
      </w:r>
      <w:r w:rsidR="00BB7BE2" w:rsidRPr="007F44CC">
        <w:rPr>
          <w:b w:val="0"/>
        </w:rPr>
        <w:t xml:space="preserve"> Re</w:t>
      </w:r>
      <w:r w:rsidRPr="007F44CC">
        <w:rPr>
          <w:b w:val="0"/>
        </w:rPr>
        <w:t xml:space="preserve">port are included in the appendix tables. </w:t>
      </w:r>
      <w:r w:rsidR="00BB7BE2" w:rsidRPr="007F44CC">
        <w:rPr>
          <w:b w:val="0"/>
        </w:rPr>
        <w:t>The complete li</w:t>
      </w:r>
      <w:r w:rsidR="007A5C31" w:rsidRPr="007F44CC">
        <w:rPr>
          <w:b w:val="0"/>
        </w:rPr>
        <w:t xml:space="preserve">st of tables included in this report is shown in </w:t>
      </w:r>
      <w:r w:rsidR="007F44CC" w:rsidRPr="007F44CC">
        <w:rPr>
          <w:b w:val="0"/>
        </w:rPr>
        <w:t>Table 1</w:t>
      </w:r>
      <w:r w:rsidR="00BB7BE2" w:rsidRPr="007F44CC">
        <w:rPr>
          <w:b w:val="0"/>
        </w:rPr>
        <w:t xml:space="preserve">. </w:t>
      </w:r>
    </w:p>
    <w:bookmarkStart w:id="4" w:name="_Ref527368587"/>
    <w:p w:rsidR="00174E91" w:rsidRDefault="00FA406F" w:rsidP="007F44CC">
      <w:pPr>
        <w:pStyle w:val="Caption"/>
      </w:pPr>
      <w:r>
        <w:rPr>
          <w:noProof/>
        </w:rPr>
        <mc:AlternateContent>
          <mc:Choice Requires="wps">
            <w:drawing>
              <wp:anchor distT="0" distB="0" distL="114300" distR="114300" simplePos="0" relativeHeight="251680768" behindDoc="0" locked="0" layoutInCell="1" allowOverlap="1" wp14:anchorId="06FE0882" wp14:editId="5A991401">
                <wp:simplePos x="0" y="0"/>
                <wp:positionH relativeFrom="column">
                  <wp:posOffset>52309</wp:posOffset>
                </wp:positionH>
                <wp:positionV relativeFrom="paragraph">
                  <wp:posOffset>117021</wp:posOffset>
                </wp:positionV>
                <wp:extent cx="5773479" cy="1662546"/>
                <wp:effectExtent l="0" t="0" r="17780" b="1397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3479" cy="1662546"/>
                        </a:xfrm>
                        <a:prstGeom prst="rect">
                          <a:avLst/>
                        </a:prstGeom>
                        <a:solidFill>
                          <a:srgbClr val="FFFFFF"/>
                        </a:solidFill>
                        <a:ln w="9525">
                          <a:solidFill>
                            <a:srgbClr val="000000"/>
                          </a:solidFill>
                          <a:miter lim="800000"/>
                          <a:headEnd/>
                          <a:tailEnd/>
                        </a:ln>
                      </wps:spPr>
                      <wps:txbx>
                        <w:txbxContent>
                          <w:p w:rsidR="007E6D44" w:rsidRPr="00FA406F" w:rsidRDefault="007E6D44">
                            <w:pPr>
                              <w:rPr>
                                <w:b/>
                              </w:rPr>
                            </w:pPr>
                            <w:r w:rsidRPr="00FA406F">
                              <w:rPr>
                                <w:b/>
                              </w:rPr>
                              <w:t>Note to readers</w:t>
                            </w:r>
                          </w:p>
                          <w:p w:rsidR="007E6D44" w:rsidRDefault="007E6D44">
                            <w:r>
                              <w:t xml:space="preserve">The scope of the NHCDC Report includes costs related to public hospital activities.  Due to differing methodologies and data sources used, the costs reported here may differ from cost data published by other organisations. Such differences apply to data presented in the following Australian Institute of Health and Welfare (AIHW) report series: </w:t>
                            </w:r>
                            <w:r w:rsidRPr="009D61F8">
                              <w:rPr>
                                <w:i/>
                              </w:rPr>
                              <w:t xml:space="preserve">Health </w:t>
                            </w:r>
                            <w:r>
                              <w:rPr>
                                <w:i/>
                              </w:rPr>
                              <w:t>expenditure Australia</w:t>
                            </w:r>
                            <w:r>
                              <w:t xml:space="preserve">; </w:t>
                            </w:r>
                            <w:r>
                              <w:rPr>
                                <w:i/>
                              </w:rPr>
                              <w:t xml:space="preserve">Costs of acute admitted patients in public hospitals; </w:t>
                            </w:r>
                            <w:r>
                              <w:t xml:space="preserve">and </w:t>
                            </w:r>
                            <w:r>
                              <w:rPr>
                                <w:i/>
                              </w:rPr>
                              <w:t>Australian hospital statistics</w:t>
                            </w:r>
                            <w:r>
                              <w:t>. The reader is advised to take care when comparing these data.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4.1pt;margin-top:9.2pt;width:454.6pt;height:130.9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">
                <v:textbox>
                  <w:txbxContent>
                    <w:p w:rsidR="007E6D44" w:rsidRPr="00FA406F" w:rsidRDefault="007E6D44">
                      <w:pPr>
                        <w:rPr>
                          <w:b/>
                        </w:rPr>
                      </w:pPr>
                      <w:r w:rsidRPr="00FA406F">
                        <w:rPr>
                          <w:b/>
                        </w:rPr>
                        <w:t>Note to readers</w:t>
                      </w:r>
                    </w:p>
                    <w:p w:rsidR="007E6D44" w:rsidRDefault="007E6D44">
                      <w:r>
                        <w:t xml:space="preserve">The scope of the NHCDC Report includes costs related to public hospital activities.  Due to differing methodologies and data sources used, the costs reported here may differ from cost data published by other organisations. Such differences apply to data presented in the following Australian Institute of Health and Welfare (AIHW) report series: </w:t>
                      </w:r>
                      <w:r w:rsidRPr="009D61F8">
                        <w:rPr>
                          <w:i/>
                        </w:rPr>
                        <w:t xml:space="preserve">Health </w:t>
                      </w:r>
                      <w:r>
                        <w:rPr>
                          <w:i/>
                        </w:rPr>
                        <w:t>expenditure Australia</w:t>
                      </w:r>
                      <w:r>
                        <w:t xml:space="preserve">; </w:t>
                      </w:r>
                      <w:r>
                        <w:rPr>
                          <w:i/>
                        </w:rPr>
                        <w:t xml:space="preserve">Costs of acute admitted patients in public hospitals; </w:t>
                      </w:r>
                      <w:r>
                        <w:t xml:space="preserve">and </w:t>
                      </w:r>
                      <w:r>
                        <w:rPr>
                          <w:i/>
                        </w:rPr>
                        <w:t>Australian hospital statistics</w:t>
                      </w:r>
                      <w:r>
                        <w:t>. The reader is advised to take care when comparing these data.</w:t>
                      </w:r>
                    </w:p>
                  </w:txbxContent>
                </v:textbox>
              </v:shape>
            </w:pict>
          </mc:Fallback>
        </mc:AlternateContent>
      </w:r>
    </w:p>
    <w:p w:rsidR="00174E91" w:rsidRDefault="00174E91">
      <w:pPr>
        <w:spacing w:before="0" w:after="0" w:line="240" w:lineRule="auto"/>
      </w:pPr>
      <w:r>
        <w:br w:type="page"/>
      </w:r>
    </w:p>
    <w:p w:rsidR="0018525C" w:rsidRPr="007F44CC" w:rsidRDefault="009C47B3" w:rsidP="007F44CC">
      <w:pPr>
        <w:pStyle w:val="Caption"/>
      </w:pPr>
      <w:bookmarkStart w:id="5" w:name="_Toc527385228"/>
      <w:r w:rsidRPr="007F44CC">
        <w:lastRenderedPageBreak/>
        <w:t xml:space="preserve">Table </w:t>
      </w:r>
      <w:r w:rsidR="00342D61">
        <w:fldChar w:fldCharType="begin"/>
      </w:r>
      <w:r w:rsidR="00342D61">
        <w:instrText xml:space="preserve"> SEQ Table \* ARABIC </w:instrText>
      </w:r>
      <w:r w:rsidR="00342D61">
        <w:fldChar w:fldCharType="separate"/>
      </w:r>
      <w:r w:rsidR="00342D61">
        <w:rPr>
          <w:noProof/>
        </w:rPr>
        <w:t>1</w:t>
      </w:r>
      <w:r w:rsidR="00342D61">
        <w:rPr>
          <w:noProof/>
        </w:rPr>
        <w:fldChar w:fldCharType="end"/>
      </w:r>
      <w:bookmarkEnd w:id="4"/>
      <w:r w:rsidRPr="007F44CC">
        <w:t xml:space="preserve"> </w:t>
      </w:r>
      <w:r w:rsidR="005A3868">
        <w:t>NHCDC</w:t>
      </w:r>
      <w:r w:rsidR="0018525C" w:rsidRPr="007F44CC">
        <w:t xml:space="preserve"> Report Appendix Tables</w:t>
      </w:r>
      <w:r w:rsidR="00B853B9" w:rsidRPr="007F44CC">
        <w:t>, Round 21</w:t>
      </w:r>
      <w:bookmarkEnd w:id="5"/>
      <w:r w:rsidR="00B853B9" w:rsidRPr="007F44CC">
        <w:t xml:space="preserve"> </w:t>
      </w:r>
      <w:r w:rsidR="0018525C" w:rsidRPr="007F44CC">
        <w:t xml:space="preserve"> </w:t>
      </w:r>
    </w:p>
    <w:tbl>
      <w:tblPr>
        <w:tblW w:w="9796" w:type="dxa"/>
        <w:tblInd w:w="93" w:type="dxa"/>
        <w:tblLook w:val="04A0" w:firstRow="1" w:lastRow="0" w:firstColumn="1" w:lastColumn="0" w:noHBand="0" w:noVBand="1"/>
        <w:tblCaption w:val="Table 1 Appendix Tables"/>
        <w:tblDescription w:val="List of appendix tables."/>
      </w:tblPr>
      <w:tblGrid>
        <w:gridCol w:w="510"/>
        <w:gridCol w:w="9286"/>
      </w:tblGrid>
      <w:tr w:rsidR="00626DD3" w:rsidRPr="00626DD3" w:rsidTr="00626DD3">
        <w:trPr>
          <w:trHeight w:val="323"/>
        </w:trPr>
        <w:tc>
          <w:tcPr>
            <w:tcW w:w="5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26DD3" w:rsidRPr="00626DD3" w:rsidRDefault="00626DD3" w:rsidP="00626DD3">
            <w:pPr>
              <w:spacing w:before="0" w:after="0" w:line="240" w:lineRule="auto"/>
              <w:rPr>
                <w:rFonts w:cs="Arial"/>
                <w:b/>
                <w:bCs/>
                <w:color w:val="000000"/>
                <w:szCs w:val="22"/>
              </w:rPr>
            </w:pPr>
            <w:bookmarkStart w:id="6" w:name="_Toc524173847"/>
            <w:r w:rsidRPr="00626DD3">
              <w:rPr>
                <w:rFonts w:cs="Arial"/>
                <w:b/>
                <w:bCs/>
                <w:color w:val="000000"/>
                <w:szCs w:val="22"/>
              </w:rPr>
              <w:t>No</w:t>
            </w:r>
          </w:p>
        </w:tc>
        <w:tc>
          <w:tcPr>
            <w:tcW w:w="9286" w:type="dxa"/>
            <w:tcBorders>
              <w:top w:val="single" w:sz="4" w:space="0" w:color="auto"/>
              <w:left w:val="nil"/>
              <w:bottom w:val="single" w:sz="4" w:space="0" w:color="auto"/>
              <w:right w:val="single" w:sz="4" w:space="0" w:color="auto"/>
            </w:tcBorders>
            <w:shd w:val="clear" w:color="000000" w:fill="FFFFFF"/>
            <w:noWrap/>
            <w:vAlign w:val="bottom"/>
            <w:hideMark/>
          </w:tcPr>
          <w:p w:rsidR="00626DD3" w:rsidRPr="00626DD3" w:rsidRDefault="00626DD3" w:rsidP="00626DD3">
            <w:pPr>
              <w:spacing w:before="0" w:after="0" w:line="240" w:lineRule="auto"/>
              <w:rPr>
                <w:rFonts w:cs="Arial"/>
                <w:b/>
                <w:bCs/>
                <w:color w:val="000000"/>
                <w:szCs w:val="22"/>
              </w:rPr>
            </w:pPr>
            <w:r w:rsidRPr="00626DD3">
              <w:rPr>
                <w:rFonts w:cs="Arial"/>
                <w:b/>
                <w:bCs/>
                <w:color w:val="000000"/>
                <w:szCs w:val="22"/>
              </w:rPr>
              <w:t>Table title</w:t>
            </w:r>
          </w:p>
        </w:tc>
      </w:tr>
      <w:tr w:rsidR="00626DD3" w:rsidRPr="00626DD3" w:rsidTr="00626DD3">
        <w:trPr>
          <w:trHeight w:val="323"/>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1</w:t>
            </w:r>
          </w:p>
        </w:tc>
        <w:tc>
          <w:tcPr>
            <w:tcW w:w="9286" w:type="dxa"/>
            <w:tcBorders>
              <w:top w:val="nil"/>
              <w:left w:val="nil"/>
              <w:bottom w:val="single" w:sz="4" w:space="0" w:color="auto"/>
              <w:right w:val="single" w:sz="4" w:space="0" w:color="auto"/>
            </w:tcBorders>
            <w:shd w:val="clear" w:color="000000" w:fill="FFFFFF"/>
            <w:noWrap/>
            <w:vAlign w:val="bottom"/>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NHCDC Round 19 to 21 summary, actual, by jurisdiction and stream</w:t>
            </w:r>
          </w:p>
        </w:tc>
      </w:tr>
      <w:tr w:rsidR="00626DD3" w:rsidRPr="00626DD3" w:rsidTr="00626DD3">
        <w:trPr>
          <w:trHeight w:val="323"/>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2</w:t>
            </w:r>
          </w:p>
        </w:tc>
        <w:tc>
          <w:tcPr>
            <w:tcW w:w="9286" w:type="dxa"/>
            <w:tcBorders>
              <w:top w:val="nil"/>
              <w:left w:val="nil"/>
              <w:bottom w:val="single" w:sz="4" w:space="0" w:color="auto"/>
              <w:right w:val="single" w:sz="4" w:space="0" w:color="auto"/>
            </w:tcBorders>
            <w:shd w:val="clear" w:color="000000" w:fill="FFFFFF"/>
            <w:noWrap/>
            <w:vAlign w:val="bottom"/>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NHCDC Round 19 to 21 Direct and Overhead Expenditure, actual, by stream</w:t>
            </w:r>
          </w:p>
        </w:tc>
      </w:tr>
      <w:tr w:rsidR="00626DD3" w:rsidRPr="00626DD3" w:rsidTr="00626DD3">
        <w:trPr>
          <w:trHeight w:val="323"/>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3</w:t>
            </w:r>
          </w:p>
        </w:tc>
        <w:tc>
          <w:tcPr>
            <w:tcW w:w="9286" w:type="dxa"/>
            <w:tcBorders>
              <w:top w:val="nil"/>
              <w:left w:val="nil"/>
              <w:bottom w:val="single" w:sz="4" w:space="0" w:color="auto"/>
              <w:right w:val="single" w:sz="4" w:space="0" w:color="auto"/>
            </w:tcBorders>
            <w:shd w:val="clear" w:color="000000" w:fill="FFFFFF"/>
            <w:noWrap/>
            <w:vAlign w:val="bottom"/>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Cost weights for AR-DRG Version 9.0, Round 21 (2016-17), national sample</w:t>
            </w:r>
          </w:p>
        </w:tc>
      </w:tr>
      <w:tr w:rsidR="00626DD3" w:rsidRPr="00626DD3" w:rsidTr="00626DD3">
        <w:trPr>
          <w:trHeight w:val="323"/>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4</w:t>
            </w:r>
          </w:p>
        </w:tc>
        <w:tc>
          <w:tcPr>
            <w:tcW w:w="9286" w:type="dxa"/>
            <w:tcBorders>
              <w:top w:val="nil"/>
              <w:left w:val="nil"/>
              <w:bottom w:val="single" w:sz="4" w:space="0" w:color="auto"/>
              <w:right w:val="single" w:sz="4" w:space="0" w:color="auto"/>
            </w:tcBorders>
            <w:shd w:val="clear" w:color="000000" w:fill="FFFFFF"/>
            <w:noWrap/>
            <w:vAlign w:val="bottom"/>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Cost weights for AR-DRG Version 9.0, Round 21 (2016-17) without ED pro, national sample</w:t>
            </w:r>
          </w:p>
        </w:tc>
      </w:tr>
      <w:tr w:rsidR="00626DD3" w:rsidRPr="00626DD3" w:rsidTr="00626DD3">
        <w:trPr>
          <w:trHeight w:val="323"/>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5</w:t>
            </w:r>
          </w:p>
        </w:tc>
        <w:tc>
          <w:tcPr>
            <w:tcW w:w="9286" w:type="dxa"/>
            <w:tcBorders>
              <w:top w:val="nil"/>
              <w:left w:val="nil"/>
              <w:bottom w:val="single" w:sz="4" w:space="0" w:color="auto"/>
              <w:right w:val="single" w:sz="4" w:space="0" w:color="auto"/>
            </w:tcBorders>
            <w:shd w:val="clear" w:color="000000" w:fill="FFFFFF"/>
            <w:noWrap/>
            <w:vAlign w:val="bottom"/>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Cost weights for AR-DRG Version 9.0, Round 21 (2016-17), national estimated</w:t>
            </w:r>
          </w:p>
        </w:tc>
      </w:tr>
      <w:tr w:rsidR="00626DD3" w:rsidRPr="00626DD3" w:rsidTr="00626DD3">
        <w:trPr>
          <w:trHeight w:val="323"/>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6</w:t>
            </w:r>
          </w:p>
        </w:tc>
        <w:tc>
          <w:tcPr>
            <w:tcW w:w="9286" w:type="dxa"/>
            <w:tcBorders>
              <w:top w:val="nil"/>
              <w:left w:val="nil"/>
              <w:bottom w:val="single" w:sz="4" w:space="0" w:color="auto"/>
              <w:right w:val="single" w:sz="4" w:space="0" w:color="auto"/>
            </w:tcBorders>
            <w:shd w:val="clear" w:color="auto" w:fill="auto"/>
            <w:noWrap/>
            <w:vAlign w:val="bottom"/>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NHCDC Round 19 to 21 admitted acute summary, actual, by jurisdiction</w:t>
            </w:r>
          </w:p>
        </w:tc>
      </w:tr>
      <w:tr w:rsidR="00626DD3" w:rsidRPr="00626DD3" w:rsidTr="00626DD3">
        <w:trPr>
          <w:trHeight w:val="323"/>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7</w:t>
            </w:r>
          </w:p>
        </w:tc>
        <w:tc>
          <w:tcPr>
            <w:tcW w:w="9286" w:type="dxa"/>
            <w:tcBorders>
              <w:top w:val="nil"/>
              <w:left w:val="nil"/>
              <w:bottom w:val="single" w:sz="4" w:space="0" w:color="auto"/>
              <w:right w:val="single" w:sz="4" w:space="0" w:color="auto"/>
            </w:tcBorders>
            <w:shd w:val="clear" w:color="auto" w:fill="auto"/>
            <w:noWrap/>
            <w:vAlign w:val="bottom"/>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NHCDC Round 19 to 21 admitted acute summary, actual, by peer group</w:t>
            </w:r>
          </w:p>
        </w:tc>
      </w:tr>
      <w:tr w:rsidR="00626DD3" w:rsidRPr="00626DD3" w:rsidTr="00626DD3">
        <w:trPr>
          <w:trHeight w:val="323"/>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8</w:t>
            </w:r>
          </w:p>
        </w:tc>
        <w:tc>
          <w:tcPr>
            <w:tcW w:w="9286" w:type="dxa"/>
            <w:tcBorders>
              <w:top w:val="nil"/>
              <w:left w:val="nil"/>
              <w:bottom w:val="single" w:sz="4" w:space="0" w:color="auto"/>
              <w:right w:val="single" w:sz="4" w:space="0" w:color="auto"/>
            </w:tcBorders>
            <w:shd w:val="clear" w:color="auto" w:fill="auto"/>
            <w:noWrap/>
            <w:vAlign w:val="bottom"/>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NHCDC Round 19 to 21 admitted acute cost bucket average cost per separation, actual, by jurisdiction</w:t>
            </w:r>
          </w:p>
        </w:tc>
      </w:tr>
      <w:tr w:rsidR="00626DD3" w:rsidRPr="00626DD3" w:rsidTr="00626DD3">
        <w:trPr>
          <w:trHeight w:val="323"/>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9</w:t>
            </w:r>
          </w:p>
        </w:tc>
        <w:tc>
          <w:tcPr>
            <w:tcW w:w="9286" w:type="dxa"/>
            <w:tcBorders>
              <w:top w:val="nil"/>
              <w:left w:val="nil"/>
              <w:bottom w:val="single" w:sz="4" w:space="0" w:color="auto"/>
              <w:right w:val="single" w:sz="4" w:space="0" w:color="auto"/>
            </w:tcBorders>
            <w:shd w:val="clear" w:color="auto" w:fill="auto"/>
            <w:noWrap/>
            <w:vAlign w:val="bottom"/>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NHCDC Round 19 to 21 admitted acute line item average cost per separation, actual, by jurisdiction</w:t>
            </w:r>
          </w:p>
        </w:tc>
      </w:tr>
      <w:tr w:rsidR="00626DD3" w:rsidRPr="00626DD3" w:rsidTr="00626DD3">
        <w:trPr>
          <w:trHeight w:val="323"/>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10</w:t>
            </w:r>
          </w:p>
        </w:tc>
        <w:tc>
          <w:tcPr>
            <w:tcW w:w="9286" w:type="dxa"/>
            <w:tcBorders>
              <w:top w:val="nil"/>
              <w:left w:val="nil"/>
              <w:bottom w:val="single" w:sz="4" w:space="0" w:color="auto"/>
              <w:right w:val="single" w:sz="4" w:space="0" w:color="auto"/>
            </w:tcBorders>
            <w:shd w:val="clear" w:color="auto" w:fill="auto"/>
            <w:noWrap/>
            <w:vAlign w:val="bottom"/>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 xml:space="preserve">NHCDC Round 19 to 21 admitted acute overnight and </w:t>
            </w:r>
            <w:proofErr w:type="spellStart"/>
            <w:r w:rsidRPr="00626DD3">
              <w:rPr>
                <w:rFonts w:cs="Arial"/>
                <w:color w:val="000000"/>
                <w:sz w:val="20"/>
                <w:szCs w:val="20"/>
              </w:rPr>
              <w:t>sameday</w:t>
            </w:r>
            <w:proofErr w:type="spellEnd"/>
            <w:r w:rsidRPr="00626DD3">
              <w:rPr>
                <w:rFonts w:cs="Arial"/>
                <w:color w:val="000000"/>
                <w:sz w:val="20"/>
                <w:szCs w:val="20"/>
              </w:rPr>
              <w:t>, actual, by jurisdiction</w:t>
            </w:r>
          </w:p>
        </w:tc>
      </w:tr>
      <w:tr w:rsidR="00626DD3" w:rsidRPr="00626DD3" w:rsidTr="00626DD3">
        <w:trPr>
          <w:trHeight w:val="323"/>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11</w:t>
            </w:r>
          </w:p>
        </w:tc>
        <w:tc>
          <w:tcPr>
            <w:tcW w:w="9286" w:type="dxa"/>
            <w:tcBorders>
              <w:top w:val="nil"/>
              <w:left w:val="nil"/>
              <w:bottom w:val="single" w:sz="4" w:space="0" w:color="auto"/>
              <w:right w:val="single" w:sz="4" w:space="0" w:color="auto"/>
            </w:tcBorders>
            <w:shd w:val="clear" w:color="auto" w:fill="auto"/>
            <w:noWrap/>
            <w:vAlign w:val="bottom"/>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NHCDC Round 19 to 21 admitted acute urgency of admission, actual, by jurisdiction</w:t>
            </w:r>
          </w:p>
        </w:tc>
      </w:tr>
      <w:tr w:rsidR="00626DD3" w:rsidRPr="00626DD3" w:rsidTr="00626DD3">
        <w:trPr>
          <w:trHeight w:val="597"/>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12</w:t>
            </w:r>
          </w:p>
        </w:tc>
        <w:tc>
          <w:tcPr>
            <w:tcW w:w="9286" w:type="dxa"/>
            <w:tcBorders>
              <w:top w:val="nil"/>
              <w:left w:val="nil"/>
              <w:bottom w:val="single" w:sz="4" w:space="0" w:color="auto"/>
              <w:right w:val="single" w:sz="4" w:space="0" w:color="auto"/>
            </w:tcBorders>
            <w:shd w:val="clear" w:color="auto" w:fill="auto"/>
            <w:vAlign w:val="bottom"/>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NHCDC Round 19 to 21 admitted acute same day and overnight, Indigenous and non-</w:t>
            </w:r>
            <w:proofErr w:type="spellStart"/>
            <w:r w:rsidRPr="00626DD3">
              <w:rPr>
                <w:rFonts w:cs="Arial"/>
                <w:color w:val="000000"/>
                <w:sz w:val="20"/>
                <w:szCs w:val="20"/>
              </w:rPr>
              <w:t>Indigneous</w:t>
            </w:r>
            <w:proofErr w:type="spellEnd"/>
            <w:r w:rsidRPr="00626DD3">
              <w:rPr>
                <w:rFonts w:cs="Arial"/>
                <w:color w:val="000000"/>
                <w:sz w:val="20"/>
                <w:szCs w:val="20"/>
              </w:rPr>
              <w:t>, actual, by jurisdiction</w:t>
            </w:r>
          </w:p>
        </w:tc>
      </w:tr>
      <w:tr w:rsidR="00626DD3" w:rsidRPr="00626DD3" w:rsidTr="00626DD3">
        <w:trPr>
          <w:trHeight w:val="323"/>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13</w:t>
            </w:r>
          </w:p>
        </w:tc>
        <w:tc>
          <w:tcPr>
            <w:tcW w:w="9286" w:type="dxa"/>
            <w:tcBorders>
              <w:top w:val="nil"/>
              <w:left w:val="nil"/>
              <w:bottom w:val="single" w:sz="4" w:space="0" w:color="auto"/>
              <w:right w:val="single" w:sz="4" w:space="0" w:color="auto"/>
            </w:tcBorders>
            <w:shd w:val="clear" w:color="auto" w:fill="auto"/>
            <w:noWrap/>
            <w:vAlign w:val="bottom"/>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NHCDC Round 19 to 21 admitted acute paediatric, actual, by jurisdiction</w:t>
            </w:r>
          </w:p>
        </w:tc>
      </w:tr>
      <w:tr w:rsidR="00626DD3" w:rsidRPr="00626DD3" w:rsidTr="00626DD3">
        <w:trPr>
          <w:trHeight w:val="323"/>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14</w:t>
            </w:r>
          </w:p>
        </w:tc>
        <w:tc>
          <w:tcPr>
            <w:tcW w:w="9286" w:type="dxa"/>
            <w:tcBorders>
              <w:top w:val="nil"/>
              <w:left w:val="nil"/>
              <w:bottom w:val="single" w:sz="4" w:space="0" w:color="auto"/>
              <w:right w:val="single" w:sz="4" w:space="0" w:color="auto"/>
            </w:tcBorders>
            <w:shd w:val="clear" w:color="auto" w:fill="auto"/>
            <w:noWrap/>
            <w:vAlign w:val="bottom"/>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NHCDC Round 19 to 21 admitted acute geographic location, actual, by jurisdiction</w:t>
            </w:r>
          </w:p>
        </w:tc>
      </w:tr>
      <w:tr w:rsidR="00626DD3" w:rsidRPr="00626DD3" w:rsidTr="00626DD3">
        <w:trPr>
          <w:trHeight w:val="323"/>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15</w:t>
            </w:r>
          </w:p>
        </w:tc>
        <w:tc>
          <w:tcPr>
            <w:tcW w:w="9286" w:type="dxa"/>
            <w:tcBorders>
              <w:top w:val="nil"/>
              <w:left w:val="nil"/>
              <w:bottom w:val="single" w:sz="4" w:space="0" w:color="auto"/>
              <w:right w:val="single" w:sz="4" w:space="0" w:color="auto"/>
            </w:tcBorders>
            <w:shd w:val="clear" w:color="auto" w:fill="auto"/>
            <w:noWrap/>
            <w:vAlign w:val="bottom"/>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 xml:space="preserve">NHCDC Round 19 to 21 Emergency Department by jurisdiction </w:t>
            </w:r>
          </w:p>
        </w:tc>
      </w:tr>
      <w:tr w:rsidR="00626DD3" w:rsidRPr="00626DD3" w:rsidTr="00626DD3">
        <w:trPr>
          <w:trHeight w:val="323"/>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16</w:t>
            </w:r>
          </w:p>
        </w:tc>
        <w:tc>
          <w:tcPr>
            <w:tcW w:w="9286" w:type="dxa"/>
            <w:tcBorders>
              <w:top w:val="nil"/>
              <w:left w:val="nil"/>
              <w:bottom w:val="single" w:sz="4" w:space="0" w:color="auto"/>
              <w:right w:val="single" w:sz="4" w:space="0" w:color="auto"/>
            </w:tcBorders>
            <w:shd w:val="clear" w:color="auto" w:fill="auto"/>
            <w:noWrap/>
            <w:vAlign w:val="bottom"/>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URG VERSION 1.45, Round 21 (2016-17)</w:t>
            </w:r>
          </w:p>
        </w:tc>
      </w:tr>
      <w:tr w:rsidR="00626DD3" w:rsidRPr="00626DD3" w:rsidTr="00626DD3">
        <w:trPr>
          <w:trHeight w:val="55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17</w:t>
            </w:r>
          </w:p>
        </w:tc>
        <w:tc>
          <w:tcPr>
            <w:tcW w:w="9286" w:type="dxa"/>
            <w:tcBorders>
              <w:top w:val="nil"/>
              <w:left w:val="nil"/>
              <w:bottom w:val="single" w:sz="4" w:space="0" w:color="auto"/>
              <w:right w:val="single" w:sz="4" w:space="0" w:color="auto"/>
            </w:tcBorders>
            <w:shd w:val="clear" w:color="auto" w:fill="auto"/>
            <w:noWrap/>
            <w:vAlign w:val="bottom"/>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NHCDC Round 19 to 21 emergency department cost bucket average cost per separation, actual, by jurisdiction</w:t>
            </w:r>
          </w:p>
        </w:tc>
      </w:tr>
      <w:tr w:rsidR="00626DD3" w:rsidRPr="00626DD3" w:rsidTr="00626DD3">
        <w:trPr>
          <w:trHeight w:val="558"/>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18</w:t>
            </w:r>
          </w:p>
        </w:tc>
        <w:tc>
          <w:tcPr>
            <w:tcW w:w="9286" w:type="dxa"/>
            <w:tcBorders>
              <w:top w:val="nil"/>
              <w:left w:val="nil"/>
              <w:bottom w:val="single" w:sz="4" w:space="0" w:color="auto"/>
              <w:right w:val="single" w:sz="4" w:space="0" w:color="auto"/>
            </w:tcBorders>
            <w:shd w:val="clear" w:color="auto" w:fill="auto"/>
            <w:vAlign w:val="bottom"/>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NHCDC Round 19 to 21 admitted Emergency Department line item average cost per separation, actual, by jurisdiction</w:t>
            </w:r>
          </w:p>
        </w:tc>
      </w:tr>
      <w:tr w:rsidR="00626DD3" w:rsidRPr="00626DD3" w:rsidTr="00626DD3">
        <w:trPr>
          <w:trHeight w:val="323"/>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19</w:t>
            </w:r>
          </w:p>
        </w:tc>
        <w:tc>
          <w:tcPr>
            <w:tcW w:w="9286" w:type="dxa"/>
            <w:tcBorders>
              <w:top w:val="nil"/>
              <w:left w:val="nil"/>
              <w:bottom w:val="single" w:sz="4" w:space="0" w:color="auto"/>
              <w:right w:val="single" w:sz="4" w:space="0" w:color="auto"/>
            </w:tcBorders>
            <w:shd w:val="clear" w:color="auto" w:fill="auto"/>
            <w:noWrap/>
            <w:vAlign w:val="bottom"/>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Tier 2 VERSION 4.1, Round 21 (2016-17)</w:t>
            </w:r>
          </w:p>
        </w:tc>
      </w:tr>
      <w:tr w:rsidR="00626DD3" w:rsidRPr="00626DD3" w:rsidTr="00626DD3">
        <w:trPr>
          <w:trHeight w:val="323"/>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20</w:t>
            </w:r>
          </w:p>
        </w:tc>
        <w:tc>
          <w:tcPr>
            <w:tcW w:w="9286" w:type="dxa"/>
            <w:tcBorders>
              <w:top w:val="nil"/>
              <w:left w:val="nil"/>
              <w:bottom w:val="single" w:sz="4" w:space="0" w:color="auto"/>
              <w:right w:val="single" w:sz="4" w:space="0" w:color="auto"/>
            </w:tcBorders>
            <w:shd w:val="clear" w:color="auto" w:fill="auto"/>
            <w:noWrap/>
            <w:vAlign w:val="bottom"/>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NHCDC Round 19 to 21 Non-admitted summary by Tier 2 class</w:t>
            </w:r>
          </w:p>
        </w:tc>
      </w:tr>
      <w:tr w:rsidR="00626DD3" w:rsidRPr="00626DD3" w:rsidTr="00626DD3">
        <w:trPr>
          <w:trHeight w:val="323"/>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21</w:t>
            </w:r>
          </w:p>
        </w:tc>
        <w:tc>
          <w:tcPr>
            <w:tcW w:w="9286" w:type="dxa"/>
            <w:tcBorders>
              <w:top w:val="nil"/>
              <w:left w:val="nil"/>
              <w:bottom w:val="single" w:sz="4" w:space="0" w:color="auto"/>
              <w:right w:val="single" w:sz="4" w:space="0" w:color="auto"/>
            </w:tcBorders>
            <w:shd w:val="clear" w:color="auto" w:fill="auto"/>
            <w:noWrap/>
            <w:vAlign w:val="bottom"/>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NHCDC Round 19 to 21 Non-admitted summary by jurisdiction</w:t>
            </w:r>
          </w:p>
        </w:tc>
      </w:tr>
      <w:tr w:rsidR="00626DD3" w:rsidRPr="00626DD3" w:rsidTr="00626DD3">
        <w:trPr>
          <w:trHeight w:val="323"/>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22</w:t>
            </w:r>
          </w:p>
        </w:tc>
        <w:tc>
          <w:tcPr>
            <w:tcW w:w="9286" w:type="dxa"/>
            <w:tcBorders>
              <w:top w:val="nil"/>
              <w:left w:val="nil"/>
              <w:bottom w:val="single" w:sz="4" w:space="0" w:color="auto"/>
              <w:right w:val="single" w:sz="4" w:space="0" w:color="auto"/>
            </w:tcBorders>
            <w:shd w:val="clear" w:color="auto" w:fill="auto"/>
            <w:noWrap/>
            <w:vAlign w:val="bottom"/>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NHCDC Round 19 to 21 non-admitted cost bucket  per service event by jurisdiction</w:t>
            </w:r>
          </w:p>
        </w:tc>
      </w:tr>
      <w:tr w:rsidR="00626DD3" w:rsidRPr="00626DD3" w:rsidTr="00626DD3">
        <w:trPr>
          <w:trHeight w:val="323"/>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23</w:t>
            </w:r>
          </w:p>
        </w:tc>
        <w:tc>
          <w:tcPr>
            <w:tcW w:w="9286" w:type="dxa"/>
            <w:tcBorders>
              <w:top w:val="nil"/>
              <w:left w:val="nil"/>
              <w:bottom w:val="single" w:sz="4" w:space="0" w:color="auto"/>
              <w:right w:val="single" w:sz="4" w:space="0" w:color="auto"/>
            </w:tcBorders>
            <w:shd w:val="clear" w:color="auto" w:fill="auto"/>
            <w:noWrap/>
            <w:vAlign w:val="bottom"/>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NHCDC Round 19 to 21 non-admitted line item average cost per separation, actual, by jurisdiction</w:t>
            </w:r>
          </w:p>
        </w:tc>
      </w:tr>
      <w:tr w:rsidR="00626DD3" w:rsidRPr="00626DD3" w:rsidTr="00626DD3">
        <w:trPr>
          <w:trHeight w:val="323"/>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24</w:t>
            </w:r>
          </w:p>
        </w:tc>
        <w:tc>
          <w:tcPr>
            <w:tcW w:w="9286" w:type="dxa"/>
            <w:tcBorders>
              <w:top w:val="nil"/>
              <w:left w:val="nil"/>
              <w:bottom w:val="single" w:sz="4" w:space="0" w:color="auto"/>
              <w:right w:val="single" w:sz="4" w:space="0" w:color="auto"/>
            </w:tcBorders>
            <w:shd w:val="clear" w:color="auto" w:fill="auto"/>
            <w:noWrap/>
            <w:vAlign w:val="bottom"/>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NHCDC Round 19 to 21 subacute summary care type, by jurisdiction</w:t>
            </w:r>
          </w:p>
        </w:tc>
      </w:tr>
      <w:tr w:rsidR="00626DD3" w:rsidRPr="00626DD3" w:rsidTr="00626DD3">
        <w:trPr>
          <w:trHeight w:val="323"/>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25</w:t>
            </w:r>
          </w:p>
        </w:tc>
        <w:tc>
          <w:tcPr>
            <w:tcW w:w="9286" w:type="dxa"/>
            <w:tcBorders>
              <w:top w:val="nil"/>
              <w:left w:val="nil"/>
              <w:bottom w:val="single" w:sz="4" w:space="0" w:color="auto"/>
              <w:right w:val="single" w:sz="4" w:space="0" w:color="auto"/>
            </w:tcBorders>
            <w:shd w:val="clear" w:color="auto" w:fill="auto"/>
            <w:noWrap/>
            <w:vAlign w:val="bottom"/>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ANSNAP VERSION 4, Round 21 (2016-17)</w:t>
            </w:r>
          </w:p>
        </w:tc>
      </w:tr>
      <w:tr w:rsidR="00626DD3" w:rsidRPr="00626DD3" w:rsidTr="00626DD3">
        <w:trPr>
          <w:trHeight w:val="323"/>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26</w:t>
            </w:r>
          </w:p>
        </w:tc>
        <w:tc>
          <w:tcPr>
            <w:tcW w:w="9286" w:type="dxa"/>
            <w:tcBorders>
              <w:top w:val="nil"/>
              <w:left w:val="nil"/>
              <w:bottom w:val="single" w:sz="4" w:space="0" w:color="auto"/>
              <w:right w:val="single" w:sz="4" w:space="0" w:color="auto"/>
            </w:tcBorders>
            <w:shd w:val="clear" w:color="auto" w:fill="auto"/>
            <w:noWrap/>
            <w:vAlign w:val="bottom"/>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NHCDC Round 19 to 21 admitted subacute cost bucket average cost per separation, actual, by jurisdiction</w:t>
            </w:r>
          </w:p>
        </w:tc>
      </w:tr>
      <w:tr w:rsidR="00626DD3" w:rsidRPr="00626DD3" w:rsidTr="00626DD3">
        <w:trPr>
          <w:trHeight w:val="323"/>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27</w:t>
            </w:r>
          </w:p>
        </w:tc>
        <w:tc>
          <w:tcPr>
            <w:tcW w:w="9286" w:type="dxa"/>
            <w:tcBorders>
              <w:top w:val="nil"/>
              <w:left w:val="nil"/>
              <w:bottom w:val="single" w:sz="4" w:space="0" w:color="auto"/>
              <w:right w:val="single" w:sz="4" w:space="0" w:color="auto"/>
            </w:tcBorders>
            <w:shd w:val="clear" w:color="auto" w:fill="auto"/>
            <w:noWrap/>
            <w:vAlign w:val="bottom"/>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NHCDC Round 19 to 21 subacute line item average cost per separation, actual, by jurisdiction</w:t>
            </w:r>
          </w:p>
        </w:tc>
      </w:tr>
      <w:tr w:rsidR="00626DD3" w:rsidRPr="00626DD3" w:rsidTr="00626DD3">
        <w:trPr>
          <w:trHeight w:val="323"/>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28</w:t>
            </w:r>
          </w:p>
        </w:tc>
        <w:tc>
          <w:tcPr>
            <w:tcW w:w="9286" w:type="dxa"/>
            <w:tcBorders>
              <w:top w:val="nil"/>
              <w:left w:val="nil"/>
              <w:bottom w:val="single" w:sz="4" w:space="0" w:color="auto"/>
              <w:right w:val="single" w:sz="4" w:space="0" w:color="auto"/>
            </w:tcBorders>
            <w:shd w:val="clear" w:color="auto" w:fill="auto"/>
            <w:noWrap/>
            <w:vAlign w:val="bottom"/>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NHCDC Round 19 to 21 Other stream summary, by jurisdiction</w:t>
            </w:r>
          </w:p>
        </w:tc>
      </w:tr>
      <w:tr w:rsidR="00626DD3" w:rsidRPr="00626DD3" w:rsidTr="00626DD3">
        <w:trPr>
          <w:trHeight w:val="323"/>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29</w:t>
            </w:r>
          </w:p>
        </w:tc>
        <w:tc>
          <w:tcPr>
            <w:tcW w:w="9286" w:type="dxa"/>
            <w:tcBorders>
              <w:top w:val="nil"/>
              <w:left w:val="nil"/>
              <w:bottom w:val="single" w:sz="4" w:space="0" w:color="auto"/>
              <w:right w:val="single" w:sz="4" w:space="0" w:color="auto"/>
            </w:tcBorders>
            <w:shd w:val="clear" w:color="auto" w:fill="auto"/>
            <w:noWrap/>
            <w:vAlign w:val="bottom"/>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NHCDC Round 19 to 21 Organ Procurement cost bucket average per separation by jurisdiction</w:t>
            </w:r>
          </w:p>
        </w:tc>
      </w:tr>
      <w:tr w:rsidR="00626DD3" w:rsidRPr="00626DD3" w:rsidTr="00626DD3">
        <w:trPr>
          <w:trHeight w:val="323"/>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30</w:t>
            </w:r>
          </w:p>
        </w:tc>
        <w:tc>
          <w:tcPr>
            <w:tcW w:w="9286" w:type="dxa"/>
            <w:tcBorders>
              <w:top w:val="nil"/>
              <w:left w:val="nil"/>
              <w:bottom w:val="single" w:sz="4" w:space="0" w:color="auto"/>
              <w:right w:val="single" w:sz="4" w:space="0" w:color="auto"/>
            </w:tcBorders>
            <w:shd w:val="clear" w:color="auto" w:fill="auto"/>
            <w:noWrap/>
            <w:vAlign w:val="bottom"/>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NHCDC Round 19 to 21 mental health cost bucket average cost per separation, actual, by jurisdiction</w:t>
            </w:r>
          </w:p>
        </w:tc>
      </w:tr>
      <w:tr w:rsidR="00626DD3" w:rsidRPr="00626DD3" w:rsidTr="00626DD3">
        <w:trPr>
          <w:trHeight w:val="323"/>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31</w:t>
            </w:r>
          </w:p>
        </w:tc>
        <w:tc>
          <w:tcPr>
            <w:tcW w:w="9286" w:type="dxa"/>
            <w:tcBorders>
              <w:top w:val="nil"/>
              <w:left w:val="nil"/>
              <w:bottom w:val="single" w:sz="4" w:space="0" w:color="auto"/>
              <w:right w:val="single" w:sz="4" w:space="0" w:color="auto"/>
            </w:tcBorders>
            <w:shd w:val="clear" w:color="auto" w:fill="auto"/>
            <w:noWrap/>
            <w:vAlign w:val="bottom"/>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NHCDC Round 21 Mental health grouped data</w:t>
            </w:r>
          </w:p>
        </w:tc>
      </w:tr>
      <w:tr w:rsidR="00626DD3" w:rsidRPr="00626DD3" w:rsidTr="00626DD3">
        <w:trPr>
          <w:trHeight w:val="323"/>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32</w:t>
            </w:r>
          </w:p>
        </w:tc>
        <w:tc>
          <w:tcPr>
            <w:tcW w:w="9286" w:type="dxa"/>
            <w:tcBorders>
              <w:top w:val="nil"/>
              <w:left w:val="nil"/>
              <w:bottom w:val="single" w:sz="4" w:space="0" w:color="auto"/>
              <w:right w:val="single" w:sz="4" w:space="0" w:color="auto"/>
            </w:tcBorders>
            <w:shd w:val="clear" w:color="auto" w:fill="auto"/>
            <w:noWrap/>
            <w:vAlign w:val="bottom"/>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NHCDC Round 19 to 21 mental health cost bucket average cost per separation, actual, by jurisdiction</w:t>
            </w:r>
          </w:p>
        </w:tc>
      </w:tr>
      <w:tr w:rsidR="00626DD3" w:rsidRPr="00626DD3" w:rsidTr="00626DD3">
        <w:trPr>
          <w:trHeight w:val="323"/>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33</w:t>
            </w:r>
          </w:p>
        </w:tc>
        <w:tc>
          <w:tcPr>
            <w:tcW w:w="9286" w:type="dxa"/>
            <w:tcBorders>
              <w:top w:val="nil"/>
              <w:left w:val="nil"/>
              <w:bottom w:val="single" w:sz="4" w:space="0" w:color="auto"/>
              <w:right w:val="single" w:sz="4" w:space="0" w:color="auto"/>
            </w:tcBorders>
            <w:shd w:val="clear" w:color="auto" w:fill="auto"/>
            <w:noWrap/>
            <w:vAlign w:val="bottom"/>
            <w:hideMark/>
          </w:tcPr>
          <w:p w:rsidR="00626DD3" w:rsidRPr="00626DD3" w:rsidRDefault="00626DD3" w:rsidP="00626DD3">
            <w:pPr>
              <w:spacing w:before="0" w:after="0" w:line="240" w:lineRule="auto"/>
              <w:rPr>
                <w:rFonts w:cs="Arial"/>
                <w:color w:val="000000"/>
                <w:sz w:val="20"/>
                <w:szCs w:val="20"/>
              </w:rPr>
            </w:pPr>
            <w:r w:rsidRPr="00626DD3">
              <w:rPr>
                <w:rFonts w:cs="Arial"/>
                <w:color w:val="000000"/>
                <w:sz w:val="20"/>
                <w:szCs w:val="20"/>
              </w:rPr>
              <w:t>NHCDC Round 19 to 21 mental health line item average cost per separation, actual, by jurisdiction</w:t>
            </w:r>
          </w:p>
        </w:tc>
      </w:tr>
    </w:tbl>
    <w:p w:rsidR="002371BB" w:rsidRPr="00C7496A" w:rsidRDefault="002371BB" w:rsidP="003B4C44">
      <w:pPr>
        <w:pStyle w:val="Heading1"/>
      </w:pPr>
      <w:bookmarkStart w:id="7" w:name="_Toc530055076"/>
      <w:r w:rsidRPr="00C7496A">
        <w:lastRenderedPageBreak/>
        <w:t>What is the NHCDC?</w:t>
      </w:r>
      <w:bookmarkEnd w:id="6"/>
      <w:bookmarkEnd w:id="7"/>
    </w:p>
    <w:p w:rsidR="00C72F5E" w:rsidRDefault="002371BB" w:rsidP="00C72F5E">
      <w:pPr>
        <w:rPr>
          <w:rFonts w:cs="Arial"/>
        </w:rPr>
      </w:pPr>
      <w:r w:rsidRPr="006A2D3F">
        <w:rPr>
          <w:rFonts w:cs="Arial"/>
        </w:rPr>
        <w:t xml:space="preserve">The National </w:t>
      </w:r>
      <w:r w:rsidR="00C72F5E" w:rsidRPr="006A2D3F">
        <w:rPr>
          <w:rFonts w:cs="Arial"/>
        </w:rPr>
        <w:t xml:space="preserve">Hospital Cost Data Collection (NHCDC) is </w:t>
      </w:r>
      <w:r w:rsidR="00C72F5E">
        <w:rPr>
          <w:rFonts w:cs="Arial"/>
        </w:rPr>
        <w:t xml:space="preserve">an annual collection of public hospital cost data. This </w:t>
      </w:r>
      <w:r w:rsidR="00C72F5E" w:rsidRPr="006A2D3F">
        <w:rPr>
          <w:rFonts w:cs="Arial"/>
        </w:rPr>
        <w:t>remarkable evidence base is used across the Australian health system</w:t>
      </w:r>
      <w:r w:rsidR="009552F1">
        <w:rPr>
          <w:rFonts w:cs="Arial"/>
        </w:rPr>
        <w:t xml:space="preserve">. </w:t>
      </w:r>
    </w:p>
    <w:p w:rsidR="00C72F5E" w:rsidRDefault="007C25B6" w:rsidP="00C72F5E">
      <w:r>
        <w:rPr>
          <w:rFonts w:cs="Arial"/>
        </w:rPr>
        <w:t>T</w:t>
      </w:r>
      <w:r w:rsidR="00C72F5E" w:rsidRPr="006A2D3F">
        <w:rPr>
          <w:rFonts w:cs="Arial"/>
        </w:rPr>
        <w:t xml:space="preserve">he collection </w:t>
      </w:r>
      <w:r w:rsidR="00C72F5E">
        <w:rPr>
          <w:rFonts w:cs="Arial"/>
        </w:rPr>
        <w:t>matches</w:t>
      </w:r>
      <w:r w:rsidR="00C72F5E" w:rsidRPr="006A2D3F">
        <w:rPr>
          <w:rFonts w:cs="Arial"/>
        </w:rPr>
        <w:t xml:space="preserve"> </w:t>
      </w:r>
      <w:r w:rsidR="00C72F5E">
        <w:rPr>
          <w:rFonts w:cs="Arial"/>
        </w:rPr>
        <w:t xml:space="preserve">patient level activity data with the costs incurred by the patient’s hospital. These data are submitted to IHPA by the health departments of Australia’s states and territories. </w:t>
      </w:r>
    </w:p>
    <w:p w:rsidR="00C72F5E" w:rsidRDefault="00C72F5E" w:rsidP="00C72F5E">
      <w:r w:rsidRPr="006A2D3F">
        <w:t xml:space="preserve">The </w:t>
      </w:r>
      <w:r>
        <w:t xml:space="preserve">NHCDC </w:t>
      </w:r>
      <w:r w:rsidRPr="006A2D3F">
        <w:t>was established in 1996 with the primary objective of providing Australian governments and the health care industry with a nationally consistent method of costing al</w:t>
      </w:r>
      <w:r>
        <w:t xml:space="preserve">l types of hospital activity related to the care of patients. </w:t>
      </w:r>
    </w:p>
    <w:p w:rsidR="00C72F5E" w:rsidRPr="006A2D3F" w:rsidRDefault="00C72F5E" w:rsidP="00C72F5E">
      <w:r w:rsidRPr="00BB35EA">
        <w:t>Under the National Health Reform Act 2011, IHPA was established and assumed responsibility for the governance of the NHCDC. Through the national health reform process, a range of developments to the NHCDC ha</w:t>
      </w:r>
      <w:r w:rsidR="009552F1">
        <w:t>ve</w:t>
      </w:r>
      <w:r w:rsidRPr="00BB35EA">
        <w:t xml:space="preserve"> been implemented, including data quality controls, the introduction of a submission portal and developments in costing standards. These improvements have all provided increased confidence in the collection for the purpose of national reporting</w:t>
      </w:r>
      <w:r>
        <w:t>.</w:t>
      </w:r>
    </w:p>
    <w:p w:rsidR="00C72F5E" w:rsidRDefault="00C72F5E" w:rsidP="00C72F5E">
      <w:r w:rsidRPr="006A2D3F">
        <w:t xml:space="preserve">Each </w:t>
      </w:r>
      <w:r>
        <w:t>year</w:t>
      </w:r>
      <w:r w:rsidRPr="006A2D3F">
        <w:t xml:space="preserve">, IHPA aims to produce a NHCDC dataset </w:t>
      </w:r>
      <w:r>
        <w:t>comprised of data that has been submitted according to nationally consistent methods of costing hospital activity</w:t>
      </w:r>
      <w:r w:rsidR="009552F1">
        <w:t xml:space="preserve">. </w:t>
      </w:r>
    </w:p>
    <w:p w:rsidR="00C72F5E" w:rsidRPr="00154E04" w:rsidRDefault="00C72F5E" w:rsidP="00C72F5E">
      <w:r w:rsidRPr="006A2D3F">
        <w:t xml:space="preserve">A robust </w:t>
      </w:r>
      <w:r>
        <w:t>NHCDC</w:t>
      </w:r>
      <w:r w:rsidRPr="006A2D3F">
        <w:t xml:space="preserve"> dataset is an essential requirement for the </w:t>
      </w:r>
      <w:r>
        <w:t>f</w:t>
      </w:r>
      <w:r w:rsidRPr="006A2D3F">
        <w:t xml:space="preserve">unding </w:t>
      </w:r>
      <w:r>
        <w:t>of public hospital services</w:t>
      </w:r>
      <w:r w:rsidRPr="006A2D3F">
        <w:t>.</w:t>
      </w:r>
      <w:r w:rsidR="00BC14B6">
        <w:t xml:space="preserve"> </w:t>
      </w:r>
      <w:r>
        <w:t>O</w:t>
      </w:r>
      <w:r w:rsidRPr="00154E04">
        <w:t xml:space="preserve">nce </w:t>
      </w:r>
      <w:r>
        <w:t>IHPA finalises the NHCDC dataset</w:t>
      </w:r>
      <w:r w:rsidRPr="00154E04">
        <w:t xml:space="preserve">, </w:t>
      </w:r>
      <w:r>
        <w:t>it</w:t>
      </w:r>
      <w:r w:rsidRPr="00154E04">
        <w:t xml:space="preserve"> uses </w:t>
      </w:r>
      <w:r>
        <w:t>it to</w:t>
      </w:r>
      <w:r w:rsidRPr="00154E04">
        <w:t xml:space="preserve"> develop the National Efficient Price (NEP)</w:t>
      </w:r>
      <w:r>
        <w:t>.</w:t>
      </w:r>
    </w:p>
    <w:p w:rsidR="008721D4" w:rsidRPr="00417163" w:rsidRDefault="00C72F5E" w:rsidP="00417163">
      <w:r w:rsidRPr="00566857">
        <w:t xml:space="preserve">The Round 21 NHCDC </w:t>
      </w:r>
      <w:r>
        <w:t xml:space="preserve">contains hospital cost data </w:t>
      </w:r>
      <w:r w:rsidRPr="00566857">
        <w:t xml:space="preserve">for </w:t>
      </w:r>
      <w:r>
        <w:t xml:space="preserve">the </w:t>
      </w:r>
      <w:r w:rsidRPr="00566857">
        <w:t xml:space="preserve">2016-17 </w:t>
      </w:r>
      <w:r>
        <w:t xml:space="preserve">financial </w:t>
      </w:r>
      <w:proofErr w:type="gramStart"/>
      <w:r>
        <w:t>year</w:t>
      </w:r>
      <w:proofErr w:type="gramEnd"/>
      <w:r>
        <w:t xml:space="preserve"> and IHPA will use it to inform the </w:t>
      </w:r>
      <w:r w:rsidRPr="00566857">
        <w:t>NEP</w:t>
      </w:r>
      <w:r>
        <w:t xml:space="preserve"> </w:t>
      </w:r>
      <w:r w:rsidR="00BC14B6">
        <w:t>2019-20</w:t>
      </w:r>
      <w:r>
        <w:t>.</w:t>
      </w:r>
    </w:p>
    <w:p w:rsidR="00BC14B6" w:rsidRPr="00BC14B6" w:rsidRDefault="00BC14B6" w:rsidP="003B4C44">
      <w:pPr>
        <w:pStyle w:val="Heading1"/>
      </w:pPr>
      <w:bookmarkStart w:id="8" w:name="_Toc524173848"/>
      <w:bookmarkStart w:id="9" w:name="_Toc530055077"/>
      <w:r w:rsidRPr="00BC14B6">
        <w:t>What is Activity Based Funding?</w:t>
      </w:r>
      <w:bookmarkEnd w:id="8"/>
      <w:bookmarkEnd w:id="9"/>
    </w:p>
    <w:p w:rsidR="00BC14B6" w:rsidRDefault="00BC14B6" w:rsidP="00BC14B6">
      <w:r>
        <w:t xml:space="preserve">Activity Based Funding (ABF) is the process by which hospitals are paid for the number and complexity of patients they treat. ABF takes into account the fact that some patients are more complicated to treat than others. This type of funding model aims to improve the value of public investment in hospital care, improve transparency of funding, ensure a sustainable and efficient network of public hospital services, and provide a tool to benchmark the cost of public hospitals. </w:t>
      </w:r>
    </w:p>
    <w:p w:rsidR="00BC14B6" w:rsidRDefault="007C25B6" w:rsidP="00BC14B6">
      <w:r>
        <w:t>T</w:t>
      </w:r>
      <w:r w:rsidR="00BC14B6">
        <w:t>he annual National Efficient Price (NEP) an</w:t>
      </w:r>
      <w:r>
        <w:t>d National Efficient Cost (NEC)</w:t>
      </w:r>
      <w:r w:rsidR="00BC14B6">
        <w:t xml:space="preserve"> determine the amount of funding the Commonwealth Government contributes to </w:t>
      </w:r>
      <w:r>
        <w:t>public hospitals</w:t>
      </w:r>
      <w:r w:rsidR="00BC14B6">
        <w:t xml:space="preserve">. The funding is then distributed by the Administrator of the National Health Funding Pool. </w:t>
      </w:r>
    </w:p>
    <w:p w:rsidR="00BC14B6" w:rsidRPr="003F3C8B" w:rsidRDefault="00BC14B6" w:rsidP="00BC14B6">
      <w:pPr>
        <w:rPr>
          <w:rFonts w:cs="Arial"/>
          <w:szCs w:val="22"/>
        </w:rPr>
      </w:pPr>
      <w:r>
        <w:t>The building blocks required for an ABF system are: classification systems, data collection, costing and pricing.</w:t>
      </w:r>
    </w:p>
    <w:p w:rsidR="00417163" w:rsidRDefault="00417163">
      <w:pPr>
        <w:spacing w:before="0" w:after="0" w:line="240" w:lineRule="auto"/>
        <w:rPr>
          <w:rFonts w:ascii="Arial Bold" w:hAnsi="Arial Bold"/>
          <w:b/>
          <w:sz w:val="40"/>
          <w:szCs w:val="44"/>
        </w:rPr>
      </w:pPr>
      <w:bookmarkStart w:id="10" w:name="_Toc524173849"/>
      <w:r>
        <w:br w:type="page"/>
      </w:r>
    </w:p>
    <w:p w:rsidR="005D4434" w:rsidRPr="00C7496A" w:rsidRDefault="00B74365" w:rsidP="003B4C44">
      <w:pPr>
        <w:pStyle w:val="Heading1"/>
      </w:pPr>
      <w:bookmarkStart w:id="11" w:name="_Toc530055078"/>
      <w:r w:rsidRPr="00C7496A">
        <w:lastRenderedPageBreak/>
        <w:t>Scope of Round 21</w:t>
      </w:r>
      <w:bookmarkEnd w:id="10"/>
      <w:bookmarkEnd w:id="11"/>
    </w:p>
    <w:p w:rsidR="001C4999" w:rsidRDefault="002371BB" w:rsidP="004C5B64">
      <w:r w:rsidRPr="00381899">
        <w:t xml:space="preserve">The data in scope for the NHCDC includes all patient level activity for all public hospital facilities across Australia, and the costs incurred by the hospital in relation to this activity in financial year 2016-17 (Round 21). </w:t>
      </w:r>
      <w:r w:rsidR="00D46496">
        <w:t>Admitted patients need to have had their episode or phase of care finalised before the end of the financial year.</w:t>
      </w:r>
    </w:p>
    <w:p w:rsidR="000D4EA4" w:rsidRPr="00371627" w:rsidRDefault="000D4EA4" w:rsidP="000D4EA4">
      <w:pPr>
        <w:rPr>
          <w:b/>
        </w:rPr>
      </w:pPr>
      <w:r w:rsidRPr="00371627">
        <w:rPr>
          <w:b/>
        </w:rPr>
        <w:t xml:space="preserve">Reporting requirements </w:t>
      </w:r>
    </w:p>
    <w:p w:rsidR="000D4EA4" w:rsidRPr="00A87772" w:rsidRDefault="000D4EA4" w:rsidP="000D4EA4">
      <w:pPr>
        <w:rPr>
          <w:rFonts w:cs="Arial"/>
        </w:rPr>
      </w:pPr>
      <w:r w:rsidRPr="000B2F16">
        <w:rPr>
          <w:rFonts w:cs="Arial"/>
        </w:rPr>
        <w:t xml:space="preserve">To ensure consistency in the approach to costing nationally, NHCDC data is </w:t>
      </w:r>
      <w:r>
        <w:rPr>
          <w:rFonts w:cs="Arial"/>
        </w:rPr>
        <w:t>costed in accordance with</w:t>
      </w:r>
      <w:r w:rsidRPr="000B2F16">
        <w:rPr>
          <w:rFonts w:cs="Arial"/>
        </w:rPr>
        <w:t xml:space="preserve"> the Australian Hospital Patient Costing Standards Version 3.1 (the Standards), available on IHPA’s website. </w:t>
      </w:r>
    </w:p>
    <w:p w:rsidR="000D4EA4" w:rsidRPr="00F87585" w:rsidRDefault="000D4EA4" w:rsidP="000D4EA4">
      <w:pPr>
        <w:rPr>
          <w:rFonts w:cs="Arial"/>
        </w:rPr>
      </w:pPr>
      <w:r w:rsidRPr="005178E2">
        <w:rPr>
          <w:rFonts w:cs="Arial"/>
        </w:rPr>
        <w:t xml:space="preserve">The Standards prescribe the set of line items and cost centres used for mapping hospital costs </w:t>
      </w:r>
      <w:r w:rsidRPr="00F87585">
        <w:rPr>
          <w:rFonts w:cs="Arial"/>
        </w:rPr>
        <w:t>in the costing process, to ensure that there is a consistent treatment of costs between hospitals. These costs are allocated to, and reported under, the NHCDC</w:t>
      </w:r>
      <w:r>
        <w:rPr>
          <w:rFonts w:cs="Arial"/>
        </w:rPr>
        <w:t>-</w:t>
      </w:r>
      <w:r w:rsidRPr="00F87585">
        <w:rPr>
          <w:rFonts w:cs="Arial"/>
        </w:rPr>
        <w:t xml:space="preserve">defined ‘cost buckets’. </w:t>
      </w:r>
    </w:p>
    <w:p w:rsidR="000D4EA4" w:rsidRPr="00F87585" w:rsidRDefault="000D4EA4" w:rsidP="000D4EA4">
      <w:pPr>
        <w:rPr>
          <w:rFonts w:cs="Arial"/>
        </w:rPr>
      </w:pPr>
      <w:r w:rsidRPr="00F87585">
        <w:rPr>
          <w:rFonts w:cs="Arial"/>
        </w:rPr>
        <w:t xml:space="preserve">Please refer to the Standards for the reference tables of line items, cost centre groups and cost buckets. Costed results are produced at the episode level, per cost centre and per line item. These results are provided to IHPA and are collated and analysed to produce this report. </w:t>
      </w:r>
    </w:p>
    <w:p w:rsidR="004C5B64" w:rsidRPr="00371627" w:rsidRDefault="004C5B64" w:rsidP="004C5B64">
      <w:pPr>
        <w:rPr>
          <w:b/>
        </w:rPr>
      </w:pPr>
      <w:r>
        <w:rPr>
          <w:b/>
        </w:rPr>
        <w:t>Classifications</w:t>
      </w:r>
    </w:p>
    <w:p w:rsidR="003059E1" w:rsidRDefault="004C5B64" w:rsidP="004C5B64">
      <w:r>
        <w:t>IHPA uses classifications to categorise, cost and fund hospital activity</w:t>
      </w:r>
      <w:r w:rsidR="000E5768">
        <w:t xml:space="preserve">. </w:t>
      </w:r>
    </w:p>
    <w:p w:rsidR="004C5B64" w:rsidRPr="005344EF" w:rsidRDefault="004C5B64" w:rsidP="004C5B64">
      <w:r>
        <w:t>Hospital a</w:t>
      </w:r>
      <w:r w:rsidRPr="005344EF">
        <w:t xml:space="preserve">ctivity refers to the services and procedures received by the patient in relation to their treatment. Each patient episode receives a code that describes </w:t>
      </w:r>
      <w:r w:rsidR="003059E1">
        <w:t xml:space="preserve">the type of treatment received. </w:t>
      </w:r>
      <w:r w:rsidRPr="005344EF">
        <w:t>These codes live within the various activity streams. Each stream has a corresponding classification</w:t>
      </w:r>
      <w:r>
        <w:t xml:space="preserve">. </w:t>
      </w:r>
      <w:r w:rsidRPr="005344EF">
        <w:t xml:space="preserve">The classifications are comprised of codes that provide clinically meaningful ways of relating the types of patients treated by a hospital to the resources required. </w:t>
      </w:r>
    </w:p>
    <w:p w:rsidR="004C5B64" w:rsidRDefault="004C5B64" w:rsidP="007F44CC">
      <w:pPr>
        <w:spacing w:before="0" w:after="0" w:line="240" w:lineRule="auto"/>
      </w:pPr>
      <w:r w:rsidRPr="00BC59A4">
        <w:t xml:space="preserve">Effective clinical classification systems ensure that hospital data is grouped into </w:t>
      </w:r>
      <w:r>
        <w:t>outputs reflective of their resource use</w:t>
      </w:r>
      <w:r w:rsidR="00F938BE">
        <w:t>.</w:t>
      </w:r>
      <w:r w:rsidR="009E4455">
        <w:t xml:space="preserve"> </w:t>
      </w:r>
      <w:r w:rsidR="003B4C44">
        <w:fldChar w:fldCharType="begin"/>
      </w:r>
      <w:r w:rsidR="003B4C44">
        <w:instrText xml:space="preserve"> REF _Ref527368604 \h </w:instrText>
      </w:r>
      <w:r w:rsidR="003B4C44">
        <w:fldChar w:fldCharType="separate"/>
      </w:r>
      <w:r w:rsidR="00342D61">
        <w:t xml:space="preserve">Table </w:t>
      </w:r>
      <w:r w:rsidR="00342D61">
        <w:rPr>
          <w:noProof/>
        </w:rPr>
        <w:t>2</w:t>
      </w:r>
      <w:r w:rsidR="003B4C44">
        <w:fldChar w:fldCharType="end"/>
      </w:r>
      <w:r w:rsidR="003059E1">
        <w:t xml:space="preserve"> describes</w:t>
      </w:r>
      <w:r w:rsidRPr="005344EF">
        <w:t xml:space="preserve"> the different types of activity streams and </w:t>
      </w:r>
      <w:r w:rsidR="001121C3">
        <w:t>the associated</w:t>
      </w:r>
      <w:r w:rsidRPr="005344EF">
        <w:t xml:space="preserve"> classification applied by IHPA for funding purposes</w:t>
      </w:r>
      <w:r>
        <w:t xml:space="preserve">. </w:t>
      </w:r>
      <w:r w:rsidRPr="005344EF">
        <w:t xml:space="preserve">The </w:t>
      </w:r>
      <w:r w:rsidR="005A3868">
        <w:t>NHCDC</w:t>
      </w:r>
      <w:r w:rsidRPr="005344EF">
        <w:t xml:space="preserve"> Report uses these </w:t>
      </w:r>
      <w:r w:rsidR="001121C3" w:rsidRPr="005344EF">
        <w:t>activit</w:t>
      </w:r>
      <w:r w:rsidR="001121C3">
        <w:t>y streams</w:t>
      </w:r>
      <w:r w:rsidRPr="005344EF">
        <w:t xml:space="preserve"> to </w:t>
      </w:r>
      <w:r w:rsidR="001121C3">
        <w:t>present</w:t>
      </w:r>
      <w:r w:rsidRPr="005344EF">
        <w:t xml:space="preserve"> the cost data</w:t>
      </w:r>
      <w:r w:rsidR="001121C3">
        <w:rPr>
          <w:rStyle w:val="FootnoteReference"/>
        </w:rPr>
        <w:footnoteReference w:id="1"/>
      </w:r>
      <w:r w:rsidRPr="005344EF">
        <w:t>.</w:t>
      </w:r>
      <w:r w:rsidR="001121C3">
        <w:t xml:space="preserve">  </w:t>
      </w:r>
    </w:p>
    <w:p w:rsidR="009E4455" w:rsidRDefault="009E4455">
      <w:pPr>
        <w:spacing w:before="0" w:after="0" w:line="240" w:lineRule="auto"/>
        <w:rPr>
          <w:rFonts w:ascii="Arial Bold" w:hAnsi="Arial Bold"/>
          <w:b/>
          <w:bCs/>
          <w:szCs w:val="18"/>
        </w:rPr>
      </w:pPr>
      <w:r>
        <w:rPr>
          <w:rFonts w:ascii="Arial Bold" w:hAnsi="Arial Bold"/>
          <w:b/>
          <w:bCs/>
          <w:szCs w:val="18"/>
        </w:rPr>
        <w:br w:type="page"/>
      </w:r>
    </w:p>
    <w:p w:rsidR="009C47B3" w:rsidRDefault="009C47B3" w:rsidP="007F44CC">
      <w:pPr>
        <w:pStyle w:val="Caption"/>
      </w:pPr>
      <w:bookmarkStart w:id="12" w:name="_Ref527368604"/>
      <w:bookmarkStart w:id="13" w:name="_Toc527385229"/>
      <w:r>
        <w:lastRenderedPageBreak/>
        <w:t xml:space="preserve">Table </w:t>
      </w:r>
      <w:r w:rsidR="00342D61">
        <w:fldChar w:fldCharType="begin"/>
      </w:r>
      <w:r w:rsidR="00342D61">
        <w:instrText xml:space="preserve"> SEQ Table \* ARABIC </w:instrText>
      </w:r>
      <w:r w:rsidR="00342D61">
        <w:fldChar w:fldCharType="separate"/>
      </w:r>
      <w:r w:rsidR="00342D61">
        <w:rPr>
          <w:noProof/>
        </w:rPr>
        <w:t>2</w:t>
      </w:r>
      <w:r w:rsidR="00342D61">
        <w:rPr>
          <w:noProof/>
        </w:rPr>
        <w:fldChar w:fldCharType="end"/>
      </w:r>
      <w:bookmarkEnd w:id="12"/>
      <w:r w:rsidRPr="006F7C01">
        <w:t xml:space="preserve"> </w:t>
      </w:r>
      <w:r>
        <w:t>IHPA classifications for different activity streams</w:t>
      </w:r>
      <w:bookmarkEnd w:id="13"/>
    </w:p>
    <w:tbl>
      <w:tblPr>
        <w:tblW w:w="9229" w:type="dxa"/>
        <w:tblInd w:w="93" w:type="dxa"/>
        <w:tblLook w:val="04A0" w:firstRow="1" w:lastRow="0" w:firstColumn="1" w:lastColumn="0" w:noHBand="0" w:noVBand="1"/>
        <w:tblCaption w:val="Table 2 IHPA classifications for different activity streams"/>
        <w:tblDescription w:val="The table lists the classifications for different activity streams"/>
      </w:tblPr>
      <w:tblGrid>
        <w:gridCol w:w="1433"/>
        <w:gridCol w:w="6095"/>
        <w:gridCol w:w="1701"/>
      </w:tblGrid>
      <w:tr w:rsidR="009F0F3A" w:rsidRPr="009F0F3A" w:rsidTr="009F0F3A">
        <w:trPr>
          <w:trHeight w:val="300"/>
        </w:trPr>
        <w:tc>
          <w:tcPr>
            <w:tcW w:w="1433" w:type="dxa"/>
            <w:tcBorders>
              <w:top w:val="single" w:sz="4" w:space="0" w:color="auto"/>
              <w:left w:val="nil"/>
              <w:bottom w:val="single" w:sz="4" w:space="0" w:color="auto"/>
              <w:right w:val="nil"/>
            </w:tcBorders>
            <w:shd w:val="clear" w:color="000000" w:fill="FFFFFF"/>
            <w:vAlign w:val="center"/>
            <w:hideMark/>
          </w:tcPr>
          <w:p w:rsidR="009F0F3A" w:rsidRPr="009F0F3A" w:rsidRDefault="009F0F3A" w:rsidP="009F0F3A">
            <w:pPr>
              <w:spacing w:before="0" w:after="0" w:line="240" w:lineRule="auto"/>
              <w:rPr>
                <w:rFonts w:cs="Arial"/>
                <w:b/>
                <w:bCs/>
                <w:iCs/>
                <w:color w:val="000000"/>
                <w:sz w:val="18"/>
                <w:szCs w:val="18"/>
              </w:rPr>
            </w:pPr>
            <w:r w:rsidRPr="009F0F3A">
              <w:rPr>
                <w:rFonts w:cs="Arial"/>
                <w:b/>
                <w:bCs/>
                <w:iCs/>
                <w:color w:val="000000"/>
                <w:sz w:val="18"/>
                <w:szCs w:val="18"/>
              </w:rPr>
              <w:t>Activity Stream</w:t>
            </w:r>
          </w:p>
        </w:tc>
        <w:tc>
          <w:tcPr>
            <w:tcW w:w="6095" w:type="dxa"/>
            <w:tcBorders>
              <w:top w:val="single" w:sz="4" w:space="0" w:color="auto"/>
              <w:left w:val="nil"/>
              <w:bottom w:val="single" w:sz="4" w:space="0" w:color="auto"/>
              <w:right w:val="nil"/>
            </w:tcBorders>
            <w:shd w:val="clear" w:color="000000" w:fill="FFFFFF"/>
            <w:vAlign w:val="center"/>
            <w:hideMark/>
          </w:tcPr>
          <w:p w:rsidR="009F0F3A" w:rsidRPr="009F0F3A" w:rsidRDefault="009F0F3A" w:rsidP="009F0F3A">
            <w:pPr>
              <w:spacing w:before="0" w:after="0" w:line="240" w:lineRule="auto"/>
              <w:rPr>
                <w:rFonts w:cs="Arial"/>
                <w:b/>
                <w:bCs/>
                <w:iCs/>
                <w:color w:val="000000"/>
                <w:sz w:val="18"/>
                <w:szCs w:val="18"/>
              </w:rPr>
            </w:pPr>
            <w:r w:rsidRPr="009F0F3A">
              <w:rPr>
                <w:rFonts w:cs="Arial"/>
                <w:b/>
                <w:bCs/>
                <w:iCs/>
                <w:color w:val="000000"/>
                <w:sz w:val="18"/>
                <w:szCs w:val="18"/>
              </w:rPr>
              <w:t>Description</w:t>
            </w:r>
          </w:p>
        </w:tc>
        <w:tc>
          <w:tcPr>
            <w:tcW w:w="1701" w:type="dxa"/>
            <w:tcBorders>
              <w:top w:val="single" w:sz="4" w:space="0" w:color="auto"/>
              <w:left w:val="nil"/>
              <w:bottom w:val="single" w:sz="4" w:space="0" w:color="auto"/>
              <w:right w:val="nil"/>
            </w:tcBorders>
            <w:shd w:val="clear" w:color="000000" w:fill="FFFFFF"/>
            <w:vAlign w:val="center"/>
            <w:hideMark/>
          </w:tcPr>
          <w:p w:rsidR="009F0F3A" w:rsidRPr="009F0F3A" w:rsidRDefault="009F0F3A" w:rsidP="009F0F3A">
            <w:pPr>
              <w:spacing w:before="0" w:after="0" w:line="240" w:lineRule="auto"/>
              <w:rPr>
                <w:rFonts w:cs="Arial"/>
                <w:b/>
                <w:bCs/>
                <w:iCs/>
                <w:color w:val="000000"/>
                <w:sz w:val="18"/>
                <w:szCs w:val="18"/>
              </w:rPr>
            </w:pPr>
            <w:r w:rsidRPr="009F0F3A">
              <w:rPr>
                <w:rFonts w:cs="Arial"/>
                <w:b/>
                <w:bCs/>
                <w:iCs/>
                <w:color w:val="000000"/>
                <w:sz w:val="18"/>
                <w:szCs w:val="18"/>
              </w:rPr>
              <w:t>Classification</w:t>
            </w:r>
          </w:p>
        </w:tc>
      </w:tr>
      <w:tr w:rsidR="009F0F3A" w:rsidRPr="009F0F3A" w:rsidTr="009F0F3A">
        <w:trPr>
          <w:trHeight w:val="720"/>
        </w:trPr>
        <w:tc>
          <w:tcPr>
            <w:tcW w:w="1433" w:type="dxa"/>
            <w:vMerge w:val="restart"/>
            <w:tcBorders>
              <w:top w:val="single" w:sz="4" w:space="0" w:color="auto"/>
              <w:left w:val="nil"/>
              <w:bottom w:val="nil"/>
              <w:right w:val="nil"/>
            </w:tcBorders>
            <w:shd w:val="clear" w:color="000000" w:fill="FFFFFF"/>
            <w:vAlign w:val="center"/>
            <w:hideMark/>
          </w:tcPr>
          <w:p w:rsidR="009F0F3A" w:rsidRDefault="009F0F3A" w:rsidP="009F0F3A">
            <w:pPr>
              <w:spacing w:before="0" w:after="0" w:line="240" w:lineRule="auto"/>
              <w:rPr>
                <w:rFonts w:cs="Arial"/>
                <w:i/>
                <w:iCs/>
                <w:color w:val="000000"/>
                <w:sz w:val="18"/>
                <w:szCs w:val="18"/>
              </w:rPr>
            </w:pPr>
            <w:r w:rsidRPr="009F0F3A">
              <w:rPr>
                <w:rFonts w:cs="Arial"/>
                <w:i/>
                <w:iCs/>
                <w:color w:val="000000"/>
                <w:sz w:val="18"/>
                <w:szCs w:val="18"/>
              </w:rPr>
              <w:t xml:space="preserve">Admitted </w:t>
            </w:r>
          </w:p>
          <w:p w:rsidR="009F0F3A" w:rsidRPr="009F0F3A" w:rsidRDefault="009F0F3A" w:rsidP="009F0F3A">
            <w:pPr>
              <w:spacing w:before="0" w:after="0" w:line="240" w:lineRule="auto"/>
              <w:rPr>
                <w:rFonts w:cs="Arial"/>
                <w:i/>
                <w:iCs/>
                <w:color w:val="000000"/>
                <w:sz w:val="18"/>
                <w:szCs w:val="18"/>
              </w:rPr>
            </w:pPr>
            <w:r w:rsidRPr="009F0F3A">
              <w:rPr>
                <w:rFonts w:cs="Arial"/>
                <w:i/>
                <w:iCs/>
                <w:color w:val="000000"/>
                <w:sz w:val="18"/>
                <w:szCs w:val="18"/>
              </w:rPr>
              <w:t>acute care</w:t>
            </w:r>
          </w:p>
        </w:tc>
        <w:tc>
          <w:tcPr>
            <w:tcW w:w="6095" w:type="dxa"/>
            <w:tcBorders>
              <w:top w:val="single" w:sz="4" w:space="0" w:color="auto"/>
              <w:left w:val="nil"/>
              <w:bottom w:val="nil"/>
              <w:right w:val="nil"/>
            </w:tcBorders>
            <w:shd w:val="clear" w:color="000000" w:fill="FFFFFF"/>
            <w:vAlign w:val="center"/>
            <w:hideMark/>
          </w:tcPr>
          <w:p w:rsidR="009F0F3A" w:rsidRPr="009F0F3A" w:rsidRDefault="009F0F3A" w:rsidP="009F0F3A">
            <w:pPr>
              <w:spacing w:before="0" w:after="0" w:line="240" w:lineRule="auto"/>
              <w:rPr>
                <w:rFonts w:cs="Arial"/>
                <w:color w:val="000000"/>
                <w:sz w:val="18"/>
                <w:szCs w:val="18"/>
              </w:rPr>
            </w:pPr>
            <w:r w:rsidRPr="009F0F3A">
              <w:rPr>
                <w:rFonts w:cs="Arial"/>
                <w:color w:val="000000"/>
                <w:sz w:val="18"/>
                <w:szCs w:val="18"/>
              </w:rPr>
              <w:t>Admitted acute care is provided to patients who are formally admitted to hospital to receive active but short-term treatment with a goal to:</w:t>
            </w:r>
          </w:p>
        </w:tc>
        <w:tc>
          <w:tcPr>
            <w:tcW w:w="1701" w:type="dxa"/>
            <w:vMerge w:val="restart"/>
            <w:tcBorders>
              <w:top w:val="single" w:sz="4" w:space="0" w:color="auto"/>
              <w:left w:val="nil"/>
              <w:bottom w:val="nil"/>
              <w:right w:val="nil"/>
            </w:tcBorders>
            <w:shd w:val="clear" w:color="auto" w:fill="auto"/>
            <w:hideMark/>
          </w:tcPr>
          <w:p w:rsidR="009F0F3A" w:rsidRPr="009F0F3A" w:rsidRDefault="009F0F3A" w:rsidP="009F0F3A">
            <w:pPr>
              <w:spacing w:before="0" w:after="0" w:line="240" w:lineRule="auto"/>
              <w:rPr>
                <w:rFonts w:cs="Arial"/>
                <w:color w:val="000000"/>
                <w:sz w:val="18"/>
                <w:szCs w:val="18"/>
              </w:rPr>
            </w:pPr>
            <w:r w:rsidRPr="009F0F3A">
              <w:rPr>
                <w:rFonts w:cs="Arial"/>
                <w:color w:val="000000"/>
                <w:sz w:val="18"/>
                <w:szCs w:val="18"/>
              </w:rPr>
              <w:t>Australian Refined Diagnosis Related Groups (AR-DRG) Version 9</w:t>
            </w:r>
          </w:p>
        </w:tc>
      </w:tr>
      <w:tr w:rsidR="009F0F3A" w:rsidRPr="009F0F3A" w:rsidTr="009F0F3A">
        <w:trPr>
          <w:trHeight w:val="300"/>
        </w:trPr>
        <w:tc>
          <w:tcPr>
            <w:tcW w:w="1433" w:type="dxa"/>
            <w:vMerge/>
            <w:tcBorders>
              <w:top w:val="single" w:sz="4" w:space="0" w:color="auto"/>
              <w:left w:val="nil"/>
              <w:bottom w:val="nil"/>
              <w:right w:val="nil"/>
            </w:tcBorders>
            <w:vAlign w:val="center"/>
            <w:hideMark/>
          </w:tcPr>
          <w:p w:rsidR="009F0F3A" w:rsidRPr="009F0F3A" w:rsidRDefault="009F0F3A" w:rsidP="009F0F3A">
            <w:pPr>
              <w:spacing w:before="0" w:after="0" w:line="240" w:lineRule="auto"/>
              <w:rPr>
                <w:rFonts w:cs="Arial"/>
                <w:i/>
                <w:iCs/>
                <w:color w:val="000000"/>
                <w:sz w:val="18"/>
                <w:szCs w:val="18"/>
              </w:rPr>
            </w:pPr>
          </w:p>
        </w:tc>
        <w:tc>
          <w:tcPr>
            <w:tcW w:w="6095" w:type="dxa"/>
            <w:tcBorders>
              <w:top w:val="nil"/>
              <w:left w:val="nil"/>
              <w:bottom w:val="nil"/>
              <w:right w:val="nil"/>
            </w:tcBorders>
            <w:shd w:val="clear" w:color="000000" w:fill="FFFFFF"/>
            <w:vAlign w:val="center"/>
            <w:hideMark/>
          </w:tcPr>
          <w:p w:rsidR="009F0F3A" w:rsidRPr="006D7314" w:rsidRDefault="009F0F3A" w:rsidP="007B079A">
            <w:pPr>
              <w:pStyle w:val="ListParagraph"/>
              <w:numPr>
                <w:ilvl w:val="0"/>
                <w:numId w:val="15"/>
              </w:numPr>
              <w:spacing w:before="0" w:after="0" w:line="240" w:lineRule="auto"/>
              <w:rPr>
                <w:color w:val="000000"/>
                <w:sz w:val="18"/>
                <w:szCs w:val="18"/>
              </w:rPr>
            </w:pPr>
            <w:r w:rsidRPr="006D7314">
              <w:rPr>
                <w:color w:val="000000"/>
                <w:sz w:val="18"/>
                <w:szCs w:val="18"/>
              </w:rPr>
              <w:t>cure, treat or relieve symptoms of illness or injury</w:t>
            </w:r>
          </w:p>
        </w:tc>
        <w:tc>
          <w:tcPr>
            <w:tcW w:w="1701" w:type="dxa"/>
            <w:vMerge/>
            <w:tcBorders>
              <w:top w:val="single" w:sz="4" w:space="0" w:color="auto"/>
              <w:left w:val="nil"/>
              <w:bottom w:val="nil"/>
              <w:right w:val="nil"/>
            </w:tcBorders>
            <w:vAlign w:val="center"/>
            <w:hideMark/>
          </w:tcPr>
          <w:p w:rsidR="009F0F3A" w:rsidRPr="009F0F3A" w:rsidRDefault="009F0F3A" w:rsidP="009F0F3A">
            <w:pPr>
              <w:spacing w:before="0" w:after="0" w:line="240" w:lineRule="auto"/>
              <w:rPr>
                <w:rFonts w:cs="Arial"/>
                <w:color w:val="000000"/>
                <w:sz w:val="18"/>
                <w:szCs w:val="18"/>
              </w:rPr>
            </w:pPr>
          </w:p>
        </w:tc>
      </w:tr>
      <w:tr w:rsidR="009F0F3A" w:rsidRPr="009F0F3A" w:rsidTr="009F0F3A">
        <w:trPr>
          <w:trHeight w:val="300"/>
        </w:trPr>
        <w:tc>
          <w:tcPr>
            <w:tcW w:w="1433" w:type="dxa"/>
            <w:vMerge/>
            <w:tcBorders>
              <w:top w:val="single" w:sz="4" w:space="0" w:color="auto"/>
              <w:left w:val="nil"/>
              <w:bottom w:val="nil"/>
              <w:right w:val="nil"/>
            </w:tcBorders>
            <w:vAlign w:val="center"/>
            <w:hideMark/>
          </w:tcPr>
          <w:p w:rsidR="009F0F3A" w:rsidRPr="009F0F3A" w:rsidRDefault="009F0F3A" w:rsidP="009F0F3A">
            <w:pPr>
              <w:spacing w:before="0" w:after="0" w:line="240" w:lineRule="auto"/>
              <w:rPr>
                <w:rFonts w:cs="Arial"/>
                <w:i/>
                <w:iCs/>
                <w:color w:val="000000"/>
                <w:sz w:val="18"/>
                <w:szCs w:val="18"/>
              </w:rPr>
            </w:pPr>
          </w:p>
        </w:tc>
        <w:tc>
          <w:tcPr>
            <w:tcW w:w="6095" w:type="dxa"/>
            <w:tcBorders>
              <w:top w:val="nil"/>
              <w:left w:val="nil"/>
              <w:bottom w:val="nil"/>
              <w:right w:val="nil"/>
            </w:tcBorders>
            <w:shd w:val="clear" w:color="000000" w:fill="FFFFFF"/>
            <w:vAlign w:val="center"/>
            <w:hideMark/>
          </w:tcPr>
          <w:p w:rsidR="009F0F3A" w:rsidRPr="006D7314" w:rsidRDefault="009F0F3A" w:rsidP="007B079A">
            <w:pPr>
              <w:pStyle w:val="ListParagraph"/>
              <w:numPr>
                <w:ilvl w:val="0"/>
                <w:numId w:val="15"/>
              </w:numPr>
              <w:spacing w:before="0" w:after="0" w:line="240" w:lineRule="auto"/>
              <w:rPr>
                <w:color w:val="000000"/>
                <w:sz w:val="18"/>
                <w:szCs w:val="18"/>
              </w:rPr>
            </w:pPr>
            <w:r w:rsidRPr="006D7314">
              <w:rPr>
                <w:color w:val="000000"/>
                <w:sz w:val="18"/>
                <w:szCs w:val="18"/>
              </w:rPr>
              <w:t xml:space="preserve">reduce severity of an illness or injury </w:t>
            </w:r>
          </w:p>
        </w:tc>
        <w:tc>
          <w:tcPr>
            <w:tcW w:w="1701" w:type="dxa"/>
            <w:vMerge/>
            <w:tcBorders>
              <w:top w:val="single" w:sz="4" w:space="0" w:color="auto"/>
              <w:left w:val="nil"/>
              <w:bottom w:val="nil"/>
              <w:right w:val="nil"/>
            </w:tcBorders>
            <w:vAlign w:val="center"/>
            <w:hideMark/>
          </w:tcPr>
          <w:p w:rsidR="009F0F3A" w:rsidRPr="009F0F3A" w:rsidRDefault="009F0F3A" w:rsidP="009F0F3A">
            <w:pPr>
              <w:spacing w:before="0" w:after="0" w:line="240" w:lineRule="auto"/>
              <w:rPr>
                <w:rFonts w:cs="Arial"/>
                <w:color w:val="000000"/>
                <w:sz w:val="18"/>
                <w:szCs w:val="18"/>
              </w:rPr>
            </w:pPr>
          </w:p>
        </w:tc>
      </w:tr>
      <w:tr w:rsidR="009F0F3A" w:rsidRPr="009F0F3A" w:rsidTr="009F0F3A">
        <w:trPr>
          <w:trHeight w:val="300"/>
        </w:trPr>
        <w:tc>
          <w:tcPr>
            <w:tcW w:w="1433" w:type="dxa"/>
            <w:vMerge/>
            <w:tcBorders>
              <w:top w:val="single" w:sz="4" w:space="0" w:color="auto"/>
              <w:left w:val="nil"/>
              <w:bottom w:val="nil"/>
              <w:right w:val="nil"/>
            </w:tcBorders>
            <w:vAlign w:val="center"/>
            <w:hideMark/>
          </w:tcPr>
          <w:p w:rsidR="009F0F3A" w:rsidRPr="009F0F3A" w:rsidRDefault="009F0F3A" w:rsidP="009F0F3A">
            <w:pPr>
              <w:spacing w:before="0" w:after="0" w:line="240" w:lineRule="auto"/>
              <w:rPr>
                <w:rFonts w:cs="Arial"/>
                <w:i/>
                <w:iCs/>
                <w:color w:val="000000"/>
                <w:sz w:val="18"/>
                <w:szCs w:val="18"/>
              </w:rPr>
            </w:pPr>
          </w:p>
        </w:tc>
        <w:tc>
          <w:tcPr>
            <w:tcW w:w="6095" w:type="dxa"/>
            <w:tcBorders>
              <w:top w:val="nil"/>
              <w:left w:val="nil"/>
              <w:bottom w:val="nil"/>
              <w:right w:val="nil"/>
            </w:tcBorders>
            <w:shd w:val="clear" w:color="000000" w:fill="FFFFFF"/>
            <w:vAlign w:val="center"/>
            <w:hideMark/>
          </w:tcPr>
          <w:p w:rsidR="009F0F3A" w:rsidRPr="006D7314" w:rsidRDefault="009F0F3A" w:rsidP="007B079A">
            <w:pPr>
              <w:pStyle w:val="ListParagraph"/>
              <w:numPr>
                <w:ilvl w:val="0"/>
                <w:numId w:val="15"/>
              </w:numPr>
              <w:spacing w:before="0" w:after="0" w:line="240" w:lineRule="auto"/>
              <w:rPr>
                <w:color w:val="000000"/>
                <w:sz w:val="18"/>
                <w:szCs w:val="18"/>
              </w:rPr>
            </w:pPr>
            <w:r w:rsidRPr="006D7314">
              <w:rPr>
                <w:color w:val="000000"/>
                <w:sz w:val="18"/>
                <w:szCs w:val="18"/>
              </w:rPr>
              <w:t>perform surgery</w:t>
            </w:r>
          </w:p>
        </w:tc>
        <w:tc>
          <w:tcPr>
            <w:tcW w:w="1701" w:type="dxa"/>
            <w:vMerge/>
            <w:tcBorders>
              <w:top w:val="single" w:sz="4" w:space="0" w:color="auto"/>
              <w:left w:val="nil"/>
              <w:bottom w:val="nil"/>
              <w:right w:val="nil"/>
            </w:tcBorders>
            <w:vAlign w:val="center"/>
            <w:hideMark/>
          </w:tcPr>
          <w:p w:rsidR="009F0F3A" w:rsidRPr="009F0F3A" w:rsidRDefault="009F0F3A" w:rsidP="009F0F3A">
            <w:pPr>
              <w:spacing w:before="0" w:after="0" w:line="240" w:lineRule="auto"/>
              <w:rPr>
                <w:rFonts w:cs="Arial"/>
                <w:color w:val="000000"/>
                <w:sz w:val="18"/>
                <w:szCs w:val="18"/>
              </w:rPr>
            </w:pPr>
          </w:p>
        </w:tc>
      </w:tr>
      <w:tr w:rsidR="009F0F3A" w:rsidRPr="009F0F3A" w:rsidTr="009F0F3A">
        <w:trPr>
          <w:trHeight w:val="300"/>
        </w:trPr>
        <w:tc>
          <w:tcPr>
            <w:tcW w:w="1433" w:type="dxa"/>
            <w:vMerge/>
            <w:tcBorders>
              <w:top w:val="single" w:sz="4" w:space="0" w:color="auto"/>
              <w:left w:val="nil"/>
              <w:bottom w:val="nil"/>
              <w:right w:val="nil"/>
            </w:tcBorders>
            <w:vAlign w:val="center"/>
            <w:hideMark/>
          </w:tcPr>
          <w:p w:rsidR="009F0F3A" w:rsidRPr="009F0F3A" w:rsidRDefault="009F0F3A" w:rsidP="009F0F3A">
            <w:pPr>
              <w:spacing w:before="0" w:after="0" w:line="240" w:lineRule="auto"/>
              <w:rPr>
                <w:rFonts w:cs="Arial"/>
                <w:i/>
                <w:iCs/>
                <w:color w:val="000000"/>
                <w:sz w:val="18"/>
                <w:szCs w:val="18"/>
              </w:rPr>
            </w:pPr>
          </w:p>
        </w:tc>
        <w:tc>
          <w:tcPr>
            <w:tcW w:w="6095" w:type="dxa"/>
            <w:tcBorders>
              <w:top w:val="nil"/>
              <w:left w:val="nil"/>
              <w:bottom w:val="nil"/>
              <w:right w:val="nil"/>
            </w:tcBorders>
            <w:shd w:val="clear" w:color="000000" w:fill="FFFFFF"/>
            <w:vAlign w:val="center"/>
            <w:hideMark/>
          </w:tcPr>
          <w:p w:rsidR="009F0F3A" w:rsidRPr="006D7314" w:rsidRDefault="009F0F3A" w:rsidP="007B079A">
            <w:pPr>
              <w:pStyle w:val="ListParagraph"/>
              <w:numPr>
                <w:ilvl w:val="0"/>
                <w:numId w:val="15"/>
              </w:numPr>
              <w:spacing w:before="0" w:after="0" w:line="240" w:lineRule="auto"/>
              <w:rPr>
                <w:color w:val="000000"/>
                <w:sz w:val="18"/>
                <w:szCs w:val="18"/>
              </w:rPr>
            </w:pPr>
            <w:r w:rsidRPr="006D7314">
              <w:rPr>
                <w:color w:val="000000"/>
                <w:sz w:val="18"/>
                <w:szCs w:val="18"/>
              </w:rPr>
              <w:t>perform diagnostic or therapeutic procedures</w:t>
            </w:r>
          </w:p>
        </w:tc>
        <w:tc>
          <w:tcPr>
            <w:tcW w:w="1701" w:type="dxa"/>
            <w:vMerge/>
            <w:tcBorders>
              <w:top w:val="single" w:sz="4" w:space="0" w:color="auto"/>
              <w:left w:val="nil"/>
              <w:bottom w:val="nil"/>
              <w:right w:val="nil"/>
            </w:tcBorders>
            <w:vAlign w:val="center"/>
            <w:hideMark/>
          </w:tcPr>
          <w:p w:rsidR="009F0F3A" w:rsidRPr="009F0F3A" w:rsidRDefault="009F0F3A" w:rsidP="009F0F3A">
            <w:pPr>
              <w:spacing w:before="0" w:after="0" w:line="240" w:lineRule="auto"/>
              <w:rPr>
                <w:rFonts w:cs="Arial"/>
                <w:color w:val="000000"/>
                <w:sz w:val="18"/>
                <w:szCs w:val="18"/>
              </w:rPr>
            </w:pPr>
          </w:p>
        </w:tc>
      </w:tr>
      <w:tr w:rsidR="009F0F3A" w:rsidRPr="009F0F3A" w:rsidTr="009F0F3A">
        <w:trPr>
          <w:trHeight w:val="300"/>
        </w:trPr>
        <w:tc>
          <w:tcPr>
            <w:tcW w:w="1433" w:type="dxa"/>
            <w:vMerge/>
            <w:tcBorders>
              <w:top w:val="single" w:sz="4" w:space="0" w:color="auto"/>
              <w:left w:val="nil"/>
              <w:bottom w:val="nil"/>
              <w:right w:val="nil"/>
            </w:tcBorders>
            <w:vAlign w:val="center"/>
            <w:hideMark/>
          </w:tcPr>
          <w:p w:rsidR="009F0F3A" w:rsidRPr="009F0F3A" w:rsidRDefault="009F0F3A" w:rsidP="009F0F3A">
            <w:pPr>
              <w:spacing w:before="0" w:after="0" w:line="240" w:lineRule="auto"/>
              <w:rPr>
                <w:rFonts w:cs="Arial"/>
                <w:i/>
                <w:iCs/>
                <w:color w:val="000000"/>
                <w:sz w:val="18"/>
                <w:szCs w:val="18"/>
              </w:rPr>
            </w:pPr>
          </w:p>
        </w:tc>
        <w:tc>
          <w:tcPr>
            <w:tcW w:w="6095" w:type="dxa"/>
            <w:tcBorders>
              <w:top w:val="nil"/>
              <w:left w:val="nil"/>
              <w:bottom w:val="nil"/>
              <w:right w:val="nil"/>
            </w:tcBorders>
            <w:shd w:val="clear" w:color="000000" w:fill="FFFFFF"/>
            <w:vAlign w:val="center"/>
            <w:hideMark/>
          </w:tcPr>
          <w:p w:rsidR="009F0F3A" w:rsidRPr="006D7314" w:rsidRDefault="009F0F3A" w:rsidP="007B079A">
            <w:pPr>
              <w:pStyle w:val="ListParagraph"/>
              <w:numPr>
                <w:ilvl w:val="0"/>
                <w:numId w:val="15"/>
              </w:numPr>
              <w:spacing w:before="0" w:after="0" w:line="240" w:lineRule="auto"/>
              <w:rPr>
                <w:color w:val="000000"/>
                <w:sz w:val="18"/>
                <w:szCs w:val="18"/>
              </w:rPr>
            </w:pPr>
            <w:r w:rsidRPr="006D7314">
              <w:rPr>
                <w:color w:val="000000"/>
                <w:sz w:val="18"/>
                <w:szCs w:val="18"/>
              </w:rPr>
              <w:t>manage childbirth</w:t>
            </w:r>
          </w:p>
        </w:tc>
        <w:tc>
          <w:tcPr>
            <w:tcW w:w="1701" w:type="dxa"/>
            <w:vMerge/>
            <w:tcBorders>
              <w:top w:val="single" w:sz="4" w:space="0" w:color="auto"/>
              <w:left w:val="nil"/>
              <w:bottom w:val="nil"/>
              <w:right w:val="nil"/>
            </w:tcBorders>
            <w:vAlign w:val="center"/>
            <w:hideMark/>
          </w:tcPr>
          <w:p w:rsidR="009F0F3A" w:rsidRPr="009F0F3A" w:rsidRDefault="009F0F3A" w:rsidP="009F0F3A">
            <w:pPr>
              <w:spacing w:before="0" w:after="0" w:line="240" w:lineRule="auto"/>
              <w:rPr>
                <w:rFonts w:cs="Arial"/>
                <w:color w:val="000000"/>
                <w:sz w:val="18"/>
                <w:szCs w:val="18"/>
              </w:rPr>
            </w:pPr>
          </w:p>
        </w:tc>
      </w:tr>
      <w:tr w:rsidR="009F0F3A" w:rsidRPr="009F0F3A" w:rsidTr="009F0F3A">
        <w:trPr>
          <w:trHeight w:val="90"/>
        </w:trPr>
        <w:tc>
          <w:tcPr>
            <w:tcW w:w="1433" w:type="dxa"/>
            <w:vMerge/>
            <w:tcBorders>
              <w:top w:val="single" w:sz="4" w:space="0" w:color="auto"/>
              <w:left w:val="nil"/>
              <w:bottom w:val="nil"/>
              <w:right w:val="nil"/>
            </w:tcBorders>
            <w:vAlign w:val="center"/>
            <w:hideMark/>
          </w:tcPr>
          <w:p w:rsidR="009F0F3A" w:rsidRPr="009F0F3A" w:rsidRDefault="009F0F3A" w:rsidP="009F0F3A">
            <w:pPr>
              <w:spacing w:before="0" w:after="0" w:line="240" w:lineRule="auto"/>
              <w:rPr>
                <w:rFonts w:cs="Arial"/>
                <w:i/>
                <w:iCs/>
                <w:color w:val="000000"/>
                <w:sz w:val="18"/>
                <w:szCs w:val="18"/>
              </w:rPr>
            </w:pPr>
          </w:p>
        </w:tc>
        <w:tc>
          <w:tcPr>
            <w:tcW w:w="6095" w:type="dxa"/>
            <w:tcBorders>
              <w:top w:val="nil"/>
              <w:left w:val="nil"/>
              <w:bottom w:val="nil"/>
              <w:right w:val="nil"/>
            </w:tcBorders>
            <w:shd w:val="clear" w:color="000000" w:fill="FFFFFF"/>
            <w:vAlign w:val="center"/>
            <w:hideMark/>
          </w:tcPr>
          <w:p w:rsidR="009F0F3A" w:rsidRPr="009F0F3A" w:rsidRDefault="009F0F3A" w:rsidP="009F0F3A">
            <w:pPr>
              <w:spacing w:before="0" w:after="0" w:line="240" w:lineRule="auto"/>
              <w:rPr>
                <w:rFonts w:cs="Arial"/>
                <w:color w:val="000000"/>
                <w:sz w:val="18"/>
                <w:szCs w:val="18"/>
              </w:rPr>
            </w:pPr>
          </w:p>
        </w:tc>
        <w:tc>
          <w:tcPr>
            <w:tcW w:w="1701" w:type="dxa"/>
            <w:vMerge/>
            <w:tcBorders>
              <w:top w:val="single" w:sz="4" w:space="0" w:color="auto"/>
              <w:left w:val="nil"/>
              <w:bottom w:val="nil"/>
              <w:right w:val="nil"/>
            </w:tcBorders>
            <w:vAlign w:val="center"/>
            <w:hideMark/>
          </w:tcPr>
          <w:p w:rsidR="009F0F3A" w:rsidRPr="009F0F3A" w:rsidRDefault="009F0F3A" w:rsidP="009F0F3A">
            <w:pPr>
              <w:spacing w:before="0" w:after="0" w:line="240" w:lineRule="auto"/>
              <w:rPr>
                <w:rFonts w:cs="Arial"/>
                <w:color w:val="000000"/>
                <w:sz w:val="18"/>
                <w:szCs w:val="18"/>
              </w:rPr>
            </w:pPr>
          </w:p>
        </w:tc>
      </w:tr>
      <w:tr w:rsidR="009F0F3A" w:rsidRPr="009F0F3A" w:rsidTr="009F0F3A">
        <w:trPr>
          <w:trHeight w:val="480"/>
        </w:trPr>
        <w:tc>
          <w:tcPr>
            <w:tcW w:w="1433" w:type="dxa"/>
            <w:vMerge w:val="restart"/>
            <w:tcBorders>
              <w:top w:val="single" w:sz="4" w:space="0" w:color="auto"/>
              <w:left w:val="nil"/>
              <w:bottom w:val="single" w:sz="4" w:space="0" w:color="000000"/>
              <w:right w:val="nil"/>
            </w:tcBorders>
            <w:shd w:val="clear" w:color="000000" w:fill="FFFFFF"/>
            <w:vAlign w:val="center"/>
            <w:hideMark/>
          </w:tcPr>
          <w:p w:rsidR="009F0F3A" w:rsidRPr="009F0F3A" w:rsidRDefault="009F0F3A" w:rsidP="009F0F3A">
            <w:pPr>
              <w:spacing w:before="0" w:after="0" w:line="240" w:lineRule="auto"/>
              <w:rPr>
                <w:rFonts w:cs="Arial"/>
                <w:i/>
                <w:iCs/>
                <w:color w:val="000000"/>
                <w:sz w:val="18"/>
                <w:szCs w:val="18"/>
              </w:rPr>
            </w:pPr>
            <w:r w:rsidRPr="009F0F3A">
              <w:rPr>
                <w:rFonts w:cs="Arial"/>
                <w:i/>
                <w:iCs/>
                <w:color w:val="000000"/>
                <w:sz w:val="18"/>
                <w:szCs w:val="18"/>
              </w:rPr>
              <w:t>Subacute and non-acute care</w:t>
            </w:r>
          </w:p>
        </w:tc>
        <w:tc>
          <w:tcPr>
            <w:tcW w:w="6095" w:type="dxa"/>
            <w:tcBorders>
              <w:top w:val="single" w:sz="4" w:space="0" w:color="auto"/>
              <w:left w:val="nil"/>
              <w:bottom w:val="nil"/>
              <w:right w:val="nil"/>
            </w:tcBorders>
            <w:shd w:val="clear" w:color="000000" w:fill="FFFFFF"/>
            <w:vAlign w:val="center"/>
            <w:hideMark/>
          </w:tcPr>
          <w:p w:rsidR="009F0F3A" w:rsidRPr="009F0F3A" w:rsidRDefault="009F0F3A" w:rsidP="009F0F3A">
            <w:pPr>
              <w:spacing w:before="0" w:after="0" w:line="240" w:lineRule="auto"/>
              <w:rPr>
                <w:rFonts w:cs="Arial"/>
                <w:color w:val="000000"/>
                <w:sz w:val="18"/>
                <w:szCs w:val="18"/>
              </w:rPr>
            </w:pPr>
            <w:r w:rsidRPr="009F0F3A">
              <w:rPr>
                <w:rFonts w:cs="Arial"/>
                <w:color w:val="000000"/>
                <w:sz w:val="18"/>
                <w:szCs w:val="18"/>
              </w:rPr>
              <w:t xml:space="preserve">Specialised multidisciplinary care in which the primary need for care is optimisation of the patient’s functioning and quality of life. </w:t>
            </w:r>
          </w:p>
        </w:tc>
        <w:tc>
          <w:tcPr>
            <w:tcW w:w="1701" w:type="dxa"/>
            <w:vMerge w:val="restart"/>
            <w:tcBorders>
              <w:top w:val="single" w:sz="4" w:space="0" w:color="auto"/>
              <w:left w:val="nil"/>
              <w:bottom w:val="single" w:sz="4" w:space="0" w:color="000000"/>
              <w:right w:val="nil"/>
            </w:tcBorders>
            <w:shd w:val="clear" w:color="000000" w:fill="FFFFFF"/>
            <w:hideMark/>
          </w:tcPr>
          <w:p w:rsidR="009F0F3A" w:rsidRPr="009F0F3A" w:rsidRDefault="009F0F3A" w:rsidP="009F0F3A">
            <w:pPr>
              <w:spacing w:before="0" w:after="0" w:line="240" w:lineRule="auto"/>
              <w:rPr>
                <w:rFonts w:cs="Arial"/>
                <w:color w:val="000000"/>
                <w:sz w:val="18"/>
                <w:szCs w:val="18"/>
              </w:rPr>
            </w:pPr>
            <w:r w:rsidRPr="009F0F3A">
              <w:rPr>
                <w:rFonts w:cs="Arial"/>
                <w:color w:val="000000"/>
                <w:sz w:val="18"/>
                <w:szCs w:val="18"/>
              </w:rPr>
              <w:t>Australian National Subacute and Non-Acute Patient (AN-SNAP) classification Version 4</w:t>
            </w:r>
          </w:p>
        </w:tc>
      </w:tr>
      <w:tr w:rsidR="009F0F3A" w:rsidRPr="009F0F3A" w:rsidTr="009F0F3A">
        <w:trPr>
          <w:trHeight w:val="300"/>
        </w:trPr>
        <w:tc>
          <w:tcPr>
            <w:tcW w:w="1433" w:type="dxa"/>
            <w:vMerge/>
            <w:tcBorders>
              <w:top w:val="single" w:sz="4" w:space="0" w:color="auto"/>
              <w:left w:val="nil"/>
              <w:bottom w:val="single" w:sz="4" w:space="0" w:color="000000"/>
              <w:right w:val="nil"/>
            </w:tcBorders>
            <w:vAlign w:val="center"/>
            <w:hideMark/>
          </w:tcPr>
          <w:p w:rsidR="009F0F3A" w:rsidRPr="009F0F3A" w:rsidRDefault="009F0F3A" w:rsidP="009F0F3A">
            <w:pPr>
              <w:spacing w:before="0" w:after="0" w:line="240" w:lineRule="auto"/>
              <w:rPr>
                <w:rFonts w:cs="Arial"/>
                <w:i/>
                <w:iCs/>
                <w:color w:val="000000"/>
                <w:sz w:val="18"/>
                <w:szCs w:val="18"/>
              </w:rPr>
            </w:pPr>
          </w:p>
        </w:tc>
        <w:tc>
          <w:tcPr>
            <w:tcW w:w="6095" w:type="dxa"/>
            <w:tcBorders>
              <w:top w:val="nil"/>
              <w:left w:val="nil"/>
              <w:bottom w:val="nil"/>
              <w:right w:val="nil"/>
            </w:tcBorders>
            <w:shd w:val="clear" w:color="000000" w:fill="FFFFFF"/>
            <w:vAlign w:val="center"/>
            <w:hideMark/>
          </w:tcPr>
          <w:p w:rsidR="009F0F3A" w:rsidRPr="009F0F3A" w:rsidRDefault="009F0F3A" w:rsidP="009F0F3A">
            <w:pPr>
              <w:spacing w:before="0" w:after="0" w:line="240" w:lineRule="auto"/>
              <w:rPr>
                <w:rFonts w:cs="Arial"/>
                <w:color w:val="000000"/>
                <w:sz w:val="18"/>
                <w:szCs w:val="18"/>
              </w:rPr>
            </w:pPr>
            <w:r w:rsidRPr="009F0F3A">
              <w:rPr>
                <w:rFonts w:cs="Arial"/>
                <w:color w:val="000000"/>
                <w:sz w:val="18"/>
                <w:szCs w:val="18"/>
              </w:rPr>
              <w:t xml:space="preserve">Sub-acute care </w:t>
            </w:r>
            <w:r>
              <w:rPr>
                <w:rFonts w:cs="Arial"/>
                <w:color w:val="000000"/>
                <w:sz w:val="18"/>
                <w:szCs w:val="18"/>
              </w:rPr>
              <w:t>i</w:t>
            </w:r>
            <w:r w:rsidRPr="009F0F3A">
              <w:rPr>
                <w:rFonts w:cs="Arial"/>
                <w:color w:val="000000"/>
                <w:sz w:val="18"/>
                <w:szCs w:val="18"/>
              </w:rPr>
              <w:t>ncludes the following care types:</w:t>
            </w:r>
          </w:p>
        </w:tc>
        <w:tc>
          <w:tcPr>
            <w:tcW w:w="1701" w:type="dxa"/>
            <w:vMerge/>
            <w:tcBorders>
              <w:top w:val="single" w:sz="4" w:space="0" w:color="auto"/>
              <w:left w:val="nil"/>
              <w:bottom w:val="single" w:sz="4" w:space="0" w:color="000000"/>
              <w:right w:val="nil"/>
            </w:tcBorders>
            <w:vAlign w:val="center"/>
            <w:hideMark/>
          </w:tcPr>
          <w:p w:rsidR="009F0F3A" w:rsidRPr="009F0F3A" w:rsidRDefault="009F0F3A" w:rsidP="009F0F3A">
            <w:pPr>
              <w:spacing w:before="0" w:after="0" w:line="240" w:lineRule="auto"/>
              <w:rPr>
                <w:rFonts w:cs="Arial"/>
                <w:color w:val="000000"/>
                <w:sz w:val="18"/>
                <w:szCs w:val="18"/>
              </w:rPr>
            </w:pPr>
          </w:p>
        </w:tc>
      </w:tr>
      <w:tr w:rsidR="009F0F3A" w:rsidRPr="009F0F3A" w:rsidTr="009F0F3A">
        <w:trPr>
          <w:trHeight w:val="300"/>
        </w:trPr>
        <w:tc>
          <w:tcPr>
            <w:tcW w:w="1433" w:type="dxa"/>
            <w:vMerge/>
            <w:tcBorders>
              <w:top w:val="single" w:sz="4" w:space="0" w:color="auto"/>
              <w:left w:val="nil"/>
              <w:bottom w:val="single" w:sz="4" w:space="0" w:color="000000"/>
              <w:right w:val="nil"/>
            </w:tcBorders>
            <w:vAlign w:val="center"/>
            <w:hideMark/>
          </w:tcPr>
          <w:p w:rsidR="009F0F3A" w:rsidRPr="009F0F3A" w:rsidRDefault="009F0F3A" w:rsidP="009F0F3A">
            <w:pPr>
              <w:spacing w:before="0" w:after="0" w:line="240" w:lineRule="auto"/>
              <w:rPr>
                <w:rFonts w:cs="Arial"/>
                <w:i/>
                <w:iCs/>
                <w:color w:val="000000"/>
                <w:sz w:val="18"/>
                <w:szCs w:val="18"/>
              </w:rPr>
            </w:pPr>
          </w:p>
        </w:tc>
        <w:tc>
          <w:tcPr>
            <w:tcW w:w="6095" w:type="dxa"/>
            <w:tcBorders>
              <w:top w:val="nil"/>
              <w:left w:val="nil"/>
              <w:bottom w:val="nil"/>
              <w:right w:val="nil"/>
            </w:tcBorders>
            <w:shd w:val="clear" w:color="000000" w:fill="FFFFFF"/>
            <w:vAlign w:val="center"/>
            <w:hideMark/>
          </w:tcPr>
          <w:p w:rsidR="009F0F3A" w:rsidRPr="006D7314" w:rsidRDefault="006D7314" w:rsidP="007B079A">
            <w:pPr>
              <w:pStyle w:val="ListParagraph"/>
              <w:numPr>
                <w:ilvl w:val="0"/>
                <w:numId w:val="16"/>
              </w:numPr>
              <w:spacing w:before="0" w:after="0" w:line="240" w:lineRule="auto"/>
              <w:rPr>
                <w:color w:val="000000"/>
                <w:sz w:val="18"/>
                <w:szCs w:val="18"/>
              </w:rPr>
            </w:pPr>
            <w:r>
              <w:rPr>
                <w:color w:val="000000"/>
                <w:sz w:val="18"/>
                <w:szCs w:val="18"/>
              </w:rPr>
              <w:t>R</w:t>
            </w:r>
            <w:r w:rsidR="009F0F3A" w:rsidRPr="006D7314">
              <w:rPr>
                <w:color w:val="000000"/>
                <w:sz w:val="18"/>
                <w:szCs w:val="18"/>
              </w:rPr>
              <w:t>ehabilitation care</w:t>
            </w:r>
          </w:p>
        </w:tc>
        <w:tc>
          <w:tcPr>
            <w:tcW w:w="1701" w:type="dxa"/>
            <w:vMerge/>
            <w:tcBorders>
              <w:top w:val="single" w:sz="4" w:space="0" w:color="auto"/>
              <w:left w:val="nil"/>
              <w:bottom w:val="single" w:sz="4" w:space="0" w:color="000000"/>
              <w:right w:val="nil"/>
            </w:tcBorders>
            <w:vAlign w:val="center"/>
            <w:hideMark/>
          </w:tcPr>
          <w:p w:rsidR="009F0F3A" w:rsidRPr="009F0F3A" w:rsidRDefault="009F0F3A" w:rsidP="009F0F3A">
            <w:pPr>
              <w:spacing w:before="0" w:after="0" w:line="240" w:lineRule="auto"/>
              <w:rPr>
                <w:rFonts w:cs="Arial"/>
                <w:color w:val="000000"/>
                <w:sz w:val="18"/>
                <w:szCs w:val="18"/>
              </w:rPr>
            </w:pPr>
          </w:p>
        </w:tc>
      </w:tr>
      <w:tr w:rsidR="009F0F3A" w:rsidRPr="009F0F3A" w:rsidTr="009F0F3A">
        <w:trPr>
          <w:trHeight w:val="300"/>
        </w:trPr>
        <w:tc>
          <w:tcPr>
            <w:tcW w:w="1433" w:type="dxa"/>
            <w:vMerge/>
            <w:tcBorders>
              <w:top w:val="single" w:sz="4" w:space="0" w:color="auto"/>
              <w:left w:val="nil"/>
              <w:bottom w:val="single" w:sz="4" w:space="0" w:color="000000"/>
              <w:right w:val="nil"/>
            </w:tcBorders>
            <w:vAlign w:val="center"/>
            <w:hideMark/>
          </w:tcPr>
          <w:p w:rsidR="009F0F3A" w:rsidRPr="009F0F3A" w:rsidRDefault="009F0F3A" w:rsidP="009F0F3A">
            <w:pPr>
              <w:spacing w:before="0" w:after="0" w:line="240" w:lineRule="auto"/>
              <w:rPr>
                <w:rFonts w:cs="Arial"/>
                <w:i/>
                <w:iCs/>
                <w:color w:val="000000"/>
                <w:sz w:val="18"/>
                <w:szCs w:val="18"/>
              </w:rPr>
            </w:pPr>
          </w:p>
        </w:tc>
        <w:tc>
          <w:tcPr>
            <w:tcW w:w="6095" w:type="dxa"/>
            <w:tcBorders>
              <w:top w:val="nil"/>
              <w:left w:val="nil"/>
              <w:bottom w:val="nil"/>
              <w:right w:val="nil"/>
            </w:tcBorders>
            <w:shd w:val="clear" w:color="000000" w:fill="FFFFFF"/>
            <w:vAlign w:val="center"/>
            <w:hideMark/>
          </w:tcPr>
          <w:p w:rsidR="009F0F3A" w:rsidRPr="006D7314" w:rsidRDefault="009F0F3A" w:rsidP="007B079A">
            <w:pPr>
              <w:pStyle w:val="ListParagraph"/>
              <w:numPr>
                <w:ilvl w:val="0"/>
                <w:numId w:val="16"/>
              </w:numPr>
              <w:spacing w:before="0" w:after="0" w:line="240" w:lineRule="auto"/>
              <w:rPr>
                <w:color w:val="000000"/>
                <w:sz w:val="18"/>
                <w:szCs w:val="18"/>
              </w:rPr>
            </w:pPr>
            <w:r w:rsidRPr="006D7314">
              <w:rPr>
                <w:color w:val="000000"/>
                <w:sz w:val="18"/>
                <w:szCs w:val="18"/>
              </w:rPr>
              <w:t>Palliative care</w:t>
            </w:r>
          </w:p>
        </w:tc>
        <w:tc>
          <w:tcPr>
            <w:tcW w:w="1701" w:type="dxa"/>
            <w:vMerge/>
            <w:tcBorders>
              <w:top w:val="single" w:sz="4" w:space="0" w:color="auto"/>
              <w:left w:val="nil"/>
              <w:bottom w:val="single" w:sz="4" w:space="0" w:color="000000"/>
              <w:right w:val="nil"/>
            </w:tcBorders>
            <w:vAlign w:val="center"/>
            <w:hideMark/>
          </w:tcPr>
          <w:p w:rsidR="009F0F3A" w:rsidRPr="009F0F3A" w:rsidRDefault="009F0F3A" w:rsidP="009F0F3A">
            <w:pPr>
              <w:spacing w:before="0" w:after="0" w:line="240" w:lineRule="auto"/>
              <w:rPr>
                <w:rFonts w:cs="Arial"/>
                <w:color w:val="000000"/>
                <w:sz w:val="18"/>
                <w:szCs w:val="18"/>
              </w:rPr>
            </w:pPr>
          </w:p>
        </w:tc>
      </w:tr>
      <w:tr w:rsidR="009F0F3A" w:rsidRPr="009F0F3A" w:rsidTr="009F0F3A">
        <w:trPr>
          <w:trHeight w:val="300"/>
        </w:trPr>
        <w:tc>
          <w:tcPr>
            <w:tcW w:w="1433" w:type="dxa"/>
            <w:vMerge/>
            <w:tcBorders>
              <w:top w:val="single" w:sz="4" w:space="0" w:color="auto"/>
              <w:left w:val="nil"/>
              <w:bottom w:val="single" w:sz="4" w:space="0" w:color="000000"/>
              <w:right w:val="nil"/>
            </w:tcBorders>
            <w:vAlign w:val="center"/>
            <w:hideMark/>
          </w:tcPr>
          <w:p w:rsidR="009F0F3A" w:rsidRPr="009F0F3A" w:rsidRDefault="009F0F3A" w:rsidP="009F0F3A">
            <w:pPr>
              <w:spacing w:before="0" w:after="0" w:line="240" w:lineRule="auto"/>
              <w:rPr>
                <w:rFonts w:cs="Arial"/>
                <w:i/>
                <w:iCs/>
                <w:color w:val="000000"/>
                <w:sz w:val="18"/>
                <w:szCs w:val="18"/>
              </w:rPr>
            </w:pPr>
          </w:p>
        </w:tc>
        <w:tc>
          <w:tcPr>
            <w:tcW w:w="6095" w:type="dxa"/>
            <w:tcBorders>
              <w:top w:val="nil"/>
              <w:left w:val="nil"/>
              <w:bottom w:val="nil"/>
              <w:right w:val="nil"/>
            </w:tcBorders>
            <w:shd w:val="clear" w:color="000000" w:fill="FFFFFF"/>
            <w:vAlign w:val="center"/>
            <w:hideMark/>
          </w:tcPr>
          <w:p w:rsidR="009F0F3A" w:rsidRPr="006D7314" w:rsidRDefault="009F0F3A" w:rsidP="007B079A">
            <w:pPr>
              <w:pStyle w:val="ListParagraph"/>
              <w:numPr>
                <w:ilvl w:val="0"/>
                <w:numId w:val="16"/>
              </w:numPr>
              <w:spacing w:before="0" w:after="0" w:line="240" w:lineRule="auto"/>
              <w:rPr>
                <w:color w:val="000000"/>
                <w:sz w:val="18"/>
                <w:szCs w:val="18"/>
              </w:rPr>
            </w:pPr>
            <w:r w:rsidRPr="006D7314">
              <w:rPr>
                <w:color w:val="000000"/>
                <w:sz w:val="18"/>
                <w:szCs w:val="18"/>
              </w:rPr>
              <w:t>Geriatric evaluation and management (GEM) care</w:t>
            </w:r>
          </w:p>
        </w:tc>
        <w:tc>
          <w:tcPr>
            <w:tcW w:w="1701" w:type="dxa"/>
            <w:vMerge/>
            <w:tcBorders>
              <w:top w:val="single" w:sz="4" w:space="0" w:color="auto"/>
              <w:left w:val="nil"/>
              <w:bottom w:val="single" w:sz="4" w:space="0" w:color="000000"/>
              <w:right w:val="nil"/>
            </w:tcBorders>
            <w:vAlign w:val="center"/>
            <w:hideMark/>
          </w:tcPr>
          <w:p w:rsidR="009F0F3A" w:rsidRPr="009F0F3A" w:rsidRDefault="009F0F3A" w:rsidP="009F0F3A">
            <w:pPr>
              <w:spacing w:before="0" w:after="0" w:line="240" w:lineRule="auto"/>
              <w:rPr>
                <w:rFonts w:cs="Arial"/>
                <w:color w:val="000000"/>
                <w:sz w:val="18"/>
                <w:szCs w:val="18"/>
              </w:rPr>
            </w:pPr>
          </w:p>
        </w:tc>
      </w:tr>
      <w:tr w:rsidR="009F0F3A" w:rsidRPr="009F0F3A" w:rsidTr="009F0F3A">
        <w:trPr>
          <w:trHeight w:val="285"/>
        </w:trPr>
        <w:tc>
          <w:tcPr>
            <w:tcW w:w="1433" w:type="dxa"/>
            <w:vMerge/>
            <w:tcBorders>
              <w:top w:val="single" w:sz="4" w:space="0" w:color="auto"/>
              <w:left w:val="nil"/>
              <w:bottom w:val="single" w:sz="4" w:space="0" w:color="000000"/>
              <w:right w:val="nil"/>
            </w:tcBorders>
            <w:vAlign w:val="center"/>
            <w:hideMark/>
          </w:tcPr>
          <w:p w:rsidR="009F0F3A" w:rsidRPr="009F0F3A" w:rsidRDefault="009F0F3A" w:rsidP="009F0F3A">
            <w:pPr>
              <w:spacing w:before="0" w:after="0" w:line="240" w:lineRule="auto"/>
              <w:rPr>
                <w:rFonts w:cs="Arial"/>
                <w:i/>
                <w:iCs/>
                <w:color w:val="000000"/>
                <w:sz w:val="18"/>
                <w:szCs w:val="18"/>
              </w:rPr>
            </w:pPr>
          </w:p>
        </w:tc>
        <w:tc>
          <w:tcPr>
            <w:tcW w:w="6095" w:type="dxa"/>
            <w:tcBorders>
              <w:top w:val="nil"/>
              <w:left w:val="nil"/>
              <w:bottom w:val="nil"/>
              <w:right w:val="nil"/>
            </w:tcBorders>
            <w:shd w:val="clear" w:color="000000" w:fill="FFFFFF"/>
            <w:vAlign w:val="center"/>
            <w:hideMark/>
          </w:tcPr>
          <w:p w:rsidR="009F0F3A" w:rsidRPr="006D7314" w:rsidRDefault="009F0F3A" w:rsidP="007B079A">
            <w:pPr>
              <w:pStyle w:val="ListParagraph"/>
              <w:numPr>
                <w:ilvl w:val="0"/>
                <w:numId w:val="16"/>
              </w:numPr>
              <w:spacing w:before="0" w:after="0" w:line="240" w:lineRule="auto"/>
              <w:rPr>
                <w:color w:val="000000"/>
                <w:sz w:val="18"/>
                <w:szCs w:val="18"/>
              </w:rPr>
            </w:pPr>
            <w:r w:rsidRPr="006D7314">
              <w:rPr>
                <w:color w:val="000000"/>
                <w:sz w:val="18"/>
                <w:szCs w:val="18"/>
              </w:rPr>
              <w:t>Psychogeriatric care</w:t>
            </w:r>
          </w:p>
        </w:tc>
        <w:tc>
          <w:tcPr>
            <w:tcW w:w="1701" w:type="dxa"/>
            <w:vMerge/>
            <w:tcBorders>
              <w:top w:val="single" w:sz="4" w:space="0" w:color="auto"/>
              <w:left w:val="nil"/>
              <w:bottom w:val="single" w:sz="4" w:space="0" w:color="000000"/>
              <w:right w:val="nil"/>
            </w:tcBorders>
            <w:vAlign w:val="center"/>
            <w:hideMark/>
          </w:tcPr>
          <w:p w:rsidR="009F0F3A" w:rsidRPr="009F0F3A" w:rsidRDefault="009F0F3A" w:rsidP="009F0F3A">
            <w:pPr>
              <w:spacing w:before="0" w:after="0" w:line="240" w:lineRule="auto"/>
              <w:rPr>
                <w:rFonts w:cs="Arial"/>
                <w:color w:val="000000"/>
                <w:sz w:val="18"/>
                <w:szCs w:val="18"/>
              </w:rPr>
            </w:pPr>
          </w:p>
        </w:tc>
      </w:tr>
      <w:tr w:rsidR="009F0F3A" w:rsidRPr="009F0F3A" w:rsidTr="009F0F3A">
        <w:trPr>
          <w:trHeight w:val="720"/>
        </w:trPr>
        <w:tc>
          <w:tcPr>
            <w:tcW w:w="1433" w:type="dxa"/>
            <w:vMerge/>
            <w:tcBorders>
              <w:top w:val="single" w:sz="4" w:space="0" w:color="auto"/>
              <w:left w:val="nil"/>
              <w:bottom w:val="single" w:sz="4" w:space="0" w:color="000000"/>
              <w:right w:val="nil"/>
            </w:tcBorders>
            <w:vAlign w:val="center"/>
            <w:hideMark/>
          </w:tcPr>
          <w:p w:rsidR="009F0F3A" w:rsidRPr="009F0F3A" w:rsidRDefault="009F0F3A" w:rsidP="009F0F3A">
            <w:pPr>
              <w:spacing w:before="0" w:after="0" w:line="240" w:lineRule="auto"/>
              <w:rPr>
                <w:rFonts w:cs="Arial"/>
                <w:i/>
                <w:iCs/>
                <w:color w:val="000000"/>
                <w:sz w:val="18"/>
                <w:szCs w:val="18"/>
              </w:rPr>
            </w:pPr>
          </w:p>
        </w:tc>
        <w:tc>
          <w:tcPr>
            <w:tcW w:w="6095" w:type="dxa"/>
            <w:tcBorders>
              <w:top w:val="nil"/>
              <w:left w:val="nil"/>
              <w:bottom w:val="single" w:sz="4" w:space="0" w:color="auto"/>
              <w:right w:val="nil"/>
            </w:tcBorders>
            <w:shd w:val="clear" w:color="000000" w:fill="FFFFFF"/>
            <w:vAlign w:val="center"/>
            <w:hideMark/>
          </w:tcPr>
          <w:p w:rsidR="009F0F3A" w:rsidRPr="009F0F3A" w:rsidRDefault="009F0F3A" w:rsidP="009F0F3A">
            <w:pPr>
              <w:spacing w:before="0" w:after="0" w:line="240" w:lineRule="auto"/>
              <w:rPr>
                <w:rFonts w:cs="Arial"/>
                <w:color w:val="000000"/>
                <w:sz w:val="18"/>
                <w:szCs w:val="18"/>
              </w:rPr>
            </w:pPr>
            <w:r w:rsidRPr="009F0F3A">
              <w:rPr>
                <w:rFonts w:cs="Arial"/>
                <w:color w:val="000000"/>
                <w:sz w:val="18"/>
                <w:szCs w:val="18"/>
              </w:rPr>
              <w:t>Non-acute care relates to maintenance care in which the treatment goal is to support a patient with impairment, activity limitation or participation restriction due to a health condition. </w:t>
            </w:r>
          </w:p>
        </w:tc>
        <w:tc>
          <w:tcPr>
            <w:tcW w:w="1701" w:type="dxa"/>
            <w:vMerge/>
            <w:tcBorders>
              <w:top w:val="single" w:sz="4" w:space="0" w:color="auto"/>
              <w:left w:val="nil"/>
              <w:bottom w:val="single" w:sz="4" w:space="0" w:color="000000"/>
              <w:right w:val="nil"/>
            </w:tcBorders>
            <w:vAlign w:val="center"/>
            <w:hideMark/>
          </w:tcPr>
          <w:p w:rsidR="009F0F3A" w:rsidRPr="009F0F3A" w:rsidRDefault="009F0F3A" w:rsidP="009F0F3A">
            <w:pPr>
              <w:spacing w:before="0" w:after="0" w:line="240" w:lineRule="auto"/>
              <w:rPr>
                <w:rFonts w:cs="Arial"/>
                <w:color w:val="000000"/>
                <w:sz w:val="18"/>
                <w:szCs w:val="18"/>
              </w:rPr>
            </w:pPr>
          </w:p>
        </w:tc>
      </w:tr>
      <w:tr w:rsidR="009F0F3A" w:rsidRPr="009F0F3A" w:rsidTr="009F0F3A">
        <w:trPr>
          <w:trHeight w:val="480"/>
        </w:trPr>
        <w:tc>
          <w:tcPr>
            <w:tcW w:w="1433" w:type="dxa"/>
            <w:vMerge w:val="restart"/>
            <w:tcBorders>
              <w:top w:val="nil"/>
              <w:left w:val="nil"/>
              <w:bottom w:val="single" w:sz="4" w:space="0" w:color="000000"/>
              <w:right w:val="nil"/>
            </w:tcBorders>
            <w:shd w:val="clear" w:color="000000" w:fill="FFFFFF"/>
            <w:vAlign w:val="center"/>
            <w:hideMark/>
          </w:tcPr>
          <w:p w:rsidR="009F0F3A" w:rsidRPr="009F0F3A" w:rsidRDefault="009F0F3A" w:rsidP="009F0F3A">
            <w:pPr>
              <w:spacing w:before="0" w:after="0" w:line="240" w:lineRule="auto"/>
              <w:rPr>
                <w:rFonts w:cs="Arial"/>
                <w:i/>
                <w:iCs/>
                <w:color w:val="000000"/>
                <w:sz w:val="18"/>
                <w:szCs w:val="18"/>
              </w:rPr>
            </w:pPr>
            <w:r w:rsidRPr="009F0F3A">
              <w:rPr>
                <w:rFonts w:cs="Arial"/>
                <w:i/>
                <w:iCs/>
                <w:color w:val="000000"/>
                <w:sz w:val="18"/>
                <w:szCs w:val="18"/>
              </w:rPr>
              <w:t>Non-admitted care</w:t>
            </w:r>
          </w:p>
        </w:tc>
        <w:tc>
          <w:tcPr>
            <w:tcW w:w="6095" w:type="dxa"/>
            <w:tcBorders>
              <w:top w:val="nil"/>
              <w:left w:val="nil"/>
              <w:bottom w:val="nil"/>
              <w:right w:val="nil"/>
            </w:tcBorders>
            <w:shd w:val="clear" w:color="000000" w:fill="FFFFFF"/>
            <w:vAlign w:val="center"/>
            <w:hideMark/>
          </w:tcPr>
          <w:p w:rsidR="009F0F3A" w:rsidRPr="009F0F3A" w:rsidRDefault="009F0F3A" w:rsidP="009F0F3A">
            <w:pPr>
              <w:spacing w:before="0" w:after="0" w:line="240" w:lineRule="auto"/>
              <w:rPr>
                <w:rFonts w:cs="Arial"/>
                <w:color w:val="000000"/>
                <w:sz w:val="18"/>
                <w:szCs w:val="18"/>
              </w:rPr>
            </w:pPr>
            <w:r w:rsidRPr="009F0F3A">
              <w:rPr>
                <w:rFonts w:cs="Arial"/>
                <w:color w:val="000000"/>
                <w:sz w:val="18"/>
                <w:szCs w:val="18"/>
              </w:rPr>
              <w:t xml:space="preserve">Services provided to patients who do not undergo a formal admission process and do not occupy a hospital bed. </w:t>
            </w:r>
          </w:p>
        </w:tc>
        <w:tc>
          <w:tcPr>
            <w:tcW w:w="1701" w:type="dxa"/>
            <w:vMerge w:val="restart"/>
            <w:tcBorders>
              <w:top w:val="nil"/>
              <w:left w:val="nil"/>
              <w:bottom w:val="single" w:sz="4" w:space="0" w:color="000000"/>
              <w:right w:val="nil"/>
            </w:tcBorders>
            <w:shd w:val="clear" w:color="auto" w:fill="auto"/>
            <w:hideMark/>
          </w:tcPr>
          <w:p w:rsidR="009F0F3A" w:rsidRPr="009F0F3A" w:rsidRDefault="009F0F3A" w:rsidP="009F0F3A">
            <w:pPr>
              <w:spacing w:before="0" w:after="0" w:line="240" w:lineRule="auto"/>
              <w:rPr>
                <w:rFonts w:cs="Arial"/>
                <w:color w:val="000000"/>
                <w:sz w:val="18"/>
                <w:szCs w:val="18"/>
              </w:rPr>
            </w:pPr>
            <w:r w:rsidRPr="009F0F3A">
              <w:rPr>
                <w:rFonts w:cs="Arial"/>
                <w:color w:val="000000"/>
                <w:sz w:val="18"/>
                <w:szCs w:val="18"/>
              </w:rPr>
              <w:t>Non-admitted Tier 2 Classification Version 4</w:t>
            </w:r>
          </w:p>
        </w:tc>
      </w:tr>
      <w:tr w:rsidR="009F0F3A" w:rsidRPr="009F0F3A" w:rsidTr="009F0F3A">
        <w:trPr>
          <w:trHeight w:val="300"/>
        </w:trPr>
        <w:tc>
          <w:tcPr>
            <w:tcW w:w="1433" w:type="dxa"/>
            <w:vMerge/>
            <w:tcBorders>
              <w:top w:val="nil"/>
              <w:left w:val="nil"/>
              <w:bottom w:val="single" w:sz="4" w:space="0" w:color="000000"/>
              <w:right w:val="nil"/>
            </w:tcBorders>
            <w:vAlign w:val="center"/>
            <w:hideMark/>
          </w:tcPr>
          <w:p w:rsidR="009F0F3A" w:rsidRPr="009F0F3A" w:rsidRDefault="009F0F3A" w:rsidP="009F0F3A">
            <w:pPr>
              <w:spacing w:before="0" w:after="0" w:line="240" w:lineRule="auto"/>
              <w:rPr>
                <w:rFonts w:cs="Arial"/>
                <w:i/>
                <w:iCs/>
                <w:color w:val="000000"/>
                <w:sz w:val="18"/>
                <w:szCs w:val="18"/>
              </w:rPr>
            </w:pPr>
          </w:p>
        </w:tc>
        <w:tc>
          <w:tcPr>
            <w:tcW w:w="6095" w:type="dxa"/>
            <w:tcBorders>
              <w:top w:val="nil"/>
              <w:left w:val="nil"/>
              <w:bottom w:val="nil"/>
              <w:right w:val="nil"/>
            </w:tcBorders>
            <w:shd w:val="clear" w:color="000000" w:fill="FFFFFF"/>
            <w:vAlign w:val="center"/>
            <w:hideMark/>
          </w:tcPr>
          <w:p w:rsidR="009F0F3A" w:rsidRPr="009F0F3A" w:rsidRDefault="009F0F3A" w:rsidP="009F0F3A">
            <w:pPr>
              <w:spacing w:before="0" w:after="0" w:line="240" w:lineRule="auto"/>
              <w:rPr>
                <w:rFonts w:cs="Arial"/>
                <w:color w:val="000000"/>
                <w:sz w:val="18"/>
                <w:szCs w:val="18"/>
              </w:rPr>
            </w:pPr>
            <w:r w:rsidRPr="009F0F3A">
              <w:rPr>
                <w:rFonts w:cs="Arial"/>
                <w:color w:val="000000"/>
                <w:sz w:val="18"/>
                <w:szCs w:val="18"/>
              </w:rPr>
              <w:t>Includes:</w:t>
            </w:r>
          </w:p>
        </w:tc>
        <w:tc>
          <w:tcPr>
            <w:tcW w:w="1701" w:type="dxa"/>
            <w:vMerge/>
            <w:tcBorders>
              <w:top w:val="nil"/>
              <w:left w:val="nil"/>
              <w:bottom w:val="single" w:sz="4" w:space="0" w:color="000000"/>
              <w:right w:val="nil"/>
            </w:tcBorders>
            <w:vAlign w:val="center"/>
            <w:hideMark/>
          </w:tcPr>
          <w:p w:rsidR="009F0F3A" w:rsidRPr="009F0F3A" w:rsidRDefault="009F0F3A" w:rsidP="009F0F3A">
            <w:pPr>
              <w:spacing w:before="0" w:after="0" w:line="240" w:lineRule="auto"/>
              <w:rPr>
                <w:rFonts w:cs="Arial"/>
                <w:color w:val="000000"/>
                <w:sz w:val="18"/>
                <w:szCs w:val="18"/>
              </w:rPr>
            </w:pPr>
          </w:p>
        </w:tc>
      </w:tr>
      <w:tr w:rsidR="009F0F3A" w:rsidRPr="009F0F3A" w:rsidTr="009F0F3A">
        <w:trPr>
          <w:trHeight w:val="300"/>
        </w:trPr>
        <w:tc>
          <w:tcPr>
            <w:tcW w:w="1433" w:type="dxa"/>
            <w:vMerge/>
            <w:tcBorders>
              <w:top w:val="nil"/>
              <w:left w:val="nil"/>
              <w:bottom w:val="single" w:sz="4" w:space="0" w:color="000000"/>
              <w:right w:val="nil"/>
            </w:tcBorders>
            <w:vAlign w:val="center"/>
            <w:hideMark/>
          </w:tcPr>
          <w:p w:rsidR="009F0F3A" w:rsidRPr="009F0F3A" w:rsidRDefault="009F0F3A" w:rsidP="009F0F3A">
            <w:pPr>
              <w:spacing w:before="0" w:after="0" w:line="240" w:lineRule="auto"/>
              <w:rPr>
                <w:rFonts w:cs="Arial"/>
                <w:i/>
                <w:iCs/>
                <w:color w:val="000000"/>
                <w:sz w:val="18"/>
                <w:szCs w:val="18"/>
              </w:rPr>
            </w:pPr>
          </w:p>
        </w:tc>
        <w:tc>
          <w:tcPr>
            <w:tcW w:w="6095" w:type="dxa"/>
            <w:tcBorders>
              <w:top w:val="nil"/>
              <w:left w:val="nil"/>
              <w:bottom w:val="nil"/>
              <w:right w:val="nil"/>
            </w:tcBorders>
            <w:shd w:val="clear" w:color="000000" w:fill="FFFFFF"/>
            <w:vAlign w:val="center"/>
            <w:hideMark/>
          </w:tcPr>
          <w:p w:rsidR="009F0F3A" w:rsidRPr="006D7314" w:rsidRDefault="009F0F3A" w:rsidP="007B079A">
            <w:pPr>
              <w:pStyle w:val="ListParagraph"/>
              <w:numPr>
                <w:ilvl w:val="0"/>
                <w:numId w:val="17"/>
              </w:numPr>
              <w:spacing w:before="0" w:after="0" w:line="240" w:lineRule="auto"/>
              <w:rPr>
                <w:color w:val="000000"/>
                <w:sz w:val="18"/>
                <w:szCs w:val="18"/>
              </w:rPr>
            </w:pPr>
            <w:r w:rsidRPr="006D7314">
              <w:rPr>
                <w:color w:val="000000"/>
                <w:sz w:val="18"/>
                <w:szCs w:val="18"/>
              </w:rPr>
              <w:t>Hospital outpatient clinics</w:t>
            </w:r>
          </w:p>
        </w:tc>
        <w:tc>
          <w:tcPr>
            <w:tcW w:w="1701" w:type="dxa"/>
            <w:vMerge/>
            <w:tcBorders>
              <w:top w:val="nil"/>
              <w:left w:val="nil"/>
              <w:bottom w:val="single" w:sz="4" w:space="0" w:color="000000"/>
              <w:right w:val="nil"/>
            </w:tcBorders>
            <w:vAlign w:val="center"/>
            <w:hideMark/>
          </w:tcPr>
          <w:p w:rsidR="009F0F3A" w:rsidRPr="009F0F3A" w:rsidRDefault="009F0F3A" w:rsidP="009F0F3A">
            <w:pPr>
              <w:spacing w:before="0" w:after="0" w:line="240" w:lineRule="auto"/>
              <w:rPr>
                <w:rFonts w:cs="Arial"/>
                <w:color w:val="000000"/>
                <w:sz w:val="18"/>
                <w:szCs w:val="18"/>
              </w:rPr>
            </w:pPr>
          </w:p>
        </w:tc>
      </w:tr>
      <w:tr w:rsidR="009F0F3A" w:rsidRPr="009F0F3A" w:rsidTr="009F0F3A">
        <w:trPr>
          <w:trHeight w:val="300"/>
        </w:trPr>
        <w:tc>
          <w:tcPr>
            <w:tcW w:w="1433" w:type="dxa"/>
            <w:vMerge/>
            <w:tcBorders>
              <w:top w:val="nil"/>
              <w:left w:val="nil"/>
              <w:bottom w:val="single" w:sz="4" w:space="0" w:color="000000"/>
              <w:right w:val="nil"/>
            </w:tcBorders>
            <w:vAlign w:val="center"/>
            <w:hideMark/>
          </w:tcPr>
          <w:p w:rsidR="009F0F3A" w:rsidRPr="009F0F3A" w:rsidRDefault="009F0F3A" w:rsidP="009F0F3A">
            <w:pPr>
              <w:spacing w:before="0" w:after="0" w:line="240" w:lineRule="auto"/>
              <w:rPr>
                <w:rFonts w:cs="Arial"/>
                <w:i/>
                <w:iCs/>
                <w:color w:val="000000"/>
                <w:sz w:val="18"/>
                <w:szCs w:val="18"/>
              </w:rPr>
            </w:pPr>
          </w:p>
        </w:tc>
        <w:tc>
          <w:tcPr>
            <w:tcW w:w="6095" w:type="dxa"/>
            <w:tcBorders>
              <w:top w:val="nil"/>
              <w:left w:val="nil"/>
              <w:bottom w:val="nil"/>
              <w:right w:val="nil"/>
            </w:tcBorders>
            <w:shd w:val="clear" w:color="000000" w:fill="FFFFFF"/>
            <w:vAlign w:val="center"/>
            <w:hideMark/>
          </w:tcPr>
          <w:p w:rsidR="009F0F3A" w:rsidRPr="006D7314" w:rsidRDefault="009F0F3A" w:rsidP="007B079A">
            <w:pPr>
              <w:pStyle w:val="ListParagraph"/>
              <w:numPr>
                <w:ilvl w:val="0"/>
                <w:numId w:val="17"/>
              </w:numPr>
              <w:spacing w:before="0" w:after="0" w:line="240" w:lineRule="auto"/>
              <w:rPr>
                <w:color w:val="000000"/>
                <w:sz w:val="18"/>
                <w:szCs w:val="18"/>
              </w:rPr>
            </w:pPr>
            <w:r w:rsidRPr="006D7314">
              <w:rPr>
                <w:color w:val="000000"/>
                <w:sz w:val="18"/>
                <w:szCs w:val="18"/>
              </w:rPr>
              <w:t>Community based clinics</w:t>
            </w:r>
          </w:p>
        </w:tc>
        <w:tc>
          <w:tcPr>
            <w:tcW w:w="1701" w:type="dxa"/>
            <w:vMerge/>
            <w:tcBorders>
              <w:top w:val="nil"/>
              <w:left w:val="nil"/>
              <w:bottom w:val="single" w:sz="4" w:space="0" w:color="000000"/>
              <w:right w:val="nil"/>
            </w:tcBorders>
            <w:vAlign w:val="center"/>
            <w:hideMark/>
          </w:tcPr>
          <w:p w:rsidR="009F0F3A" w:rsidRPr="009F0F3A" w:rsidRDefault="009F0F3A" w:rsidP="009F0F3A">
            <w:pPr>
              <w:spacing w:before="0" w:after="0" w:line="240" w:lineRule="auto"/>
              <w:rPr>
                <w:rFonts w:cs="Arial"/>
                <w:color w:val="000000"/>
                <w:sz w:val="18"/>
                <w:szCs w:val="18"/>
              </w:rPr>
            </w:pPr>
          </w:p>
        </w:tc>
      </w:tr>
      <w:tr w:rsidR="009F0F3A" w:rsidRPr="009F0F3A" w:rsidTr="009F0F3A">
        <w:trPr>
          <w:trHeight w:val="300"/>
        </w:trPr>
        <w:tc>
          <w:tcPr>
            <w:tcW w:w="1433" w:type="dxa"/>
            <w:vMerge/>
            <w:tcBorders>
              <w:top w:val="nil"/>
              <w:left w:val="nil"/>
              <w:bottom w:val="single" w:sz="4" w:space="0" w:color="000000"/>
              <w:right w:val="nil"/>
            </w:tcBorders>
            <w:vAlign w:val="center"/>
            <w:hideMark/>
          </w:tcPr>
          <w:p w:rsidR="009F0F3A" w:rsidRPr="009F0F3A" w:rsidRDefault="009F0F3A" w:rsidP="009F0F3A">
            <w:pPr>
              <w:spacing w:before="0" w:after="0" w:line="240" w:lineRule="auto"/>
              <w:rPr>
                <w:rFonts w:cs="Arial"/>
                <w:i/>
                <w:iCs/>
                <w:color w:val="000000"/>
                <w:sz w:val="18"/>
                <w:szCs w:val="18"/>
              </w:rPr>
            </w:pPr>
          </w:p>
        </w:tc>
        <w:tc>
          <w:tcPr>
            <w:tcW w:w="6095" w:type="dxa"/>
            <w:tcBorders>
              <w:top w:val="nil"/>
              <w:left w:val="nil"/>
              <w:bottom w:val="single" w:sz="4" w:space="0" w:color="auto"/>
              <w:right w:val="nil"/>
            </w:tcBorders>
            <w:shd w:val="clear" w:color="000000" w:fill="FFFFFF"/>
            <w:vAlign w:val="center"/>
            <w:hideMark/>
          </w:tcPr>
          <w:p w:rsidR="009F0F3A" w:rsidRPr="006D7314" w:rsidRDefault="009F0F3A" w:rsidP="007B079A">
            <w:pPr>
              <w:pStyle w:val="ListParagraph"/>
              <w:numPr>
                <w:ilvl w:val="0"/>
                <w:numId w:val="17"/>
              </w:numPr>
              <w:spacing w:before="0" w:after="0" w:line="240" w:lineRule="auto"/>
              <w:rPr>
                <w:color w:val="000000"/>
                <w:sz w:val="18"/>
                <w:szCs w:val="18"/>
              </w:rPr>
            </w:pPr>
            <w:r w:rsidRPr="006D7314">
              <w:rPr>
                <w:color w:val="000000"/>
                <w:sz w:val="18"/>
                <w:szCs w:val="18"/>
              </w:rPr>
              <w:t>Patients’ homes</w:t>
            </w:r>
          </w:p>
        </w:tc>
        <w:tc>
          <w:tcPr>
            <w:tcW w:w="1701" w:type="dxa"/>
            <w:vMerge/>
            <w:tcBorders>
              <w:top w:val="nil"/>
              <w:left w:val="nil"/>
              <w:bottom w:val="single" w:sz="4" w:space="0" w:color="000000"/>
              <w:right w:val="nil"/>
            </w:tcBorders>
            <w:vAlign w:val="center"/>
            <w:hideMark/>
          </w:tcPr>
          <w:p w:rsidR="009F0F3A" w:rsidRPr="009F0F3A" w:rsidRDefault="009F0F3A" w:rsidP="009F0F3A">
            <w:pPr>
              <w:spacing w:before="0" w:after="0" w:line="240" w:lineRule="auto"/>
              <w:rPr>
                <w:rFonts w:cs="Arial"/>
                <w:color w:val="000000"/>
                <w:sz w:val="18"/>
                <w:szCs w:val="18"/>
              </w:rPr>
            </w:pPr>
          </w:p>
        </w:tc>
      </w:tr>
      <w:tr w:rsidR="009F0F3A" w:rsidRPr="009F0F3A" w:rsidTr="009F0F3A">
        <w:trPr>
          <w:trHeight w:val="510"/>
        </w:trPr>
        <w:tc>
          <w:tcPr>
            <w:tcW w:w="1433" w:type="dxa"/>
            <w:tcBorders>
              <w:top w:val="nil"/>
              <w:left w:val="nil"/>
              <w:bottom w:val="single" w:sz="4" w:space="0" w:color="auto"/>
              <w:right w:val="nil"/>
            </w:tcBorders>
            <w:shd w:val="clear" w:color="000000" w:fill="FFFFFF"/>
            <w:vAlign w:val="center"/>
            <w:hideMark/>
          </w:tcPr>
          <w:p w:rsidR="009F0F3A" w:rsidRPr="009F0F3A" w:rsidRDefault="009F0F3A" w:rsidP="009F0F3A">
            <w:pPr>
              <w:spacing w:before="0" w:after="0" w:line="240" w:lineRule="auto"/>
              <w:rPr>
                <w:rFonts w:cs="Arial"/>
                <w:i/>
                <w:iCs/>
                <w:color w:val="000000"/>
                <w:sz w:val="18"/>
                <w:szCs w:val="18"/>
              </w:rPr>
            </w:pPr>
            <w:r w:rsidRPr="009F0F3A">
              <w:rPr>
                <w:rFonts w:cs="Arial"/>
                <w:i/>
                <w:iCs/>
                <w:color w:val="000000"/>
                <w:sz w:val="18"/>
                <w:szCs w:val="18"/>
              </w:rPr>
              <w:t>Emergency care</w:t>
            </w:r>
          </w:p>
        </w:tc>
        <w:tc>
          <w:tcPr>
            <w:tcW w:w="6095" w:type="dxa"/>
            <w:tcBorders>
              <w:top w:val="nil"/>
              <w:left w:val="nil"/>
              <w:bottom w:val="single" w:sz="4" w:space="0" w:color="auto"/>
              <w:right w:val="nil"/>
            </w:tcBorders>
            <w:shd w:val="clear" w:color="000000" w:fill="FFFFFF"/>
            <w:vAlign w:val="center"/>
            <w:hideMark/>
          </w:tcPr>
          <w:p w:rsidR="009F0F3A" w:rsidRPr="009F0F3A" w:rsidRDefault="009F0F3A" w:rsidP="009F0F3A">
            <w:pPr>
              <w:spacing w:before="0" w:after="0" w:line="240" w:lineRule="auto"/>
              <w:rPr>
                <w:rFonts w:cs="Arial"/>
                <w:color w:val="000000"/>
                <w:sz w:val="18"/>
                <w:szCs w:val="18"/>
              </w:rPr>
            </w:pPr>
            <w:r w:rsidRPr="009F0F3A">
              <w:rPr>
                <w:rFonts w:cs="Arial"/>
                <w:color w:val="000000"/>
                <w:sz w:val="18"/>
                <w:szCs w:val="18"/>
              </w:rPr>
              <w:t>Services provided to patients in a hospital’s emergency department</w:t>
            </w:r>
          </w:p>
        </w:tc>
        <w:tc>
          <w:tcPr>
            <w:tcW w:w="1701" w:type="dxa"/>
            <w:tcBorders>
              <w:top w:val="nil"/>
              <w:left w:val="nil"/>
              <w:bottom w:val="single" w:sz="4" w:space="0" w:color="auto"/>
              <w:right w:val="nil"/>
            </w:tcBorders>
            <w:shd w:val="clear" w:color="auto" w:fill="auto"/>
            <w:hideMark/>
          </w:tcPr>
          <w:p w:rsidR="008C65D7" w:rsidRDefault="009F0F3A" w:rsidP="0003038D">
            <w:pPr>
              <w:spacing w:before="0" w:after="0" w:line="240" w:lineRule="auto"/>
              <w:rPr>
                <w:rFonts w:cs="Arial"/>
                <w:color w:val="000000"/>
                <w:sz w:val="18"/>
                <w:szCs w:val="18"/>
              </w:rPr>
            </w:pPr>
            <w:r w:rsidRPr="009F0F3A">
              <w:rPr>
                <w:rFonts w:cs="Arial"/>
                <w:color w:val="000000"/>
                <w:sz w:val="18"/>
                <w:szCs w:val="18"/>
              </w:rPr>
              <w:t xml:space="preserve">Urgency Related Groups (URG) </w:t>
            </w:r>
          </w:p>
          <w:p w:rsidR="008C65D7" w:rsidRPr="009F0F3A" w:rsidRDefault="009F0F3A" w:rsidP="0003038D">
            <w:pPr>
              <w:spacing w:before="0" w:after="0" w:line="240" w:lineRule="auto"/>
              <w:rPr>
                <w:rFonts w:cs="Arial"/>
                <w:color w:val="000000"/>
                <w:sz w:val="18"/>
                <w:szCs w:val="18"/>
              </w:rPr>
            </w:pPr>
            <w:r w:rsidRPr="009F0F3A">
              <w:rPr>
                <w:rFonts w:cs="Arial"/>
                <w:color w:val="000000"/>
                <w:sz w:val="18"/>
                <w:szCs w:val="18"/>
              </w:rPr>
              <w:t>Version 1.4</w:t>
            </w:r>
          </w:p>
        </w:tc>
      </w:tr>
      <w:tr w:rsidR="009F0F3A" w:rsidRPr="009F0F3A" w:rsidTr="009F0F3A">
        <w:trPr>
          <w:trHeight w:val="300"/>
        </w:trPr>
        <w:tc>
          <w:tcPr>
            <w:tcW w:w="1433" w:type="dxa"/>
            <w:vMerge w:val="restart"/>
            <w:tcBorders>
              <w:top w:val="single" w:sz="4" w:space="0" w:color="auto"/>
              <w:left w:val="nil"/>
              <w:bottom w:val="single" w:sz="4" w:space="0" w:color="000000"/>
              <w:right w:val="nil"/>
            </w:tcBorders>
            <w:shd w:val="clear" w:color="000000" w:fill="FFFFFF"/>
            <w:vAlign w:val="center"/>
            <w:hideMark/>
          </w:tcPr>
          <w:p w:rsidR="009F0F3A" w:rsidRPr="009F0F3A" w:rsidRDefault="009F0F3A" w:rsidP="009F0F3A">
            <w:pPr>
              <w:spacing w:before="0" w:after="0" w:line="240" w:lineRule="auto"/>
              <w:rPr>
                <w:rFonts w:cs="Arial"/>
                <w:i/>
                <w:iCs/>
                <w:color w:val="000000"/>
                <w:sz w:val="18"/>
                <w:szCs w:val="18"/>
              </w:rPr>
            </w:pPr>
            <w:r w:rsidRPr="009F0F3A">
              <w:rPr>
                <w:rFonts w:cs="Arial"/>
                <w:i/>
                <w:iCs/>
                <w:color w:val="000000"/>
                <w:sz w:val="18"/>
                <w:szCs w:val="18"/>
              </w:rPr>
              <w:t>Mental Health care</w:t>
            </w:r>
          </w:p>
        </w:tc>
        <w:tc>
          <w:tcPr>
            <w:tcW w:w="6095" w:type="dxa"/>
            <w:vMerge w:val="restart"/>
            <w:tcBorders>
              <w:top w:val="single" w:sz="4" w:space="0" w:color="auto"/>
              <w:left w:val="nil"/>
              <w:bottom w:val="single" w:sz="4" w:space="0" w:color="000000"/>
              <w:right w:val="nil"/>
            </w:tcBorders>
            <w:shd w:val="clear" w:color="000000" w:fill="FFFFFF"/>
            <w:vAlign w:val="center"/>
            <w:hideMark/>
          </w:tcPr>
          <w:p w:rsidR="009F0F3A" w:rsidRPr="009F0F3A" w:rsidRDefault="009F0F3A" w:rsidP="009F0F3A">
            <w:pPr>
              <w:spacing w:before="0" w:after="0" w:line="240" w:lineRule="auto"/>
              <w:rPr>
                <w:rFonts w:cs="Arial"/>
                <w:color w:val="000000"/>
                <w:sz w:val="18"/>
                <w:szCs w:val="18"/>
              </w:rPr>
            </w:pPr>
            <w:r w:rsidRPr="009F0F3A">
              <w:rPr>
                <w:rFonts w:cs="Arial"/>
                <w:color w:val="000000"/>
                <w:sz w:val="18"/>
                <w:szCs w:val="18"/>
              </w:rPr>
              <w:t>Mental Health services provided to patients. Includes services provided both in admitted and community settings.</w:t>
            </w:r>
          </w:p>
        </w:tc>
        <w:tc>
          <w:tcPr>
            <w:tcW w:w="1701" w:type="dxa"/>
            <w:vMerge w:val="restart"/>
            <w:tcBorders>
              <w:top w:val="single" w:sz="4" w:space="0" w:color="auto"/>
              <w:left w:val="nil"/>
              <w:bottom w:val="single" w:sz="4" w:space="0" w:color="000000"/>
              <w:right w:val="nil"/>
            </w:tcBorders>
            <w:shd w:val="clear" w:color="auto" w:fill="auto"/>
            <w:hideMark/>
          </w:tcPr>
          <w:p w:rsidR="008C65D7" w:rsidRPr="009F0F3A" w:rsidRDefault="009F0F3A" w:rsidP="0003038D">
            <w:pPr>
              <w:spacing w:before="0" w:after="0" w:line="240" w:lineRule="auto"/>
              <w:rPr>
                <w:rFonts w:cs="Arial"/>
                <w:color w:val="000000"/>
                <w:sz w:val="18"/>
                <w:szCs w:val="18"/>
              </w:rPr>
            </w:pPr>
            <w:r w:rsidRPr="009F0F3A">
              <w:rPr>
                <w:rFonts w:cs="Arial"/>
                <w:color w:val="000000"/>
                <w:sz w:val="18"/>
                <w:szCs w:val="18"/>
              </w:rPr>
              <w:t>Australian Mental Health Care Classification (AMHCC) v1.0</w:t>
            </w:r>
          </w:p>
        </w:tc>
      </w:tr>
      <w:tr w:rsidR="009F0F3A" w:rsidRPr="009F0F3A" w:rsidTr="009F0F3A">
        <w:trPr>
          <w:trHeight w:val="300"/>
        </w:trPr>
        <w:tc>
          <w:tcPr>
            <w:tcW w:w="1433" w:type="dxa"/>
            <w:vMerge/>
            <w:tcBorders>
              <w:top w:val="single" w:sz="4" w:space="0" w:color="auto"/>
              <w:left w:val="nil"/>
              <w:bottom w:val="single" w:sz="4" w:space="0" w:color="000000"/>
              <w:right w:val="nil"/>
            </w:tcBorders>
            <w:vAlign w:val="center"/>
            <w:hideMark/>
          </w:tcPr>
          <w:p w:rsidR="009F0F3A" w:rsidRPr="009F0F3A" w:rsidRDefault="009F0F3A" w:rsidP="009F0F3A">
            <w:pPr>
              <w:spacing w:before="0" w:after="0" w:line="240" w:lineRule="auto"/>
              <w:rPr>
                <w:rFonts w:cs="Arial"/>
                <w:i/>
                <w:iCs/>
                <w:color w:val="000000"/>
                <w:sz w:val="18"/>
                <w:szCs w:val="18"/>
              </w:rPr>
            </w:pPr>
          </w:p>
        </w:tc>
        <w:tc>
          <w:tcPr>
            <w:tcW w:w="6095" w:type="dxa"/>
            <w:vMerge/>
            <w:tcBorders>
              <w:top w:val="single" w:sz="4" w:space="0" w:color="auto"/>
              <w:left w:val="nil"/>
              <w:bottom w:val="single" w:sz="4" w:space="0" w:color="000000"/>
              <w:right w:val="nil"/>
            </w:tcBorders>
            <w:vAlign w:val="center"/>
            <w:hideMark/>
          </w:tcPr>
          <w:p w:rsidR="009F0F3A" w:rsidRPr="009F0F3A" w:rsidRDefault="009F0F3A" w:rsidP="009F0F3A">
            <w:pPr>
              <w:spacing w:before="0" w:after="0" w:line="240" w:lineRule="auto"/>
              <w:rPr>
                <w:rFonts w:cs="Arial"/>
                <w:color w:val="000000"/>
                <w:sz w:val="18"/>
                <w:szCs w:val="18"/>
              </w:rPr>
            </w:pPr>
          </w:p>
        </w:tc>
        <w:tc>
          <w:tcPr>
            <w:tcW w:w="1701" w:type="dxa"/>
            <w:vMerge/>
            <w:tcBorders>
              <w:top w:val="single" w:sz="4" w:space="0" w:color="auto"/>
              <w:left w:val="nil"/>
              <w:bottom w:val="single" w:sz="4" w:space="0" w:color="000000"/>
              <w:right w:val="nil"/>
            </w:tcBorders>
            <w:vAlign w:val="center"/>
            <w:hideMark/>
          </w:tcPr>
          <w:p w:rsidR="009F0F3A" w:rsidRPr="009F0F3A" w:rsidRDefault="009F0F3A" w:rsidP="009F0F3A">
            <w:pPr>
              <w:spacing w:before="0" w:after="0" w:line="240" w:lineRule="auto"/>
              <w:rPr>
                <w:rFonts w:cs="Arial"/>
                <w:color w:val="000000"/>
                <w:sz w:val="18"/>
                <w:szCs w:val="18"/>
              </w:rPr>
            </w:pPr>
          </w:p>
        </w:tc>
      </w:tr>
      <w:tr w:rsidR="009F0F3A" w:rsidRPr="009F0F3A" w:rsidTr="009F0F3A">
        <w:trPr>
          <w:trHeight w:val="840"/>
        </w:trPr>
        <w:tc>
          <w:tcPr>
            <w:tcW w:w="1433" w:type="dxa"/>
            <w:tcBorders>
              <w:top w:val="nil"/>
              <w:left w:val="nil"/>
              <w:bottom w:val="single" w:sz="4" w:space="0" w:color="auto"/>
              <w:right w:val="nil"/>
            </w:tcBorders>
            <w:shd w:val="clear" w:color="000000" w:fill="FFFFFF"/>
            <w:vAlign w:val="center"/>
            <w:hideMark/>
          </w:tcPr>
          <w:p w:rsidR="009F0F3A" w:rsidRPr="009F0F3A" w:rsidRDefault="009F0F3A" w:rsidP="009F0F3A">
            <w:pPr>
              <w:spacing w:before="0" w:after="0" w:line="240" w:lineRule="auto"/>
              <w:rPr>
                <w:rFonts w:cs="Arial"/>
                <w:i/>
                <w:iCs/>
                <w:color w:val="000000"/>
                <w:sz w:val="18"/>
                <w:szCs w:val="18"/>
              </w:rPr>
            </w:pPr>
            <w:r w:rsidRPr="009F0F3A">
              <w:rPr>
                <w:rFonts w:cs="Arial"/>
                <w:i/>
                <w:iCs/>
                <w:color w:val="000000"/>
                <w:sz w:val="18"/>
                <w:szCs w:val="18"/>
              </w:rPr>
              <w:t>Teaching Training and Research</w:t>
            </w:r>
          </w:p>
        </w:tc>
        <w:tc>
          <w:tcPr>
            <w:tcW w:w="6095" w:type="dxa"/>
            <w:tcBorders>
              <w:top w:val="nil"/>
              <w:left w:val="nil"/>
              <w:bottom w:val="single" w:sz="4" w:space="0" w:color="auto"/>
              <w:right w:val="nil"/>
            </w:tcBorders>
            <w:shd w:val="clear" w:color="000000" w:fill="FFFFFF"/>
            <w:vAlign w:val="center"/>
            <w:hideMark/>
          </w:tcPr>
          <w:p w:rsidR="009F0F3A" w:rsidRPr="009F0F3A" w:rsidRDefault="009F0F3A" w:rsidP="009F0F3A">
            <w:pPr>
              <w:spacing w:before="0" w:after="0" w:line="240" w:lineRule="auto"/>
              <w:rPr>
                <w:rFonts w:cs="Arial"/>
                <w:color w:val="000000"/>
                <w:sz w:val="18"/>
                <w:szCs w:val="18"/>
              </w:rPr>
            </w:pPr>
            <w:r w:rsidRPr="009F0F3A">
              <w:rPr>
                <w:rFonts w:cs="Arial"/>
                <w:color w:val="000000"/>
                <w:sz w:val="18"/>
                <w:szCs w:val="18"/>
              </w:rPr>
              <w:t xml:space="preserve">Teaching and training activities which occur in public hospital services. </w:t>
            </w:r>
          </w:p>
        </w:tc>
        <w:tc>
          <w:tcPr>
            <w:tcW w:w="1701" w:type="dxa"/>
            <w:tcBorders>
              <w:top w:val="nil"/>
              <w:left w:val="nil"/>
              <w:bottom w:val="single" w:sz="4" w:space="0" w:color="auto"/>
              <w:right w:val="nil"/>
            </w:tcBorders>
            <w:shd w:val="clear" w:color="auto" w:fill="auto"/>
            <w:hideMark/>
          </w:tcPr>
          <w:p w:rsidR="008C65D7" w:rsidRPr="009F0F3A" w:rsidRDefault="009F0F3A" w:rsidP="0003038D">
            <w:pPr>
              <w:spacing w:before="0" w:after="0" w:line="240" w:lineRule="auto"/>
              <w:rPr>
                <w:rFonts w:cs="Arial"/>
                <w:color w:val="000000"/>
                <w:sz w:val="18"/>
                <w:szCs w:val="18"/>
              </w:rPr>
            </w:pPr>
            <w:r w:rsidRPr="009F0F3A">
              <w:rPr>
                <w:rFonts w:cs="Arial"/>
                <w:color w:val="000000"/>
                <w:sz w:val="18"/>
                <w:szCs w:val="18"/>
              </w:rPr>
              <w:t>Australian Teaching and Training Class</w:t>
            </w:r>
            <w:r w:rsidR="0003038D">
              <w:rPr>
                <w:rFonts w:cs="Arial"/>
                <w:color w:val="000000"/>
                <w:sz w:val="18"/>
                <w:szCs w:val="18"/>
              </w:rPr>
              <w:t>ification (released 1 July 2018)</w:t>
            </w:r>
          </w:p>
        </w:tc>
      </w:tr>
    </w:tbl>
    <w:p w:rsidR="00C85A5B" w:rsidRDefault="00C85A5B" w:rsidP="003059E1">
      <w:pPr>
        <w:rPr>
          <w:b/>
        </w:rPr>
      </w:pPr>
    </w:p>
    <w:p w:rsidR="003059E1" w:rsidRPr="00371627" w:rsidRDefault="00762A03" w:rsidP="003059E1">
      <w:pPr>
        <w:rPr>
          <w:b/>
        </w:rPr>
      </w:pPr>
      <w:r>
        <w:rPr>
          <w:b/>
        </w:rPr>
        <w:t>Admitted activity reporting scope (work in progress and mental health)</w:t>
      </w:r>
    </w:p>
    <w:p w:rsidR="003059E1" w:rsidRPr="000B2F16" w:rsidRDefault="003059E1" w:rsidP="003059E1">
      <w:r w:rsidRPr="000B2F16">
        <w:rPr>
          <w:rFonts w:cs="Arial"/>
        </w:rPr>
        <w:t xml:space="preserve">For Round 21, a Work in Progress (WIP) patient is defined as a patient during the 2016-17 financial </w:t>
      </w:r>
      <w:proofErr w:type="gramStart"/>
      <w:r w:rsidRPr="000B2F16">
        <w:rPr>
          <w:rFonts w:cs="Arial"/>
        </w:rPr>
        <w:t>year</w:t>
      </w:r>
      <w:proofErr w:type="gramEnd"/>
      <w:r w:rsidRPr="000B2F16">
        <w:rPr>
          <w:rFonts w:cs="Arial"/>
        </w:rPr>
        <w:t xml:space="preserve"> who was not both admitted and discharged within that year. Historically, WIP patients have been considered ‘out of scope’ and not included in the reporting of NHCDC cost data.</w:t>
      </w:r>
    </w:p>
    <w:p w:rsidR="003059E1" w:rsidRPr="00C72BFB" w:rsidRDefault="003059E1" w:rsidP="003059E1">
      <w:r w:rsidRPr="000B2F16">
        <w:rPr>
          <w:rFonts w:cs="Arial"/>
        </w:rPr>
        <w:lastRenderedPageBreak/>
        <w:t xml:space="preserve">For the purposes of the Round 21 NHCDC, WIP patients </w:t>
      </w:r>
      <w:r>
        <w:rPr>
          <w:rFonts w:cs="Arial"/>
        </w:rPr>
        <w:t xml:space="preserve">have been included when they were </w:t>
      </w:r>
      <w:r w:rsidRPr="000B2F16">
        <w:rPr>
          <w:rFonts w:cs="Arial"/>
        </w:rPr>
        <w:t xml:space="preserve">admitted in the previous financial year (2015-16). This </w:t>
      </w:r>
      <w:r>
        <w:rPr>
          <w:rFonts w:cs="Arial"/>
        </w:rPr>
        <w:t xml:space="preserve">reflects the </w:t>
      </w:r>
      <w:r w:rsidRPr="000B2F16">
        <w:rPr>
          <w:rFonts w:cs="Arial"/>
        </w:rPr>
        <w:t xml:space="preserve">improvements in the quality of </w:t>
      </w:r>
      <w:r w:rsidRPr="00C72BFB">
        <w:rPr>
          <w:rFonts w:cs="Arial"/>
        </w:rPr>
        <w:t>patient cost data reported by jurisdictions in the Data Quality Statements (DQS) and observed in the annual Independent Financial Review.</w:t>
      </w:r>
    </w:p>
    <w:p w:rsidR="006D011C" w:rsidRPr="00C72BFB" w:rsidRDefault="003059E1" w:rsidP="003059E1">
      <w:pPr>
        <w:rPr>
          <w:rFonts w:cs="Arial"/>
        </w:rPr>
      </w:pPr>
      <w:r w:rsidRPr="00C72BFB">
        <w:rPr>
          <w:rFonts w:cs="Arial"/>
        </w:rPr>
        <w:t xml:space="preserve">The Round 21 </w:t>
      </w:r>
      <w:r w:rsidR="000F0BD6" w:rsidRPr="00C72BFB">
        <w:rPr>
          <w:rFonts w:cs="Arial"/>
        </w:rPr>
        <w:t xml:space="preserve">admitted acute </w:t>
      </w:r>
      <w:r w:rsidRPr="00C72BFB">
        <w:rPr>
          <w:rFonts w:cs="Arial"/>
        </w:rPr>
        <w:t>cost weight tables exclude</w:t>
      </w:r>
      <w:r w:rsidR="006D011C" w:rsidRPr="00C72BFB">
        <w:rPr>
          <w:rFonts w:cs="Arial"/>
        </w:rPr>
        <w:t>s</w:t>
      </w:r>
      <w:r w:rsidR="002650F6" w:rsidRPr="00C72BFB">
        <w:rPr>
          <w:rFonts w:cs="Arial"/>
        </w:rPr>
        <w:t xml:space="preserve"> inpatients admitted prior to </w:t>
      </w:r>
      <w:r w:rsidR="00626DD3">
        <w:rPr>
          <w:rFonts w:cs="Arial"/>
        </w:rPr>
        <w:br/>
      </w:r>
      <w:r w:rsidR="002650F6" w:rsidRPr="00C72BFB">
        <w:rPr>
          <w:rFonts w:cs="Arial"/>
        </w:rPr>
        <w:t xml:space="preserve">1 July 2015.  </w:t>
      </w:r>
    </w:p>
    <w:p w:rsidR="00B00E69" w:rsidRPr="00C72BFB" w:rsidRDefault="002650F6" w:rsidP="003059E1">
      <w:pPr>
        <w:rPr>
          <w:rFonts w:cs="Arial"/>
        </w:rPr>
      </w:pPr>
      <w:r w:rsidRPr="00C72BFB">
        <w:rPr>
          <w:rFonts w:cs="Arial"/>
        </w:rPr>
        <w:t xml:space="preserve">In previous NHCDC reports, mental health inpatients were reported under the acute activity stream.  </w:t>
      </w:r>
      <w:r w:rsidR="00D40D9F" w:rsidRPr="00C72BFB">
        <w:rPr>
          <w:rFonts w:cs="Arial"/>
        </w:rPr>
        <w:t>For</w:t>
      </w:r>
      <w:r w:rsidRPr="00C72BFB">
        <w:rPr>
          <w:rFonts w:cs="Arial"/>
        </w:rPr>
        <w:t xml:space="preserve"> Round 21, these costs are </w:t>
      </w:r>
      <w:r w:rsidR="00762A03" w:rsidRPr="00C72BFB">
        <w:rPr>
          <w:rFonts w:cs="Arial"/>
        </w:rPr>
        <w:t xml:space="preserve">identified using care type 11 and </w:t>
      </w:r>
      <w:r w:rsidRPr="00C72BFB">
        <w:rPr>
          <w:rFonts w:cs="Arial"/>
        </w:rPr>
        <w:t>reported under</w:t>
      </w:r>
      <w:r w:rsidR="00D40D9F" w:rsidRPr="00C72BFB">
        <w:rPr>
          <w:rFonts w:cs="Arial"/>
        </w:rPr>
        <w:t xml:space="preserve"> the</w:t>
      </w:r>
      <w:r w:rsidRPr="00C72BFB">
        <w:rPr>
          <w:rFonts w:cs="Arial"/>
        </w:rPr>
        <w:t xml:space="preserve"> mental health </w:t>
      </w:r>
      <w:r w:rsidR="00D40D9F" w:rsidRPr="00C72BFB">
        <w:rPr>
          <w:rFonts w:cs="Arial"/>
        </w:rPr>
        <w:t xml:space="preserve">activity stream </w:t>
      </w:r>
      <w:r w:rsidRPr="00C72BFB">
        <w:rPr>
          <w:rFonts w:cs="Arial"/>
        </w:rPr>
        <w:t>(using the Australian Mental Health Care Classification).</w:t>
      </w:r>
      <w:r w:rsidR="00B00E69" w:rsidRPr="00C72BFB">
        <w:rPr>
          <w:rFonts w:cs="Arial"/>
        </w:rPr>
        <w:t xml:space="preserve">  </w:t>
      </w:r>
    </w:p>
    <w:p w:rsidR="00B00E69" w:rsidRPr="00C72BFB" w:rsidRDefault="003B4C44" w:rsidP="003059E1">
      <w:pPr>
        <w:rPr>
          <w:rFonts w:cs="Arial"/>
        </w:rPr>
      </w:pPr>
      <w:r>
        <w:rPr>
          <w:rFonts w:cs="Arial"/>
        </w:rPr>
        <w:fldChar w:fldCharType="begin"/>
      </w:r>
      <w:r>
        <w:rPr>
          <w:rFonts w:cs="Arial"/>
        </w:rPr>
        <w:instrText xml:space="preserve"> REF _Ref527368627 \h </w:instrText>
      </w:r>
      <w:r>
        <w:rPr>
          <w:rFonts w:cs="Arial"/>
        </w:rPr>
      </w:r>
      <w:r>
        <w:rPr>
          <w:rFonts w:cs="Arial"/>
        </w:rPr>
        <w:fldChar w:fldCharType="separate"/>
      </w:r>
      <w:r w:rsidR="00342D61" w:rsidRPr="00C72BFB">
        <w:t xml:space="preserve">Table </w:t>
      </w:r>
      <w:r w:rsidR="00342D61">
        <w:rPr>
          <w:noProof/>
        </w:rPr>
        <w:t>3</w:t>
      </w:r>
      <w:r>
        <w:rPr>
          <w:rFonts w:cs="Arial"/>
        </w:rPr>
        <w:fldChar w:fldCharType="end"/>
      </w:r>
      <w:r w:rsidR="00B00E69" w:rsidRPr="00C72BFB">
        <w:rPr>
          <w:rFonts w:cs="Arial"/>
        </w:rPr>
        <w:t xml:space="preserve"> </w:t>
      </w:r>
      <w:r w:rsidR="006D011C" w:rsidRPr="00C72BFB">
        <w:rPr>
          <w:rFonts w:cs="Arial"/>
        </w:rPr>
        <w:t>compares</w:t>
      </w:r>
      <w:r w:rsidR="00D40D9F" w:rsidRPr="00C72BFB">
        <w:rPr>
          <w:rFonts w:cs="Arial"/>
        </w:rPr>
        <w:t xml:space="preserve"> the number of admitted acute patient separations </w:t>
      </w:r>
      <w:r w:rsidR="006D011C" w:rsidRPr="00C72BFB">
        <w:rPr>
          <w:rFonts w:cs="Arial"/>
        </w:rPr>
        <w:t xml:space="preserve">within the Round 21 NHCDC </w:t>
      </w:r>
      <w:r w:rsidR="00D40D9F" w:rsidRPr="00C72BFB">
        <w:rPr>
          <w:rFonts w:cs="Arial"/>
        </w:rPr>
        <w:t>with the different work in progress and mental health conditions applied.</w:t>
      </w:r>
      <w:r w:rsidR="006D011C" w:rsidRPr="00C72BFB">
        <w:rPr>
          <w:rFonts w:cs="Arial"/>
        </w:rPr>
        <w:t xml:space="preserve"> The </w:t>
      </w:r>
      <w:r>
        <w:rPr>
          <w:rFonts w:cs="Arial"/>
        </w:rPr>
        <w:t>shaded</w:t>
      </w:r>
      <w:r w:rsidRPr="00C72BFB">
        <w:rPr>
          <w:rFonts w:cs="Arial"/>
        </w:rPr>
        <w:t xml:space="preserve"> </w:t>
      </w:r>
      <w:r w:rsidR="006D011C" w:rsidRPr="00C72BFB">
        <w:rPr>
          <w:rFonts w:cs="Arial"/>
        </w:rPr>
        <w:t xml:space="preserve">row contains Round 21 in-scope </w:t>
      </w:r>
      <w:r w:rsidR="00762A03" w:rsidRPr="00C72BFB">
        <w:rPr>
          <w:rFonts w:cs="Arial"/>
        </w:rPr>
        <w:t>acute admitted activity</w:t>
      </w:r>
      <w:r w:rsidR="00B00E69" w:rsidRPr="00C72BFB">
        <w:rPr>
          <w:rFonts w:cs="Arial"/>
        </w:rPr>
        <w:t xml:space="preserve">. </w:t>
      </w:r>
    </w:p>
    <w:p w:rsidR="002B5F53" w:rsidRPr="00C72BFB" w:rsidRDefault="004730D8" w:rsidP="007F44CC">
      <w:pPr>
        <w:pStyle w:val="Caption"/>
      </w:pPr>
      <w:bookmarkStart w:id="14" w:name="_Ref527368627"/>
      <w:bookmarkStart w:id="15" w:name="_Toc527385230"/>
      <w:r w:rsidRPr="00C72BFB">
        <w:t xml:space="preserve">Table </w:t>
      </w:r>
      <w:r w:rsidR="00342D61">
        <w:fldChar w:fldCharType="begin"/>
      </w:r>
      <w:r w:rsidR="00342D61">
        <w:instrText xml:space="preserve"> SEQ Table \* ARABIC </w:instrText>
      </w:r>
      <w:r w:rsidR="00342D61">
        <w:fldChar w:fldCharType="separate"/>
      </w:r>
      <w:r w:rsidR="00342D61">
        <w:rPr>
          <w:noProof/>
        </w:rPr>
        <w:t>3</w:t>
      </w:r>
      <w:r w:rsidR="00342D61">
        <w:rPr>
          <w:noProof/>
        </w:rPr>
        <w:fldChar w:fldCharType="end"/>
      </w:r>
      <w:bookmarkEnd w:id="14"/>
      <w:r w:rsidR="00C72BFB" w:rsidRPr="00C72BFB">
        <w:t xml:space="preserve"> </w:t>
      </w:r>
      <w:r w:rsidRPr="00C72BFB">
        <w:t xml:space="preserve">Admitted acute separations, selected </w:t>
      </w:r>
      <w:r w:rsidR="001704C8" w:rsidRPr="00C72BFB">
        <w:t>conditions</w:t>
      </w:r>
      <w:r w:rsidR="002B5F53" w:rsidRPr="00C72BFB">
        <w:t>, Round 21</w:t>
      </w:r>
      <w:bookmarkEnd w:id="15"/>
    </w:p>
    <w:tbl>
      <w:tblPr>
        <w:tblW w:w="9200" w:type="dxa"/>
        <w:jc w:val="center"/>
        <w:tblLook w:val="04A0" w:firstRow="1" w:lastRow="0" w:firstColumn="1" w:lastColumn="0" w:noHBand="0" w:noVBand="1"/>
        <w:tblCaption w:val="Table 3 Admitted acute separations, selected conditions, Round 21"/>
        <w:tblDescription w:val="This table compares the number of admitted acute patient separations with the different work in progress and mental health conditions applied."/>
      </w:tblPr>
      <w:tblGrid>
        <w:gridCol w:w="3810"/>
        <w:gridCol w:w="1784"/>
        <w:gridCol w:w="1716"/>
        <w:gridCol w:w="1890"/>
      </w:tblGrid>
      <w:tr w:rsidR="004730D8" w:rsidRPr="006D011C" w:rsidTr="00EF53C3">
        <w:trPr>
          <w:trHeight w:val="720"/>
          <w:jc w:val="center"/>
        </w:trPr>
        <w:tc>
          <w:tcPr>
            <w:tcW w:w="3810" w:type="dxa"/>
            <w:tcBorders>
              <w:top w:val="single" w:sz="4" w:space="0" w:color="auto"/>
              <w:left w:val="nil"/>
              <w:bottom w:val="single" w:sz="4" w:space="0" w:color="auto"/>
              <w:right w:val="nil"/>
            </w:tcBorders>
            <w:shd w:val="clear" w:color="000000" w:fill="FFFFFF"/>
            <w:vAlign w:val="center"/>
            <w:hideMark/>
          </w:tcPr>
          <w:p w:rsidR="004730D8" w:rsidRPr="00626DD3" w:rsidRDefault="004730D8" w:rsidP="00762A03">
            <w:pPr>
              <w:spacing w:before="0" w:after="0" w:line="240" w:lineRule="auto"/>
              <w:jc w:val="center"/>
              <w:rPr>
                <w:rFonts w:cs="Arial"/>
                <w:b/>
                <w:color w:val="000000"/>
                <w:sz w:val="18"/>
                <w:szCs w:val="18"/>
              </w:rPr>
            </w:pPr>
            <w:r w:rsidRPr="00626DD3">
              <w:rPr>
                <w:rFonts w:cs="Arial"/>
                <w:b/>
                <w:color w:val="000000"/>
                <w:sz w:val="18"/>
                <w:szCs w:val="18"/>
              </w:rPr>
              <w:t>Admitted acute separations: </w:t>
            </w:r>
          </w:p>
        </w:tc>
        <w:tc>
          <w:tcPr>
            <w:tcW w:w="1784" w:type="dxa"/>
            <w:tcBorders>
              <w:top w:val="single" w:sz="4" w:space="0" w:color="auto"/>
              <w:left w:val="nil"/>
              <w:bottom w:val="single" w:sz="4" w:space="0" w:color="auto"/>
              <w:right w:val="nil"/>
            </w:tcBorders>
            <w:shd w:val="clear" w:color="000000" w:fill="FFFFFF"/>
            <w:vAlign w:val="center"/>
            <w:hideMark/>
          </w:tcPr>
          <w:p w:rsidR="004730D8" w:rsidRPr="00C72BFB" w:rsidRDefault="004730D8" w:rsidP="004730D8">
            <w:pPr>
              <w:spacing w:before="0" w:after="0" w:line="240" w:lineRule="auto"/>
              <w:jc w:val="right"/>
              <w:rPr>
                <w:rFonts w:cs="Arial"/>
                <w:b/>
                <w:bCs/>
                <w:color w:val="000000"/>
                <w:sz w:val="18"/>
                <w:szCs w:val="18"/>
              </w:rPr>
            </w:pPr>
            <w:r w:rsidRPr="00C72BFB">
              <w:rPr>
                <w:rFonts w:cs="Arial"/>
                <w:b/>
                <w:bCs/>
                <w:color w:val="000000"/>
                <w:sz w:val="18"/>
                <w:szCs w:val="18"/>
              </w:rPr>
              <w:t>Number of separations</w:t>
            </w:r>
          </w:p>
        </w:tc>
        <w:tc>
          <w:tcPr>
            <w:tcW w:w="1716" w:type="dxa"/>
            <w:tcBorders>
              <w:top w:val="single" w:sz="4" w:space="0" w:color="auto"/>
              <w:left w:val="nil"/>
              <w:bottom w:val="single" w:sz="4" w:space="0" w:color="auto"/>
              <w:right w:val="nil"/>
            </w:tcBorders>
            <w:shd w:val="clear" w:color="000000" w:fill="FFFFFF"/>
            <w:vAlign w:val="center"/>
            <w:hideMark/>
          </w:tcPr>
          <w:p w:rsidR="004730D8" w:rsidRPr="00C72BFB" w:rsidRDefault="004730D8" w:rsidP="004730D8">
            <w:pPr>
              <w:spacing w:before="0" w:after="0" w:line="240" w:lineRule="auto"/>
              <w:jc w:val="right"/>
              <w:rPr>
                <w:rFonts w:cs="Arial"/>
                <w:b/>
                <w:bCs/>
                <w:color w:val="000000"/>
                <w:sz w:val="18"/>
                <w:szCs w:val="18"/>
              </w:rPr>
            </w:pPr>
            <w:r w:rsidRPr="00C72BFB">
              <w:rPr>
                <w:rFonts w:cs="Arial"/>
                <w:b/>
                <w:bCs/>
                <w:color w:val="000000"/>
                <w:sz w:val="18"/>
                <w:szCs w:val="18"/>
              </w:rPr>
              <w:t xml:space="preserve">Average </w:t>
            </w:r>
            <w:r w:rsidRPr="00C72BFB">
              <w:rPr>
                <w:rFonts w:cs="Arial"/>
                <w:b/>
                <w:bCs/>
                <w:color w:val="000000"/>
                <w:sz w:val="18"/>
                <w:szCs w:val="18"/>
              </w:rPr>
              <w:br/>
              <w:t>cost ($)</w:t>
            </w:r>
          </w:p>
        </w:tc>
        <w:tc>
          <w:tcPr>
            <w:tcW w:w="1890" w:type="dxa"/>
            <w:tcBorders>
              <w:top w:val="single" w:sz="4" w:space="0" w:color="auto"/>
              <w:left w:val="nil"/>
              <w:bottom w:val="single" w:sz="4" w:space="0" w:color="auto"/>
              <w:right w:val="nil"/>
            </w:tcBorders>
            <w:shd w:val="clear" w:color="000000" w:fill="FFFFFF"/>
            <w:vAlign w:val="center"/>
            <w:hideMark/>
          </w:tcPr>
          <w:p w:rsidR="004730D8" w:rsidRPr="006D011C" w:rsidRDefault="004730D8" w:rsidP="004730D8">
            <w:pPr>
              <w:spacing w:before="0" w:after="0" w:line="240" w:lineRule="auto"/>
              <w:jc w:val="right"/>
              <w:rPr>
                <w:rFonts w:cs="Arial"/>
                <w:b/>
                <w:bCs/>
                <w:color w:val="000000"/>
                <w:sz w:val="18"/>
                <w:szCs w:val="18"/>
              </w:rPr>
            </w:pPr>
            <w:r w:rsidRPr="00C72BFB">
              <w:rPr>
                <w:rFonts w:cs="Arial"/>
                <w:b/>
                <w:bCs/>
                <w:color w:val="000000"/>
                <w:sz w:val="18"/>
                <w:szCs w:val="18"/>
              </w:rPr>
              <w:t>Average length of stay</w:t>
            </w:r>
          </w:p>
        </w:tc>
      </w:tr>
      <w:tr w:rsidR="004730D8" w:rsidRPr="006D011C" w:rsidTr="00EF53C3">
        <w:trPr>
          <w:trHeight w:val="507"/>
          <w:jc w:val="center"/>
        </w:trPr>
        <w:tc>
          <w:tcPr>
            <w:tcW w:w="3810" w:type="dxa"/>
            <w:tcBorders>
              <w:top w:val="nil"/>
              <w:left w:val="nil"/>
              <w:bottom w:val="single" w:sz="4" w:space="0" w:color="auto"/>
              <w:right w:val="nil"/>
            </w:tcBorders>
            <w:shd w:val="clear" w:color="000000" w:fill="FFFFFF"/>
            <w:noWrap/>
            <w:vAlign w:val="center"/>
          </w:tcPr>
          <w:p w:rsidR="004730D8" w:rsidRPr="006D011C" w:rsidRDefault="004730D8" w:rsidP="004730D8">
            <w:pPr>
              <w:spacing w:before="0" w:after="40" w:line="240" w:lineRule="auto"/>
              <w:rPr>
                <w:rFonts w:cs="Arial"/>
                <w:color w:val="000000"/>
                <w:sz w:val="18"/>
                <w:szCs w:val="18"/>
              </w:rPr>
            </w:pPr>
            <w:r w:rsidRPr="006D011C">
              <w:rPr>
                <w:rFonts w:cs="Arial"/>
                <w:color w:val="000000"/>
                <w:sz w:val="18"/>
                <w:szCs w:val="18"/>
              </w:rPr>
              <w:t>Including mental health, excluding Work in Progress patients</w:t>
            </w:r>
          </w:p>
        </w:tc>
        <w:tc>
          <w:tcPr>
            <w:tcW w:w="1784" w:type="dxa"/>
            <w:tcBorders>
              <w:top w:val="nil"/>
              <w:left w:val="nil"/>
              <w:bottom w:val="single" w:sz="4" w:space="0" w:color="auto"/>
              <w:right w:val="nil"/>
            </w:tcBorders>
            <w:shd w:val="clear" w:color="000000" w:fill="FFFFFF"/>
            <w:noWrap/>
            <w:vAlign w:val="center"/>
          </w:tcPr>
          <w:p w:rsidR="004730D8" w:rsidRPr="006D011C" w:rsidRDefault="004730D8" w:rsidP="004730D8">
            <w:pPr>
              <w:spacing w:before="0" w:after="40" w:line="240" w:lineRule="auto"/>
              <w:jc w:val="right"/>
              <w:rPr>
                <w:rFonts w:cs="Arial"/>
                <w:color w:val="000000"/>
                <w:sz w:val="18"/>
                <w:szCs w:val="18"/>
              </w:rPr>
            </w:pPr>
            <w:r w:rsidRPr="006D011C">
              <w:rPr>
                <w:rFonts w:cs="Arial"/>
                <w:color w:val="000000"/>
                <w:sz w:val="18"/>
                <w:szCs w:val="18"/>
              </w:rPr>
              <w:t>5,868,941</w:t>
            </w:r>
          </w:p>
        </w:tc>
        <w:tc>
          <w:tcPr>
            <w:tcW w:w="1716" w:type="dxa"/>
            <w:tcBorders>
              <w:top w:val="nil"/>
              <w:left w:val="nil"/>
              <w:bottom w:val="single" w:sz="4" w:space="0" w:color="auto"/>
              <w:right w:val="nil"/>
            </w:tcBorders>
            <w:shd w:val="clear" w:color="000000" w:fill="FFFFFF"/>
            <w:noWrap/>
            <w:vAlign w:val="center"/>
          </w:tcPr>
          <w:p w:rsidR="004730D8" w:rsidRPr="006D011C" w:rsidRDefault="004730D8" w:rsidP="004730D8">
            <w:pPr>
              <w:spacing w:before="0" w:after="40" w:line="240" w:lineRule="auto"/>
              <w:jc w:val="right"/>
              <w:rPr>
                <w:rFonts w:cs="Arial"/>
                <w:color w:val="000000"/>
                <w:sz w:val="18"/>
                <w:szCs w:val="18"/>
              </w:rPr>
            </w:pPr>
            <w:r w:rsidRPr="006D011C">
              <w:rPr>
                <w:rFonts w:cs="Arial"/>
                <w:color w:val="000000"/>
                <w:sz w:val="18"/>
                <w:szCs w:val="18"/>
              </w:rPr>
              <w:t>5,229</w:t>
            </w:r>
          </w:p>
        </w:tc>
        <w:tc>
          <w:tcPr>
            <w:tcW w:w="1890" w:type="dxa"/>
            <w:tcBorders>
              <w:top w:val="nil"/>
              <w:left w:val="nil"/>
              <w:bottom w:val="single" w:sz="4" w:space="0" w:color="auto"/>
              <w:right w:val="nil"/>
            </w:tcBorders>
            <w:shd w:val="clear" w:color="000000" w:fill="FFFFFF"/>
            <w:noWrap/>
            <w:vAlign w:val="center"/>
          </w:tcPr>
          <w:p w:rsidR="004730D8" w:rsidRPr="006D011C" w:rsidRDefault="004730D8" w:rsidP="004730D8">
            <w:pPr>
              <w:spacing w:before="0" w:after="40" w:line="240" w:lineRule="auto"/>
              <w:jc w:val="right"/>
              <w:rPr>
                <w:rFonts w:cs="Arial"/>
                <w:color w:val="000000"/>
                <w:sz w:val="18"/>
                <w:szCs w:val="18"/>
              </w:rPr>
            </w:pPr>
            <w:r w:rsidRPr="006D011C">
              <w:rPr>
                <w:rFonts w:cs="Arial"/>
                <w:color w:val="000000"/>
                <w:sz w:val="18"/>
                <w:szCs w:val="18"/>
              </w:rPr>
              <w:t>2.53 days</w:t>
            </w:r>
          </w:p>
        </w:tc>
      </w:tr>
      <w:tr w:rsidR="004730D8" w:rsidRPr="006D011C" w:rsidTr="00EF53C3">
        <w:trPr>
          <w:trHeight w:val="300"/>
          <w:jc w:val="center"/>
        </w:trPr>
        <w:tc>
          <w:tcPr>
            <w:tcW w:w="3810" w:type="dxa"/>
            <w:tcBorders>
              <w:top w:val="single" w:sz="4" w:space="0" w:color="auto"/>
              <w:left w:val="nil"/>
              <w:bottom w:val="single" w:sz="4" w:space="0" w:color="auto"/>
              <w:right w:val="nil"/>
            </w:tcBorders>
            <w:shd w:val="clear" w:color="000000" w:fill="FFFFFF"/>
            <w:noWrap/>
            <w:vAlign w:val="center"/>
          </w:tcPr>
          <w:p w:rsidR="004730D8" w:rsidRPr="006D011C" w:rsidRDefault="004730D8" w:rsidP="004730D8">
            <w:pPr>
              <w:spacing w:before="0" w:after="40" w:line="240" w:lineRule="auto"/>
              <w:rPr>
                <w:rFonts w:cs="Arial"/>
                <w:color w:val="000000"/>
                <w:sz w:val="18"/>
                <w:szCs w:val="18"/>
              </w:rPr>
            </w:pPr>
            <w:r w:rsidRPr="006D011C">
              <w:rPr>
                <w:rFonts w:cs="Arial"/>
                <w:color w:val="000000"/>
                <w:sz w:val="18"/>
                <w:szCs w:val="18"/>
              </w:rPr>
              <w:t>Excluding mental health, excluding Work in Progress patients</w:t>
            </w:r>
          </w:p>
        </w:tc>
        <w:tc>
          <w:tcPr>
            <w:tcW w:w="1784" w:type="dxa"/>
            <w:tcBorders>
              <w:top w:val="single" w:sz="4" w:space="0" w:color="auto"/>
              <w:left w:val="nil"/>
              <w:bottom w:val="single" w:sz="4" w:space="0" w:color="auto"/>
              <w:right w:val="nil"/>
            </w:tcBorders>
            <w:shd w:val="clear" w:color="000000" w:fill="FFFFFF"/>
            <w:noWrap/>
            <w:vAlign w:val="center"/>
          </w:tcPr>
          <w:p w:rsidR="004730D8" w:rsidRPr="006D011C" w:rsidRDefault="004730D8" w:rsidP="004730D8">
            <w:pPr>
              <w:spacing w:before="0" w:after="40" w:line="240" w:lineRule="auto"/>
              <w:jc w:val="right"/>
              <w:rPr>
                <w:rFonts w:cs="Arial"/>
                <w:color w:val="000000"/>
                <w:sz w:val="18"/>
                <w:szCs w:val="18"/>
              </w:rPr>
            </w:pPr>
            <w:r w:rsidRPr="006D011C">
              <w:rPr>
                <w:rFonts w:cs="Arial"/>
                <w:color w:val="000000"/>
                <w:sz w:val="18"/>
                <w:szCs w:val="18"/>
              </w:rPr>
              <w:t>5,742,228</w:t>
            </w:r>
          </w:p>
        </w:tc>
        <w:tc>
          <w:tcPr>
            <w:tcW w:w="1716" w:type="dxa"/>
            <w:tcBorders>
              <w:top w:val="single" w:sz="4" w:space="0" w:color="auto"/>
              <w:left w:val="nil"/>
              <w:bottom w:val="single" w:sz="4" w:space="0" w:color="auto"/>
              <w:right w:val="nil"/>
            </w:tcBorders>
            <w:shd w:val="clear" w:color="000000" w:fill="FFFFFF"/>
            <w:noWrap/>
            <w:vAlign w:val="center"/>
          </w:tcPr>
          <w:p w:rsidR="004730D8" w:rsidRPr="006D011C" w:rsidRDefault="004730D8" w:rsidP="004730D8">
            <w:pPr>
              <w:spacing w:before="0" w:after="40" w:line="240" w:lineRule="auto"/>
              <w:jc w:val="right"/>
              <w:rPr>
                <w:rFonts w:cs="Arial"/>
                <w:color w:val="000000"/>
                <w:sz w:val="18"/>
                <w:szCs w:val="18"/>
              </w:rPr>
            </w:pPr>
            <w:r w:rsidRPr="006D011C">
              <w:rPr>
                <w:rFonts w:cs="Arial"/>
                <w:color w:val="000000"/>
                <w:sz w:val="18"/>
                <w:szCs w:val="18"/>
              </w:rPr>
              <w:t>5,027</w:t>
            </w:r>
          </w:p>
        </w:tc>
        <w:tc>
          <w:tcPr>
            <w:tcW w:w="1890" w:type="dxa"/>
            <w:tcBorders>
              <w:top w:val="single" w:sz="4" w:space="0" w:color="auto"/>
              <w:left w:val="nil"/>
              <w:bottom w:val="single" w:sz="4" w:space="0" w:color="auto"/>
              <w:right w:val="nil"/>
            </w:tcBorders>
            <w:shd w:val="clear" w:color="000000" w:fill="FFFFFF"/>
            <w:noWrap/>
            <w:vAlign w:val="center"/>
          </w:tcPr>
          <w:p w:rsidR="004730D8" w:rsidRPr="006D011C" w:rsidRDefault="004730D8" w:rsidP="004730D8">
            <w:pPr>
              <w:spacing w:before="0" w:after="40" w:line="240" w:lineRule="auto"/>
              <w:jc w:val="right"/>
              <w:rPr>
                <w:rFonts w:cs="Arial"/>
                <w:color w:val="000000"/>
                <w:sz w:val="18"/>
                <w:szCs w:val="18"/>
              </w:rPr>
            </w:pPr>
            <w:r w:rsidRPr="006D011C">
              <w:rPr>
                <w:rFonts w:cs="Arial"/>
                <w:color w:val="000000"/>
                <w:sz w:val="18"/>
                <w:szCs w:val="18"/>
              </w:rPr>
              <w:t>2.36 days</w:t>
            </w:r>
          </w:p>
        </w:tc>
      </w:tr>
      <w:tr w:rsidR="004730D8" w:rsidRPr="006D011C" w:rsidTr="00EF53C3">
        <w:trPr>
          <w:trHeight w:val="300"/>
          <w:jc w:val="center"/>
        </w:trPr>
        <w:tc>
          <w:tcPr>
            <w:tcW w:w="3810" w:type="dxa"/>
            <w:tcBorders>
              <w:top w:val="single" w:sz="4" w:space="0" w:color="auto"/>
              <w:left w:val="nil"/>
              <w:bottom w:val="single" w:sz="4" w:space="0" w:color="auto"/>
              <w:right w:val="nil"/>
            </w:tcBorders>
            <w:shd w:val="clear" w:color="auto" w:fill="F2F2F2" w:themeFill="background1" w:themeFillShade="F2"/>
            <w:noWrap/>
            <w:vAlign w:val="center"/>
          </w:tcPr>
          <w:p w:rsidR="004730D8" w:rsidRPr="006D011C" w:rsidRDefault="004730D8" w:rsidP="004730D8">
            <w:pPr>
              <w:spacing w:before="0" w:after="40" w:line="240" w:lineRule="auto"/>
              <w:rPr>
                <w:rFonts w:cs="Arial"/>
                <w:color w:val="000000"/>
                <w:sz w:val="18"/>
                <w:szCs w:val="18"/>
              </w:rPr>
            </w:pPr>
            <w:r w:rsidRPr="006D011C">
              <w:rPr>
                <w:rFonts w:cs="Arial"/>
                <w:color w:val="000000"/>
                <w:sz w:val="18"/>
                <w:szCs w:val="18"/>
              </w:rPr>
              <w:t>Excluding mental health, excluding Work in Progress patients admitted prior to 1 July 2015</w:t>
            </w:r>
            <w:r w:rsidR="006D011C">
              <w:rPr>
                <w:rFonts w:cs="Arial"/>
                <w:color w:val="000000"/>
                <w:sz w:val="18"/>
                <w:szCs w:val="18"/>
              </w:rPr>
              <w:t>*</w:t>
            </w:r>
          </w:p>
        </w:tc>
        <w:tc>
          <w:tcPr>
            <w:tcW w:w="1784" w:type="dxa"/>
            <w:tcBorders>
              <w:top w:val="single" w:sz="4" w:space="0" w:color="auto"/>
              <w:left w:val="nil"/>
              <w:bottom w:val="single" w:sz="4" w:space="0" w:color="auto"/>
              <w:right w:val="nil"/>
            </w:tcBorders>
            <w:shd w:val="clear" w:color="auto" w:fill="F2F2F2" w:themeFill="background1" w:themeFillShade="F2"/>
            <w:noWrap/>
            <w:vAlign w:val="center"/>
          </w:tcPr>
          <w:p w:rsidR="004730D8" w:rsidRPr="006D011C" w:rsidRDefault="004730D8" w:rsidP="004730D8">
            <w:pPr>
              <w:spacing w:before="0" w:after="40" w:line="240" w:lineRule="auto"/>
              <w:jc w:val="right"/>
              <w:rPr>
                <w:rFonts w:cs="Arial"/>
                <w:color w:val="000000"/>
                <w:sz w:val="18"/>
                <w:szCs w:val="18"/>
              </w:rPr>
            </w:pPr>
            <w:r w:rsidRPr="006D011C">
              <w:rPr>
                <w:rFonts w:cs="Arial"/>
                <w:color w:val="000000"/>
                <w:sz w:val="18"/>
                <w:szCs w:val="18"/>
              </w:rPr>
              <w:t>5,773,102</w:t>
            </w:r>
          </w:p>
        </w:tc>
        <w:tc>
          <w:tcPr>
            <w:tcW w:w="1716" w:type="dxa"/>
            <w:tcBorders>
              <w:top w:val="single" w:sz="4" w:space="0" w:color="auto"/>
              <w:left w:val="nil"/>
              <w:bottom w:val="single" w:sz="4" w:space="0" w:color="auto"/>
              <w:right w:val="nil"/>
            </w:tcBorders>
            <w:shd w:val="clear" w:color="auto" w:fill="F2F2F2" w:themeFill="background1" w:themeFillShade="F2"/>
            <w:noWrap/>
            <w:vAlign w:val="center"/>
          </w:tcPr>
          <w:p w:rsidR="004730D8" w:rsidRPr="006D011C" w:rsidRDefault="004730D8" w:rsidP="004730D8">
            <w:pPr>
              <w:spacing w:before="0" w:after="40" w:line="240" w:lineRule="auto"/>
              <w:jc w:val="right"/>
              <w:rPr>
                <w:rFonts w:cs="Arial"/>
                <w:color w:val="000000"/>
                <w:sz w:val="18"/>
                <w:szCs w:val="18"/>
              </w:rPr>
            </w:pPr>
            <w:r w:rsidRPr="006D011C">
              <w:rPr>
                <w:rFonts w:cs="Arial"/>
                <w:color w:val="000000"/>
                <w:sz w:val="18"/>
                <w:szCs w:val="18"/>
              </w:rPr>
              <w:t>5,171</w:t>
            </w:r>
          </w:p>
        </w:tc>
        <w:tc>
          <w:tcPr>
            <w:tcW w:w="1890" w:type="dxa"/>
            <w:tcBorders>
              <w:top w:val="single" w:sz="4" w:space="0" w:color="auto"/>
              <w:left w:val="nil"/>
              <w:bottom w:val="single" w:sz="4" w:space="0" w:color="auto"/>
              <w:right w:val="nil"/>
            </w:tcBorders>
            <w:shd w:val="clear" w:color="auto" w:fill="F2F2F2" w:themeFill="background1" w:themeFillShade="F2"/>
            <w:noWrap/>
            <w:vAlign w:val="center"/>
          </w:tcPr>
          <w:p w:rsidR="004730D8" w:rsidRPr="006D011C" w:rsidRDefault="004730D8" w:rsidP="004730D8">
            <w:pPr>
              <w:spacing w:before="0" w:after="40" w:line="240" w:lineRule="auto"/>
              <w:jc w:val="right"/>
              <w:rPr>
                <w:rFonts w:cs="Arial"/>
                <w:color w:val="000000"/>
                <w:sz w:val="18"/>
                <w:szCs w:val="18"/>
              </w:rPr>
            </w:pPr>
            <w:r w:rsidRPr="006D011C">
              <w:rPr>
                <w:rFonts w:cs="Arial"/>
                <w:color w:val="000000"/>
                <w:sz w:val="18"/>
                <w:szCs w:val="18"/>
              </w:rPr>
              <w:t>2.43 days</w:t>
            </w:r>
          </w:p>
        </w:tc>
      </w:tr>
    </w:tbl>
    <w:p w:rsidR="00817359" w:rsidRPr="001704C8" w:rsidRDefault="001704C8" w:rsidP="001704C8">
      <w:pPr>
        <w:spacing w:before="0"/>
        <w:rPr>
          <w:sz w:val="18"/>
        </w:rPr>
      </w:pPr>
      <w:r w:rsidRPr="001704C8">
        <w:rPr>
          <w:sz w:val="18"/>
        </w:rPr>
        <w:t>*In-scope</w:t>
      </w:r>
      <w:r>
        <w:rPr>
          <w:sz w:val="18"/>
        </w:rPr>
        <w:t xml:space="preserve"> admitted acute patients for Round 21 of the NHCDC</w:t>
      </w:r>
    </w:p>
    <w:p w:rsidR="003059E1" w:rsidRPr="005344EF" w:rsidRDefault="003059E1" w:rsidP="003059E1">
      <w:pPr>
        <w:rPr>
          <w:b/>
        </w:rPr>
      </w:pPr>
      <w:r w:rsidRPr="005344EF">
        <w:rPr>
          <w:b/>
        </w:rPr>
        <w:t xml:space="preserve">Independent Financial Review </w:t>
      </w:r>
    </w:p>
    <w:p w:rsidR="00762A03" w:rsidRDefault="003059E1" w:rsidP="003E6438">
      <w:pPr>
        <w:rPr>
          <w:rFonts w:cs="Arial"/>
        </w:rPr>
      </w:pPr>
      <w:r w:rsidRPr="000B2F16">
        <w:rPr>
          <w:rFonts w:cs="Arial"/>
        </w:rPr>
        <w:t xml:space="preserve">The Independent Financial Review is a data review, performed by an independent consultancy, from a sample selection of hospitals within each jurisdiction. </w:t>
      </w:r>
      <w:r>
        <w:rPr>
          <w:rFonts w:cs="Arial"/>
        </w:rPr>
        <w:t xml:space="preserve">Activity and financial data is reviewed from source systems within hospitals </w:t>
      </w:r>
      <w:r w:rsidR="003B4C44">
        <w:rPr>
          <w:rFonts w:cs="Arial"/>
        </w:rPr>
        <w:t xml:space="preserve">and followed </w:t>
      </w:r>
      <w:r>
        <w:rPr>
          <w:rFonts w:cs="Arial"/>
        </w:rPr>
        <w:t xml:space="preserve">through the costing and submission process, </w:t>
      </w:r>
      <w:r w:rsidR="003B4C44">
        <w:rPr>
          <w:rFonts w:cs="Arial"/>
        </w:rPr>
        <w:t xml:space="preserve">leading </w:t>
      </w:r>
      <w:r>
        <w:rPr>
          <w:rFonts w:cs="Arial"/>
        </w:rPr>
        <w:t xml:space="preserve">to its inclusion in the national cost data set. </w:t>
      </w:r>
      <w:r w:rsidRPr="000B2F16">
        <w:rPr>
          <w:rFonts w:cs="Arial"/>
        </w:rPr>
        <w:t xml:space="preserve">The Independent Financial Review report is published on IHPA’s website each year alongside </w:t>
      </w:r>
      <w:r>
        <w:rPr>
          <w:rFonts w:cs="Arial"/>
        </w:rPr>
        <w:t xml:space="preserve">the </w:t>
      </w:r>
      <w:r w:rsidR="005A3868">
        <w:rPr>
          <w:rFonts w:cs="Arial"/>
        </w:rPr>
        <w:t>NHCDC</w:t>
      </w:r>
      <w:r w:rsidRPr="000B2F16">
        <w:rPr>
          <w:rFonts w:cs="Arial"/>
        </w:rPr>
        <w:t xml:space="preserve"> </w:t>
      </w:r>
      <w:r>
        <w:rPr>
          <w:rFonts w:cs="Arial"/>
        </w:rPr>
        <w:t>R</w:t>
      </w:r>
      <w:r w:rsidRPr="000B2F16">
        <w:rPr>
          <w:rFonts w:cs="Arial"/>
        </w:rPr>
        <w:t>eport.</w:t>
      </w:r>
      <w:bookmarkStart w:id="16" w:name="_Toc524173850"/>
    </w:p>
    <w:p w:rsidR="0000327B" w:rsidRDefault="0000327B" w:rsidP="003E6438">
      <w:pPr>
        <w:rPr>
          <w:rFonts w:cs="Arial"/>
        </w:rPr>
      </w:pPr>
    </w:p>
    <w:p w:rsidR="002371BB" w:rsidRPr="00C7496A" w:rsidRDefault="002371BB" w:rsidP="003B4C44">
      <w:pPr>
        <w:pStyle w:val="Heading1"/>
      </w:pPr>
      <w:bookmarkStart w:id="17" w:name="_Toc530055079"/>
      <w:r w:rsidRPr="00C7496A">
        <w:t xml:space="preserve">Key </w:t>
      </w:r>
      <w:r w:rsidR="003B4C44">
        <w:t>r</w:t>
      </w:r>
      <w:r w:rsidRPr="00C7496A">
        <w:t>esults in Round 21</w:t>
      </w:r>
      <w:bookmarkEnd w:id="16"/>
      <w:bookmarkEnd w:id="17"/>
      <w:r w:rsidRPr="00C7496A">
        <w:tab/>
      </w:r>
    </w:p>
    <w:p w:rsidR="002371BB" w:rsidRPr="0082107A" w:rsidRDefault="002371BB" w:rsidP="002371BB">
      <w:pPr>
        <w:rPr>
          <w:rFonts w:cs="Arial"/>
          <w:szCs w:val="22"/>
        </w:rPr>
      </w:pPr>
      <w:r w:rsidRPr="0082107A">
        <w:rPr>
          <w:rFonts w:cs="Arial"/>
          <w:szCs w:val="22"/>
        </w:rPr>
        <w:t>In Round 21:</w:t>
      </w:r>
    </w:p>
    <w:p w:rsidR="002371BB" w:rsidRPr="0082107A" w:rsidRDefault="002371BB" w:rsidP="002A3926">
      <w:pPr>
        <w:pStyle w:val="ListParagraph"/>
      </w:pPr>
      <w:r w:rsidRPr="0082107A">
        <w:t>The NHCDC sample comprised 451 public hospitals, an increase of 108 from Round 20.</w:t>
      </w:r>
    </w:p>
    <w:p w:rsidR="000902C8" w:rsidRDefault="002371BB" w:rsidP="002A3926">
      <w:pPr>
        <w:pStyle w:val="ListParagraph"/>
      </w:pPr>
      <w:r w:rsidRPr="0082107A">
        <w:t xml:space="preserve">In total, $43.8 billion of hospital expenditure was submitted for the </w:t>
      </w:r>
      <w:r w:rsidR="000902C8">
        <w:t xml:space="preserve">financial year </w:t>
      </w:r>
      <w:r w:rsidR="000827B6">
        <w:br/>
      </w:r>
      <w:r w:rsidRPr="0082107A">
        <w:t>1 July 2016 – 30 June 2017.</w:t>
      </w:r>
    </w:p>
    <w:p w:rsidR="002371BB" w:rsidRPr="0082107A" w:rsidRDefault="002371BB" w:rsidP="002A3926">
      <w:pPr>
        <w:pStyle w:val="ListParagraph"/>
      </w:pPr>
      <w:r w:rsidRPr="0082107A">
        <w:t xml:space="preserve">This expenditure was linked to 32,487,827 patient-level </w:t>
      </w:r>
      <w:r w:rsidR="000902C8">
        <w:t>encounters</w:t>
      </w:r>
      <w:r w:rsidR="000902C8" w:rsidRPr="0082107A">
        <w:t xml:space="preserve"> </w:t>
      </w:r>
      <w:r w:rsidRPr="0082107A">
        <w:t>across all hospital activity streams.</w:t>
      </w:r>
    </w:p>
    <w:p w:rsidR="002371BB" w:rsidRPr="0082107A" w:rsidRDefault="003B4C44" w:rsidP="002371BB">
      <w:pPr>
        <w:rPr>
          <w:rFonts w:cs="Arial"/>
          <w:szCs w:val="22"/>
        </w:rPr>
      </w:pPr>
      <w:r>
        <w:rPr>
          <w:rFonts w:cs="Arial"/>
          <w:szCs w:val="22"/>
        </w:rPr>
        <w:fldChar w:fldCharType="begin"/>
      </w:r>
      <w:r>
        <w:rPr>
          <w:rFonts w:cs="Arial"/>
          <w:szCs w:val="22"/>
        </w:rPr>
        <w:instrText xml:space="preserve"> REF _Ref527368699 \h </w:instrText>
      </w:r>
      <w:r>
        <w:rPr>
          <w:rFonts w:cs="Arial"/>
          <w:szCs w:val="22"/>
        </w:rPr>
      </w:r>
      <w:r>
        <w:rPr>
          <w:rFonts w:cs="Arial"/>
          <w:szCs w:val="22"/>
        </w:rPr>
        <w:fldChar w:fldCharType="separate"/>
      </w:r>
      <w:r w:rsidR="00342D61">
        <w:t xml:space="preserve">Table </w:t>
      </w:r>
      <w:r w:rsidR="00342D61">
        <w:rPr>
          <w:noProof/>
        </w:rPr>
        <w:t>4</w:t>
      </w:r>
      <w:r>
        <w:rPr>
          <w:rFonts w:cs="Arial"/>
          <w:szCs w:val="22"/>
        </w:rPr>
        <w:fldChar w:fldCharType="end"/>
      </w:r>
      <w:r w:rsidR="009C47B3">
        <w:rPr>
          <w:rFonts w:cs="Arial"/>
          <w:szCs w:val="22"/>
        </w:rPr>
        <w:t xml:space="preserve"> </w:t>
      </w:r>
      <w:r w:rsidR="002371BB" w:rsidRPr="0082107A">
        <w:rPr>
          <w:rFonts w:cs="Arial"/>
          <w:szCs w:val="22"/>
        </w:rPr>
        <w:t>summarises the Round 21 results at the national level for each activity stream.</w:t>
      </w:r>
    </w:p>
    <w:p w:rsidR="006F7C01" w:rsidRDefault="006F7C01" w:rsidP="007F44CC">
      <w:pPr>
        <w:pStyle w:val="Caption"/>
      </w:pPr>
      <w:bookmarkStart w:id="18" w:name="_Ref524337061"/>
      <w:bookmarkStart w:id="19" w:name="_Ref527368699"/>
      <w:bookmarkStart w:id="20" w:name="_Toc527385231"/>
      <w:r>
        <w:lastRenderedPageBreak/>
        <w:t xml:space="preserve">Table </w:t>
      </w:r>
      <w:bookmarkEnd w:id="18"/>
      <w:r w:rsidR="00C72BFB">
        <w:fldChar w:fldCharType="begin"/>
      </w:r>
      <w:r w:rsidR="00C72BFB">
        <w:instrText xml:space="preserve"> SEQ Table \* ARABIC </w:instrText>
      </w:r>
      <w:r w:rsidR="00C72BFB">
        <w:fldChar w:fldCharType="separate"/>
      </w:r>
      <w:r w:rsidR="00342D61">
        <w:rPr>
          <w:noProof/>
        </w:rPr>
        <w:t>4</w:t>
      </w:r>
      <w:r w:rsidR="00C72BFB">
        <w:fldChar w:fldCharType="end"/>
      </w:r>
      <w:bookmarkEnd w:id="19"/>
      <w:r w:rsidR="00C72BFB" w:rsidRPr="006F7C01">
        <w:t xml:space="preserve"> </w:t>
      </w:r>
      <w:r w:rsidRPr="006F7C01">
        <w:t xml:space="preserve">Summary NHCDC results by activity stream, </w:t>
      </w:r>
      <w:r w:rsidR="00E923E4">
        <w:t>Round 2</w:t>
      </w:r>
      <w:r w:rsidRPr="006F7C01">
        <w:t>1</w:t>
      </w:r>
      <w:bookmarkEnd w:id="20"/>
    </w:p>
    <w:tbl>
      <w:tblPr>
        <w:tblW w:w="9200" w:type="dxa"/>
        <w:jc w:val="center"/>
        <w:tblLook w:val="04A0" w:firstRow="1" w:lastRow="0" w:firstColumn="1" w:lastColumn="0" w:noHBand="0" w:noVBand="1"/>
        <w:tblCaption w:val="Table 4 Summary NHCDC results by activity stream, Round 21"/>
        <w:tblDescription w:val="The table displays the Round 21 results by activity stream."/>
      </w:tblPr>
      <w:tblGrid>
        <w:gridCol w:w="2620"/>
        <w:gridCol w:w="1040"/>
        <w:gridCol w:w="1180"/>
        <w:gridCol w:w="1300"/>
        <w:gridCol w:w="1380"/>
        <w:gridCol w:w="1680"/>
      </w:tblGrid>
      <w:tr w:rsidR="003A46E7" w:rsidRPr="003A46E7" w:rsidTr="008C0576">
        <w:trPr>
          <w:trHeight w:val="720"/>
          <w:jc w:val="center"/>
        </w:trPr>
        <w:tc>
          <w:tcPr>
            <w:tcW w:w="2620" w:type="dxa"/>
            <w:tcBorders>
              <w:top w:val="single" w:sz="4" w:space="0" w:color="auto"/>
              <w:left w:val="nil"/>
              <w:bottom w:val="single" w:sz="4" w:space="0" w:color="auto"/>
              <w:right w:val="nil"/>
            </w:tcBorders>
            <w:shd w:val="clear" w:color="000000" w:fill="FFFFFF"/>
            <w:vAlign w:val="center"/>
            <w:hideMark/>
          </w:tcPr>
          <w:p w:rsidR="003A46E7" w:rsidRPr="003A46E7" w:rsidRDefault="003A46E7" w:rsidP="003A46E7">
            <w:pPr>
              <w:spacing w:before="0" w:after="0" w:line="240" w:lineRule="auto"/>
              <w:jc w:val="center"/>
              <w:rPr>
                <w:rFonts w:cs="Arial"/>
                <w:color w:val="000000"/>
                <w:sz w:val="18"/>
                <w:szCs w:val="18"/>
              </w:rPr>
            </w:pPr>
            <w:r w:rsidRPr="003A46E7">
              <w:rPr>
                <w:rFonts w:cs="Arial"/>
                <w:color w:val="000000"/>
                <w:sz w:val="18"/>
                <w:szCs w:val="18"/>
              </w:rPr>
              <w:t> </w:t>
            </w:r>
          </w:p>
        </w:tc>
        <w:tc>
          <w:tcPr>
            <w:tcW w:w="1040" w:type="dxa"/>
            <w:tcBorders>
              <w:top w:val="single" w:sz="4" w:space="0" w:color="auto"/>
              <w:left w:val="nil"/>
              <w:bottom w:val="single" w:sz="4" w:space="0" w:color="auto"/>
              <w:right w:val="nil"/>
            </w:tcBorders>
            <w:shd w:val="clear" w:color="000000" w:fill="FFFFFF"/>
            <w:vAlign w:val="center"/>
            <w:hideMark/>
          </w:tcPr>
          <w:p w:rsidR="003A46E7" w:rsidRPr="003A46E7" w:rsidRDefault="003A46E7" w:rsidP="000827B6">
            <w:pPr>
              <w:spacing w:before="0" w:after="0" w:line="240" w:lineRule="auto"/>
              <w:jc w:val="right"/>
              <w:rPr>
                <w:rFonts w:cs="Arial"/>
                <w:b/>
                <w:bCs/>
                <w:color w:val="000000"/>
                <w:sz w:val="18"/>
                <w:szCs w:val="18"/>
              </w:rPr>
            </w:pPr>
            <w:r w:rsidRPr="003A46E7">
              <w:rPr>
                <w:rFonts w:cs="Arial"/>
                <w:b/>
                <w:bCs/>
                <w:color w:val="000000"/>
                <w:sz w:val="18"/>
                <w:szCs w:val="18"/>
              </w:rPr>
              <w:t>Number of Hospitals</w:t>
            </w:r>
          </w:p>
        </w:tc>
        <w:tc>
          <w:tcPr>
            <w:tcW w:w="1180" w:type="dxa"/>
            <w:tcBorders>
              <w:top w:val="single" w:sz="4" w:space="0" w:color="auto"/>
              <w:left w:val="nil"/>
              <w:bottom w:val="single" w:sz="4" w:space="0" w:color="auto"/>
              <w:right w:val="nil"/>
            </w:tcBorders>
            <w:shd w:val="clear" w:color="000000" w:fill="FFFFFF"/>
            <w:vAlign w:val="center"/>
            <w:hideMark/>
          </w:tcPr>
          <w:p w:rsidR="003A46E7" w:rsidRPr="003A46E7" w:rsidRDefault="003A46E7" w:rsidP="000827B6">
            <w:pPr>
              <w:spacing w:before="0" w:after="0" w:line="240" w:lineRule="auto"/>
              <w:jc w:val="right"/>
              <w:rPr>
                <w:rFonts w:cs="Arial"/>
                <w:b/>
                <w:bCs/>
                <w:color w:val="000000"/>
                <w:sz w:val="18"/>
                <w:szCs w:val="18"/>
              </w:rPr>
            </w:pPr>
            <w:r w:rsidRPr="003A46E7">
              <w:rPr>
                <w:rFonts w:cs="Arial"/>
                <w:b/>
                <w:bCs/>
                <w:color w:val="000000"/>
                <w:sz w:val="18"/>
                <w:szCs w:val="18"/>
              </w:rPr>
              <w:t>Number of Episodes</w:t>
            </w:r>
          </w:p>
        </w:tc>
        <w:tc>
          <w:tcPr>
            <w:tcW w:w="1300" w:type="dxa"/>
            <w:tcBorders>
              <w:top w:val="single" w:sz="4" w:space="0" w:color="auto"/>
              <w:left w:val="nil"/>
              <w:bottom w:val="single" w:sz="4" w:space="0" w:color="auto"/>
              <w:right w:val="nil"/>
            </w:tcBorders>
            <w:shd w:val="clear" w:color="000000" w:fill="FFFFFF"/>
            <w:vAlign w:val="center"/>
            <w:hideMark/>
          </w:tcPr>
          <w:p w:rsidR="003A46E7" w:rsidRPr="003A46E7" w:rsidRDefault="003A46E7" w:rsidP="000827B6">
            <w:pPr>
              <w:spacing w:before="0" w:after="0" w:line="240" w:lineRule="auto"/>
              <w:jc w:val="right"/>
              <w:rPr>
                <w:rFonts w:cs="Arial"/>
                <w:b/>
                <w:bCs/>
                <w:color w:val="000000"/>
                <w:sz w:val="18"/>
                <w:szCs w:val="18"/>
              </w:rPr>
            </w:pPr>
            <w:r w:rsidRPr="003A46E7">
              <w:rPr>
                <w:rFonts w:cs="Arial"/>
                <w:b/>
                <w:bCs/>
                <w:color w:val="000000"/>
                <w:sz w:val="18"/>
                <w:szCs w:val="18"/>
              </w:rPr>
              <w:t>Total Expenditure</w:t>
            </w:r>
          </w:p>
        </w:tc>
        <w:tc>
          <w:tcPr>
            <w:tcW w:w="1380" w:type="dxa"/>
            <w:tcBorders>
              <w:top w:val="single" w:sz="4" w:space="0" w:color="auto"/>
              <w:left w:val="nil"/>
              <w:bottom w:val="single" w:sz="4" w:space="0" w:color="auto"/>
              <w:right w:val="nil"/>
            </w:tcBorders>
            <w:shd w:val="clear" w:color="000000" w:fill="FFFFFF"/>
            <w:vAlign w:val="center"/>
            <w:hideMark/>
          </w:tcPr>
          <w:p w:rsidR="003A46E7" w:rsidRPr="003A46E7" w:rsidRDefault="003A46E7" w:rsidP="000827B6">
            <w:pPr>
              <w:spacing w:before="0" w:after="0" w:line="240" w:lineRule="auto"/>
              <w:jc w:val="right"/>
              <w:rPr>
                <w:rFonts w:cs="Arial"/>
                <w:b/>
                <w:bCs/>
                <w:color w:val="000000"/>
                <w:sz w:val="18"/>
                <w:szCs w:val="18"/>
              </w:rPr>
            </w:pPr>
            <w:r w:rsidRPr="003A46E7">
              <w:rPr>
                <w:rFonts w:cs="Arial"/>
                <w:b/>
                <w:bCs/>
                <w:color w:val="000000"/>
                <w:sz w:val="18"/>
                <w:szCs w:val="18"/>
              </w:rPr>
              <w:t>Average Cost per Episode</w:t>
            </w:r>
          </w:p>
        </w:tc>
        <w:tc>
          <w:tcPr>
            <w:tcW w:w="1680" w:type="dxa"/>
            <w:tcBorders>
              <w:top w:val="single" w:sz="4" w:space="0" w:color="auto"/>
              <w:left w:val="nil"/>
              <w:bottom w:val="single" w:sz="4" w:space="0" w:color="auto"/>
              <w:right w:val="nil"/>
            </w:tcBorders>
            <w:shd w:val="clear" w:color="000000" w:fill="FFFFFF"/>
            <w:vAlign w:val="center"/>
            <w:hideMark/>
          </w:tcPr>
          <w:p w:rsidR="003A46E7" w:rsidRPr="003A46E7" w:rsidRDefault="003A46E7" w:rsidP="000827B6">
            <w:pPr>
              <w:spacing w:before="0" w:after="0" w:line="240" w:lineRule="auto"/>
              <w:jc w:val="right"/>
              <w:rPr>
                <w:rFonts w:cs="Arial"/>
                <w:b/>
                <w:bCs/>
                <w:color w:val="000000"/>
                <w:sz w:val="18"/>
                <w:szCs w:val="18"/>
              </w:rPr>
            </w:pPr>
            <w:r w:rsidRPr="003A46E7">
              <w:rPr>
                <w:rFonts w:cs="Arial"/>
                <w:b/>
                <w:bCs/>
                <w:color w:val="000000"/>
                <w:sz w:val="18"/>
                <w:szCs w:val="18"/>
              </w:rPr>
              <w:t>Percent Change in Average Cost Since Round 20</w:t>
            </w:r>
          </w:p>
        </w:tc>
      </w:tr>
      <w:tr w:rsidR="003A46E7" w:rsidRPr="003A46E7" w:rsidTr="008C0576">
        <w:trPr>
          <w:trHeight w:val="300"/>
          <w:jc w:val="center"/>
        </w:trPr>
        <w:tc>
          <w:tcPr>
            <w:tcW w:w="2620" w:type="dxa"/>
            <w:tcBorders>
              <w:top w:val="nil"/>
              <w:left w:val="nil"/>
              <w:bottom w:val="single" w:sz="4" w:space="0" w:color="auto"/>
              <w:right w:val="nil"/>
            </w:tcBorders>
            <w:shd w:val="clear" w:color="000000" w:fill="FFFFFF"/>
            <w:noWrap/>
            <w:vAlign w:val="bottom"/>
            <w:hideMark/>
          </w:tcPr>
          <w:p w:rsidR="003A46E7" w:rsidRPr="003A46E7" w:rsidRDefault="003A46E7" w:rsidP="003A46E7">
            <w:pPr>
              <w:spacing w:before="0" w:after="0" w:line="240" w:lineRule="auto"/>
              <w:rPr>
                <w:rFonts w:cs="Arial"/>
                <w:color w:val="000000"/>
                <w:sz w:val="18"/>
                <w:szCs w:val="18"/>
              </w:rPr>
            </w:pPr>
            <w:r w:rsidRPr="003A46E7">
              <w:rPr>
                <w:rFonts w:cs="Arial"/>
                <w:color w:val="000000"/>
                <w:sz w:val="18"/>
                <w:szCs w:val="18"/>
              </w:rPr>
              <w:t> </w:t>
            </w:r>
          </w:p>
        </w:tc>
        <w:tc>
          <w:tcPr>
            <w:tcW w:w="1040" w:type="dxa"/>
            <w:tcBorders>
              <w:top w:val="nil"/>
              <w:left w:val="nil"/>
              <w:bottom w:val="single" w:sz="4" w:space="0" w:color="auto"/>
              <w:right w:val="nil"/>
            </w:tcBorders>
            <w:shd w:val="clear" w:color="000000" w:fill="FFFFFF"/>
            <w:noWrap/>
            <w:vAlign w:val="center"/>
            <w:hideMark/>
          </w:tcPr>
          <w:p w:rsidR="003A46E7" w:rsidRPr="003A46E7" w:rsidRDefault="003A46E7" w:rsidP="000827B6">
            <w:pPr>
              <w:spacing w:before="0" w:after="0" w:line="240" w:lineRule="auto"/>
              <w:jc w:val="right"/>
              <w:rPr>
                <w:rFonts w:cs="Arial"/>
                <w:color w:val="000000"/>
                <w:sz w:val="18"/>
                <w:szCs w:val="18"/>
              </w:rPr>
            </w:pPr>
            <w:r w:rsidRPr="003A46E7">
              <w:rPr>
                <w:rFonts w:cs="Arial"/>
                <w:color w:val="000000"/>
                <w:sz w:val="18"/>
                <w:szCs w:val="18"/>
              </w:rPr>
              <w:t> </w:t>
            </w:r>
          </w:p>
        </w:tc>
        <w:tc>
          <w:tcPr>
            <w:tcW w:w="1180" w:type="dxa"/>
            <w:tcBorders>
              <w:top w:val="nil"/>
              <w:left w:val="nil"/>
              <w:bottom w:val="single" w:sz="4" w:space="0" w:color="auto"/>
              <w:right w:val="nil"/>
            </w:tcBorders>
            <w:shd w:val="clear" w:color="000000" w:fill="FFFFFF"/>
            <w:noWrap/>
            <w:vAlign w:val="center"/>
            <w:hideMark/>
          </w:tcPr>
          <w:p w:rsidR="003A46E7" w:rsidRPr="003A46E7" w:rsidRDefault="003A46E7" w:rsidP="000827B6">
            <w:pPr>
              <w:spacing w:before="0" w:after="0" w:line="240" w:lineRule="auto"/>
              <w:jc w:val="right"/>
              <w:rPr>
                <w:rFonts w:cs="Arial"/>
                <w:color w:val="000000"/>
                <w:sz w:val="18"/>
                <w:szCs w:val="18"/>
              </w:rPr>
            </w:pPr>
            <w:r w:rsidRPr="003A46E7">
              <w:rPr>
                <w:rFonts w:cs="Arial"/>
                <w:color w:val="000000"/>
                <w:sz w:val="18"/>
                <w:szCs w:val="18"/>
              </w:rPr>
              <w:t> </w:t>
            </w:r>
          </w:p>
        </w:tc>
        <w:tc>
          <w:tcPr>
            <w:tcW w:w="1300" w:type="dxa"/>
            <w:tcBorders>
              <w:top w:val="nil"/>
              <w:left w:val="nil"/>
              <w:bottom w:val="single" w:sz="4" w:space="0" w:color="auto"/>
              <w:right w:val="nil"/>
            </w:tcBorders>
            <w:shd w:val="clear" w:color="000000" w:fill="FFFFFF"/>
            <w:noWrap/>
            <w:vAlign w:val="center"/>
            <w:hideMark/>
          </w:tcPr>
          <w:p w:rsidR="003A46E7" w:rsidRPr="003A46E7" w:rsidRDefault="003A46E7" w:rsidP="000827B6">
            <w:pPr>
              <w:spacing w:before="0" w:after="0" w:line="240" w:lineRule="auto"/>
              <w:jc w:val="right"/>
              <w:rPr>
                <w:rFonts w:cs="Arial"/>
                <w:color w:val="000000"/>
                <w:sz w:val="18"/>
                <w:szCs w:val="18"/>
              </w:rPr>
            </w:pPr>
            <w:r w:rsidRPr="003A46E7">
              <w:rPr>
                <w:rFonts w:cs="Arial"/>
                <w:color w:val="000000"/>
                <w:sz w:val="18"/>
                <w:szCs w:val="18"/>
              </w:rPr>
              <w:t>($m)</w:t>
            </w:r>
          </w:p>
        </w:tc>
        <w:tc>
          <w:tcPr>
            <w:tcW w:w="1380" w:type="dxa"/>
            <w:tcBorders>
              <w:top w:val="nil"/>
              <w:left w:val="nil"/>
              <w:bottom w:val="single" w:sz="4" w:space="0" w:color="auto"/>
              <w:right w:val="nil"/>
            </w:tcBorders>
            <w:shd w:val="clear" w:color="000000" w:fill="FFFFFF"/>
            <w:noWrap/>
            <w:vAlign w:val="center"/>
            <w:hideMark/>
          </w:tcPr>
          <w:p w:rsidR="003A46E7" w:rsidRPr="003A46E7" w:rsidRDefault="003A46E7" w:rsidP="000827B6">
            <w:pPr>
              <w:spacing w:before="0" w:after="0" w:line="240" w:lineRule="auto"/>
              <w:jc w:val="right"/>
              <w:rPr>
                <w:rFonts w:cs="Arial"/>
                <w:color w:val="000000"/>
                <w:sz w:val="18"/>
                <w:szCs w:val="18"/>
              </w:rPr>
            </w:pPr>
            <w:r w:rsidRPr="003A46E7">
              <w:rPr>
                <w:rFonts w:cs="Arial"/>
                <w:color w:val="000000"/>
                <w:sz w:val="18"/>
                <w:szCs w:val="18"/>
              </w:rPr>
              <w:t>($)</w:t>
            </w:r>
          </w:p>
        </w:tc>
        <w:tc>
          <w:tcPr>
            <w:tcW w:w="1680" w:type="dxa"/>
            <w:tcBorders>
              <w:top w:val="nil"/>
              <w:left w:val="nil"/>
              <w:bottom w:val="single" w:sz="4" w:space="0" w:color="auto"/>
              <w:right w:val="nil"/>
            </w:tcBorders>
            <w:shd w:val="clear" w:color="000000" w:fill="FFFFFF"/>
            <w:noWrap/>
            <w:vAlign w:val="center"/>
            <w:hideMark/>
          </w:tcPr>
          <w:p w:rsidR="003A46E7" w:rsidRPr="003A46E7" w:rsidRDefault="003A46E7" w:rsidP="000827B6">
            <w:pPr>
              <w:spacing w:before="0" w:after="0" w:line="240" w:lineRule="auto"/>
              <w:jc w:val="right"/>
              <w:rPr>
                <w:rFonts w:cs="Arial"/>
                <w:color w:val="000000"/>
                <w:sz w:val="18"/>
                <w:szCs w:val="18"/>
              </w:rPr>
            </w:pPr>
            <w:r w:rsidRPr="003A46E7">
              <w:rPr>
                <w:rFonts w:cs="Arial"/>
                <w:color w:val="000000"/>
                <w:sz w:val="18"/>
                <w:szCs w:val="18"/>
              </w:rPr>
              <w:t>(%)</w:t>
            </w:r>
          </w:p>
        </w:tc>
      </w:tr>
      <w:tr w:rsidR="003A46E7" w:rsidRPr="003A46E7" w:rsidTr="008C0576">
        <w:trPr>
          <w:trHeight w:val="300"/>
          <w:jc w:val="center"/>
        </w:trPr>
        <w:tc>
          <w:tcPr>
            <w:tcW w:w="2620" w:type="dxa"/>
            <w:tcBorders>
              <w:top w:val="nil"/>
              <w:left w:val="nil"/>
              <w:bottom w:val="nil"/>
              <w:right w:val="nil"/>
            </w:tcBorders>
            <w:shd w:val="clear" w:color="000000" w:fill="FFFFFF"/>
            <w:noWrap/>
            <w:vAlign w:val="center"/>
            <w:hideMark/>
          </w:tcPr>
          <w:p w:rsidR="003A46E7" w:rsidRPr="003A46E7" w:rsidRDefault="003A46E7" w:rsidP="00A92BBB">
            <w:pPr>
              <w:spacing w:before="0" w:after="0" w:line="240" w:lineRule="auto"/>
              <w:rPr>
                <w:rFonts w:cs="Arial"/>
                <w:color w:val="000000"/>
                <w:sz w:val="18"/>
                <w:szCs w:val="18"/>
              </w:rPr>
            </w:pPr>
            <w:r w:rsidRPr="003A46E7">
              <w:rPr>
                <w:rFonts w:cs="Arial"/>
                <w:color w:val="000000"/>
                <w:sz w:val="18"/>
                <w:szCs w:val="18"/>
              </w:rPr>
              <w:t>Admitted Acute</w:t>
            </w:r>
          </w:p>
        </w:tc>
        <w:tc>
          <w:tcPr>
            <w:tcW w:w="1040" w:type="dxa"/>
            <w:tcBorders>
              <w:top w:val="nil"/>
              <w:left w:val="nil"/>
              <w:bottom w:val="nil"/>
              <w:right w:val="nil"/>
            </w:tcBorders>
            <w:shd w:val="clear" w:color="000000" w:fill="FFFFFF"/>
            <w:noWrap/>
            <w:vAlign w:val="center"/>
            <w:hideMark/>
          </w:tcPr>
          <w:p w:rsidR="003A46E7" w:rsidRPr="003A46E7" w:rsidRDefault="003A46E7" w:rsidP="000827B6">
            <w:pPr>
              <w:spacing w:before="0" w:after="0" w:line="240" w:lineRule="auto"/>
              <w:jc w:val="right"/>
              <w:rPr>
                <w:rFonts w:cs="Arial"/>
                <w:color w:val="000000"/>
                <w:sz w:val="18"/>
                <w:szCs w:val="18"/>
              </w:rPr>
            </w:pPr>
            <w:r w:rsidRPr="003A46E7">
              <w:rPr>
                <w:rFonts w:cs="Arial"/>
                <w:color w:val="000000"/>
                <w:sz w:val="18"/>
                <w:szCs w:val="18"/>
              </w:rPr>
              <w:t>344</w:t>
            </w:r>
          </w:p>
        </w:tc>
        <w:tc>
          <w:tcPr>
            <w:tcW w:w="1180" w:type="dxa"/>
            <w:tcBorders>
              <w:top w:val="nil"/>
              <w:left w:val="nil"/>
              <w:bottom w:val="nil"/>
              <w:right w:val="nil"/>
            </w:tcBorders>
            <w:shd w:val="clear" w:color="000000" w:fill="FFFFFF"/>
            <w:noWrap/>
            <w:vAlign w:val="center"/>
            <w:hideMark/>
          </w:tcPr>
          <w:p w:rsidR="003A46E7" w:rsidRPr="003A46E7" w:rsidRDefault="003A46E7" w:rsidP="000827B6">
            <w:pPr>
              <w:spacing w:before="0" w:after="0" w:line="240" w:lineRule="auto"/>
              <w:jc w:val="right"/>
              <w:rPr>
                <w:rFonts w:cs="Arial"/>
                <w:color w:val="000000"/>
                <w:sz w:val="18"/>
                <w:szCs w:val="18"/>
              </w:rPr>
            </w:pPr>
            <w:r w:rsidRPr="003A46E7">
              <w:rPr>
                <w:rFonts w:cs="Arial"/>
                <w:color w:val="000000"/>
                <w:sz w:val="18"/>
                <w:szCs w:val="18"/>
              </w:rPr>
              <w:t>5,773,102</w:t>
            </w:r>
          </w:p>
        </w:tc>
        <w:tc>
          <w:tcPr>
            <w:tcW w:w="1300" w:type="dxa"/>
            <w:tcBorders>
              <w:top w:val="nil"/>
              <w:left w:val="nil"/>
              <w:bottom w:val="nil"/>
              <w:right w:val="nil"/>
            </w:tcBorders>
            <w:shd w:val="clear" w:color="000000" w:fill="FFFFFF"/>
            <w:noWrap/>
            <w:vAlign w:val="center"/>
            <w:hideMark/>
          </w:tcPr>
          <w:p w:rsidR="003A46E7" w:rsidRPr="003A46E7" w:rsidRDefault="003A46E7" w:rsidP="000827B6">
            <w:pPr>
              <w:spacing w:before="0" w:after="0" w:line="240" w:lineRule="auto"/>
              <w:jc w:val="right"/>
              <w:rPr>
                <w:rFonts w:cs="Arial"/>
                <w:color w:val="000000"/>
                <w:sz w:val="18"/>
                <w:szCs w:val="18"/>
              </w:rPr>
            </w:pPr>
            <w:r w:rsidRPr="003A46E7">
              <w:rPr>
                <w:rFonts w:cs="Arial"/>
                <w:color w:val="000000"/>
                <w:sz w:val="18"/>
                <w:szCs w:val="18"/>
              </w:rPr>
              <w:t>29,854</w:t>
            </w:r>
          </w:p>
        </w:tc>
        <w:tc>
          <w:tcPr>
            <w:tcW w:w="1380" w:type="dxa"/>
            <w:tcBorders>
              <w:top w:val="nil"/>
              <w:left w:val="nil"/>
              <w:bottom w:val="nil"/>
              <w:right w:val="nil"/>
            </w:tcBorders>
            <w:shd w:val="clear" w:color="000000" w:fill="FFFFFF"/>
            <w:noWrap/>
            <w:vAlign w:val="center"/>
            <w:hideMark/>
          </w:tcPr>
          <w:p w:rsidR="003A46E7" w:rsidRPr="003A46E7" w:rsidRDefault="003A46E7" w:rsidP="000827B6">
            <w:pPr>
              <w:spacing w:before="0" w:after="0" w:line="240" w:lineRule="auto"/>
              <w:jc w:val="right"/>
              <w:rPr>
                <w:rFonts w:cs="Arial"/>
                <w:color w:val="000000"/>
                <w:sz w:val="18"/>
                <w:szCs w:val="18"/>
              </w:rPr>
            </w:pPr>
            <w:r w:rsidRPr="003A46E7">
              <w:rPr>
                <w:rFonts w:cs="Arial"/>
                <w:color w:val="000000"/>
                <w:sz w:val="18"/>
                <w:szCs w:val="18"/>
              </w:rPr>
              <w:t>5,171</w:t>
            </w:r>
          </w:p>
        </w:tc>
        <w:tc>
          <w:tcPr>
            <w:tcW w:w="1680" w:type="dxa"/>
            <w:tcBorders>
              <w:top w:val="nil"/>
              <w:left w:val="nil"/>
              <w:bottom w:val="nil"/>
              <w:right w:val="nil"/>
            </w:tcBorders>
            <w:shd w:val="clear" w:color="000000" w:fill="FFFFFF"/>
            <w:noWrap/>
            <w:vAlign w:val="center"/>
            <w:hideMark/>
          </w:tcPr>
          <w:p w:rsidR="003A46E7" w:rsidRPr="003A46E7" w:rsidRDefault="003A46E7" w:rsidP="000827B6">
            <w:pPr>
              <w:spacing w:before="0" w:after="0" w:line="240" w:lineRule="auto"/>
              <w:jc w:val="right"/>
              <w:rPr>
                <w:rFonts w:cs="Arial"/>
                <w:color w:val="000000"/>
                <w:sz w:val="18"/>
                <w:szCs w:val="18"/>
              </w:rPr>
            </w:pPr>
            <w:r w:rsidRPr="003A46E7">
              <w:rPr>
                <w:rFonts w:cs="Arial"/>
                <w:color w:val="000000"/>
                <w:sz w:val="18"/>
                <w:szCs w:val="18"/>
              </w:rPr>
              <w:t>-0.9</w:t>
            </w:r>
          </w:p>
        </w:tc>
      </w:tr>
      <w:tr w:rsidR="003A46E7" w:rsidRPr="003A46E7" w:rsidTr="008C0576">
        <w:trPr>
          <w:trHeight w:val="300"/>
          <w:jc w:val="center"/>
        </w:trPr>
        <w:tc>
          <w:tcPr>
            <w:tcW w:w="2620" w:type="dxa"/>
            <w:tcBorders>
              <w:top w:val="nil"/>
              <w:left w:val="nil"/>
              <w:bottom w:val="nil"/>
              <w:right w:val="nil"/>
            </w:tcBorders>
            <w:shd w:val="clear" w:color="000000" w:fill="FFFFFF"/>
            <w:noWrap/>
            <w:vAlign w:val="center"/>
            <w:hideMark/>
          </w:tcPr>
          <w:p w:rsidR="003A46E7" w:rsidRPr="003A46E7" w:rsidRDefault="003A46E7" w:rsidP="00A92BBB">
            <w:pPr>
              <w:spacing w:before="0" w:after="0" w:line="240" w:lineRule="auto"/>
              <w:rPr>
                <w:rFonts w:cs="Arial"/>
                <w:color w:val="000000"/>
                <w:sz w:val="18"/>
                <w:szCs w:val="18"/>
              </w:rPr>
            </w:pPr>
            <w:r w:rsidRPr="003A46E7">
              <w:rPr>
                <w:rFonts w:cs="Arial"/>
                <w:color w:val="000000"/>
                <w:sz w:val="18"/>
                <w:szCs w:val="18"/>
              </w:rPr>
              <w:t>Emergency Department</w:t>
            </w:r>
          </w:p>
        </w:tc>
        <w:tc>
          <w:tcPr>
            <w:tcW w:w="1040" w:type="dxa"/>
            <w:tcBorders>
              <w:top w:val="nil"/>
              <w:left w:val="nil"/>
              <w:bottom w:val="nil"/>
              <w:right w:val="nil"/>
            </w:tcBorders>
            <w:shd w:val="clear" w:color="000000" w:fill="FFFFFF"/>
            <w:noWrap/>
            <w:vAlign w:val="center"/>
            <w:hideMark/>
          </w:tcPr>
          <w:p w:rsidR="003A46E7" w:rsidRPr="003A46E7" w:rsidRDefault="003A46E7" w:rsidP="000827B6">
            <w:pPr>
              <w:spacing w:before="0" w:after="0" w:line="240" w:lineRule="auto"/>
              <w:jc w:val="right"/>
              <w:rPr>
                <w:rFonts w:cs="Arial"/>
                <w:color w:val="000000"/>
                <w:sz w:val="18"/>
                <w:szCs w:val="18"/>
              </w:rPr>
            </w:pPr>
            <w:r w:rsidRPr="003A46E7">
              <w:rPr>
                <w:rFonts w:cs="Arial"/>
                <w:color w:val="000000"/>
                <w:sz w:val="18"/>
                <w:szCs w:val="18"/>
              </w:rPr>
              <w:t>265</w:t>
            </w:r>
          </w:p>
        </w:tc>
        <w:tc>
          <w:tcPr>
            <w:tcW w:w="1180" w:type="dxa"/>
            <w:tcBorders>
              <w:top w:val="nil"/>
              <w:left w:val="nil"/>
              <w:bottom w:val="nil"/>
              <w:right w:val="nil"/>
            </w:tcBorders>
            <w:shd w:val="clear" w:color="000000" w:fill="FFFFFF"/>
            <w:noWrap/>
            <w:vAlign w:val="center"/>
            <w:hideMark/>
          </w:tcPr>
          <w:p w:rsidR="003A46E7" w:rsidRPr="003A46E7" w:rsidRDefault="003A46E7" w:rsidP="000827B6">
            <w:pPr>
              <w:spacing w:before="0" w:after="0" w:line="240" w:lineRule="auto"/>
              <w:jc w:val="right"/>
              <w:rPr>
                <w:rFonts w:cs="Arial"/>
                <w:color w:val="000000"/>
                <w:sz w:val="18"/>
                <w:szCs w:val="18"/>
              </w:rPr>
            </w:pPr>
            <w:r w:rsidRPr="003A46E7">
              <w:rPr>
                <w:rFonts w:cs="Arial"/>
                <w:color w:val="000000"/>
                <w:sz w:val="18"/>
                <w:szCs w:val="18"/>
              </w:rPr>
              <w:t>7,662,322</w:t>
            </w:r>
          </w:p>
        </w:tc>
        <w:tc>
          <w:tcPr>
            <w:tcW w:w="1300" w:type="dxa"/>
            <w:tcBorders>
              <w:top w:val="nil"/>
              <w:left w:val="nil"/>
              <w:bottom w:val="nil"/>
              <w:right w:val="nil"/>
            </w:tcBorders>
            <w:shd w:val="clear" w:color="000000" w:fill="FFFFFF"/>
            <w:noWrap/>
            <w:vAlign w:val="center"/>
            <w:hideMark/>
          </w:tcPr>
          <w:p w:rsidR="003A46E7" w:rsidRPr="003A46E7" w:rsidRDefault="003A46E7" w:rsidP="000827B6">
            <w:pPr>
              <w:spacing w:before="0" w:after="0" w:line="240" w:lineRule="auto"/>
              <w:jc w:val="right"/>
              <w:rPr>
                <w:rFonts w:cs="Arial"/>
                <w:color w:val="000000"/>
                <w:sz w:val="18"/>
                <w:szCs w:val="18"/>
              </w:rPr>
            </w:pPr>
            <w:r w:rsidRPr="003A46E7">
              <w:rPr>
                <w:rFonts w:cs="Arial"/>
                <w:color w:val="000000"/>
                <w:sz w:val="18"/>
                <w:szCs w:val="18"/>
              </w:rPr>
              <w:t>5,100</w:t>
            </w:r>
          </w:p>
        </w:tc>
        <w:tc>
          <w:tcPr>
            <w:tcW w:w="1380" w:type="dxa"/>
            <w:tcBorders>
              <w:top w:val="nil"/>
              <w:left w:val="nil"/>
              <w:bottom w:val="nil"/>
              <w:right w:val="nil"/>
            </w:tcBorders>
            <w:shd w:val="clear" w:color="000000" w:fill="FFFFFF"/>
            <w:noWrap/>
            <w:vAlign w:val="center"/>
            <w:hideMark/>
          </w:tcPr>
          <w:p w:rsidR="003A46E7" w:rsidRPr="003A46E7" w:rsidRDefault="003A46E7" w:rsidP="000827B6">
            <w:pPr>
              <w:spacing w:before="0" w:after="0" w:line="240" w:lineRule="auto"/>
              <w:jc w:val="right"/>
              <w:rPr>
                <w:rFonts w:cs="Arial"/>
                <w:color w:val="000000"/>
                <w:sz w:val="18"/>
                <w:szCs w:val="18"/>
              </w:rPr>
            </w:pPr>
            <w:r w:rsidRPr="003A46E7">
              <w:rPr>
                <w:rFonts w:cs="Arial"/>
                <w:color w:val="000000"/>
                <w:sz w:val="18"/>
                <w:szCs w:val="18"/>
              </w:rPr>
              <w:t>666</w:t>
            </w:r>
          </w:p>
        </w:tc>
        <w:tc>
          <w:tcPr>
            <w:tcW w:w="1680" w:type="dxa"/>
            <w:tcBorders>
              <w:top w:val="nil"/>
              <w:left w:val="nil"/>
              <w:bottom w:val="nil"/>
              <w:right w:val="nil"/>
            </w:tcBorders>
            <w:shd w:val="clear" w:color="000000" w:fill="FFFFFF"/>
            <w:noWrap/>
            <w:vAlign w:val="center"/>
            <w:hideMark/>
          </w:tcPr>
          <w:p w:rsidR="003A46E7" w:rsidRPr="003A46E7" w:rsidRDefault="003A46E7" w:rsidP="000827B6">
            <w:pPr>
              <w:spacing w:before="0" w:after="0" w:line="240" w:lineRule="auto"/>
              <w:jc w:val="right"/>
              <w:rPr>
                <w:rFonts w:cs="Arial"/>
                <w:color w:val="000000"/>
                <w:sz w:val="18"/>
                <w:szCs w:val="18"/>
              </w:rPr>
            </w:pPr>
            <w:r w:rsidRPr="003A46E7">
              <w:rPr>
                <w:rFonts w:cs="Arial"/>
                <w:color w:val="000000"/>
                <w:sz w:val="18"/>
                <w:szCs w:val="18"/>
              </w:rPr>
              <w:t>2.0</w:t>
            </w:r>
          </w:p>
        </w:tc>
      </w:tr>
      <w:tr w:rsidR="003A46E7" w:rsidRPr="003A46E7" w:rsidTr="008C0576">
        <w:trPr>
          <w:trHeight w:val="300"/>
          <w:jc w:val="center"/>
        </w:trPr>
        <w:tc>
          <w:tcPr>
            <w:tcW w:w="2620" w:type="dxa"/>
            <w:tcBorders>
              <w:top w:val="nil"/>
              <w:left w:val="nil"/>
              <w:bottom w:val="nil"/>
              <w:right w:val="nil"/>
            </w:tcBorders>
            <w:shd w:val="clear" w:color="000000" w:fill="FFFFFF"/>
            <w:noWrap/>
            <w:vAlign w:val="center"/>
            <w:hideMark/>
          </w:tcPr>
          <w:p w:rsidR="003A46E7" w:rsidRPr="003A46E7" w:rsidRDefault="003A46E7" w:rsidP="00A92BBB">
            <w:pPr>
              <w:spacing w:before="0" w:after="0" w:line="240" w:lineRule="auto"/>
              <w:rPr>
                <w:rFonts w:cs="Arial"/>
                <w:color w:val="000000"/>
                <w:sz w:val="18"/>
                <w:szCs w:val="18"/>
              </w:rPr>
            </w:pPr>
            <w:r w:rsidRPr="003A46E7">
              <w:rPr>
                <w:rFonts w:cs="Arial"/>
                <w:color w:val="000000"/>
                <w:sz w:val="18"/>
                <w:szCs w:val="18"/>
              </w:rPr>
              <w:t>Non-Admitted</w:t>
            </w:r>
          </w:p>
        </w:tc>
        <w:tc>
          <w:tcPr>
            <w:tcW w:w="1040" w:type="dxa"/>
            <w:tcBorders>
              <w:top w:val="nil"/>
              <w:left w:val="nil"/>
              <w:bottom w:val="nil"/>
              <w:right w:val="nil"/>
            </w:tcBorders>
            <w:shd w:val="clear" w:color="000000" w:fill="FFFFFF"/>
            <w:noWrap/>
            <w:vAlign w:val="center"/>
            <w:hideMark/>
          </w:tcPr>
          <w:p w:rsidR="003A46E7" w:rsidRPr="003A46E7" w:rsidRDefault="003A46E7" w:rsidP="000827B6">
            <w:pPr>
              <w:spacing w:before="0" w:after="0" w:line="240" w:lineRule="auto"/>
              <w:jc w:val="right"/>
              <w:rPr>
                <w:rFonts w:cs="Arial"/>
                <w:color w:val="000000"/>
                <w:sz w:val="18"/>
                <w:szCs w:val="18"/>
              </w:rPr>
            </w:pPr>
            <w:r w:rsidRPr="003A46E7">
              <w:rPr>
                <w:rFonts w:cs="Arial"/>
                <w:color w:val="000000"/>
                <w:sz w:val="18"/>
                <w:szCs w:val="18"/>
              </w:rPr>
              <w:t>273</w:t>
            </w:r>
          </w:p>
        </w:tc>
        <w:tc>
          <w:tcPr>
            <w:tcW w:w="1180" w:type="dxa"/>
            <w:tcBorders>
              <w:top w:val="nil"/>
              <w:left w:val="nil"/>
              <w:bottom w:val="nil"/>
              <w:right w:val="nil"/>
            </w:tcBorders>
            <w:shd w:val="clear" w:color="000000" w:fill="FFFFFF"/>
            <w:noWrap/>
            <w:vAlign w:val="center"/>
            <w:hideMark/>
          </w:tcPr>
          <w:p w:rsidR="003A46E7" w:rsidRPr="003A46E7" w:rsidRDefault="003A46E7" w:rsidP="000827B6">
            <w:pPr>
              <w:spacing w:before="0" w:after="0" w:line="240" w:lineRule="auto"/>
              <w:jc w:val="right"/>
              <w:rPr>
                <w:rFonts w:cs="Arial"/>
                <w:color w:val="000000"/>
                <w:sz w:val="18"/>
                <w:szCs w:val="18"/>
              </w:rPr>
            </w:pPr>
            <w:r w:rsidRPr="003A46E7">
              <w:rPr>
                <w:rFonts w:cs="Arial"/>
                <w:color w:val="000000"/>
                <w:sz w:val="18"/>
                <w:szCs w:val="18"/>
              </w:rPr>
              <w:t>18,592,529</w:t>
            </w:r>
          </w:p>
        </w:tc>
        <w:tc>
          <w:tcPr>
            <w:tcW w:w="1300" w:type="dxa"/>
            <w:tcBorders>
              <w:top w:val="nil"/>
              <w:left w:val="nil"/>
              <w:bottom w:val="nil"/>
              <w:right w:val="nil"/>
            </w:tcBorders>
            <w:shd w:val="clear" w:color="000000" w:fill="FFFFFF"/>
            <w:noWrap/>
            <w:vAlign w:val="center"/>
            <w:hideMark/>
          </w:tcPr>
          <w:p w:rsidR="003A46E7" w:rsidRPr="003A46E7" w:rsidRDefault="003A46E7" w:rsidP="000827B6">
            <w:pPr>
              <w:spacing w:before="0" w:after="0" w:line="240" w:lineRule="auto"/>
              <w:jc w:val="right"/>
              <w:rPr>
                <w:rFonts w:cs="Arial"/>
                <w:color w:val="000000"/>
                <w:sz w:val="18"/>
                <w:szCs w:val="18"/>
              </w:rPr>
            </w:pPr>
            <w:r w:rsidRPr="003A46E7">
              <w:rPr>
                <w:rFonts w:cs="Arial"/>
                <w:color w:val="000000"/>
                <w:sz w:val="18"/>
                <w:szCs w:val="18"/>
              </w:rPr>
              <w:t>5,742</w:t>
            </w:r>
          </w:p>
        </w:tc>
        <w:tc>
          <w:tcPr>
            <w:tcW w:w="1380" w:type="dxa"/>
            <w:tcBorders>
              <w:top w:val="nil"/>
              <w:left w:val="nil"/>
              <w:bottom w:val="nil"/>
              <w:right w:val="nil"/>
            </w:tcBorders>
            <w:shd w:val="clear" w:color="000000" w:fill="FFFFFF"/>
            <w:noWrap/>
            <w:vAlign w:val="center"/>
            <w:hideMark/>
          </w:tcPr>
          <w:p w:rsidR="003A46E7" w:rsidRPr="003A46E7" w:rsidRDefault="003A46E7" w:rsidP="000827B6">
            <w:pPr>
              <w:spacing w:before="0" w:after="0" w:line="240" w:lineRule="auto"/>
              <w:jc w:val="right"/>
              <w:rPr>
                <w:rFonts w:cs="Arial"/>
                <w:color w:val="000000"/>
                <w:sz w:val="18"/>
                <w:szCs w:val="18"/>
              </w:rPr>
            </w:pPr>
            <w:r w:rsidRPr="003A46E7">
              <w:rPr>
                <w:rFonts w:cs="Arial"/>
                <w:color w:val="000000"/>
                <w:sz w:val="18"/>
                <w:szCs w:val="18"/>
              </w:rPr>
              <w:t>309</w:t>
            </w:r>
          </w:p>
        </w:tc>
        <w:tc>
          <w:tcPr>
            <w:tcW w:w="1680" w:type="dxa"/>
            <w:tcBorders>
              <w:top w:val="nil"/>
              <w:left w:val="nil"/>
              <w:bottom w:val="nil"/>
              <w:right w:val="nil"/>
            </w:tcBorders>
            <w:shd w:val="clear" w:color="000000" w:fill="FFFFFF"/>
            <w:noWrap/>
            <w:vAlign w:val="center"/>
            <w:hideMark/>
          </w:tcPr>
          <w:p w:rsidR="003A46E7" w:rsidRPr="003A46E7" w:rsidRDefault="003A46E7" w:rsidP="000827B6">
            <w:pPr>
              <w:spacing w:before="0" w:after="0" w:line="240" w:lineRule="auto"/>
              <w:jc w:val="right"/>
              <w:rPr>
                <w:rFonts w:cs="Arial"/>
                <w:color w:val="000000"/>
                <w:sz w:val="18"/>
                <w:szCs w:val="18"/>
              </w:rPr>
            </w:pPr>
            <w:r w:rsidRPr="003A46E7">
              <w:rPr>
                <w:rFonts w:cs="Arial"/>
                <w:color w:val="000000"/>
                <w:sz w:val="18"/>
                <w:szCs w:val="18"/>
              </w:rPr>
              <w:t>2.0</w:t>
            </w:r>
          </w:p>
        </w:tc>
      </w:tr>
      <w:tr w:rsidR="003A46E7" w:rsidRPr="003A46E7" w:rsidTr="008C0576">
        <w:trPr>
          <w:trHeight w:val="300"/>
          <w:jc w:val="center"/>
        </w:trPr>
        <w:tc>
          <w:tcPr>
            <w:tcW w:w="2620" w:type="dxa"/>
            <w:tcBorders>
              <w:top w:val="nil"/>
              <w:left w:val="nil"/>
              <w:bottom w:val="nil"/>
              <w:right w:val="nil"/>
            </w:tcBorders>
            <w:shd w:val="clear" w:color="000000" w:fill="FFFFFF"/>
            <w:noWrap/>
            <w:vAlign w:val="center"/>
            <w:hideMark/>
          </w:tcPr>
          <w:p w:rsidR="003A46E7" w:rsidRPr="003A46E7" w:rsidRDefault="003A46E7" w:rsidP="00A92BBB">
            <w:pPr>
              <w:spacing w:before="0" w:after="0" w:line="240" w:lineRule="auto"/>
              <w:rPr>
                <w:rFonts w:cs="Arial"/>
                <w:color w:val="000000"/>
                <w:sz w:val="18"/>
                <w:szCs w:val="18"/>
              </w:rPr>
            </w:pPr>
            <w:r w:rsidRPr="003A46E7">
              <w:rPr>
                <w:rFonts w:cs="Arial"/>
                <w:color w:val="000000"/>
                <w:sz w:val="18"/>
                <w:szCs w:val="18"/>
              </w:rPr>
              <w:t>Sub-Acute</w:t>
            </w:r>
          </w:p>
        </w:tc>
        <w:tc>
          <w:tcPr>
            <w:tcW w:w="1040" w:type="dxa"/>
            <w:tcBorders>
              <w:top w:val="nil"/>
              <w:left w:val="nil"/>
              <w:bottom w:val="nil"/>
              <w:right w:val="nil"/>
            </w:tcBorders>
            <w:shd w:val="clear" w:color="000000" w:fill="FFFFFF"/>
            <w:noWrap/>
            <w:vAlign w:val="center"/>
            <w:hideMark/>
          </w:tcPr>
          <w:p w:rsidR="003A46E7" w:rsidRPr="003A46E7" w:rsidRDefault="003A46E7" w:rsidP="000827B6">
            <w:pPr>
              <w:spacing w:before="0" w:after="0" w:line="240" w:lineRule="auto"/>
              <w:jc w:val="right"/>
              <w:rPr>
                <w:rFonts w:cs="Arial"/>
                <w:color w:val="000000"/>
                <w:sz w:val="18"/>
                <w:szCs w:val="18"/>
              </w:rPr>
            </w:pPr>
            <w:r w:rsidRPr="003A46E7">
              <w:rPr>
                <w:rFonts w:cs="Arial"/>
                <w:color w:val="000000"/>
                <w:sz w:val="18"/>
                <w:szCs w:val="18"/>
              </w:rPr>
              <w:t>331</w:t>
            </w:r>
          </w:p>
        </w:tc>
        <w:tc>
          <w:tcPr>
            <w:tcW w:w="1180" w:type="dxa"/>
            <w:tcBorders>
              <w:top w:val="nil"/>
              <w:left w:val="nil"/>
              <w:bottom w:val="nil"/>
              <w:right w:val="nil"/>
            </w:tcBorders>
            <w:shd w:val="clear" w:color="000000" w:fill="FFFFFF"/>
            <w:noWrap/>
            <w:vAlign w:val="center"/>
            <w:hideMark/>
          </w:tcPr>
          <w:p w:rsidR="003A46E7" w:rsidRPr="003A46E7" w:rsidRDefault="003A46E7" w:rsidP="000827B6">
            <w:pPr>
              <w:spacing w:before="0" w:after="0" w:line="240" w:lineRule="auto"/>
              <w:jc w:val="right"/>
              <w:rPr>
                <w:rFonts w:cs="Arial"/>
                <w:color w:val="000000"/>
                <w:sz w:val="18"/>
                <w:szCs w:val="18"/>
              </w:rPr>
            </w:pPr>
            <w:r w:rsidRPr="003A46E7">
              <w:rPr>
                <w:rFonts w:cs="Arial"/>
                <w:color w:val="000000"/>
                <w:sz w:val="18"/>
                <w:szCs w:val="18"/>
              </w:rPr>
              <w:t>199,558</w:t>
            </w:r>
          </w:p>
        </w:tc>
        <w:tc>
          <w:tcPr>
            <w:tcW w:w="1300" w:type="dxa"/>
            <w:tcBorders>
              <w:top w:val="nil"/>
              <w:left w:val="nil"/>
              <w:bottom w:val="nil"/>
              <w:right w:val="nil"/>
            </w:tcBorders>
            <w:shd w:val="clear" w:color="000000" w:fill="FFFFFF"/>
            <w:noWrap/>
            <w:vAlign w:val="center"/>
            <w:hideMark/>
          </w:tcPr>
          <w:p w:rsidR="003A46E7" w:rsidRPr="003A46E7" w:rsidRDefault="003A46E7" w:rsidP="000827B6">
            <w:pPr>
              <w:spacing w:before="0" w:after="0" w:line="240" w:lineRule="auto"/>
              <w:jc w:val="right"/>
              <w:rPr>
                <w:rFonts w:cs="Arial"/>
                <w:color w:val="000000"/>
                <w:sz w:val="18"/>
                <w:szCs w:val="18"/>
              </w:rPr>
            </w:pPr>
            <w:r w:rsidRPr="003A46E7">
              <w:rPr>
                <w:rFonts w:cs="Arial"/>
                <w:color w:val="000000"/>
                <w:sz w:val="18"/>
                <w:szCs w:val="18"/>
              </w:rPr>
              <w:t>2,793</w:t>
            </w:r>
          </w:p>
        </w:tc>
        <w:tc>
          <w:tcPr>
            <w:tcW w:w="1380" w:type="dxa"/>
            <w:tcBorders>
              <w:top w:val="nil"/>
              <w:left w:val="nil"/>
              <w:bottom w:val="nil"/>
              <w:right w:val="nil"/>
            </w:tcBorders>
            <w:shd w:val="clear" w:color="000000" w:fill="FFFFFF"/>
            <w:noWrap/>
            <w:vAlign w:val="center"/>
            <w:hideMark/>
          </w:tcPr>
          <w:p w:rsidR="003A46E7" w:rsidRPr="003A46E7" w:rsidRDefault="003A46E7" w:rsidP="000827B6">
            <w:pPr>
              <w:spacing w:before="0" w:after="0" w:line="240" w:lineRule="auto"/>
              <w:jc w:val="right"/>
              <w:rPr>
                <w:rFonts w:cs="Arial"/>
                <w:color w:val="000000"/>
                <w:sz w:val="18"/>
                <w:szCs w:val="18"/>
              </w:rPr>
            </w:pPr>
            <w:r w:rsidRPr="003A46E7">
              <w:rPr>
                <w:rFonts w:cs="Arial"/>
                <w:color w:val="000000"/>
                <w:sz w:val="18"/>
                <w:szCs w:val="18"/>
              </w:rPr>
              <w:t>13,997</w:t>
            </w:r>
          </w:p>
        </w:tc>
        <w:tc>
          <w:tcPr>
            <w:tcW w:w="1680" w:type="dxa"/>
            <w:tcBorders>
              <w:top w:val="nil"/>
              <w:left w:val="nil"/>
              <w:bottom w:val="nil"/>
              <w:right w:val="nil"/>
            </w:tcBorders>
            <w:shd w:val="clear" w:color="000000" w:fill="FFFFFF"/>
            <w:noWrap/>
            <w:vAlign w:val="center"/>
            <w:hideMark/>
          </w:tcPr>
          <w:p w:rsidR="003A46E7" w:rsidRPr="003A46E7" w:rsidRDefault="003A46E7" w:rsidP="000827B6">
            <w:pPr>
              <w:spacing w:before="0" w:after="0" w:line="240" w:lineRule="auto"/>
              <w:jc w:val="right"/>
              <w:rPr>
                <w:rFonts w:cs="Arial"/>
                <w:color w:val="000000"/>
                <w:sz w:val="18"/>
                <w:szCs w:val="18"/>
              </w:rPr>
            </w:pPr>
            <w:r w:rsidRPr="003A46E7">
              <w:rPr>
                <w:rFonts w:cs="Arial"/>
                <w:color w:val="000000"/>
                <w:sz w:val="18"/>
                <w:szCs w:val="18"/>
              </w:rPr>
              <w:t>1.4</w:t>
            </w:r>
          </w:p>
        </w:tc>
      </w:tr>
      <w:tr w:rsidR="003A46E7" w:rsidRPr="003A46E7" w:rsidTr="008C0576">
        <w:trPr>
          <w:trHeight w:val="300"/>
          <w:jc w:val="center"/>
        </w:trPr>
        <w:tc>
          <w:tcPr>
            <w:tcW w:w="2620" w:type="dxa"/>
            <w:tcBorders>
              <w:top w:val="nil"/>
              <w:left w:val="nil"/>
              <w:bottom w:val="nil"/>
              <w:right w:val="nil"/>
            </w:tcBorders>
            <w:shd w:val="clear" w:color="000000" w:fill="FFFFFF"/>
            <w:noWrap/>
            <w:vAlign w:val="center"/>
            <w:hideMark/>
          </w:tcPr>
          <w:p w:rsidR="003A46E7" w:rsidRPr="003A46E7" w:rsidRDefault="003A46E7" w:rsidP="00A92BBB">
            <w:pPr>
              <w:spacing w:before="0" w:after="0" w:line="240" w:lineRule="auto"/>
              <w:rPr>
                <w:rFonts w:cs="Arial"/>
                <w:color w:val="000000"/>
                <w:sz w:val="18"/>
                <w:szCs w:val="18"/>
              </w:rPr>
            </w:pPr>
            <w:r w:rsidRPr="003A46E7">
              <w:rPr>
                <w:rFonts w:cs="Arial"/>
                <w:color w:val="000000"/>
                <w:sz w:val="18"/>
                <w:szCs w:val="18"/>
              </w:rPr>
              <w:t>Mental Health</w:t>
            </w:r>
          </w:p>
        </w:tc>
        <w:tc>
          <w:tcPr>
            <w:tcW w:w="1040" w:type="dxa"/>
            <w:tcBorders>
              <w:top w:val="nil"/>
              <w:left w:val="nil"/>
              <w:bottom w:val="nil"/>
              <w:right w:val="nil"/>
            </w:tcBorders>
            <w:shd w:val="clear" w:color="000000" w:fill="FFFFFF"/>
            <w:noWrap/>
            <w:vAlign w:val="center"/>
            <w:hideMark/>
          </w:tcPr>
          <w:p w:rsidR="003A46E7" w:rsidRPr="003A46E7" w:rsidRDefault="003A46E7" w:rsidP="000827B6">
            <w:pPr>
              <w:spacing w:before="0" w:after="0" w:line="240" w:lineRule="auto"/>
              <w:jc w:val="right"/>
              <w:rPr>
                <w:rFonts w:cs="Arial"/>
                <w:color w:val="000000"/>
                <w:sz w:val="18"/>
                <w:szCs w:val="18"/>
              </w:rPr>
            </w:pPr>
            <w:r w:rsidRPr="003A46E7">
              <w:rPr>
                <w:rFonts w:cs="Arial"/>
                <w:color w:val="000000"/>
                <w:sz w:val="18"/>
                <w:szCs w:val="18"/>
              </w:rPr>
              <w:t>242</w:t>
            </w:r>
          </w:p>
        </w:tc>
        <w:tc>
          <w:tcPr>
            <w:tcW w:w="1180" w:type="dxa"/>
            <w:tcBorders>
              <w:top w:val="nil"/>
              <w:left w:val="nil"/>
              <w:bottom w:val="nil"/>
              <w:right w:val="nil"/>
            </w:tcBorders>
            <w:shd w:val="clear" w:color="000000" w:fill="FFFFFF"/>
            <w:noWrap/>
            <w:vAlign w:val="center"/>
            <w:hideMark/>
          </w:tcPr>
          <w:p w:rsidR="003A46E7" w:rsidRPr="003A46E7" w:rsidRDefault="003A46E7" w:rsidP="000827B6">
            <w:pPr>
              <w:spacing w:before="0" w:after="0" w:line="240" w:lineRule="auto"/>
              <w:jc w:val="right"/>
              <w:rPr>
                <w:rFonts w:cs="Arial"/>
                <w:color w:val="000000"/>
                <w:sz w:val="18"/>
                <w:szCs w:val="18"/>
              </w:rPr>
            </w:pPr>
            <w:r w:rsidRPr="003A46E7">
              <w:rPr>
                <w:rFonts w:cs="Arial"/>
                <w:color w:val="000000"/>
                <w:sz w:val="18"/>
                <w:szCs w:val="18"/>
              </w:rPr>
              <w:t>237,826</w:t>
            </w:r>
          </w:p>
        </w:tc>
        <w:tc>
          <w:tcPr>
            <w:tcW w:w="1300" w:type="dxa"/>
            <w:tcBorders>
              <w:top w:val="nil"/>
              <w:left w:val="nil"/>
              <w:bottom w:val="nil"/>
              <w:right w:val="nil"/>
            </w:tcBorders>
            <w:shd w:val="clear" w:color="000000" w:fill="FFFFFF"/>
            <w:noWrap/>
            <w:vAlign w:val="center"/>
            <w:hideMark/>
          </w:tcPr>
          <w:p w:rsidR="003A46E7" w:rsidRPr="003A46E7" w:rsidRDefault="003A46E7" w:rsidP="000827B6">
            <w:pPr>
              <w:spacing w:before="0" w:after="0" w:line="240" w:lineRule="auto"/>
              <w:jc w:val="right"/>
              <w:rPr>
                <w:rFonts w:cs="Arial"/>
                <w:color w:val="000000"/>
                <w:sz w:val="18"/>
                <w:szCs w:val="18"/>
              </w:rPr>
            </w:pPr>
            <w:r w:rsidRPr="003A46E7">
              <w:rPr>
                <w:rFonts w:cs="Arial"/>
                <w:color w:val="000000"/>
                <w:sz w:val="18"/>
                <w:szCs w:val="18"/>
              </w:rPr>
              <w:t>2,506</w:t>
            </w:r>
          </w:p>
        </w:tc>
        <w:tc>
          <w:tcPr>
            <w:tcW w:w="1380" w:type="dxa"/>
            <w:tcBorders>
              <w:top w:val="nil"/>
              <w:left w:val="nil"/>
              <w:bottom w:val="nil"/>
              <w:right w:val="nil"/>
            </w:tcBorders>
            <w:shd w:val="clear" w:color="000000" w:fill="FFFFFF"/>
            <w:noWrap/>
            <w:vAlign w:val="center"/>
            <w:hideMark/>
          </w:tcPr>
          <w:p w:rsidR="003A46E7" w:rsidRPr="003A46E7" w:rsidRDefault="003A46E7" w:rsidP="000827B6">
            <w:pPr>
              <w:spacing w:before="0" w:after="0" w:line="240" w:lineRule="auto"/>
              <w:jc w:val="right"/>
              <w:rPr>
                <w:rFonts w:cs="Arial"/>
                <w:color w:val="000000"/>
                <w:sz w:val="18"/>
                <w:szCs w:val="18"/>
              </w:rPr>
            </w:pPr>
            <w:r w:rsidRPr="003A46E7">
              <w:rPr>
                <w:rFonts w:cs="Arial"/>
                <w:color w:val="000000"/>
                <w:sz w:val="18"/>
                <w:szCs w:val="18"/>
              </w:rPr>
              <w:t>10,538</w:t>
            </w:r>
          </w:p>
        </w:tc>
        <w:tc>
          <w:tcPr>
            <w:tcW w:w="1680" w:type="dxa"/>
            <w:tcBorders>
              <w:top w:val="nil"/>
              <w:left w:val="nil"/>
              <w:bottom w:val="nil"/>
              <w:right w:val="nil"/>
            </w:tcBorders>
            <w:shd w:val="clear" w:color="000000" w:fill="FFFFFF"/>
            <w:noWrap/>
            <w:vAlign w:val="center"/>
            <w:hideMark/>
          </w:tcPr>
          <w:p w:rsidR="003A46E7" w:rsidRPr="003A46E7" w:rsidRDefault="003A46E7" w:rsidP="000827B6">
            <w:pPr>
              <w:spacing w:before="0" w:after="0" w:line="240" w:lineRule="auto"/>
              <w:jc w:val="right"/>
              <w:rPr>
                <w:rFonts w:cs="Arial"/>
                <w:color w:val="000000"/>
                <w:sz w:val="18"/>
                <w:szCs w:val="18"/>
              </w:rPr>
            </w:pPr>
            <w:r w:rsidRPr="003A46E7">
              <w:rPr>
                <w:rFonts w:cs="Arial"/>
                <w:color w:val="000000"/>
                <w:sz w:val="18"/>
                <w:szCs w:val="18"/>
              </w:rPr>
              <w:t>-28.1</w:t>
            </w:r>
          </w:p>
        </w:tc>
      </w:tr>
      <w:tr w:rsidR="003A46E7" w:rsidRPr="003A46E7" w:rsidTr="008C0576">
        <w:trPr>
          <w:trHeight w:val="300"/>
          <w:jc w:val="center"/>
        </w:trPr>
        <w:tc>
          <w:tcPr>
            <w:tcW w:w="2620" w:type="dxa"/>
            <w:tcBorders>
              <w:top w:val="nil"/>
              <w:left w:val="nil"/>
              <w:bottom w:val="single" w:sz="4" w:space="0" w:color="auto"/>
              <w:right w:val="nil"/>
            </w:tcBorders>
            <w:shd w:val="clear" w:color="000000" w:fill="FFFFFF"/>
            <w:noWrap/>
            <w:vAlign w:val="center"/>
            <w:hideMark/>
          </w:tcPr>
          <w:p w:rsidR="003A46E7" w:rsidRPr="003A46E7" w:rsidRDefault="003A46E7" w:rsidP="00A92BBB">
            <w:pPr>
              <w:spacing w:before="0" w:after="0" w:line="240" w:lineRule="auto"/>
              <w:rPr>
                <w:rFonts w:cs="Arial"/>
                <w:color w:val="000000"/>
                <w:sz w:val="18"/>
                <w:szCs w:val="18"/>
              </w:rPr>
            </w:pPr>
            <w:r w:rsidRPr="003A46E7">
              <w:rPr>
                <w:rFonts w:cs="Arial"/>
                <w:color w:val="000000"/>
                <w:sz w:val="18"/>
                <w:szCs w:val="18"/>
              </w:rPr>
              <w:t>Other activity</w:t>
            </w:r>
          </w:p>
        </w:tc>
        <w:tc>
          <w:tcPr>
            <w:tcW w:w="1040" w:type="dxa"/>
            <w:tcBorders>
              <w:top w:val="nil"/>
              <w:left w:val="nil"/>
              <w:bottom w:val="single" w:sz="4" w:space="0" w:color="auto"/>
              <w:right w:val="nil"/>
            </w:tcBorders>
            <w:shd w:val="clear" w:color="000000" w:fill="FFFFFF"/>
            <w:noWrap/>
            <w:vAlign w:val="center"/>
            <w:hideMark/>
          </w:tcPr>
          <w:p w:rsidR="003A46E7" w:rsidRPr="003A46E7" w:rsidRDefault="003A46E7" w:rsidP="000827B6">
            <w:pPr>
              <w:spacing w:before="0" w:after="0" w:line="240" w:lineRule="auto"/>
              <w:jc w:val="right"/>
              <w:rPr>
                <w:rFonts w:cs="Arial"/>
                <w:color w:val="000000"/>
                <w:sz w:val="18"/>
                <w:szCs w:val="18"/>
              </w:rPr>
            </w:pPr>
            <w:r w:rsidRPr="003A46E7">
              <w:rPr>
                <w:rFonts w:cs="Arial"/>
                <w:color w:val="000000"/>
                <w:sz w:val="18"/>
                <w:szCs w:val="18"/>
              </w:rPr>
              <w:t>138</w:t>
            </w:r>
          </w:p>
        </w:tc>
        <w:tc>
          <w:tcPr>
            <w:tcW w:w="1180" w:type="dxa"/>
            <w:tcBorders>
              <w:top w:val="nil"/>
              <w:left w:val="nil"/>
              <w:bottom w:val="single" w:sz="4" w:space="0" w:color="auto"/>
              <w:right w:val="nil"/>
            </w:tcBorders>
            <w:shd w:val="clear" w:color="000000" w:fill="FFFFFF"/>
            <w:noWrap/>
            <w:vAlign w:val="center"/>
            <w:hideMark/>
          </w:tcPr>
          <w:p w:rsidR="003A46E7" w:rsidRPr="003A46E7" w:rsidRDefault="003A46E7" w:rsidP="000827B6">
            <w:pPr>
              <w:spacing w:before="0" w:after="0" w:line="240" w:lineRule="auto"/>
              <w:jc w:val="right"/>
              <w:rPr>
                <w:rFonts w:cs="Arial"/>
                <w:color w:val="000000"/>
                <w:sz w:val="18"/>
                <w:szCs w:val="18"/>
              </w:rPr>
            </w:pPr>
            <w:r w:rsidRPr="003A46E7">
              <w:rPr>
                <w:rFonts w:cs="Arial"/>
                <w:color w:val="000000"/>
                <w:sz w:val="18"/>
                <w:szCs w:val="18"/>
              </w:rPr>
              <w:t>22,490</w:t>
            </w:r>
          </w:p>
        </w:tc>
        <w:tc>
          <w:tcPr>
            <w:tcW w:w="1300" w:type="dxa"/>
            <w:tcBorders>
              <w:top w:val="nil"/>
              <w:left w:val="nil"/>
              <w:bottom w:val="single" w:sz="4" w:space="0" w:color="auto"/>
              <w:right w:val="nil"/>
            </w:tcBorders>
            <w:shd w:val="clear" w:color="000000" w:fill="FFFFFF"/>
            <w:noWrap/>
            <w:vAlign w:val="center"/>
            <w:hideMark/>
          </w:tcPr>
          <w:p w:rsidR="003A46E7" w:rsidRPr="003A46E7" w:rsidRDefault="003A46E7" w:rsidP="000827B6">
            <w:pPr>
              <w:spacing w:before="0" w:after="0" w:line="240" w:lineRule="auto"/>
              <w:jc w:val="right"/>
              <w:rPr>
                <w:rFonts w:cs="Arial"/>
                <w:color w:val="000000"/>
                <w:sz w:val="18"/>
                <w:szCs w:val="18"/>
              </w:rPr>
            </w:pPr>
            <w:r w:rsidRPr="003A46E7">
              <w:rPr>
                <w:rFonts w:cs="Arial"/>
                <w:color w:val="000000"/>
                <w:sz w:val="18"/>
                <w:szCs w:val="18"/>
              </w:rPr>
              <w:t>35</w:t>
            </w:r>
          </w:p>
        </w:tc>
        <w:tc>
          <w:tcPr>
            <w:tcW w:w="1380" w:type="dxa"/>
            <w:tcBorders>
              <w:top w:val="nil"/>
              <w:left w:val="nil"/>
              <w:bottom w:val="single" w:sz="4" w:space="0" w:color="auto"/>
              <w:right w:val="nil"/>
            </w:tcBorders>
            <w:shd w:val="clear" w:color="000000" w:fill="FFFFFF"/>
            <w:noWrap/>
            <w:vAlign w:val="center"/>
            <w:hideMark/>
          </w:tcPr>
          <w:p w:rsidR="003A46E7" w:rsidRPr="003A46E7" w:rsidRDefault="003A46E7" w:rsidP="000827B6">
            <w:pPr>
              <w:spacing w:before="0" w:after="0" w:line="240" w:lineRule="auto"/>
              <w:jc w:val="right"/>
              <w:rPr>
                <w:rFonts w:cs="Arial"/>
                <w:color w:val="000000"/>
                <w:sz w:val="18"/>
                <w:szCs w:val="18"/>
              </w:rPr>
            </w:pPr>
            <w:r w:rsidRPr="003A46E7">
              <w:rPr>
                <w:rFonts w:cs="Arial"/>
                <w:color w:val="000000"/>
                <w:sz w:val="18"/>
                <w:szCs w:val="18"/>
              </w:rPr>
              <w:t>1,549</w:t>
            </w:r>
          </w:p>
        </w:tc>
        <w:tc>
          <w:tcPr>
            <w:tcW w:w="1680" w:type="dxa"/>
            <w:tcBorders>
              <w:top w:val="nil"/>
              <w:left w:val="nil"/>
              <w:bottom w:val="single" w:sz="4" w:space="0" w:color="auto"/>
              <w:right w:val="nil"/>
            </w:tcBorders>
            <w:shd w:val="clear" w:color="000000" w:fill="FFFFFF"/>
            <w:noWrap/>
            <w:vAlign w:val="center"/>
            <w:hideMark/>
          </w:tcPr>
          <w:p w:rsidR="003A46E7" w:rsidRPr="003A46E7" w:rsidRDefault="003A46E7" w:rsidP="000827B6">
            <w:pPr>
              <w:spacing w:before="0" w:after="0" w:line="240" w:lineRule="auto"/>
              <w:jc w:val="right"/>
              <w:rPr>
                <w:rFonts w:cs="Arial"/>
                <w:color w:val="000000"/>
                <w:sz w:val="18"/>
                <w:szCs w:val="18"/>
              </w:rPr>
            </w:pPr>
            <w:r w:rsidRPr="003A46E7">
              <w:rPr>
                <w:rFonts w:cs="Arial"/>
                <w:color w:val="000000"/>
                <w:sz w:val="18"/>
                <w:szCs w:val="18"/>
              </w:rPr>
              <w:t>-58.7</w:t>
            </w:r>
          </w:p>
        </w:tc>
      </w:tr>
    </w:tbl>
    <w:p w:rsidR="0025304E" w:rsidRDefault="0025304E" w:rsidP="002371BB">
      <w:pPr>
        <w:rPr>
          <w:rFonts w:cs="Arial"/>
          <w:szCs w:val="22"/>
        </w:rPr>
      </w:pPr>
    </w:p>
    <w:p w:rsidR="00611371" w:rsidRDefault="000902C8" w:rsidP="002371BB">
      <w:pPr>
        <w:rPr>
          <w:rFonts w:cs="Arial"/>
          <w:szCs w:val="22"/>
        </w:rPr>
      </w:pPr>
      <w:r>
        <w:rPr>
          <w:rFonts w:cs="Arial"/>
          <w:szCs w:val="22"/>
        </w:rPr>
        <w:t>I</w:t>
      </w:r>
      <w:r w:rsidR="0025304E">
        <w:rPr>
          <w:rFonts w:cs="Arial"/>
          <w:szCs w:val="22"/>
        </w:rPr>
        <w:t xml:space="preserve">n </w:t>
      </w:r>
      <w:r w:rsidR="002371BB" w:rsidRPr="0025304E">
        <w:rPr>
          <w:rFonts w:cs="Arial"/>
          <w:szCs w:val="22"/>
        </w:rPr>
        <w:t>2016-17, the NHCDC received data for 2,333,353 emergency department patients who were subsequently admitted to hospital for further treatment</w:t>
      </w:r>
      <w:r w:rsidR="009552F1">
        <w:rPr>
          <w:rFonts w:cs="Arial"/>
          <w:szCs w:val="22"/>
        </w:rPr>
        <w:t xml:space="preserve">. </w:t>
      </w:r>
    </w:p>
    <w:p w:rsidR="002371BB" w:rsidRPr="0025304E" w:rsidRDefault="002371BB" w:rsidP="002371BB">
      <w:pPr>
        <w:rPr>
          <w:rFonts w:cs="Arial"/>
          <w:szCs w:val="22"/>
        </w:rPr>
      </w:pPr>
      <w:r w:rsidRPr="0025304E">
        <w:rPr>
          <w:rFonts w:cs="Arial"/>
          <w:szCs w:val="22"/>
        </w:rPr>
        <w:t>For reporting purposes, the cost associated with these patients is duplicated at the activity level</w:t>
      </w:r>
      <w:r w:rsidR="00E7547E">
        <w:rPr>
          <w:rFonts w:cs="Arial"/>
          <w:szCs w:val="22"/>
        </w:rPr>
        <w:t>,</w:t>
      </w:r>
      <w:r w:rsidRPr="0025304E">
        <w:rPr>
          <w:rFonts w:cs="Arial"/>
          <w:szCs w:val="22"/>
        </w:rPr>
        <w:t xml:space="preserve"> i.e. we report on these episodes in both the emergency department and the admitted acute or sub-acute streams. As such, totalling the rows in </w:t>
      </w:r>
      <w:r w:rsidR="00E7547E">
        <w:rPr>
          <w:rFonts w:cs="Arial"/>
          <w:szCs w:val="22"/>
        </w:rPr>
        <w:fldChar w:fldCharType="begin"/>
      </w:r>
      <w:r w:rsidR="00E7547E">
        <w:rPr>
          <w:rFonts w:cs="Arial"/>
          <w:szCs w:val="22"/>
        </w:rPr>
        <w:instrText xml:space="preserve"> REF _Ref524337061 \h </w:instrText>
      </w:r>
      <w:r w:rsidR="00E7547E">
        <w:rPr>
          <w:rFonts w:cs="Arial"/>
          <w:szCs w:val="22"/>
        </w:rPr>
      </w:r>
      <w:r w:rsidR="00E7547E">
        <w:rPr>
          <w:rFonts w:cs="Arial"/>
          <w:szCs w:val="22"/>
        </w:rPr>
        <w:fldChar w:fldCharType="separate"/>
      </w:r>
      <w:r w:rsidR="00342D61">
        <w:t xml:space="preserve">Table </w:t>
      </w:r>
      <w:r w:rsidR="00E7547E">
        <w:rPr>
          <w:rFonts w:cs="Arial"/>
          <w:szCs w:val="22"/>
        </w:rPr>
        <w:fldChar w:fldCharType="end"/>
      </w:r>
      <w:r w:rsidR="00C72BFB">
        <w:rPr>
          <w:rFonts w:cs="Arial"/>
          <w:szCs w:val="22"/>
        </w:rPr>
        <w:t>4</w:t>
      </w:r>
      <w:r w:rsidRPr="0025304E">
        <w:rPr>
          <w:rFonts w:cs="Arial"/>
          <w:szCs w:val="22"/>
        </w:rPr>
        <w:t xml:space="preserve"> does not match the national total cost submitted for all hospitals of $43.8 billion</w:t>
      </w:r>
      <w:r w:rsidR="00E7547E">
        <w:rPr>
          <w:rFonts w:cs="Arial"/>
          <w:szCs w:val="22"/>
        </w:rPr>
        <w:t>,</w:t>
      </w:r>
      <w:r w:rsidRPr="0025304E">
        <w:rPr>
          <w:rFonts w:cs="Arial"/>
          <w:szCs w:val="22"/>
        </w:rPr>
        <w:t xml:space="preserve"> which excludes duplicate episodes.</w:t>
      </w:r>
    </w:p>
    <w:p w:rsidR="002371BB" w:rsidRPr="00A92BBB" w:rsidRDefault="002371BB" w:rsidP="003B4C44">
      <w:pPr>
        <w:pStyle w:val="Heading2"/>
      </w:pPr>
      <w:bookmarkStart w:id="21" w:name="_Toc524173851"/>
      <w:bookmarkStart w:id="22" w:name="_Toc530055080"/>
      <w:r w:rsidRPr="00A92BBB">
        <w:t>Participation</w:t>
      </w:r>
      <w:bookmarkEnd w:id="21"/>
      <w:bookmarkEnd w:id="22"/>
      <w:r w:rsidRPr="00A92BBB">
        <w:tab/>
      </w:r>
    </w:p>
    <w:p w:rsidR="002371BB" w:rsidRPr="0082107A" w:rsidRDefault="002371BB" w:rsidP="002371BB">
      <w:pPr>
        <w:rPr>
          <w:rFonts w:cs="Arial"/>
          <w:szCs w:val="22"/>
        </w:rPr>
      </w:pPr>
      <w:r w:rsidRPr="0082107A">
        <w:rPr>
          <w:rFonts w:cs="Arial"/>
          <w:szCs w:val="22"/>
        </w:rPr>
        <w:t>Between Round 20 and Round 21, the number of unique hospitals that submitted cost data to the NHCDC increased from 343 to 451.</w:t>
      </w:r>
    </w:p>
    <w:p w:rsidR="002371BB" w:rsidRPr="0082107A" w:rsidRDefault="002371BB" w:rsidP="002371BB">
      <w:pPr>
        <w:rPr>
          <w:rFonts w:cs="Arial"/>
          <w:szCs w:val="22"/>
        </w:rPr>
      </w:pPr>
      <w:r w:rsidRPr="0082107A">
        <w:rPr>
          <w:rFonts w:cs="Arial"/>
          <w:szCs w:val="22"/>
        </w:rPr>
        <w:t>The increase was driven mostly by Queensland and Tasmania, which provided data for an additional 84 and 18 hospitals respectively.</w:t>
      </w:r>
    </w:p>
    <w:p w:rsidR="002371BB" w:rsidRPr="0082107A" w:rsidRDefault="002371BB" w:rsidP="002371BB">
      <w:pPr>
        <w:rPr>
          <w:rFonts w:cs="Arial"/>
          <w:szCs w:val="22"/>
        </w:rPr>
      </w:pPr>
      <w:r w:rsidRPr="0082107A">
        <w:rPr>
          <w:rFonts w:cs="Arial"/>
          <w:szCs w:val="22"/>
        </w:rPr>
        <w:t xml:space="preserve">For Queensland, the increase translated to 82 additional facilities submitting cost data for services linked to mental health </w:t>
      </w:r>
      <w:r w:rsidR="00CA7DA4">
        <w:rPr>
          <w:rFonts w:cs="Arial"/>
          <w:szCs w:val="22"/>
        </w:rPr>
        <w:t>and</w:t>
      </w:r>
      <w:r w:rsidRPr="0082107A">
        <w:rPr>
          <w:rFonts w:cs="Arial"/>
          <w:szCs w:val="22"/>
        </w:rPr>
        <w:t xml:space="preserve"> to emergency department presentations</w:t>
      </w:r>
      <w:r w:rsidR="009552F1">
        <w:rPr>
          <w:rFonts w:cs="Arial"/>
          <w:szCs w:val="22"/>
        </w:rPr>
        <w:t xml:space="preserve">. </w:t>
      </w:r>
      <w:r w:rsidRPr="0082107A">
        <w:rPr>
          <w:rFonts w:cs="Arial"/>
          <w:szCs w:val="22"/>
        </w:rPr>
        <w:t xml:space="preserve">For Tasmania, the change related mostly to an increase in the number of facilities that provided cost data for sub-acute </w:t>
      </w:r>
      <w:r w:rsidR="00CA7DA4">
        <w:rPr>
          <w:rFonts w:cs="Arial"/>
          <w:szCs w:val="22"/>
        </w:rPr>
        <w:t xml:space="preserve">and non-acute </w:t>
      </w:r>
      <w:r w:rsidRPr="0082107A">
        <w:rPr>
          <w:rFonts w:cs="Arial"/>
          <w:szCs w:val="22"/>
        </w:rPr>
        <w:t>services</w:t>
      </w:r>
      <w:r w:rsidR="009552F1">
        <w:rPr>
          <w:rFonts w:cs="Arial"/>
          <w:szCs w:val="22"/>
        </w:rPr>
        <w:t xml:space="preserve">. </w:t>
      </w:r>
    </w:p>
    <w:p w:rsidR="006F7C01" w:rsidRDefault="006F7C01" w:rsidP="007F44CC">
      <w:pPr>
        <w:pStyle w:val="Caption"/>
      </w:pPr>
      <w:bookmarkStart w:id="23" w:name="_Toc527385232"/>
      <w:r>
        <w:t xml:space="preserve">Table </w:t>
      </w:r>
      <w:r w:rsidR="00342D61">
        <w:fldChar w:fldCharType="begin"/>
      </w:r>
      <w:r w:rsidR="00342D61">
        <w:instrText xml:space="preserve"> SEQ Table \* ARABIC </w:instrText>
      </w:r>
      <w:r w:rsidR="00342D61">
        <w:fldChar w:fldCharType="separate"/>
      </w:r>
      <w:r w:rsidR="00342D61">
        <w:rPr>
          <w:noProof/>
        </w:rPr>
        <w:t>5</w:t>
      </w:r>
      <w:r w:rsidR="00342D61">
        <w:rPr>
          <w:noProof/>
        </w:rPr>
        <w:fldChar w:fldCharType="end"/>
      </w:r>
      <w:r w:rsidR="00C72BFB" w:rsidRPr="006F7C01">
        <w:t xml:space="preserve"> </w:t>
      </w:r>
      <w:r w:rsidR="00807238" w:rsidRPr="00A51C73">
        <w:t>Number of hospitals, by jurisdiction</w:t>
      </w:r>
      <w:r w:rsidR="006821EF">
        <w:t>, Round 19-21</w:t>
      </w:r>
      <w:bookmarkEnd w:id="23"/>
    </w:p>
    <w:tbl>
      <w:tblPr>
        <w:tblW w:w="5160" w:type="dxa"/>
        <w:jc w:val="center"/>
        <w:tblLook w:val="04A0" w:firstRow="1" w:lastRow="0" w:firstColumn="1" w:lastColumn="0" w:noHBand="0" w:noVBand="1"/>
        <w:tblCaption w:val="Table 5 Number of hospitals, by jurisdiction, Round 19-21"/>
        <w:tblDescription w:val="The table displays the number of participating hospitals between Round 19 to 21 by jurisdiciton."/>
      </w:tblPr>
      <w:tblGrid>
        <w:gridCol w:w="1440"/>
        <w:gridCol w:w="1240"/>
        <w:gridCol w:w="1240"/>
        <w:gridCol w:w="1240"/>
      </w:tblGrid>
      <w:tr w:rsidR="005D3133" w:rsidRPr="005D3133" w:rsidTr="008C0576">
        <w:trPr>
          <w:trHeight w:val="300"/>
          <w:jc w:val="center"/>
        </w:trPr>
        <w:tc>
          <w:tcPr>
            <w:tcW w:w="1440" w:type="dxa"/>
            <w:tcBorders>
              <w:top w:val="single" w:sz="4" w:space="0" w:color="auto"/>
              <w:left w:val="nil"/>
              <w:bottom w:val="nil"/>
              <w:right w:val="nil"/>
            </w:tcBorders>
            <w:shd w:val="clear" w:color="auto" w:fill="auto"/>
            <w:noWrap/>
            <w:vAlign w:val="center"/>
            <w:hideMark/>
          </w:tcPr>
          <w:p w:rsidR="005D3133" w:rsidRPr="005D3133" w:rsidRDefault="005D3133" w:rsidP="00417163">
            <w:pPr>
              <w:keepNext/>
              <w:spacing w:before="0" w:after="0" w:line="240" w:lineRule="auto"/>
              <w:rPr>
                <w:rFonts w:cs="Arial"/>
                <w:b/>
                <w:bCs/>
                <w:color w:val="000000"/>
                <w:sz w:val="18"/>
                <w:szCs w:val="18"/>
              </w:rPr>
            </w:pPr>
            <w:r w:rsidRPr="005D3133">
              <w:rPr>
                <w:rFonts w:cs="Arial"/>
                <w:b/>
                <w:bCs/>
                <w:color w:val="000000"/>
                <w:sz w:val="18"/>
                <w:szCs w:val="18"/>
              </w:rPr>
              <w:t> </w:t>
            </w:r>
          </w:p>
        </w:tc>
        <w:tc>
          <w:tcPr>
            <w:tcW w:w="3720" w:type="dxa"/>
            <w:gridSpan w:val="3"/>
            <w:tcBorders>
              <w:top w:val="single" w:sz="4" w:space="0" w:color="auto"/>
              <w:left w:val="nil"/>
              <w:bottom w:val="single" w:sz="4" w:space="0" w:color="auto"/>
              <w:right w:val="nil"/>
            </w:tcBorders>
            <w:shd w:val="clear" w:color="000000" w:fill="FFFFFF"/>
            <w:noWrap/>
            <w:vAlign w:val="center"/>
            <w:hideMark/>
          </w:tcPr>
          <w:p w:rsidR="005D3133" w:rsidRPr="005D3133" w:rsidRDefault="005D3133" w:rsidP="00417163">
            <w:pPr>
              <w:keepNext/>
              <w:spacing w:before="0" w:after="0" w:line="240" w:lineRule="auto"/>
              <w:jc w:val="center"/>
              <w:rPr>
                <w:rFonts w:cs="Arial"/>
                <w:b/>
                <w:bCs/>
                <w:color w:val="000000"/>
                <w:sz w:val="18"/>
                <w:szCs w:val="18"/>
              </w:rPr>
            </w:pPr>
            <w:r w:rsidRPr="005D3133">
              <w:rPr>
                <w:rFonts w:cs="Arial"/>
                <w:b/>
                <w:bCs/>
                <w:color w:val="000000"/>
                <w:sz w:val="18"/>
                <w:szCs w:val="18"/>
              </w:rPr>
              <w:t>Number of participating hospitals</w:t>
            </w:r>
          </w:p>
        </w:tc>
      </w:tr>
      <w:tr w:rsidR="005D3133" w:rsidRPr="005D3133" w:rsidTr="008C0576">
        <w:trPr>
          <w:trHeight w:val="300"/>
          <w:jc w:val="center"/>
        </w:trPr>
        <w:tc>
          <w:tcPr>
            <w:tcW w:w="1440" w:type="dxa"/>
            <w:tcBorders>
              <w:top w:val="nil"/>
              <w:left w:val="nil"/>
              <w:bottom w:val="single" w:sz="4" w:space="0" w:color="auto"/>
              <w:right w:val="nil"/>
            </w:tcBorders>
            <w:shd w:val="clear" w:color="auto" w:fill="auto"/>
            <w:noWrap/>
            <w:vAlign w:val="center"/>
            <w:hideMark/>
          </w:tcPr>
          <w:p w:rsidR="005D3133" w:rsidRPr="005D3133" w:rsidRDefault="005D3133" w:rsidP="00417163">
            <w:pPr>
              <w:keepNext/>
              <w:spacing w:before="0" w:after="0" w:line="240" w:lineRule="auto"/>
              <w:rPr>
                <w:rFonts w:cs="Arial"/>
                <w:b/>
                <w:bCs/>
                <w:color w:val="000000"/>
                <w:sz w:val="18"/>
                <w:szCs w:val="18"/>
              </w:rPr>
            </w:pPr>
            <w:r w:rsidRPr="005D3133">
              <w:rPr>
                <w:rFonts w:cs="Arial"/>
                <w:b/>
                <w:bCs/>
                <w:color w:val="000000"/>
                <w:sz w:val="18"/>
                <w:szCs w:val="18"/>
              </w:rPr>
              <w:t>Jurisdiction</w:t>
            </w:r>
          </w:p>
        </w:tc>
        <w:tc>
          <w:tcPr>
            <w:tcW w:w="1240" w:type="dxa"/>
            <w:tcBorders>
              <w:top w:val="nil"/>
              <w:left w:val="nil"/>
              <w:bottom w:val="single" w:sz="4" w:space="0" w:color="auto"/>
              <w:right w:val="nil"/>
            </w:tcBorders>
            <w:shd w:val="clear" w:color="000000" w:fill="FFFFFF"/>
            <w:noWrap/>
            <w:vAlign w:val="center"/>
            <w:hideMark/>
          </w:tcPr>
          <w:p w:rsidR="005D3133" w:rsidRPr="005D3133" w:rsidRDefault="005D3133" w:rsidP="00417163">
            <w:pPr>
              <w:keepNext/>
              <w:spacing w:before="0" w:after="0" w:line="240" w:lineRule="auto"/>
              <w:jc w:val="center"/>
              <w:rPr>
                <w:rFonts w:cs="Arial"/>
                <w:color w:val="000000"/>
                <w:sz w:val="18"/>
                <w:szCs w:val="18"/>
              </w:rPr>
            </w:pPr>
            <w:r w:rsidRPr="005D3133">
              <w:rPr>
                <w:rFonts w:cs="Arial"/>
                <w:color w:val="000000"/>
                <w:sz w:val="18"/>
                <w:szCs w:val="18"/>
              </w:rPr>
              <w:t>Round 19</w:t>
            </w:r>
          </w:p>
        </w:tc>
        <w:tc>
          <w:tcPr>
            <w:tcW w:w="1240" w:type="dxa"/>
            <w:tcBorders>
              <w:top w:val="nil"/>
              <w:left w:val="nil"/>
              <w:bottom w:val="single" w:sz="4" w:space="0" w:color="auto"/>
              <w:right w:val="nil"/>
            </w:tcBorders>
            <w:shd w:val="clear" w:color="000000" w:fill="FFFFFF"/>
            <w:noWrap/>
            <w:vAlign w:val="center"/>
            <w:hideMark/>
          </w:tcPr>
          <w:p w:rsidR="005D3133" w:rsidRPr="005D3133" w:rsidRDefault="005D3133" w:rsidP="00417163">
            <w:pPr>
              <w:keepNext/>
              <w:spacing w:before="0" w:after="0" w:line="240" w:lineRule="auto"/>
              <w:jc w:val="center"/>
              <w:rPr>
                <w:rFonts w:cs="Arial"/>
                <w:color w:val="000000"/>
                <w:sz w:val="18"/>
                <w:szCs w:val="18"/>
              </w:rPr>
            </w:pPr>
            <w:r w:rsidRPr="005D3133">
              <w:rPr>
                <w:rFonts w:cs="Arial"/>
                <w:color w:val="000000"/>
                <w:sz w:val="18"/>
                <w:szCs w:val="18"/>
              </w:rPr>
              <w:t>Round 20</w:t>
            </w:r>
          </w:p>
        </w:tc>
        <w:tc>
          <w:tcPr>
            <w:tcW w:w="1240" w:type="dxa"/>
            <w:tcBorders>
              <w:top w:val="nil"/>
              <w:left w:val="nil"/>
              <w:bottom w:val="single" w:sz="4" w:space="0" w:color="auto"/>
              <w:right w:val="nil"/>
            </w:tcBorders>
            <w:shd w:val="clear" w:color="000000" w:fill="FFFFFF"/>
            <w:noWrap/>
            <w:vAlign w:val="center"/>
            <w:hideMark/>
          </w:tcPr>
          <w:p w:rsidR="005D3133" w:rsidRPr="005D3133" w:rsidRDefault="005D3133" w:rsidP="00417163">
            <w:pPr>
              <w:keepNext/>
              <w:spacing w:before="0" w:after="0" w:line="240" w:lineRule="auto"/>
              <w:jc w:val="center"/>
              <w:rPr>
                <w:rFonts w:cs="Arial"/>
                <w:color w:val="000000"/>
                <w:sz w:val="18"/>
                <w:szCs w:val="18"/>
              </w:rPr>
            </w:pPr>
            <w:r w:rsidRPr="005D3133">
              <w:rPr>
                <w:rFonts w:cs="Arial"/>
                <w:color w:val="000000"/>
                <w:sz w:val="18"/>
                <w:szCs w:val="18"/>
              </w:rPr>
              <w:t>Round 21</w:t>
            </w:r>
          </w:p>
        </w:tc>
      </w:tr>
      <w:tr w:rsidR="005D3133" w:rsidRPr="005D3133" w:rsidTr="008C0576">
        <w:trPr>
          <w:trHeight w:val="300"/>
          <w:jc w:val="center"/>
        </w:trPr>
        <w:tc>
          <w:tcPr>
            <w:tcW w:w="1440" w:type="dxa"/>
            <w:tcBorders>
              <w:top w:val="nil"/>
              <w:left w:val="nil"/>
              <w:bottom w:val="nil"/>
              <w:right w:val="nil"/>
            </w:tcBorders>
            <w:shd w:val="clear" w:color="000000" w:fill="FFFFFF"/>
            <w:noWrap/>
            <w:vAlign w:val="center"/>
            <w:hideMark/>
          </w:tcPr>
          <w:p w:rsidR="005D3133" w:rsidRPr="005D3133" w:rsidRDefault="005D3133" w:rsidP="00417163">
            <w:pPr>
              <w:keepNext/>
              <w:spacing w:before="0" w:after="0" w:line="240" w:lineRule="auto"/>
              <w:rPr>
                <w:rFonts w:cs="Arial"/>
                <w:color w:val="000000"/>
                <w:sz w:val="18"/>
                <w:szCs w:val="18"/>
              </w:rPr>
            </w:pPr>
            <w:r w:rsidRPr="005D3133">
              <w:rPr>
                <w:rFonts w:cs="Arial"/>
                <w:color w:val="000000"/>
                <w:sz w:val="18"/>
                <w:szCs w:val="18"/>
              </w:rPr>
              <w:t>NSW</w:t>
            </w:r>
          </w:p>
        </w:tc>
        <w:tc>
          <w:tcPr>
            <w:tcW w:w="1240" w:type="dxa"/>
            <w:tcBorders>
              <w:top w:val="nil"/>
              <w:left w:val="nil"/>
              <w:bottom w:val="nil"/>
              <w:right w:val="nil"/>
            </w:tcBorders>
            <w:shd w:val="clear" w:color="000000" w:fill="FFFFFF"/>
            <w:noWrap/>
            <w:vAlign w:val="center"/>
            <w:hideMark/>
          </w:tcPr>
          <w:p w:rsidR="005D3133" w:rsidRPr="005D3133" w:rsidRDefault="005D3133" w:rsidP="00417163">
            <w:pPr>
              <w:keepNext/>
              <w:spacing w:before="0" w:after="0" w:line="240" w:lineRule="auto"/>
              <w:jc w:val="right"/>
              <w:rPr>
                <w:rFonts w:cs="Arial"/>
                <w:color w:val="000000"/>
                <w:sz w:val="18"/>
                <w:szCs w:val="18"/>
              </w:rPr>
            </w:pPr>
            <w:r w:rsidRPr="005D3133">
              <w:rPr>
                <w:rFonts w:cs="Arial"/>
                <w:color w:val="000000"/>
                <w:sz w:val="18"/>
                <w:szCs w:val="18"/>
              </w:rPr>
              <w:t>97</w:t>
            </w:r>
          </w:p>
        </w:tc>
        <w:tc>
          <w:tcPr>
            <w:tcW w:w="1240" w:type="dxa"/>
            <w:tcBorders>
              <w:top w:val="nil"/>
              <w:left w:val="nil"/>
              <w:bottom w:val="nil"/>
              <w:right w:val="nil"/>
            </w:tcBorders>
            <w:shd w:val="clear" w:color="000000" w:fill="FFFFFF"/>
            <w:noWrap/>
            <w:vAlign w:val="center"/>
            <w:hideMark/>
          </w:tcPr>
          <w:p w:rsidR="005D3133" w:rsidRPr="005D3133" w:rsidRDefault="005D3133" w:rsidP="00417163">
            <w:pPr>
              <w:keepNext/>
              <w:spacing w:before="0" w:after="0" w:line="240" w:lineRule="auto"/>
              <w:jc w:val="right"/>
              <w:rPr>
                <w:rFonts w:cs="Arial"/>
                <w:color w:val="000000"/>
                <w:sz w:val="18"/>
                <w:szCs w:val="18"/>
              </w:rPr>
            </w:pPr>
            <w:r w:rsidRPr="005D3133">
              <w:rPr>
                <w:rFonts w:cs="Arial"/>
                <w:color w:val="000000"/>
                <w:sz w:val="18"/>
                <w:szCs w:val="18"/>
              </w:rPr>
              <w:t>98</w:t>
            </w:r>
          </w:p>
        </w:tc>
        <w:tc>
          <w:tcPr>
            <w:tcW w:w="1240" w:type="dxa"/>
            <w:tcBorders>
              <w:top w:val="nil"/>
              <w:left w:val="nil"/>
              <w:bottom w:val="nil"/>
              <w:right w:val="nil"/>
            </w:tcBorders>
            <w:shd w:val="clear" w:color="000000" w:fill="FFFFFF"/>
            <w:noWrap/>
            <w:vAlign w:val="center"/>
            <w:hideMark/>
          </w:tcPr>
          <w:p w:rsidR="005D3133" w:rsidRPr="005D3133" w:rsidRDefault="005D3133" w:rsidP="00417163">
            <w:pPr>
              <w:keepNext/>
              <w:spacing w:before="0" w:after="0" w:line="240" w:lineRule="auto"/>
              <w:jc w:val="right"/>
              <w:rPr>
                <w:rFonts w:cs="Arial"/>
                <w:color w:val="000000"/>
                <w:sz w:val="18"/>
                <w:szCs w:val="18"/>
              </w:rPr>
            </w:pPr>
            <w:r w:rsidRPr="005D3133">
              <w:rPr>
                <w:rFonts w:cs="Arial"/>
                <w:color w:val="000000"/>
                <w:sz w:val="18"/>
                <w:szCs w:val="18"/>
              </w:rPr>
              <w:t>95</w:t>
            </w:r>
          </w:p>
        </w:tc>
      </w:tr>
      <w:tr w:rsidR="005D3133" w:rsidRPr="005D3133" w:rsidTr="008C0576">
        <w:trPr>
          <w:trHeight w:val="300"/>
          <w:jc w:val="center"/>
        </w:trPr>
        <w:tc>
          <w:tcPr>
            <w:tcW w:w="1440" w:type="dxa"/>
            <w:tcBorders>
              <w:top w:val="nil"/>
              <w:left w:val="nil"/>
              <w:bottom w:val="nil"/>
              <w:right w:val="nil"/>
            </w:tcBorders>
            <w:shd w:val="clear" w:color="000000" w:fill="FFFFFF"/>
            <w:noWrap/>
            <w:vAlign w:val="center"/>
            <w:hideMark/>
          </w:tcPr>
          <w:p w:rsidR="005D3133" w:rsidRPr="005D3133" w:rsidRDefault="005D3133" w:rsidP="00A92BBB">
            <w:pPr>
              <w:spacing w:before="0" w:after="0" w:line="240" w:lineRule="auto"/>
              <w:rPr>
                <w:rFonts w:cs="Arial"/>
                <w:color w:val="000000"/>
                <w:sz w:val="18"/>
                <w:szCs w:val="18"/>
              </w:rPr>
            </w:pPr>
            <w:r w:rsidRPr="005D3133">
              <w:rPr>
                <w:rFonts w:cs="Arial"/>
                <w:color w:val="000000"/>
                <w:sz w:val="18"/>
                <w:szCs w:val="18"/>
              </w:rPr>
              <w:t>Vic</w:t>
            </w:r>
          </w:p>
        </w:tc>
        <w:tc>
          <w:tcPr>
            <w:tcW w:w="1240" w:type="dxa"/>
            <w:tcBorders>
              <w:top w:val="nil"/>
              <w:left w:val="nil"/>
              <w:bottom w:val="nil"/>
              <w:right w:val="nil"/>
            </w:tcBorders>
            <w:shd w:val="clear" w:color="000000" w:fill="FFFFFF"/>
            <w:noWrap/>
            <w:vAlign w:val="center"/>
            <w:hideMark/>
          </w:tcPr>
          <w:p w:rsidR="005D3133" w:rsidRPr="005D3133" w:rsidRDefault="005D3133" w:rsidP="00A92BBB">
            <w:pPr>
              <w:spacing w:before="0" w:after="0" w:line="240" w:lineRule="auto"/>
              <w:jc w:val="right"/>
              <w:rPr>
                <w:rFonts w:cs="Arial"/>
                <w:color w:val="000000"/>
                <w:sz w:val="18"/>
                <w:szCs w:val="18"/>
              </w:rPr>
            </w:pPr>
            <w:r w:rsidRPr="005D3133">
              <w:rPr>
                <w:rFonts w:cs="Arial"/>
                <w:color w:val="000000"/>
                <w:sz w:val="18"/>
                <w:szCs w:val="18"/>
              </w:rPr>
              <w:t>76</w:t>
            </w:r>
          </w:p>
        </w:tc>
        <w:tc>
          <w:tcPr>
            <w:tcW w:w="1240" w:type="dxa"/>
            <w:tcBorders>
              <w:top w:val="nil"/>
              <w:left w:val="nil"/>
              <w:bottom w:val="nil"/>
              <w:right w:val="nil"/>
            </w:tcBorders>
            <w:shd w:val="clear" w:color="000000" w:fill="FFFFFF"/>
            <w:noWrap/>
            <w:vAlign w:val="center"/>
            <w:hideMark/>
          </w:tcPr>
          <w:p w:rsidR="005D3133" w:rsidRPr="005D3133" w:rsidRDefault="005D3133" w:rsidP="00A92BBB">
            <w:pPr>
              <w:spacing w:before="0" w:after="0" w:line="240" w:lineRule="auto"/>
              <w:jc w:val="right"/>
              <w:rPr>
                <w:rFonts w:cs="Arial"/>
                <w:color w:val="000000"/>
                <w:sz w:val="18"/>
                <w:szCs w:val="18"/>
              </w:rPr>
            </w:pPr>
            <w:r w:rsidRPr="005D3133">
              <w:rPr>
                <w:rFonts w:cs="Arial"/>
                <w:color w:val="000000"/>
                <w:sz w:val="18"/>
                <w:szCs w:val="18"/>
              </w:rPr>
              <w:t>73</w:t>
            </w:r>
          </w:p>
        </w:tc>
        <w:tc>
          <w:tcPr>
            <w:tcW w:w="1240" w:type="dxa"/>
            <w:tcBorders>
              <w:top w:val="nil"/>
              <w:left w:val="nil"/>
              <w:bottom w:val="nil"/>
              <w:right w:val="nil"/>
            </w:tcBorders>
            <w:shd w:val="clear" w:color="000000" w:fill="FFFFFF"/>
            <w:noWrap/>
            <w:vAlign w:val="center"/>
            <w:hideMark/>
          </w:tcPr>
          <w:p w:rsidR="005D3133" w:rsidRPr="005D3133" w:rsidRDefault="005D3133" w:rsidP="00A92BBB">
            <w:pPr>
              <w:spacing w:before="0" w:after="0" w:line="240" w:lineRule="auto"/>
              <w:jc w:val="right"/>
              <w:rPr>
                <w:rFonts w:cs="Arial"/>
                <w:color w:val="000000"/>
                <w:sz w:val="18"/>
                <w:szCs w:val="18"/>
              </w:rPr>
            </w:pPr>
            <w:r w:rsidRPr="005D3133">
              <w:rPr>
                <w:rFonts w:cs="Arial"/>
                <w:color w:val="000000"/>
                <w:sz w:val="18"/>
                <w:szCs w:val="18"/>
              </w:rPr>
              <w:t>79</w:t>
            </w:r>
          </w:p>
        </w:tc>
      </w:tr>
      <w:tr w:rsidR="005D3133" w:rsidRPr="005D3133" w:rsidTr="008C0576">
        <w:trPr>
          <w:trHeight w:val="300"/>
          <w:jc w:val="center"/>
        </w:trPr>
        <w:tc>
          <w:tcPr>
            <w:tcW w:w="1440" w:type="dxa"/>
            <w:tcBorders>
              <w:top w:val="nil"/>
              <w:left w:val="nil"/>
              <w:bottom w:val="nil"/>
              <w:right w:val="nil"/>
            </w:tcBorders>
            <w:shd w:val="clear" w:color="000000" w:fill="FFFFFF"/>
            <w:noWrap/>
            <w:vAlign w:val="center"/>
            <w:hideMark/>
          </w:tcPr>
          <w:p w:rsidR="005D3133" w:rsidRPr="005D3133" w:rsidRDefault="005D3133" w:rsidP="00A92BBB">
            <w:pPr>
              <w:spacing w:before="0" w:after="0" w:line="240" w:lineRule="auto"/>
              <w:rPr>
                <w:rFonts w:cs="Arial"/>
                <w:color w:val="000000"/>
                <w:sz w:val="18"/>
                <w:szCs w:val="18"/>
              </w:rPr>
            </w:pPr>
            <w:r w:rsidRPr="005D3133">
              <w:rPr>
                <w:rFonts w:cs="Arial"/>
                <w:color w:val="000000"/>
                <w:sz w:val="18"/>
                <w:szCs w:val="18"/>
              </w:rPr>
              <w:t>Qld</w:t>
            </w:r>
          </w:p>
        </w:tc>
        <w:tc>
          <w:tcPr>
            <w:tcW w:w="1240" w:type="dxa"/>
            <w:tcBorders>
              <w:top w:val="nil"/>
              <w:left w:val="nil"/>
              <w:bottom w:val="nil"/>
              <w:right w:val="nil"/>
            </w:tcBorders>
            <w:shd w:val="clear" w:color="000000" w:fill="FFFFFF"/>
            <w:noWrap/>
            <w:vAlign w:val="center"/>
            <w:hideMark/>
          </w:tcPr>
          <w:p w:rsidR="005D3133" w:rsidRPr="005D3133" w:rsidRDefault="005D3133" w:rsidP="00A92BBB">
            <w:pPr>
              <w:spacing w:before="0" w:after="0" w:line="240" w:lineRule="auto"/>
              <w:jc w:val="right"/>
              <w:rPr>
                <w:rFonts w:cs="Arial"/>
                <w:color w:val="000000"/>
                <w:sz w:val="18"/>
                <w:szCs w:val="18"/>
              </w:rPr>
            </w:pPr>
            <w:r w:rsidRPr="005D3133">
              <w:rPr>
                <w:rFonts w:cs="Arial"/>
                <w:color w:val="000000"/>
                <w:sz w:val="18"/>
                <w:szCs w:val="18"/>
              </w:rPr>
              <w:t>123</w:t>
            </w:r>
          </w:p>
        </w:tc>
        <w:tc>
          <w:tcPr>
            <w:tcW w:w="1240" w:type="dxa"/>
            <w:tcBorders>
              <w:top w:val="nil"/>
              <w:left w:val="nil"/>
              <w:bottom w:val="nil"/>
              <w:right w:val="nil"/>
            </w:tcBorders>
            <w:shd w:val="clear" w:color="000000" w:fill="FFFFFF"/>
            <w:noWrap/>
            <w:vAlign w:val="center"/>
            <w:hideMark/>
          </w:tcPr>
          <w:p w:rsidR="005D3133" w:rsidRPr="005D3133" w:rsidRDefault="005D3133" w:rsidP="00A92BBB">
            <w:pPr>
              <w:spacing w:before="0" w:after="0" w:line="240" w:lineRule="auto"/>
              <w:jc w:val="right"/>
              <w:rPr>
                <w:rFonts w:cs="Arial"/>
                <w:color w:val="000000"/>
                <w:sz w:val="18"/>
                <w:szCs w:val="18"/>
              </w:rPr>
            </w:pPr>
            <w:r w:rsidRPr="005D3133">
              <w:rPr>
                <w:rFonts w:cs="Arial"/>
                <w:color w:val="000000"/>
                <w:sz w:val="18"/>
                <w:szCs w:val="18"/>
              </w:rPr>
              <w:t>111</w:t>
            </w:r>
          </w:p>
        </w:tc>
        <w:tc>
          <w:tcPr>
            <w:tcW w:w="1240" w:type="dxa"/>
            <w:tcBorders>
              <w:top w:val="nil"/>
              <w:left w:val="nil"/>
              <w:bottom w:val="nil"/>
              <w:right w:val="nil"/>
            </w:tcBorders>
            <w:shd w:val="clear" w:color="000000" w:fill="FFFFFF"/>
            <w:noWrap/>
            <w:vAlign w:val="center"/>
            <w:hideMark/>
          </w:tcPr>
          <w:p w:rsidR="005D3133" w:rsidRPr="005D3133" w:rsidRDefault="005D3133" w:rsidP="00A92BBB">
            <w:pPr>
              <w:spacing w:before="0" w:after="0" w:line="240" w:lineRule="auto"/>
              <w:jc w:val="right"/>
              <w:rPr>
                <w:rFonts w:cs="Arial"/>
                <w:color w:val="000000"/>
                <w:sz w:val="18"/>
                <w:szCs w:val="18"/>
              </w:rPr>
            </w:pPr>
            <w:r w:rsidRPr="005D3133">
              <w:rPr>
                <w:rFonts w:cs="Arial"/>
                <w:color w:val="000000"/>
                <w:sz w:val="18"/>
                <w:szCs w:val="18"/>
              </w:rPr>
              <w:t>195</w:t>
            </w:r>
          </w:p>
        </w:tc>
      </w:tr>
      <w:tr w:rsidR="005D3133" w:rsidRPr="005D3133" w:rsidTr="008C0576">
        <w:trPr>
          <w:trHeight w:val="300"/>
          <w:jc w:val="center"/>
        </w:trPr>
        <w:tc>
          <w:tcPr>
            <w:tcW w:w="1440" w:type="dxa"/>
            <w:tcBorders>
              <w:top w:val="nil"/>
              <w:left w:val="nil"/>
              <w:bottom w:val="nil"/>
              <w:right w:val="nil"/>
            </w:tcBorders>
            <w:shd w:val="clear" w:color="000000" w:fill="FFFFFF"/>
            <w:noWrap/>
            <w:vAlign w:val="center"/>
            <w:hideMark/>
          </w:tcPr>
          <w:p w:rsidR="005D3133" w:rsidRPr="005D3133" w:rsidRDefault="005D3133" w:rsidP="00A92BBB">
            <w:pPr>
              <w:spacing w:before="0" w:after="0" w:line="240" w:lineRule="auto"/>
              <w:rPr>
                <w:rFonts w:cs="Arial"/>
                <w:color w:val="000000"/>
                <w:sz w:val="18"/>
                <w:szCs w:val="18"/>
              </w:rPr>
            </w:pPr>
            <w:r w:rsidRPr="005D3133">
              <w:rPr>
                <w:rFonts w:cs="Arial"/>
                <w:color w:val="000000"/>
                <w:sz w:val="18"/>
                <w:szCs w:val="18"/>
              </w:rPr>
              <w:t>SA</w:t>
            </w:r>
          </w:p>
        </w:tc>
        <w:tc>
          <w:tcPr>
            <w:tcW w:w="1240" w:type="dxa"/>
            <w:tcBorders>
              <w:top w:val="nil"/>
              <w:left w:val="nil"/>
              <w:bottom w:val="nil"/>
              <w:right w:val="nil"/>
            </w:tcBorders>
            <w:shd w:val="clear" w:color="000000" w:fill="FFFFFF"/>
            <w:noWrap/>
            <w:vAlign w:val="center"/>
            <w:hideMark/>
          </w:tcPr>
          <w:p w:rsidR="005D3133" w:rsidRPr="005D3133" w:rsidRDefault="005D3133" w:rsidP="00A92BBB">
            <w:pPr>
              <w:spacing w:before="0" w:after="0" w:line="240" w:lineRule="auto"/>
              <w:jc w:val="right"/>
              <w:rPr>
                <w:rFonts w:cs="Arial"/>
                <w:color w:val="000000"/>
                <w:sz w:val="18"/>
                <w:szCs w:val="18"/>
              </w:rPr>
            </w:pPr>
            <w:r w:rsidRPr="005D3133">
              <w:rPr>
                <w:rFonts w:cs="Arial"/>
                <w:color w:val="000000"/>
                <w:sz w:val="18"/>
                <w:szCs w:val="18"/>
              </w:rPr>
              <w:t>16</w:t>
            </w:r>
          </w:p>
        </w:tc>
        <w:tc>
          <w:tcPr>
            <w:tcW w:w="1240" w:type="dxa"/>
            <w:tcBorders>
              <w:top w:val="nil"/>
              <w:left w:val="nil"/>
              <w:bottom w:val="nil"/>
              <w:right w:val="nil"/>
            </w:tcBorders>
            <w:shd w:val="clear" w:color="000000" w:fill="FFFFFF"/>
            <w:noWrap/>
            <w:vAlign w:val="center"/>
            <w:hideMark/>
          </w:tcPr>
          <w:p w:rsidR="005D3133" w:rsidRPr="005D3133" w:rsidRDefault="005D3133" w:rsidP="00A92BBB">
            <w:pPr>
              <w:spacing w:before="0" w:after="0" w:line="240" w:lineRule="auto"/>
              <w:jc w:val="right"/>
              <w:rPr>
                <w:rFonts w:cs="Arial"/>
                <w:color w:val="000000"/>
                <w:sz w:val="18"/>
                <w:szCs w:val="18"/>
              </w:rPr>
            </w:pPr>
            <w:r w:rsidRPr="005D3133">
              <w:rPr>
                <w:rFonts w:cs="Arial"/>
                <w:color w:val="000000"/>
                <w:sz w:val="18"/>
                <w:szCs w:val="18"/>
              </w:rPr>
              <w:t>16</w:t>
            </w:r>
          </w:p>
        </w:tc>
        <w:tc>
          <w:tcPr>
            <w:tcW w:w="1240" w:type="dxa"/>
            <w:tcBorders>
              <w:top w:val="nil"/>
              <w:left w:val="nil"/>
              <w:bottom w:val="nil"/>
              <w:right w:val="nil"/>
            </w:tcBorders>
            <w:shd w:val="clear" w:color="000000" w:fill="FFFFFF"/>
            <w:noWrap/>
            <w:vAlign w:val="center"/>
            <w:hideMark/>
          </w:tcPr>
          <w:p w:rsidR="005D3133" w:rsidRPr="005D3133" w:rsidRDefault="005D3133" w:rsidP="00A92BBB">
            <w:pPr>
              <w:spacing w:before="0" w:after="0" w:line="240" w:lineRule="auto"/>
              <w:jc w:val="right"/>
              <w:rPr>
                <w:rFonts w:cs="Arial"/>
                <w:color w:val="000000"/>
                <w:sz w:val="18"/>
                <w:szCs w:val="18"/>
              </w:rPr>
            </w:pPr>
            <w:r w:rsidRPr="005D3133">
              <w:rPr>
                <w:rFonts w:cs="Arial"/>
                <w:color w:val="000000"/>
                <w:sz w:val="18"/>
                <w:szCs w:val="18"/>
              </w:rPr>
              <w:t>20</w:t>
            </w:r>
          </w:p>
        </w:tc>
      </w:tr>
      <w:tr w:rsidR="005D3133" w:rsidRPr="005D3133" w:rsidTr="008C0576">
        <w:trPr>
          <w:trHeight w:val="300"/>
          <w:jc w:val="center"/>
        </w:trPr>
        <w:tc>
          <w:tcPr>
            <w:tcW w:w="1440" w:type="dxa"/>
            <w:tcBorders>
              <w:top w:val="nil"/>
              <w:left w:val="nil"/>
              <w:bottom w:val="nil"/>
              <w:right w:val="nil"/>
            </w:tcBorders>
            <w:shd w:val="clear" w:color="000000" w:fill="FFFFFF"/>
            <w:noWrap/>
            <w:vAlign w:val="center"/>
            <w:hideMark/>
          </w:tcPr>
          <w:p w:rsidR="005D3133" w:rsidRPr="005D3133" w:rsidRDefault="005D3133" w:rsidP="00A92BBB">
            <w:pPr>
              <w:spacing w:before="0" w:after="0" w:line="240" w:lineRule="auto"/>
              <w:rPr>
                <w:rFonts w:cs="Arial"/>
                <w:color w:val="000000"/>
                <w:sz w:val="18"/>
                <w:szCs w:val="18"/>
              </w:rPr>
            </w:pPr>
            <w:r w:rsidRPr="005D3133">
              <w:rPr>
                <w:rFonts w:cs="Arial"/>
                <w:color w:val="000000"/>
                <w:sz w:val="18"/>
                <w:szCs w:val="18"/>
              </w:rPr>
              <w:t>WA</w:t>
            </w:r>
          </w:p>
        </w:tc>
        <w:tc>
          <w:tcPr>
            <w:tcW w:w="1240" w:type="dxa"/>
            <w:tcBorders>
              <w:top w:val="nil"/>
              <w:left w:val="nil"/>
              <w:bottom w:val="nil"/>
              <w:right w:val="nil"/>
            </w:tcBorders>
            <w:shd w:val="clear" w:color="000000" w:fill="FFFFFF"/>
            <w:noWrap/>
            <w:vAlign w:val="center"/>
            <w:hideMark/>
          </w:tcPr>
          <w:p w:rsidR="005D3133" w:rsidRPr="005D3133" w:rsidRDefault="005D3133" w:rsidP="00A92BBB">
            <w:pPr>
              <w:spacing w:before="0" w:after="0" w:line="240" w:lineRule="auto"/>
              <w:jc w:val="right"/>
              <w:rPr>
                <w:rFonts w:cs="Arial"/>
                <w:color w:val="000000"/>
                <w:sz w:val="18"/>
                <w:szCs w:val="18"/>
              </w:rPr>
            </w:pPr>
            <w:r w:rsidRPr="005D3133">
              <w:rPr>
                <w:rFonts w:cs="Arial"/>
                <w:color w:val="000000"/>
                <w:sz w:val="18"/>
                <w:szCs w:val="18"/>
              </w:rPr>
              <w:t>35</w:t>
            </w:r>
          </w:p>
        </w:tc>
        <w:tc>
          <w:tcPr>
            <w:tcW w:w="1240" w:type="dxa"/>
            <w:tcBorders>
              <w:top w:val="nil"/>
              <w:left w:val="nil"/>
              <w:bottom w:val="nil"/>
              <w:right w:val="nil"/>
            </w:tcBorders>
            <w:shd w:val="clear" w:color="000000" w:fill="FFFFFF"/>
            <w:noWrap/>
            <w:vAlign w:val="center"/>
            <w:hideMark/>
          </w:tcPr>
          <w:p w:rsidR="005D3133" w:rsidRPr="005D3133" w:rsidRDefault="005D3133" w:rsidP="00A92BBB">
            <w:pPr>
              <w:spacing w:before="0" w:after="0" w:line="240" w:lineRule="auto"/>
              <w:jc w:val="right"/>
              <w:rPr>
                <w:rFonts w:cs="Arial"/>
                <w:color w:val="000000"/>
                <w:sz w:val="18"/>
                <w:szCs w:val="18"/>
              </w:rPr>
            </w:pPr>
            <w:r w:rsidRPr="005D3133">
              <w:rPr>
                <w:rFonts w:cs="Arial"/>
                <w:color w:val="000000"/>
                <w:sz w:val="18"/>
                <w:szCs w:val="18"/>
              </w:rPr>
              <w:t>34</w:t>
            </w:r>
          </w:p>
        </w:tc>
        <w:tc>
          <w:tcPr>
            <w:tcW w:w="1240" w:type="dxa"/>
            <w:tcBorders>
              <w:top w:val="nil"/>
              <w:left w:val="nil"/>
              <w:bottom w:val="nil"/>
              <w:right w:val="nil"/>
            </w:tcBorders>
            <w:shd w:val="clear" w:color="000000" w:fill="FFFFFF"/>
            <w:noWrap/>
            <w:vAlign w:val="center"/>
            <w:hideMark/>
          </w:tcPr>
          <w:p w:rsidR="005D3133" w:rsidRPr="005D3133" w:rsidRDefault="005D3133" w:rsidP="00A92BBB">
            <w:pPr>
              <w:spacing w:before="0" w:after="0" w:line="240" w:lineRule="auto"/>
              <w:jc w:val="right"/>
              <w:rPr>
                <w:rFonts w:cs="Arial"/>
                <w:color w:val="000000"/>
                <w:sz w:val="18"/>
                <w:szCs w:val="18"/>
              </w:rPr>
            </w:pPr>
            <w:r w:rsidRPr="005D3133">
              <w:rPr>
                <w:rFonts w:cs="Arial"/>
                <w:color w:val="000000"/>
                <w:sz w:val="18"/>
                <w:szCs w:val="18"/>
              </w:rPr>
              <w:t>33</w:t>
            </w:r>
          </w:p>
        </w:tc>
      </w:tr>
      <w:tr w:rsidR="005D3133" w:rsidRPr="005D3133" w:rsidTr="008C0576">
        <w:trPr>
          <w:trHeight w:val="300"/>
          <w:jc w:val="center"/>
        </w:trPr>
        <w:tc>
          <w:tcPr>
            <w:tcW w:w="1440" w:type="dxa"/>
            <w:tcBorders>
              <w:top w:val="nil"/>
              <w:left w:val="nil"/>
              <w:bottom w:val="nil"/>
              <w:right w:val="nil"/>
            </w:tcBorders>
            <w:shd w:val="clear" w:color="000000" w:fill="FFFFFF"/>
            <w:noWrap/>
            <w:vAlign w:val="center"/>
            <w:hideMark/>
          </w:tcPr>
          <w:p w:rsidR="005D3133" w:rsidRPr="005D3133" w:rsidRDefault="005D3133" w:rsidP="00A92BBB">
            <w:pPr>
              <w:spacing w:before="0" w:after="0" w:line="240" w:lineRule="auto"/>
              <w:rPr>
                <w:rFonts w:cs="Arial"/>
                <w:color w:val="000000"/>
                <w:sz w:val="18"/>
                <w:szCs w:val="18"/>
              </w:rPr>
            </w:pPr>
            <w:proofErr w:type="spellStart"/>
            <w:r w:rsidRPr="005D3133">
              <w:rPr>
                <w:rFonts w:cs="Arial"/>
                <w:color w:val="000000"/>
                <w:sz w:val="18"/>
                <w:szCs w:val="18"/>
              </w:rPr>
              <w:t>Tas</w:t>
            </w:r>
            <w:proofErr w:type="spellEnd"/>
          </w:p>
        </w:tc>
        <w:tc>
          <w:tcPr>
            <w:tcW w:w="1240" w:type="dxa"/>
            <w:tcBorders>
              <w:top w:val="nil"/>
              <w:left w:val="nil"/>
              <w:bottom w:val="nil"/>
              <w:right w:val="nil"/>
            </w:tcBorders>
            <w:shd w:val="clear" w:color="000000" w:fill="FFFFFF"/>
            <w:noWrap/>
            <w:vAlign w:val="center"/>
            <w:hideMark/>
          </w:tcPr>
          <w:p w:rsidR="005D3133" w:rsidRPr="005D3133" w:rsidRDefault="005D3133" w:rsidP="00A92BBB">
            <w:pPr>
              <w:spacing w:before="0" w:after="0" w:line="240" w:lineRule="auto"/>
              <w:jc w:val="right"/>
              <w:rPr>
                <w:rFonts w:cs="Arial"/>
                <w:color w:val="000000"/>
                <w:sz w:val="18"/>
                <w:szCs w:val="18"/>
              </w:rPr>
            </w:pPr>
            <w:r w:rsidRPr="005D3133">
              <w:rPr>
                <w:rFonts w:cs="Arial"/>
                <w:color w:val="000000"/>
                <w:sz w:val="18"/>
                <w:szCs w:val="18"/>
              </w:rPr>
              <w:t>4</w:t>
            </w:r>
          </w:p>
        </w:tc>
        <w:tc>
          <w:tcPr>
            <w:tcW w:w="1240" w:type="dxa"/>
            <w:tcBorders>
              <w:top w:val="nil"/>
              <w:left w:val="nil"/>
              <w:bottom w:val="nil"/>
              <w:right w:val="nil"/>
            </w:tcBorders>
            <w:shd w:val="clear" w:color="000000" w:fill="FFFFFF"/>
            <w:noWrap/>
            <w:vAlign w:val="center"/>
            <w:hideMark/>
          </w:tcPr>
          <w:p w:rsidR="005D3133" w:rsidRPr="005D3133" w:rsidRDefault="005D3133" w:rsidP="00A92BBB">
            <w:pPr>
              <w:spacing w:before="0" w:after="0" w:line="240" w:lineRule="auto"/>
              <w:jc w:val="right"/>
              <w:rPr>
                <w:rFonts w:cs="Arial"/>
                <w:color w:val="000000"/>
                <w:sz w:val="18"/>
                <w:szCs w:val="18"/>
              </w:rPr>
            </w:pPr>
            <w:r w:rsidRPr="005D3133">
              <w:rPr>
                <w:rFonts w:cs="Arial"/>
                <w:color w:val="000000"/>
                <w:sz w:val="18"/>
                <w:szCs w:val="18"/>
              </w:rPr>
              <w:t>4</w:t>
            </w:r>
          </w:p>
        </w:tc>
        <w:tc>
          <w:tcPr>
            <w:tcW w:w="1240" w:type="dxa"/>
            <w:tcBorders>
              <w:top w:val="nil"/>
              <w:left w:val="nil"/>
              <w:bottom w:val="nil"/>
              <w:right w:val="nil"/>
            </w:tcBorders>
            <w:shd w:val="clear" w:color="000000" w:fill="FFFFFF"/>
            <w:noWrap/>
            <w:vAlign w:val="center"/>
            <w:hideMark/>
          </w:tcPr>
          <w:p w:rsidR="005D3133" w:rsidRPr="005D3133" w:rsidRDefault="005D3133" w:rsidP="00A92BBB">
            <w:pPr>
              <w:spacing w:before="0" w:after="0" w:line="240" w:lineRule="auto"/>
              <w:jc w:val="right"/>
              <w:rPr>
                <w:rFonts w:cs="Arial"/>
                <w:color w:val="000000"/>
                <w:sz w:val="18"/>
                <w:szCs w:val="18"/>
              </w:rPr>
            </w:pPr>
            <w:r w:rsidRPr="005D3133">
              <w:rPr>
                <w:rFonts w:cs="Arial"/>
                <w:color w:val="000000"/>
                <w:sz w:val="18"/>
                <w:szCs w:val="18"/>
              </w:rPr>
              <w:t>22</w:t>
            </w:r>
          </w:p>
        </w:tc>
      </w:tr>
      <w:tr w:rsidR="005D3133" w:rsidRPr="005D3133" w:rsidTr="008C0576">
        <w:trPr>
          <w:trHeight w:val="300"/>
          <w:jc w:val="center"/>
        </w:trPr>
        <w:tc>
          <w:tcPr>
            <w:tcW w:w="1440" w:type="dxa"/>
            <w:tcBorders>
              <w:top w:val="nil"/>
              <w:left w:val="nil"/>
              <w:bottom w:val="nil"/>
              <w:right w:val="nil"/>
            </w:tcBorders>
            <w:shd w:val="clear" w:color="000000" w:fill="FFFFFF"/>
            <w:noWrap/>
            <w:vAlign w:val="center"/>
            <w:hideMark/>
          </w:tcPr>
          <w:p w:rsidR="005D3133" w:rsidRPr="005D3133" w:rsidRDefault="005D3133" w:rsidP="00A92BBB">
            <w:pPr>
              <w:spacing w:before="0" w:after="0" w:line="240" w:lineRule="auto"/>
              <w:rPr>
                <w:rFonts w:cs="Arial"/>
                <w:color w:val="000000"/>
                <w:sz w:val="18"/>
                <w:szCs w:val="18"/>
              </w:rPr>
            </w:pPr>
            <w:r w:rsidRPr="005D3133">
              <w:rPr>
                <w:rFonts w:cs="Arial"/>
                <w:color w:val="000000"/>
                <w:sz w:val="18"/>
                <w:szCs w:val="18"/>
              </w:rPr>
              <w:t>NT</w:t>
            </w:r>
          </w:p>
        </w:tc>
        <w:tc>
          <w:tcPr>
            <w:tcW w:w="1240" w:type="dxa"/>
            <w:tcBorders>
              <w:top w:val="nil"/>
              <w:left w:val="nil"/>
              <w:bottom w:val="nil"/>
              <w:right w:val="nil"/>
            </w:tcBorders>
            <w:shd w:val="clear" w:color="000000" w:fill="FFFFFF"/>
            <w:noWrap/>
            <w:vAlign w:val="center"/>
            <w:hideMark/>
          </w:tcPr>
          <w:p w:rsidR="005D3133" w:rsidRPr="005D3133" w:rsidRDefault="005D3133" w:rsidP="00A92BBB">
            <w:pPr>
              <w:spacing w:before="0" w:after="0" w:line="240" w:lineRule="auto"/>
              <w:jc w:val="right"/>
              <w:rPr>
                <w:rFonts w:cs="Arial"/>
                <w:color w:val="000000"/>
                <w:sz w:val="18"/>
                <w:szCs w:val="18"/>
              </w:rPr>
            </w:pPr>
            <w:r w:rsidRPr="005D3133">
              <w:rPr>
                <w:rFonts w:cs="Arial"/>
                <w:color w:val="000000"/>
                <w:sz w:val="18"/>
                <w:szCs w:val="18"/>
              </w:rPr>
              <w:t>5</w:t>
            </w:r>
          </w:p>
        </w:tc>
        <w:tc>
          <w:tcPr>
            <w:tcW w:w="1240" w:type="dxa"/>
            <w:tcBorders>
              <w:top w:val="nil"/>
              <w:left w:val="nil"/>
              <w:bottom w:val="nil"/>
              <w:right w:val="nil"/>
            </w:tcBorders>
            <w:shd w:val="clear" w:color="000000" w:fill="FFFFFF"/>
            <w:noWrap/>
            <w:vAlign w:val="center"/>
            <w:hideMark/>
          </w:tcPr>
          <w:p w:rsidR="005D3133" w:rsidRPr="005D3133" w:rsidRDefault="005D3133" w:rsidP="00A92BBB">
            <w:pPr>
              <w:spacing w:before="0" w:after="0" w:line="240" w:lineRule="auto"/>
              <w:jc w:val="right"/>
              <w:rPr>
                <w:rFonts w:cs="Arial"/>
                <w:color w:val="000000"/>
                <w:sz w:val="18"/>
                <w:szCs w:val="18"/>
              </w:rPr>
            </w:pPr>
            <w:r w:rsidRPr="005D3133">
              <w:rPr>
                <w:rFonts w:cs="Arial"/>
                <w:color w:val="000000"/>
                <w:sz w:val="18"/>
                <w:szCs w:val="18"/>
              </w:rPr>
              <w:t>5</w:t>
            </w:r>
          </w:p>
        </w:tc>
        <w:tc>
          <w:tcPr>
            <w:tcW w:w="1240" w:type="dxa"/>
            <w:tcBorders>
              <w:top w:val="nil"/>
              <w:left w:val="nil"/>
              <w:bottom w:val="nil"/>
              <w:right w:val="nil"/>
            </w:tcBorders>
            <w:shd w:val="clear" w:color="000000" w:fill="FFFFFF"/>
            <w:noWrap/>
            <w:vAlign w:val="center"/>
            <w:hideMark/>
          </w:tcPr>
          <w:p w:rsidR="005D3133" w:rsidRPr="005D3133" w:rsidRDefault="005D3133" w:rsidP="00A92BBB">
            <w:pPr>
              <w:spacing w:before="0" w:after="0" w:line="240" w:lineRule="auto"/>
              <w:jc w:val="right"/>
              <w:rPr>
                <w:rFonts w:cs="Arial"/>
                <w:color w:val="000000"/>
                <w:sz w:val="18"/>
                <w:szCs w:val="18"/>
              </w:rPr>
            </w:pPr>
            <w:r w:rsidRPr="005D3133">
              <w:rPr>
                <w:rFonts w:cs="Arial"/>
                <w:color w:val="000000"/>
                <w:sz w:val="18"/>
                <w:szCs w:val="18"/>
              </w:rPr>
              <w:t>5</w:t>
            </w:r>
          </w:p>
        </w:tc>
      </w:tr>
      <w:tr w:rsidR="005D3133" w:rsidRPr="005D3133" w:rsidTr="008C0576">
        <w:trPr>
          <w:trHeight w:val="300"/>
          <w:jc w:val="center"/>
        </w:trPr>
        <w:tc>
          <w:tcPr>
            <w:tcW w:w="1440" w:type="dxa"/>
            <w:tcBorders>
              <w:top w:val="nil"/>
              <w:left w:val="nil"/>
              <w:bottom w:val="nil"/>
              <w:right w:val="nil"/>
            </w:tcBorders>
            <w:shd w:val="clear" w:color="000000" w:fill="FFFFFF"/>
            <w:noWrap/>
            <w:vAlign w:val="center"/>
            <w:hideMark/>
          </w:tcPr>
          <w:p w:rsidR="005D3133" w:rsidRPr="005D3133" w:rsidRDefault="005D3133" w:rsidP="00A92BBB">
            <w:pPr>
              <w:spacing w:before="0" w:after="0" w:line="240" w:lineRule="auto"/>
              <w:rPr>
                <w:rFonts w:cs="Arial"/>
                <w:color w:val="000000"/>
                <w:sz w:val="18"/>
                <w:szCs w:val="18"/>
              </w:rPr>
            </w:pPr>
            <w:r w:rsidRPr="005D3133">
              <w:rPr>
                <w:rFonts w:cs="Arial"/>
                <w:color w:val="000000"/>
                <w:sz w:val="18"/>
                <w:szCs w:val="18"/>
              </w:rPr>
              <w:t>ACT</w:t>
            </w:r>
          </w:p>
        </w:tc>
        <w:tc>
          <w:tcPr>
            <w:tcW w:w="1240" w:type="dxa"/>
            <w:tcBorders>
              <w:top w:val="nil"/>
              <w:left w:val="nil"/>
              <w:bottom w:val="nil"/>
              <w:right w:val="nil"/>
            </w:tcBorders>
            <w:shd w:val="clear" w:color="000000" w:fill="FFFFFF"/>
            <w:noWrap/>
            <w:vAlign w:val="center"/>
            <w:hideMark/>
          </w:tcPr>
          <w:p w:rsidR="005D3133" w:rsidRPr="005D3133" w:rsidRDefault="005D3133" w:rsidP="00A92BBB">
            <w:pPr>
              <w:spacing w:before="0" w:after="0" w:line="240" w:lineRule="auto"/>
              <w:jc w:val="right"/>
              <w:rPr>
                <w:rFonts w:cs="Arial"/>
                <w:color w:val="000000"/>
                <w:sz w:val="18"/>
                <w:szCs w:val="18"/>
              </w:rPr>
            </w:pPr>
            <w:r w:rsidRPr="005D3133">
              <w:rPr>
                <w:rFonts w:cs="Arial"/>
                <w:color w:val="000000"/>
                <w:sz w:val="18"/>
                <w:szCs w:val="18"/>
              </w:rPr>
              <w:t>2</w:t>
            </w:r>
          </w:p>
        </w:tc>
        <w:tc>
          <w:tcPr>
            <w:tcW w:w="1240" w:type="dxa"/>
            <w:tcBorders>
              <w:top w:val="nil"/>
              <w:left w:val="nil"/>
              <w:bottom w:val="nil"/>
              <w:right w:val="nil"/>
            </w:tcBorders>
            <w:shd w:val="clear" w:color="000000" w:fill="FFFFFF"/>
            <w:noWrap/>
            <w:vAlign w:val="center"/>
            <w:hideMark/>
          </w:tcPr>
          <w:p w:rsidR="005D3133" w:rsidRPr="005D3133" w:rsidRDefault="005D3133" w:rsidP="00A92BBB">
            <w:pPr>
              <w:spacing w:before="0" w:after="0" w:line="240" w:lineRule="auto"/>
              <w:jc w:val="right"/>
              <w:rPr>
                <w:rFonts w:cs="Arial"/>
                <w:color w:val="000000"/>
                <w:sz w:val="18"/>
                <w:szCs w:val="18"/>
              </w:rPr>
            </w:pPr>
            <w:r w:rsidRPr="005D3133">
              <w:rPr>
                <w:rFonts w:cs="Arial"/>
                <w:color w:val="000000"/>
                <w:sz w:val="18"/>
                <w:szCs w:val="18"/>
              </w:rPr>
              <w:t>2</w:t>
            </w:r>
          </w:p>
        </w:tc>
        <w:tc>
          <w:tcPr>
            <w:tcW w:w="1240" w:type="dxa"/>
            <w:tcBorders>
              <w:top w:val="nil"/>
              <w:left w:val="nil"/>
              <w:bottom w:val="nil"/>
              <w:right w:val="nil"/>
            </w:tcBorders>
            <w:shd w:val="clear" w:color="000000" w:fill="FFFFFF"/>
            <w:noWrap/>
            <w:vAlign w:val="center"/>
            <w:hideMark/>
          </w:tcPr>
          <w:p w:rsidR="005D3133" w:rsidRPr="005D3133" w:rsidRDefault="005D3133" w:rsidP="00A92BBB">
            <w:pPr>
              <w:spacing w:before="0" w:after="0" w:line="240" w:lineRule="auto"/>
              <w:jc w:val="right"/>
              <w:rPr>
                <w:rFonts w:cs="Arial"/>
                <w:color w:val="000000"/>
                <w:sz w:val="18"/>
                <w:szCs w:val="18"/>
              </w:rPr>
            </w:pPr>
            <w:r w:rsidRPr="005D3133">
              <w:rPr>
                <w:rFonts w:cs="Arial"/>
                <w:color w:val="000000"/>
                <w:sz w:val="18"/>
                <w:szCs w:val="18"/>
              </w:rPr>
              <w:t>2</w:t>
            </w:r>
          </w:p>
        </w:tc>
      </w:tr>
      <w:tr w:rsidR="005D3133" w:rsidRPr="005D3133" w:rsidTr="008C0576">
        <w:trPr>
          <w:trHeight w:val="300"/>
          <w:jc w:val="center"/>
        </w:trPr>
        <w:tc>
          <w:tcPr>
            <w:tcW w:w="1440" w:type="dxa"/>
            <w:tcBorders>
              <w:top w:val="single" w:sz="4" w:space="0" w:color="auto"/>
              <w:left w:val="nil"/>
              <w:bottom w:val="single" w:sz="4" w:space="0" w:color="auto"/>
              <w:right w:val="nil"/>
            </w:tcBorders>
            <w:shd w:val="clear" w:color="000000" w:fill="FFFFFF"/>
            <w:noWrap/>
            <w:vAlign w:val="center"/>
            <w:hideMark/>
          </w:tcPr>
          <w:p w:rsidR="005D3133" w:rsidRPr="005D3133" w:rsidRDefault="005D3133" w:rsidP="00A92BBB">
            <w:pPr>
              <w:spacing w:before="0" w:after="0" w:line="240" w:lineRule="auto"/>
              <w:rPr>
                <w:rFonts w:cs="Arial"/>
                <w:b/>
                <w:bCs/>
                <w:color w:val="000000"/>
                <w:sz w:val="18"/>
                <w:szCs w:val="18"/>
              </w:rPr>
            </w:pPr>
            <w:r w:rsidRPr="005D3133">
              <w:rPr>
                <w:rFonts w:cs="Arial"/>
                <w:b/>
                <w:bCs/>
                <w:color w:val="000000"/>
                <w:sz w:val="18"/>
                <w:szCs w:val="18"/>
              </w:rPr>
              <w:t>National</w:t>
            </w:r>
          </w:p>
        </w:tc>
        <w:tc>
          <w:tcPr>
            <w:tcW w:w="1240" w:type="dxa"/>
            <w:tcBorders>
              <w:top w:val="single" w:sz="4" w:space="0" w:color="auto"/>
              <w:left w:val="nil"/>
              <w:bottom w:val="single" w:sz="4" w:space="0" w:color="auto"/>
              <w:right w:val="nil"/>
            </w:tcBorders>
            <w:shd w:val="clear" w:color="000000" w:fill="FFFFFF"/>
            <w:noWrap/>
            <w:vAlign w:val="center"/>
            <w:hideMark/>
          </w:tcPr>
          <w:p w:rsidR="005D3133" w:rsidRPr="005D3133" w:rsidRDefault="005D3133" w:rsidP="00A92BBB">
            <w:pPr>
              <w:spacing w:before="0" w:after="0" w:line="240" w:lineRule="auto"/>
              <w:jc w:val="right"/>
              <w:rPr>
                <w:rFonts w:cs="Arial"/>
                <w:b/>
                <w:bCs/>
                <w:color w:val="000000"/>
                <w:sz w:val="18"/>
                <w:szCs w:val="18"/>
              </w:rPr>
            </w:pPr>
            <w:r w:rsidRPr="005D3133">
              <w:rPr>
                <w:rFonts w:cs="Arial"/>
                <w:b/>
                <w:bCs/>
                <w:color w:val="000000"/>
                <w:sz w:val="18"/>
                <w:szCs w:val="18"/>
              </w:rPr>
              <w:t>358</w:t>
            </w:r>
          </w:p>
        </w:tc>
        <w:tc>
          <w:tcPr>
            <w:tcW w:w="1240" w:type="dxa"/>
            <w:tcBorders>
              <w:top w:val="single" w:sz="4" w:space="0" w:color="auto"/>
              <w:left w:val="nil"/>
              <w:bottom w:val="single" w:sz="4" w:space="0" w:color="auto"/>
              <w:right w:val="nil"/>
            </w:tcBorders>
            <w:shd w:val="clear" w:color="000000" w:fill="FFFFFF"/>
            <w:noWrap/>
            <w:vAlign w:val="center"/>
            <w:hideMark/>
          </w:tcPr>
          <w:p w:rsidR="005D3133" w:rsidRPr="005D3133" w:rsidRDefault="005D3133" w:rsidP="00A92BBB">
            <w:pPr>
              <w:spacing w:before="0" w:after="0" w:line="240" w:lineRule="auto"/>
              <w:jc w:val="right"/>
              <w:rPr>
                <w:rFonts w:cs="Arial"/>
                <w:b/>
                <w:bCs/>
                <w:color w:val="000000"/>
                <w:sz w:val="18"/>
                <w:szCs w:val="18"/>
              </w:rPr>
            </w:pPr>
            <w:r w:rsidRPr="005D3133">
              <w:rPr>
                <w:rFonts w:cs="Arial"/>
                <w:b/>
                <w:bCs/>
                <w:color w:val="000000"/>
                <w:sz w:val="18"/>
                <w:szCs w:val="18"/>
              </w:rPr>
              <w:t>343</w:t>
            </w:r>
          </w:p>
        </w:tc>
        <w:tc>
          <w:tcPr>
            <w:tcW w:w="1240" w:type="dxa"/>
            <w:tcBorders>
              <w:top w:val="single" w:sz="4" w:space="0" w:color="auto"/>
              <w:left w:val="nil"/>
              <w:bottom w:val="single" w:sz="4" w:space="0" w:color="auto"/>
              <w:right w:val="nil"/>
            </w:tcBorders>
            <w:shd w:val="clear" w:color="000000" w:fill="FFFFFF"/>
            <w:noWrap/>
            <w:vAlign w:val="center"/>
            <w:hideMark/>
          </w:tcPr>
          <w:p w:rsidR="005D3133" w:rsidRPr="005D3133" w:rsidRDefault="005D3133" w:rsidP="00A92BBB">
            <w:pPr>
              <w:spacing w:before="0" w:after="0" w:line="240" w:lineRule="auto"/>
              <w:jc w:val="right"/>
              <w:rPr>
                <w:rFonts w:cs="Arial"/>
                <w:b/>
                <w:bCs/>
                <w:color w:val="000000"/>
                <w:sz w:val="18"/>
                <w:szCs w:val="18"/>
              </w:rPr>
            </w:pPr>
            <w:r w:rsidRPr="005D3133">
              <w:rPr>
                <w:rFonts w:cs="Arial"/>
                <w:b/>
                <w:bCs/>
                <w:color w:val="000000"/>
                <w:sz w:val="18"/>
                <w:szCs w:val="18"/>
              </w:rPr>
              <w:t>451</w:t>
            </w:r>
          </w:p>
        </w:tc>
      </w:tr>
    </w:tbl>
    <w:p w:rsidR="002371BB" w:rsidRPr="00C7496A" w:rsidRDefault="002371BB" w:rsidP="003B4C44">
      <w:pPr>
        <w:pStyle w:val="Heading2"/>
      </w:pPr>
      <w:bookmarkStart w:id="24" w:name="_Toc524173852"/>
      <w:bookmarkStart w:id="25" w:name="_Toc530055081"/>
      <w:r w:rsidRPr="00C7496A">
        <w:lastRenderedPageBreak/>
        <w:t xml:space="preserve">Costed </w:t>
      </w:r>
      <w:r w:rsidR="00033C8D">
        <w:t>a</w:t>
      </w:r>
      <w:r w:rsidRPr="00C7496A">
        <w:t>ctivity</w:t>
      </w:r>
      <w:bookmarkEnd w:id="24"/>
      <w:bookmarkEnd w:id="25"/>
    </w:p>
    <w:p w:rsidR="002371BB" w:rsidRPr="00E12C55" w:rsidRDefault="002371BB" w:rsidP="002371BB">
      <w:pPr>
        <w:rPr>
          <w:rFonts w:cs="Arial"/>
          <w:szCs w:val="22"/>
        </w:rPr>
      </w:pPr>
      <w:r w:rsidRPr="00E12C55">
        <w:rPr>
          <w:rFonts w:cs="Arial"/>
          <w:szCs w:val="22"/>
        </w:rPr>
        <w:t>The more complete the NHCDC dataset, the more accurate the cost information for the different hospital services provided</w:t>
      </w:r>
      <w:r w:rsidR="009552F1">
        <w:rPr>
          <w:rFonts w:cs="Arial"/>
          <w:szCs w:val="22"/>
        </w:rPr>
        <w:t xml:space="preserve">. </w:t>
      </w:r>
    </w:p>
    <w:p w:rsidR="002371BB" w:rsidRPr="00E12C55" w:rsidRDefault="002371BB" w:rsidP="002371BB">
      <w:pPr>
        <w:rPr>
          <w:rFonts w:cs="Arial"/>
          <w:szCs w:val="22"/>
        </w:rPr>
      </w:pPr>
      <w:r w:rsidRPr="00E12C55">
        <w:rPr>
          <w:rFonts w:cs="Arial"/>
          <w:szCs w:val="22"/>
        </w:rPr>
        <w:t xml:space="preserve">To report on the NHCDC’s level of completeness, </w:t>
      </w:r>
      <w:r w:rsidR="003B4C44">
        <w:rPr>
          <w:rFonts w:cs="Arial"/>
          <w:szCs w:val="22"/>
        </w:rPr>
        <w:t>IHPA</w:t>
      </w:r>
      <w:r w:rsidR="00A21106">
        <w:rPr>
          <w:rFonts w:cs="Arial"/>
          <w:szCs w:val="22"/>
        </w:rPr>
        <w:t xml:space="preserve"> examine</w:t>
      </w:r>
      <w:r w:rsidR="003B4C44">
        <w:rPr>
          <w:rFonts w:cs="Arial"/>
          <w:szCs w:val="22"/>
        </w:rPr>
        <w:t>s</w:t>
      </w:r>
      <w:r w:rsidR="00A21106">
        <w:rPr>
          <w:rFonts w:cs="Arial"/>
          <w:szCs w:val="22"/>
        </w:rPr>
        <w:t xml:space="preserve"> the linkage between the</w:t>
      </w:r>
      <w:r w:rsidR="001B27A1">
        <w:rPr>
          <w:rFonts w:cs="Arial"/>
          <w:szCs w:val="22"/>
        </w:rPr>
        <w:t xml:space="preserve"> </w:t>
      </w:r>
      <w:r w:rsidR="00A21106">
        <w:rPr>
          <w:rFonts w:cs="Arial"/>
          <w:szCs w:val="22"/>
        </w:rPr>
        <w:t xml:space="preserve">patient episodes for which </w:t>
      </w:r>
      <w:r w:rsidR="001B27A1">
        <w:rPr>
          <w:rFonts w:cs="Arial"/>
          <w:szCs w:val="22"/>
        </w:rPr>
        <w:t xml:space="preserve">cost data </w:t>
      </w:r>
      <w:r w:rsidR="00A21106">
        <w:rPr>
          <w:rFonts w:cs="Arial"/>
          <w:szCs w:val="22"/>
        </w:rPr>
        <w:t xml:space="preserve">were </w:t>
      </w:r>
      <w:r w:rsidR="001B27A1">
        <w:rPr>
          <w:rFonts w:cs="Arial"/>
          <w:szCs w:val="22"/>
        </w:rPr>
        <w:t>submitted</w:t>
      </w:r>
      <w:r w:rsidR="00A21106">
        <w:rPr>
          <w:rFonts w:cs="Arial"/>
          <w:szCs w:val="22"/>
        </w:rPr>
        <w:t xml:space="preserve"> via the NHCDC and episodes for which activity data were submitted to IHPA (for activity based funding purposes)</w:t>
      </w:r>
      <w:r w:rsidR="001B27A1">
        <w:rPr>
          <w:rFonts w:cs="Arial"/>
          <w:szCs w:val="22"/>
        </w:rPr>
        <w:t xml:space="preserve">. </w:t>
      </w:r>
      <w:r w:rsidR="006F2747">
        <w:rPr>
          <w:rFonts w:cs="Arial"/>
          <w:szCs w:val="22"/>
        </w:rPr>
        <w:t>IHPA receives the following types of episode level data:</w:t>
      </w:r>
    </w:p>
    <w:p w:rsidR="002371BB" w:rsidRPr="00417163" w:rsidRDefault="002371BB" w:rsidP="007B079A">
      <w:pPr>
        <w:pStyle w:val="ListParagraph"/>
        <w:numPr>
          <w:ilvl w:val="0"/>
          <w:numId w:val="13"/>
        </w:numPr>
      </w:pPr>
      <w:r w:rsidRPr="00417163">
        <w:t xml:space="preserve">Cost data, submitted annually via the NHCDC, </w:t>
      </w:r>
      <w:r w:rsidR="001C52C9">
        <w:t xml:space="preserve">which </w:t>
      </w:r>
      <w:r w:rsidRPr="00417163">
        <w:t xml:space="preserve">contains detailed information about the actual costs associated with a patient’s episode. </w:t>
      </w:r>
    </w:p>
    <w:p w:rsidR="006F2747" w:rsidRPr="00E12C55" w:rsidRDefault="006F2747" w:rsidP="007B079A">
      <w:pPr>
        <w:pStyle w:val="ListParagraph"/>
        <w:numPr>
          <w:ilvl w:val="0"/>
          <w:numId w:val="13"/>
        </w:numPr>
      </w:pPr>
      <w:r w:rsidRPr="00417163">
        <w:t xml:space="preserve">Activity data, which is submitted twice </w:t>
      </w:r>
      <w:r w:rsidR="001C52C9">
        <w:t>per</w:t>
      </w:r>
      <w:r w:rsidRPr="00417163">
        <w:t xml:space="preserve"> year </w:t>
      </w:r>
      <w:r w:rsidR="001C52C9">
        <w:t xml:space="preserve">and </w:t>
      </w:r>
      <w:r w:rsidRPr="00417163">
        <w:t>contains detailed information about each</w:t>
      </w:r>
      <w:r w:rsidRPr="00E12C55">
        <w:t xml:space="preserve"> hospital patient’s condition and treatment provided (e.g. diagnosis and procedure codes)</w:t>
      </w:r>
      <w:r>
        <w:t xml:space="preserve">. </w:t>
      </w:r>
      <w:r w:rsidRPr="00E12C55">
        <w:t>From these data, patient episodes are categorised according to IHPA’s classifications which represent each of the activity streams</w:t>
      </w:r>
      <w:r>
        <w:t xml:space="preserve">. </w:t>
      </w:r>
    </w:p>
    <w:p w:rsidR="002371BB" w:rsidRPr="00E12C55" w:rsidRDefault="002371BB" w:rsidP="002371BB">
      <w:pPr>
        <w:rPr>
          <w:rFonts w:cs="Arial"/>
          <w:szCs w:val="22"/>
        </w:rPr>
      </w:pPr>
      <w:r w:rsidRPr="00E12C55">
        <w:rPr>
          <w:rFonts w:cs="Arial"/>
          <w:szCs w:val="22"/>
        </w:rPr>
        <w:t>When both activity and cost data relating to a particular patient episode are submitted, IHPA links the data</w:t>
      </w:r>
      <w:r w:rsidR="009552F1">
        <w:rPr>
          <w:rFonts w:cs="Arial"/>
          <w:szCs w:val="22"/>
        </w:rPr>
        <w:t xml:space="preserve">. </w:t>
      </w:r>
      <w:r w:rsidRPr="00E12C55">
        <w:rPr>
          <w:rFonts w:cs="Arial"/>
          <w:szCs w:val="22"/>
        </w:rPr>
        <w:t>‘Costed Activity’ refers to this linkage</w:t>
      </w:r>
      <w:r w:rsidR="009552F1">
        <w:rPr>
          <w:rFonts w:cs="Arial"/>
          <w:szCs w:val="22"/>
        </w:rPr>
        <w:t xml:space="preserve">. </w:t>
      </w:r>
      <w:r w:rsidR="006F2747">
        <w:rPr>
          <w:rFonts w:cs="Arial"/>
          <w:szCs w:val="22"/>
        </w:rPr>
        <w:t>The ‘per</w:t>
      </w:r>
      <w:r w:rsidRPr="00E12C55">
        <w:rPr>
          <w:rFonts w:cs="Arial"/>
          <w:szCs w:val="22"/>
        </w:rPr>
        <w:t>cent of Costed Activity’ represents the share of activity data episodes submitted to IHPA for which cost data was also submitted via the NHCDC.</w:t>
      </w:r>
    </w:p>
    <w:p w:rsidR="002B2FD3" w:rsidRPr="00E12C55" w:rsidRDefault="005D6A31" w:rsidP="002371BB">
      <w:pPr>
        <w:rPr>
          <w:rFonts w:cs="Arial"/>
          <w:szCs w:val="22"/>
        </w:rPr>
      </w:pPr>
      <w:r>
        <w:rPr>
          <w:rFonts w:cs="Arial"/>
          <w:szCs w:val="22"/>
        </w:rPr>
        <w:t>In Round 21, 97</w:t>
      </w:r>
      <w:r w:rsidR="002371BB" w:rsidRPr="00E12C55">
        <w:rPr>
          <w:rFonts w:cs="Arial"/>
          <w:szCs w:val="22"/>
        </w:rPr>
        <w:t xml:space="preserve"> percent of the </w:t>
      </w:r>
      <w:r w:rsidR="002371BB" w:rsidRPr="00D61508">
        <w:rPr>
          <w:rFonts w:cs="Arial"/>
          <w:szCs w:val="22"/>
        </w:rPr>
        <w:t>admitted acute care episodes</w:t>
      </w:r>
      <w:r w:rsidR="006B27E8">
        <w:rPr>
          <w:rFonts w:cs="Arial"/>
          <w:szCs w:val="22"/>
        </w:rPr>
        <w:t xml:space="preserve"> in public hospitals</w:t>
      </w:r>
      <w:r w:rsidR="002371BB" w:rsidRPr="00E12C55">
        <w:rPr>
          <w:rFonts w:cs="Arial"/>
          <w:szCs w:val="22"/>
        </w:rPr>
        <w:t xml:space="preserve"> (submitted via the activity data collection) had matching cost data (submitted via the NHCDC). </w:t>
      </w:r>
      <w:r w:rsidR="001C52C9">
        <w:rPr>
          <w:rFonts w:cs="Arial"/>
          <w:szCs w:val="22"/>
        </w:rPr>
        <w:fldChar w:fldCharType="begin"/>
      </w:r>
      <w:r w:rsidR="001C52C9">
        <w:rPr>
          <w:rFonts w:cs="Arial"/>
          <w:szCs w:val="22"/>
        </w:rPr>
        <w:instrText xml:space="preserve"> REF _Ref527368812 \h </w:instrText>
      </w:r>
      <w:r w:rsidR="001C52C9">
        <w:rPr>
          <w:rFonts w:cs="Arial"/>
          <w:szCs w:val="22"/>
        </w:rPr>
      </w:r>
      <w:r w:rsidR="001C52C9">
        <w:rPr>
          <w:rFonts w:cs="Arial"/>
          <w:szCs w:val="22"/>
        </w:rPr>
        <w:fldChar w:fldCharType="separate"/>
      </w:r>
      <w:r w:rsidR="00342D61">
        <w:t xml:space="preserve">Table </w:t>
      </w:r>
      <w:r w:rsidR="00342D61">
        <w:rPr>
          <w:noProof/>
        </w:rPr>
        <w:t>6</w:t>
      </w:r>
      <w:r w:rsidR="001C52C9">
        <w:rPr>
          <w:rFonts w:cs="Arial"/>
          <w:szCs w:val="22"/>
        </w:rPr>
        <w:fldChar w:fldCharType="end"/>
      </w:r>
      <w:r w:rsidR="002371BB" w:rsidRPr="00E12C55">
        <w:rPr>
          <w:rFonts w:cs="Arial"/>
          <w:szCs w:val="22"/>
        </w:rPr>
        <w:t xml:space="preserve"> shows the completeness of the NHCDC </w:t>
      </w:r>
      <w:r w:rsidR="00611371">
        <w:rPr>
          <w:rFonts w:cs="Arial"/>
          <w:szCs w:val="22"/>
        </w:rPr>
        <w:t>data</w:t>
      </w:r>
      <w:r w:rsidR="003833F5">
        <w:rPr>
          <w:rFonts w:cs="Arial"/>
          <w:szCs w:val="22"/>
        </w:rPr>
        <w:t xml:space="preserve"> across the four major activity streams.  This is represented by the increase in the percentage of activity</w:t>
      </w:r>
      <w:r w:rsidR="00611371">
        <w:rPr>
          <w:rFonts w:cs="Arial"/>
          <w:szCs w:val="22"/>
        </w:rPr>
        <w:t xml:space="preserve"> </w:t>
      </w:r>
      <w:r w:rsidR="003833F5">
        <w:rPr>
          <w:rFonts w:cs="Arial"/>
          <w:szCs w:val="22"/>
        </w:rPr>
        <w:t>with costs over the past three rounds.  The change in the non-admitted stream is variable and reflects ongoing development of the definitions of the Tier 2 classes</w:t>
      </w:r>
      <w:r w:rsidR="006B27E8">
        <w:rPr>
          <w:rFonts w:cs="Arial"/>
          <w:szCs w:val="22"/>
        </w:rPr>
        <w:t xml:space="preserve">. </w:t>
      </w:r>
    </w:p>
    <w:p w:rsidR="00807238" w:rsidRDefault="00807238" w:rsidP="007F44CC">
      <w:pPr>
        <w:pStyle w:val="Caption"/>
      </w:pPr>
      <w:bookmarkStart w:id="26" w:name="_Ref524337081"/>
      <w:bookmarkStart w:id="27" w:name="_Ref527368812"/>
      <w:bookmarkStart w:id="28" w:name="_Toc527385233"/>
      <w:r>
        <w:t xml:space="preserve">Table </w:t>
      </w:r>
      <w:bookmarkEnd w:id="26"/>
      <w:r w:rsidR="00C72BFB">
        <w:fldChar w:fldCharType="begin"/>
      </w:r>
      <w:r w:rsidR="00C72BFB">
        <w:instrText xml:space="preserve"> SEQ Table \* ARABIC </w:instrText>
      </w:r>
      <w:r w:rsidR="00C72BFB">
        <w:fldChar w:fldCharType="separate"/>
      </w:r>
      <w:r w:rsidR="00342D61">
        <w:rPr>
          <w:noProof/>
        </w:rPr>
        <w:t>6</w:t>
      </w:r>
      <w:r w:rsidR="00C72BFB">
        <w:fldChar w:fldCharType="end"/>
      </w:r>
      <w:bookmarkEnd w:id="27"/>
      <w:r w:rsidR="00C72BFB" w:rsidRPr="006F7C01">
        <w:t xml:space="preserve"> </w:t>
      </w:r>
      <w:r>
        <w:t>Percent</w:t>
      </w:r>
      <w:r w:rsidR="001C52C9">
        <w:t>age</w:t>
      </w:r>
      <w:r>
        <w:t xml:space="preserve"> of submitted activity data</w:t>
      </w:r>
      <w:r w:rsidR="00513A6F">
        <w:t xml:space="preserve"> </w:t>
      </w:r>
      <w:r>
        <w:t>with matching cost data submitted, R</w:t>
      </w:r>
      <w:r w:rsidR="009C47B3">
        <w:t xml:space="preserve">ound </w:t>
      </w:r>
      <w:r>
        <w:t>19-2</w:t>
      </w:r>
      <w:r w:rsidR="007C25B6">
        <w:t>1</w:t>
      </w:r>
      <w:bookmarkEnd w:id="28"/>
      <w:r w:rsidR="00CE2937">
        <w:t>, public hospitals</w:t>
      </w:r>
    </w:p>
    <w:tbl>
      <w:tblPr>
        <w:tblW w:w="5980" w:type="dxa"/>
        <w:jc w:val="center"/>
        <w:tblLook w:val="04A0" w:firstRow="1" w:lastRow="0" w:firstColumn="1" w:lastColumn="0" w:noHBand="0" w:noVBand="1"/>
        <w:tblCaption w:val="Table 6 Percentage of submitted activity data with matching cost data submitted, Round 19-21, public hospitals"/>
        <w:tblDescription w:val="The table displays the percentage of submitted activity data by activity streams for round 19 to round 21."/>
      </w:tblPr>
      <w:tblGrid>
        <w:gridCol w:w="2260"/>
        <w:gridCol w:w="1240"/>
        <w:gridCol w:w="1240"/>
        <w:gridCol w:w="1240"/>
      </w:tblGrid>
      <w:tr w:rsidR="002B0FD2" w:rsidRPr="002B0FD2" w:rsidTr="008C0576">
        <w:trPr>
          <w:trHeight w:val="300"/>
          <w:jc w:val="center"/>
        </w:trPr>
        <w:tc>
          <w:tcPr>
            <w:tcW w:w="2260" w:type="dxa"/>
            <w:tcBorders>
              <w:top w:val="single" w:sz="4" w:space="0" w:color="auto"/>
              <w:left w:val="nil"/>
              <w:bottom w:val="single" w:sz="4" w:space="0" w:color="auto"/>
              <w:right w:val="nil"/>
            </w:tcBorders>
            <w:shd w:val="clear" w:color="000000" w:fill="FFFFFF"/>
            <w:vAlign w:val="center"/>
            <w:hideMark/>
          </w:tcPr>
          <w:p w:rsidR="002B0FD2" w:rsidRPr="002B0FD2" w:rsidRDefault="002B0FD2" w:rsidP="002868E4">
            <w:pPr>
              <w:keepNext/>
              <w:spacing w:before="0" w:after="0" w:line="240" w:lineRule="auto"/>
              <w:rPr>
                <w:rFonts w:cs="Arial"/>
                <w:b/>
                <w:bCs/>
                <w:color w:val="000000"/>
                <w:sz w:val="18"/>
                <w:szCs w:val="18"/>
              </w:rPr>
            </w:pPr>
            <w:r w:rsidRPr="002B0FD2">
              <w:rPr>
                <w:rFonts w:cs="Arial"/>
                <w:b/>
                <w:bCs/>
                <w:color w:val="000000"/>
                <w:sz w:val="18"/>
                <w:szCs w:val="18"/>
              </w:rPr>
              <w:t>Activity stream</w:t>
            </w:r>
          </w:p>
        </w:tc>
        <w:tc>
          <w:tcPr>
            <w:tcW w:w="1240" w:type="dxa"/>
            <w:tcBorders>
              <w:top w:val="single" w:sz="4" w:space="0" w:color="auto"/>
              <w:left w:val="nil"/>
              <w:bottom w:val="single" w:sz="4" w:space="0" w:color="auto"/>
              <w:right w:val="nil"/>
            </w:tcBorders>
            <w:shd w:val="clear" w:color="000000" w:fill="FFFFFF"/>
            <w:vAlign w:val="center"/>
            <w:hideMark/>
          </w:tcPr>
          <w:p w:rsidR="002B0FD2" w:rsidRPr="002B0FD2" w:rsidRDefault="002B0FD2" w:rsidP="000827B6">
            <w:pPr>
              <w:keepNext/>
              <w:spacing w:before="0" w:after="0" w:line="240" w:lineRule="auto"/>
              <w:jc w:val="right"/>
              <w:rPr>
                <w:rFonts w:cs="Arial"/>
                <w:b/>
                <w:bCs/>
                <w:color w:val="000000"/>
                <w:sz w:val="18"/>
                <w:szCs w:val="18"/>
              </w:rPr>
            </w:pPr>
            <w:r w:rsidRPr="002B0FD2">
              <w:rPr>
                <w:rFonts w:cs="Arial"/>
                <w:b/>
                <w:bCs/>
                <w:color w:val="000000"/>
                <w:sz w:val="18"/>
                <w:szCs w:val="18"/>
              </w:rPr>
              <w:t>Round 19</w:t>
            </w:r>
          </w:p>
        </w:tc>
        <w:tc>
          <w:tcPr>
            <w:tcW w:w="1240" w:type="dxa"/>
            <w:tcBorders>
              <w:top w:val="single" w:sz="4" w:space="0" w:color="auto"/>
              <w:left w:val="nil"/>
              <w:bottom w:val="single" w:sz="4" w:space="0" w:color="auto"/>
              <w:right w:val="nil"/>
            </w:tcBorders>
            <w:shd w:val="clear" w:color="000000" w:fill="FFFFFF"/>
            <w:vAlign w:val="center"/>
            <w:hideMark/>
          </w:tcPr>
          <w:p w:rsidR="002B0FD2" w:rsidRPr="002B0FD2" w:rsidRDefault="002B0FD2" w:rsidP="000827B6">
            <w:pPr>
              <w:keepNext/>
              <w:spacing w:before="0" w:after="0" w:line="240" w:lineRule="auto"/>
              <w:jc w:val="right"/>
              <w:rPr>
                <w:rFonts w:cs="Arial"/>
                <w:b/>
                <w:bCs/>
                <w:color w:val="000000"/>
                <w:sz w:val="18"/>
                <w:szCs w:val="18"/>
              </w:rPr>
            </w:pPr>
            <w:r w:rsidRPr="002B0FD2">
              <w:rPr>
                <w:rFonts w:cs="Arial"/>
                <w:b/>
                <w:bCs/>
                <w:color w:val="000000"/>
                <w:sz w:val="18"/>
                <w:szCs w:val="18"/>
              </w:rPr>
              <w:t>Round 20</w:t>
            </w:r>
          </w:p>
        </w:tc>
        <w:tc>
          <w:tcPr>
            <w:tcW w:w="1240" w:type="dxa"/>
            <w:tcBorders>
              <w:top w:val="single" w:sz="4" w:space="0" w:color="auto"/>
              <w:left w:val="nil"/>
              <w:bottom w:val="single" w:sz="4" w:space="0" w:color="auto"/>
              <w:right w:val="nil"/>
            </w:tcBorders>
            <w:shd w:val="clear" w:color="000000" w:fill="FFFFFF"/>
            <w:vAlign w:val="center"/>
            <w:hideMark/>
          </w:tcPr>
          <w:p w:rsidR="002B0FD2" w:rsidRPr="002B0FD2" w:rsidRDefault="002B0FD2" w:rsidP="000827B6">
            <w:pPr>
              <w:keepNext/>
              <w:spacing w:before="0" w:after="0" w:line="240" w:lineRule="auto"/>
              <w:jc w:val="right"/>
              <w:rPr>
                <w:rFonts w:cs="Arial"/>
                <w:b/>
                <w:bCs/>
                <w:color w:val="000000"/>
                <w:sz w:val="18"/>
                <w:szCs w:val="18"/>
              </w:rPr>
            </w:pPr>
            <w:r w:rsidRPr="002B0FD2">
              <w:rPr>
                <w:rFonts w:cs="Arial"/>
                <w:b/>
                <w:bCs/>
                <w:color w:val="000000"/>
                <w:sz w:val="18"/>
                <w:szCs w:val="18"/>
              </w:rPr>
              <w:t>Round 21</w:t>
            </w:r>
          </w:p>
        </w:tc>
      </w:tr>
      <w:tr w:rsidR="002B0FD2" w:rsidRPr="002B0FD2" w:rsidTr="008C0576">
        <w:trPr>
          <w:trHeight w:val="300"/>
          <w:jc w:val="center"/>
        </w:trPr>
        <w:tc>
          <w:tcPr>
            <w:tcW w:w="2260" w:type="dxa"/>
            <w:tcBorders>
              <w:top w:val="single" w:sz="4" w:space="0" w:color="auto"/>
              <w:left w:val="nil"/>
              <w:bottom w:val="single" w:sz="4" w:space="0" w:color="auto"/>
              <w:right w:val="nil"/>
            </w:tcBorders>
            <w:shd w:val="clear" w:color="000000" w:fill="FFFFFF"/>
            <w:noWrap/>
            <w:vAlign w:val="center"/>
            <w:hideMark/>
          </w:tcPr>
          <w:p w:rsidR="002B0FD2" w:rsidRPr="002B0FD2" w:rsidRDefault="002B0FD2" w:rsidP="002868E4">
            <w:pPr>
              <w:keepNext/>
              <w:spacing w:before="0" w:after="0" w:line="240" w:lineRule="auto"/>
              <w:rPr>
                <w:rFonts w:cs="Arial"/>
                <w:color w:val="000000"/>
                <w:sz w:val="18"/>
                <w:szCs w:val="18"/>
              </w:rPr>
            </w:pPr>
            <w:r w:rsidRPr="002B0FD2">
              <w:rPr>
                <w:rFonts w:cs="Arial"/>
                <w:color w:val="000000"/>
                <w:sz w:val="18"/>
                <w:szCs w:val="18"/>
              </w:rPr>
              <w:t>Acute</w:t>
            </w:r>
            <w:r w:rsidR="006B27E8">
              <w:rPr>
                <w:rFonts w:cs="Arial"/>
                <w:color w:val="000000"/>
                <w:sz w:val="18"/>
                <w:szCs w:val="18"/>
              </w:rPr>
              <w:t xml:space="preserve"> admitted</w:t>
            </w:r>
          </w:p>
        </w:tc>
        <w:tc>
          <w:tcPr>
            <w:tcW w:w="1240" w:type="dxa"/>
            <w:tcBorders>
              <w:top w:val="single" w:sz="4" w:space="0" w:color="auto"/>
              <w:left w:val="nil"/>
              <w:bottom w:val="single" w:sz="4" w:space="0" w:color="auto"/>
              <w:right w:val="nil"/>
            </w:tcBorders>
            <w:shd w:val="clear" w:color="000000" w:fill="FFFFFF"/>
            <w:noWrap/>
            <w:vAlign w:val="center"/>
            <w:hideMark/>
          </w:tcPr>
          <w:p w:rsidR="002B0FD2" w:rsidRPr="002B0FD2" w:rsidRDefault="002B0FD2" w:rsidP="000827B6">
            <w:pPr>
              <w:keepNext/>
              <w:spacing w:before="0" w:after="0" w:line="240" w:lineRule="auto"/>
              <w:jc w:val="right"/>
              <w:rPr>
                <w:rFonts w:cs="Arial"/>
                <w:color w:val="000000"/>
                <w:sz w:val="18"/>
                <w:szCs w:val="18"/>
              </w:rPr>
            </w:pPr>
            <w:r w:rsidRPr="002B0FD2">
              <w:rPr>
                <w:rFonts w:cs="Arial"/>
                <w:color w:val="000000"/>
                <w:sz w:val="18"/>
                <w:szCs w:val="18"/>
              </w:rPr>
              <w:t>94%</w:t>
            </w:r>
          </w:p>
        </w:tc>
        <w:tc>
          <w:tcPr>
            <w:tcW w:w="1240" w:type="dxa"/>
            <w:tcBorders>
              <w:top w:val="single" w:sz="4" w:space="0" w:color="auto"/>
              <w:left w:val="nil"/>
              <w:bottom w:val="single" w:sz="4" w:space="0" w:color="auto"/>
              <w:right w:val="nil"/>
            </w:tcBorders>
            <w:shd w:val="clear" w:color="000000" w:fill="FFFFFF"/>
            <w:noWrap/>
            <w:vAlign w:val="center"/>
            <w:hideMark/>
          </w:tcPr>
          <w:p w:rsidR="002B0FD2" w:rsidRPr="002B0FD2" w:rsidRDefault="002B0FD2" w:rsidP="000827B6">
            <w:pPr>
              <w:keepNext/>
              <w:spacing w:before="0" w:after="0" w:line="240" w:lineRule="auto"/>
              <w:jc w:val="right"/>
              <w:rPr>
                <w:rFonts w:cs="Arial"/>
                <w:color w:val="000000"/>
                <w:sz w:val="18"/>
                <w:szCs w:val="18"/>
              </w:rPr>
            </w:pPr>
            <w:r w:rsidRPr="002B0FD2">
              <w:rPr>
                <w:rFonts w:cs="Arial"/>
                <w:color w:val="000000"/>
                <w:sz w:val="18"/>
                <w:szCs w:val="18"/>
              </w:rPr>
              <w:t>94%</w:t>
            </w:r>
          </w:p>
        </w:tc>
        <w:tc>
          <w:tcPr>
            <w:tcW w:w="1240" w:type="dxa"/>
            <w:tcBorders>
              <w:top w:val="single" w:sz="4" w:space="0" w:color="auto"/>
              <w:left w:val="nil"/>
              <w:bottom w:val="single" w:sz="4" w:space="0" w:color="auto"/>
              <w:right w:val="nil"/>
            </w:tcBorders>
            <w:shd w:val="clear" w:color="000000" w:fill="FFFFFF"/>
            <w:noWrap/>
            <w:vAlign w:val="center"/>
            <w:hideMark/>
          </w:tcPr>
          <w:p w:rsidR="002B0FD2" w:rsidRPr="002B0FD2" w:rsidRDefault="002B0FD2" w:rsidP="000827B6">
            <w:pPr>
              <w:keepNext/>
              <w:spacing w:before="0" w:after="0" w:line="240" w:lineRule="auto"/>
              <w:jc w:val="right"/>
              <w:rPr>
                <w:rFonts w:cs="Arial"/>
                <w:color w:val="000000"/>
                <w:sz w:val="18"/>
                <w:szCs w:val="18"/>
              </w:rPr>
            </w:pPr>
            <w:r w:rsidRPr="002B0FD2">
              <w:rPr>
                <w:rFonts w:cs="Arial"/>
                <w:color w:val="000000"/>
                <w:sz w:val="18"/>
                <w:szCs w:val="18"/>
              </w:rPr>
              <w:t>97%</w:t>
            </w:r>
          </w:p>
        </w:tc>
      </w:tr>
      <w:tr w:rsidR="00513A6F" w:rsidRPr="002B0FD2" w:rsidTr="008C0576">
        <w:trPr>
          <w:trHeight w:val="300"/>
          <w:jc w:val="center"/>
        </w:trPr>
        <w:tc>
          <w:tcPr>
            <w:tcW w:w="2260" w:type="dxa"/>
            <w:tcBorders>
              <w:top w:val="single" w:sz="4" w:space="0" w:color="auto"/>
              <w:left w:val="nil"/>
              <w:bottom w:val="single" w:sz="4" w:space="0" w:color="auto"/>
              <w:right w:val="nil"/>
            </w:tcBorders>
            <w:shd w:val="clear" w:color="000000" w:fill="FFFFFF"/>
            <w:noWrap/>
            <w:vAlign w:val="center"/>
          </w:tcPr>
          <w:p w:rsidR="00513A6F" w:rsidRPr="002B0FD2" w:rsidRDefault="00513A6F" w:rsidP="00513A6F">
            <w:pPr>
              <w:keepNext/>
              <w:spacing w:before="0" w:after="0" w:line="240" w:lineRule="auto"/>
              <w:rPr>
                <w:rFonts w:cs="Arial"/>
                <w:color w:val="000000"/>
                <w:sz w:val="18"/>
                <w:szCs w:val="18"/>
              </w:rPr>
            </w:pPr>
            <w:proofErr w:type="spellStart"/>
            <w:r>
              <w:rPr>
                <w:rFonts w:cs="Arial"/>
                <w:color w:val="000000"/>
                <w:sz w:val="18"/>
                <w:szCs w:val="18"/>
              </w:rPr>
              <w:t>Sub acute</w:t>
            </w:r>
            <w:proofErr w:type="spellEnd"/>
          </w:p>
        </w:tc>
        <w:tc>
          <w:tcPr>
            <w:tcW w:w="1240" w:type="dxa"/>
            <w:tcBorders>
              <w:top w:val="single" w:sz="4" w:space="0" w:color="auto"/>
              <w:left w:val="nil"/>
              <w:bottom w:val="single" w:sz="4" w:space="0" w:color="auto"/>
              <w:right w:val="nil"/>
            </w:tcBorders>
            <w:shd w:val="clear" w:color="000000" w:fill="FFFFFF"/>
            <w:noWrap/>
            <w:vAlign w:val="center"/>
          </w:tcPr>
          <w:p w:rsidR="00513A6F" w:rsidRPr="002B0FD2" w:rsidRDefault="00513A6F" w:rsidP="000827B6">
            <w:pPr>
              <w:keepNext/>
              <w:spacing w:before="0" w:after="0" w:line="240" w:lineRule="auto"/>
              <w:jc w:val="right"/>
              <w:rPr>
                <w:rFonts w:cs="Arial"/>
                <w:color w:val="000000"/>
                <w:sz w:val="18"/>
                <w:szCs w:val="18"/>
              </w:rPr>
            </w:pPr>
            <w:r>
              <w:rPr>
                <w:rFonts w:cs="Arial"/>
                <w:color w:val="000000"/>
                <w:sz w:val="18"/>
                <w:szCs w:val="18"/>
              </w:rPr>
              <w:t>88%</w:t>
            </w:r>
          </w:p>
        </w:tc>
        <w:tc>
          <w:tcPr>
            <w:tcW w:w="1240" w:type="dxa"/>
            <w:tcBorders>
              <w:top w:val="single" w:sz="4" w:space="0" w:color="auto"/>
              <w:left w:val="nil"/>
              <w:bottom w:val="single" w:sz="4" w:space="0" w:color="auto"/>
              <w:right w:val="nil"/>
            </w:tcBorders>
            <w:shd w:val="clear" w:color="000000" w:fill="FFFFFF"/>
            <w:noWrap/>
            <w:vAlign w:val="center"/>
          </w:tcPr>
          <w:p w:rsidR="00513A6F" w:rsidRPr="002B0FD2" w:rsidRDefault="00513A6F" w:rsidP="000827B6">
            <w:pPr>
              <w:keepNext/>
              <w:spacing w:before="0" w:after="0" w:line="240" w:lineRule="auto"/>
              <w:jc w:val="right"/>
              <w:rPr>
                <w:rFonts w:cs="Arial"/>
                <w:color w:val="000000"/>
                <w:sz w:val="18"/>
                <w:szCs w:val="18"/>
              </w:rPr>
            </w:pPr>
            <w:r>
              <w:rPr>
                <w:rFonts w:cs="Arial"/>
                <w:color w:val="000000"/>
                <w:sz w:val="18"/>
                <w:szCs w:val="18"/>
              </w:rPr>
              <w:t>89%</w:t>
            </w:r>
          </w:p>
        </w:tc>
        <w:tc>
          <w:tcPr>
            <w:tcW w:w="1240" w:type="dxa"/>
            <w:tcBorders>
              <w:top w:val="single" w:sz="4" w:space="0" w:color="auto"/>
              <w:left w:val="nil"/>
              <w:bottom w:val="single" w:sz="4" w:space="0" w:color="auto"/>
              <w:right w:val="nil"/>
            </w:tcBorders>
            <w:shd w:val="clear" w:color="000000" w:fill="FFFFFF"/>
            <w:noWrap/>
            <w:vAlign w:val="center"/>
          </w:tcPr>
          <w:p w:rsidR="00513A6F" w:rsidRPr="002B0FD2" w:rsidRDefault="00513A6F" w:rsidP="000827B6">
            <w:pPr>
              <w:keepNext/>
              <w:spacing w:before="0" w:after="0" w:line="240" w:lineRule="auto"/>
              <w:jc w:val="right"/>
              <w:rPr>
                <w:rFonts w:cs="Arial"/>
                <w:color w:val="000000"/>
                <w:sz w:val="18"/>
                <w:szCs w:val="18"/>
              </w:rPr>
            </w:pPr>
            <w:r>
              <w:rPr>
                <w:rFonts w:cs="Arial"/>
                <w:color w:val="000000"/>
                <w:sz w:val="18"/>
                <w:szCs w:val="18"/>
              </w:rPr>
              <w:t>92%</w:t>
            </w:r>
          </w:p>
        </w:tc>
      </w:tr>
      <w:tr w:rsidR="00513A6F" w:rsidRPr="002B0FD2" w:rsidTr="008C0576">
        <w:trPr>
          <w:trHeight w:val="300"/>
          <w:jc w:val="center"/>
        </w:trPr>
        <w:tc>
          <w:tcPr>
            <w:tcW w:w="2260" w:type="dxa"/>
            <w:tcBorders>
              <w:top w:val="single" w:sz="4" w:space="0" w:color="auto"/>
              <w:left w:val="nil"/>
              <w:bottom w:val="single" w:sz="4" w:space="0" w:color="auto"/>
              <w:right w:val="nil"/>
            </w:tcBorders>
            <w:shd w:val="clear" w:color="000000" w:fill="FFFFFF"/>
            <w:noWrap/>
            <w:vAlign w:val="center"/>
          </w:tcPr>
          <w:p w:rsidR="00513A6F" w:rsidRPr="002B0FD2" w:rsidRDefault="00513A6F" w:rsidP="002868E4">
            <w:pPr>
              <w:keepNext/>
              <w:spacing w:before="0" w:after="0" w:line="240" w:lineRule="auto"/>
              <w:rPr>
                <w:rFonts w:cs="Arial"/>
                <w:color w:val="000000"/>
                <w:sz w:val="18"/>
                <w:szCs w:val="18"/>
              </w:rPr>
            </w:pPr>
            <w:r>
              <w:rPr>
                <w:rFonts w:cs="Arial"/>
                <w:color w:val="000000"/>
                <w:sz w:val="18"/>
                <w:szCs w:val="18"/>
              </w:rPr>
              <w:t>Emergency Department</w:t>
            </w:r>
          </w:p>
        </w:tc>
        <w:tc>
          <w:tcPr>
            <w:tcW w:w="1240" w:type="dxa"/>
            <w:tcBorders>
              <w:top w:val="single" w:sz="4" w:space="0" w:color="auto"/>
              <w:left w:val="nil"/>
              <w:bottom w:val="single" w:sz="4" w:space="0" w:color="auto"/>
              <w:right w:val="nil"/>
            </w:tcBorders>
            <w:shd w:val="clear" w:color="000000" w:fill="FFFFFF"/>
            <w:noWrap/>
            <w:vAlign w:val="center"/>
          </w:tcPr>
          <w:p w:rsidR="00513A6F" w:rsidRPr="002B0FD2" w:rsidRDefault="00513A6F" w:rsidP="000827B6">
            <w:pPr>
              <w:keepNext/>
              <w:spacing w:before="0" w:after="0" w:line="240" w:lineRule="auto"/>
              <w:jc w:val="right"/>
              <w:rPr>
                <w:rFonts w:cs="Arial"/>
                <w:color w:val="000000"/>
                <w:sz w:val="18"/>
                <w:szCs w:val="18"/>
              </w:rPr>
            </w:pPr>
            <w:r>
              <w:rPr>
                <w:rFonts w:cs="Arial"/>
                <w:color w:val="000000"/>
                <w:sz w:val="18"/>
                <w:szCs w:val="18"/>
              </w:rPr>
              <w:t>90%</w:t>
            </w:r>
          </w:p>
        </w:tc>
        <w:tc>
          <w:tcPr>
            <w:tcW w:w="1240" w:type="dxa"/>
            <w:tcBorders>
              <w:top w:val="single" w:sz="4" w:space="0" w:color="auto"/>
              <w:left w:val="nil"/>
              <w:bottom w:val="single" w:sz="4" w:space="0" w:color="auto"/>
              <w:right w:val="nil"/>
            </w:tcBorders>
            <w:shd w:val="clear" w:color="000000" w:fill="FFFFFF"/>
            <w:noWrap/>
            <w:vAlign w:val="center"/>
          </w:tcPr>
          <w:p w:rsidR="00513A6F" w:rsidRPr="002B0FD2" w:rsidRDefault="00513A6F" w:rsidP="000827B6">
            <w:pPr>
              <w:keepNext/>
              <w:spacing w:before="0" w:after="0" w:line="240" w:lineRule="auto"/>
              <w:jc w:val="right"/>
              <w:rPr>
                <w:rFonts w:cs="Arial"/>
                <w:color w:val="000000"/>
                <w:sz w:val="18"/>
                <w:szCs w:val="18"/>
              </w:rPr>
            </w:pPr>
            <w:r>
              <w:rPr>
                <w:rFonts w:cs="Arial"/>
                <w:color w:val="000000"/>
                <w:sz w:val="18"/>
                <w:szCs w:val="18"/>
              </w:rPr>
              <w:t>92%</w:t>
            </w:r>
          </w:p>
        </w:tc>
        <w:tc>
          <w:tcPr>
            <w:tcW w:w="1240" w:type="dxa"/>
            <w:tcBorders>
              <w:top w:val="single" w:sz="4" w:space="0" w:color="auto"/>
              <w:left w:val="nil"/>
              <w:bottom w:val="single" w:sz="4" w:space="0" w:color="auto"/>
              <w:right w:val="nil"/>
            </w:tcBorders>
            <w:shd w:val="clear" w:color="000000" w:fill="FFFFFF"/>
            <w:noWrap/>
            <w:vAlign w:val="center"/>
          </w:tcPr>
          <w:p w:rsidR="00513A6F" w:rsidRPr="002B0FD2" w:rsidRDefault="00513A6F" w:rsidP="000827B6">
            <w:pPr>
              <w:keepNext/>
              <w:spacing w:before="0" w:after="0" w:line="240" w:lineRule="auto"/>
              <w:jc w:val="right"/>
              <w:rPr>
                <w:rFonts w:cs="Arial"/>
                <w:color w:val="000000"/>
                <w:sz w:val="18"/>
                <w:szCs w:val="18"/>
              </w:rPr>
            </w:pPr>
            <w:r>
              <w:rPr>
                <w:rFonts w:cs="Arial"/>
                <w:color w:val="000000"/>
                <w:sz w:val="18"/>
                <w:szCs w:val="18"/>
              </w:rPr>
              <w:t>94%</w:t>
            </w:r>
          </w:p>
        </w:tc>
      </w:tr>
      <w:tr w:rsidR="00513A6F" w:rsidRPr="002B0FD2" w:rsidTr="008C0576">
        <w:trPr>
          <w:trHeight w:val="300"/>
          <w:jc w:val="center"/>
        </w:trPr>
        <w:tc>
          <w:tcPr>
            <w:tcW w:w="2260" w:type="dxa"/>
            <w:tcBorders>
              <w:top w:val="single" w:sz="4" w:space="0" w:color="auto"/>
              <w:left w:val="nil"/>
              <w:bottom w:val="single" w:sz="4" w:space="0" w:color="auto"/>
              <w:right w:val="nil"/>
            </w:tcBorders>
            <w:shd w:val="clear" w:color="000000" w:fill="FFFFFF"/>
            <w:noWrap/>
            <w:vAlign w:val="center"/>
          </w:tcPr>
          <w:p w:rsidR="00513A6F" w:rsidRPr="002B0FD2" w:rsidRDefault="00513A6F" w:rsidP="002868E4">
            <w:pPr>
              <w:keepNext/>
              <w:spacing w:before="0" w:after="0" w:line="240" w:lineRule="auto"/>
              <w:rPr>
                <w:rFonts w:cs="Arial"/>
                <w:color w:val="000000"/>
                <w:sz w:val="18"/>
                <w:szCs w:val="18"/>
              </w:rPr>
            </w:pPr>
            <w:r>
              <w:rPr>
                <w:rFonts w:cs="Arial"/>
                <w:color w:val="000000"/>
                <w:sz w:val="18"/>
                <w:szCs w:val="18"/>
              </w:rPr>
              <w:t>Non-admitted</w:t>
            </w:r>
          </w:p>
        </w:tc>
        <w:tc>
          <w:tcPr>
            <w:tcW w:w="1240" w:type="dxa"/>
            <w:tcBorders>
              <w:top w:val="single" w:sz="4" w:space="0" w:color="auto"/>
              <w:left w:val="nil"/>
              <w:bottom w:val="single" w:sz="4" w:space="0" w:color="auto"/>
              <w:right w:val="nil"/>
            </w:tcBorders>
            <w:shd w:val="clear" w:color="000000" w:fill="FFFFFF"/>
            <w:noWrap/>
            <w:vAlign w:val="center"/>
          </w:tcPr>
          <w:p w:rsidR="00513A6F" w:rsidRPr="002B0FD2" w:rsidRDefault="00513A6F" w:rsidP="000827B6">
            <w:pPr>
              <w:keepNext/>
              <w:spacing w:before="0" w:after="0" w:line="240" w:lineRule="auto"/>
              <w:jc w:val="right"/>
              <w:rPr>
                <w:rFonts w:cs="Arial"/>
                <w:color w:val="000000"/>
                <w:sz w:val="18"/>
                <w:szCs w:val="18"/>
              </w:rPr>
            </w:pPr>
            <w:r>
              <w:rPr>
                <w:rFonts w:cs="Arial"/>
                <w:color w:val="000000"/>
                <w:sz w:val="18"/>
                <w:szCs w:val="18"/>
              </w:rPr>
              <w:t>58%</w:t>
            </w:r>
          </w:p>
        </w:tc>
        <w:tc>
          <w:tcPr>
            <w:tcW w:w="1240" w:type="dxa"/>
            <w:tcBorders>
              <w:top w:val="single" w:sz="4" w:space="0" w:color="auto"/>
              <w:left w:val="nil"/>
              <w:bottom w:val="single" w:sz="4" w:space="0" w:color="auto"/>
              <w:right w:val="nil"/>
            </w:tcBorders>
            <w:shd w:val="clear" w:color="000000" w:fill="FFFFFF"/>
            <w:noWrap/>
            <w:vAlign w:val="center"/>
          </w:tcPr>
          <w:p w:rsidR="00513A6F" w:rsidRPr="002B0FD2" w:rsidRDefault="00513A6F" w:rsidP="000827B6">
            <w:pPr>
              <w:keepNext/>
              <w:spacing w:before="0" w:after="0" w:line="240" w:lineRule="auto"/>
              <w:jc w:val="right"/>
              <w:rPr>
                <w:rFonts w:cs="Arial"/>
                <w:color w:val="000000"/>
                <w:sz w:val="18"/>
                <w:szCs w:val="18"/>
              </w:rPr>
            </w:pPr>
            <w:r>
              <w:rPr>
                <w:rFonts w:cs="Arial"/>
                <w:color w:val="000000"/>
                <w:sz w:val="18"/>
                <w:szCs w:val="18"/>
              </w:rPr>
              <w:t>73%</w:t>
            </w:r>
          </w:p>
        </w:tc>
        <w:tc>
          <w:tcPr>
            <w:tcW w:w="1240" w:type="dxa"/>
            <w:tcBorders>
              <w:top w:val="single" w:sz="4" w:space="0" w:color="auto"/>
              <w:left w:val="nil"/>
              <w:bottom w:val="single" w:sz="4" w:space="0" w:color="auto"/>
              <w:right w:val="nil"/>
            </w:tcBorders>
            <w:shd w:val="clear" w:color="000000" w:fill="FFFFFF"/>
            <w:noWrap/>
            <w:vAlign w:val="center"/>
          </w:tcPr>
          <w:p w:rsidR="00513A6F" w:rsidRPr="002B0FD2" w:rsidRDefault="00513A6F" w:rsidP="000827B6">
            <w:pPr>
              <w:keepNext/>
              <w:spacing w:before="0" w:after="0" w:line="240" w:lineRule="auto"/>
              <w:jc w:val="right"/>
              <w:rPr>
                <w:rFonts w:cs="Arial"/>
                <w:color w:val="000000"/>
                <w:sz w:val="18"/>
                <w:szCs w:val="18"/>
              </w:rPr>
            </w:pPr>
            <w:r>
              <w:rPr>
                <w:rFonts w:cs="Arial"/>
                <w:color w:val="000000"/>
                <w:sz w:val="18"/>
                <w:szCs w:val="18"/>
              </w:rPr>
              <w:t>67%</w:t>
            </w:r>
          </w:p>
        </w:tc>
      </w:tr>
    </w:tbl>
    <w:p w:rsidR="0089638D" w:rsidRDefault="0089638D" w:rsidP="0089638D">
      <w:pPr>
        <w:pStyle w:val="Heading2"/>
        <w:numPr>
          <w:ilvl w:val="0"/>
          <w:numId w:val="0"/>
        </w:numPr>
        <w:ind w:left="567"/>
      </w:pPr>
      <w:bookmarkStart w:id="29" w:name="_Toc524173853"/>
      <w:bookmarkStart w:id="30" w:name="_Toc530055082"/>
    </w:p>
    <w:p w:rsidR="002371BB" w:rsidRPr="00C7496A" w:rsidRDefault="002371BB" w:rsidP="003B4C44">
      <w:pPr>
        <w:pStyle w:val="Heading2"/>
      </w:pPr>
      <w:r w:rsidRPr="00C7496A">
        <w:t xml:space="preserve">Total </w:t>
      </w:r>
      <w:r w:rsidR="00033C8D">
        <w:t>e</w:t>
      </w:r>
      <w:r w:rsidRPr="00C7496A">
        <w:t>xpenditure</w:t>
      </w:r>
      <w:bookmarkEnd w:id="29"/>
      <w:bookmarkEnd w:id="30"/>
    </w:p>
    <w:p w:rsidR="00E77330" w:rsidRDefault="002371BB" w:rsidP="0053195F">
      <w:pPr>
        <w:rPr>
          <w:rFonts w:cs="Arial"/>
          <w:szCs w:val="22"/>
        </w:rPr>
      </w:pPr>
      <w:r w:rsidRPr="00DB5138">
        <w:rPr>
          <w:rFonts w:cs="Arial"/>
          <w:szCs w:val="22"/>
        </w:rPr>
        <w:t xml:space="preserve">In Round 21 of the NHCDC, $43.8 billion of hospital expenditure was submitted for the </w:t>
      </w:r>
      <w:r w:rsidR="003C33A2">
        <w:rPr>
          <w:rFonts w:cs="Arial"/>
          <w:szCs w:val="22"/>
        </w:rPr>
        <w:t>2016-17 financial year</w:t>
      </w:r>
      <w:r w:rsidRPr="00DB5138">
        <w:rPr>
          <w:rFonts w:cs="Arial"/>
          <w:szCs w:val="22"/>
        </w:rPr>
        <w:t>. This represents an 8.6 percent increase over the total for Round 20 ($40.3 billion).</w:t>
      </w:r>
      <w:r w:rsidRPr="0082107A">
        <w:rPr>
          <w:rFonts w:cs="Arial"/>
          <w:szCs w:val="22"/>
        </w:rPr>
        <w:t xml:space="preserve"> </w:t>
      </w:r>
      <w:r w:rsidR="00597F15">
        <w:rPr>
          <w:rFonts w:cs="Arial"/>
          <w:szCs w:val="22"/>
        </w:rPr>
        <w:fldChar w:fldCharType="begin"/>
      </w:r>
      <w:r w:rsidR="00597F15">
        <w:rPr>
          <w:rFonts w:cs="Arial"/>
          <w:szCs w:val="22"/>
        </w:rPr>
        <w:instrText xml:space="preserve"> REF _Ref527369067 \h </w:instrText>
      </w:r>
      <w:r w:rsidR="00597F15">
        <w:rPr>
          <w:rFonts w:cs="Arial"/>
          <w:szCs w:val="22"/>
        </w:rPr>
      </w:r>
      <w:r w:rsidR="00597F15">
        <w:rPr>
          <w:rFonts w:cs="Arial"/>
          <w:szCs w:val="22"/>
        </w:rPr>
        <w:fldChar w:fldCharType="separate"/>
      </w:r>
      <w:r w:rsidR="00342D61">
        <w:t xml:space="preserve">Table </w:t>
      </w:r>
      <w:r w:rsidR="00342D61">
        <w:rPr>
          <w:noProof/>
        </w:rPr>
        <w:t>7</w:t>
      </w:r>
      <w:r w:rsidR="00597F15">
        <w:rPr>
          <w:rFonts w:cs="Arial"/>
          <w:szCs w:val="22"/>
        </w:rPr>
        <w:fldChar w:fldCharType="end"/>
      </w:r>
      <w:r w:rsidR="0053195F" w:rsidRPr="006C7F28">
        <w:rPr>
          <w:rFonts w:cs="Arial"/>
          <w:szCs w:val="22"/>
        </w:rPr>
        <w:t xml:space="preserve"> shows </w:t>
      </w:r>
      <w:r w:rsidR="0053195F">
        <w:rPr>
          <w:rFonts w:cs="Arial"/>
          <w:szCs w:val="22"/>
        </w:rPr>
        <w:t xml:space="preserve">the change in expenditure by activity stream. </w:t>
      </w:r>
    </w:p>
    <w:p w:rsidR="00807238" w:rsidRDefault="00807238" w:rsidP="007F44CC">
      <w:pPr>
        <w:pStyle w:val="Caption"/>
      </w:pPr>
      <w:bookmarkStart w:id="31" w:name="_Ref524511543"/>
      <w:bookmarkStart w:id="32" w:name="_Ref527369067"/>
      <w:bookmarkStart w:id="33" w:name="_Toc527385234"/>
      <w:r>
        <w:lastRenderedPageBreak/>
        <w:t xml:space="preserve">Table </w:t>
      </w:r>
      <w:bookmarkEnd w:id="31"/>
      <w:r w:rsidR="00C72BFB">
        <w:fldChar w:fldCharType="begin"/>
      </w:r>
      <w:r w:rsidR="00C72BFB">
        <w:instrText xml:space="preserve"> SEQ Table \* ARABIC </w:instrText>
      </w:r>
      <w:r w:rsidR="00C72BFB">
        <w:fldChar w:fldCharType="separate"/>
      </w:r>
      <w:r w:rsidR="00342D61">
        <w:rPr>
          <w:noProof/>
        </w:rPr>
        <w:t>7</w:t>
      </w:r>
      <w:r w:rsidR="00C72BFB">
        <w:fldChar w:fldCharType="end"/>
      </w:r>
      <w:bookmarkEnd w:id="32"/>
      <w:r w:rsidR="00C72BFB" w:rsidRPr="006F7C01">
        <w:t xml:space="preserve"> </w:t>
      </w:r>
      <w:r w:rsidRPr="009127C4">
        <w:t>Total national expenditure, by activity stream</w:t>
      </w:r>
      <w:r w:rsidR="006821EF">
        <w:t>, Round 20-21</w:t>
      </w:r>
      <w:bookmarkEnd w:id="33"/>
    </w:p>
    <w:tbl>
      <w:tblPr>
        <w:tblW w:w="8440" w:type="dxa"/>
        <w:jc w:val="center"/>
        <w:tblLook w:val="04A0" w:firstRow="1" w:lastRow="0" w:firstColumn="1" w:lastColumn="0" w:noHBand="0" w:noVBand="1"/>
        <w:tblCaption w:val="Table 7 Total national expenditure, by activity stream, Round 20-21"/>
        <w:tblDescription w:val="The table diplays the change in expenditure by activity stream between Round 20 and Round 21. "/>
      </w:tblPr>
      <w:tblGrid>
        <w:gridCol w:w="2340"/>
        <w:gridCol w:w="960"/>
        <w:gridCol w:w="1180"/>
        <w:gridCol w:w="1320"/>
        <w:gridCol w:w="1320"/>
        <w:gridCol w:w="1320"/>
      </w:tblGrid>
      <w:tr w:rsidR="003B4C44" w:rsidRPr="005D3133" w:rsidTr="00255A18">
        <w:trPr>
          <w:trHeight w:val="495"/>
          <w:jc w:val="center"/>
        </w:trPr>
        <w:tc>
          <w:tcPr>
            <w:tcW w:w="2340" w:type="dxa"/>
            <w:tcBorders>
              <w:top w:val="single" w:sz="4" w:space="0" w:color="auto"/>
              <w:left w:val="nil"/>
              <w:bottom w:val="nil"/>
              <w:right w:val="nil"/>
            </w:tcBorders>
            <w:shd w:val="clear" w:color="auto" w:fill="auto"/>
            <w:noWrap/>
            <w:vAlign w:val="center"/>
            <w:hideMark/>
          </w:tcPr>
          <w:p w:rsidR="003B4C44" w:rsidRPr="005D3133" w:rsidRDefault="003B4C44" w:rsidP="005D3133">
            <w:pPr>
              <w:spacing w:before="0" w:after="0" w:line="240" w:lineRule="auto"/>
              <w:rPr>
                <w:rFonts w:cs="Arial"/>
                <w:color w:val="000000"/>
                <w:sz w:val="20"/>
                <w:szCs w:val="20"/>
              </w:rPr>
            </w:pPr>
            <w:r w:rsidRPr="005D3133">
              <w:rPr>
                <w:rFonts w:cs="Arial"/>
                <w:color w:val="000000"/>
                <w:sz w:val="20"/>
                <w:szCs w:val="20"/>
              </w:rPr>
              <w:t> </w:t>
            </w:r>
          </w:p>
        </w:tc>
        <w:tc>
          <w:tcPr>
            <w:tcW w:w="2140" w:type="dxa"/>
            <w:gridSpan w:val="2"/>
            <w:tcBorders>
              <w:top w:val="single" w:sz="4" w:space="0" w:color="auto"/>
              <w:left w:val="nil"/>
              <w:bottom w:val="single" w:sz="4" w:space="0" w:color="auto"/>
              <w:right w:val="nil"/>
            </w:tcBorders>
            <w:shd w:val="clear" w:color="000000" w:fill="FFFFFF"/>
            <w:noWrap/>
            <w:vAlign w:val="center"/>
            <w:hideMark/>
          </w:tcPr>
          <w:p w:rsidR="003B4C44" w:rsidRPr="005D3133" w:rsidRDefault="003B4C44" w:rsidP="005D3133">
            <w:pPr>
              <w:spacing w:before="0" w:after="0" w:line="240" w:lineRule="auto"/>
              <w:jc w:val="center"/>
              <w:rPr>
                <w:rFonts w:cs="Arial"/>
                <w:b/>
                <w:bCs/>
                <w:color w:val="000000"/>
                <w:szCs w:val="22"/>
              </w:rPr>
            </w:pPr>
            <w:r w:rsidRPr="005D3133">
              <w:rPr>
                <w:rFonts w:cs="Arial"/>
                <w:b/>
                <w:bCs/>
                <w:color w:val="000000"/>
                <w:szCs w:val="22"/>
              </w:rPr>
              <w:t>Round 20</w:t>
            </w:r>
          </w:p>
        </w:tc>
        <w:tc>
          <w:tcPr>
            <w:tcW w:w="2640" w:type="dxa"/>
            <w:gridSpan w:val="2"/>
            <w:tcBorders>
              <w:top w:val="single" w:sz="4" w:space="0" w:color="auto"/>
              <w:left w:val="nil"/>
              <w:bottom w:val="single" w:sz="4" w:space="0" w:color="000000"/>
              <w:right w:val="nil"/>
            </w:tcBorders>
            <w:shd w:val="clear" w:color="000000" w:fill="FFFFFF"/>
            <w:vAlign w:val="center"/>
          </w:tcPr>
          <w:p w:rsidR="003B4C44" w:rsidRPr="005D3133" w:rsidRDefault="003B4C44" w:rsidP="005D3133">
            <w:pPr>
              <w:spacing w:before="0" w:after="0" w:line="240" w:lineRule="auto"/>
              <w:jc w:val="center"/>
              <w:rPr>
                <w:rFonts w:cs="Arial"/>
                <w:b/>
                <w:bCs/>
                <w:color w:val="000000"/>
                <w:sz w:val="18"/>
                <w:szCs w:val="18"/>
              </w:rPr>
            </w:pPr>
            <w:r w:rsidRPr="005D3133">
              <w:rPr>
                <w:rFonts w:cs="Arial"/>
                <w:b/>
                <w:bCs/>
                <w:color w:val="000000"/>
                <w:szCs w:val="22"/>
              </w:rPr>
              <w:t>Round 21</w:t>
            </w:r>
          </w:p>
        </w:tc>
        <w:tc>
          <w:tcPr>
            <w:tcW w:w="1320" w:type="dxa"/>
            <w:vMerge w:val="restart"/>
            <w:tcBorders>
              <w:top w:val="single" w:sz="4" w:space="0" w:color="auto"/>
              <w:left w:val="nil"/>
              <w:bottom w:val="single" w:sz="4" w:space="0" w:color="000000"/>
              <w:right w:val="nil"/>
            </w:tcBorders>
            <w:shd w:val="clear" w:color="000000" w:fill="FFFFFF"/>
            <w:vAlign w:val="center"/>
            <w:hideMark/>
          </w:tcPr>
          <w:p w:rsidR="003B4C44" w:rsidRPr="005D3133" w:rsidRDefault="003B4C44" w:rsidP="000827B6">
            <w:pPr>
              <w:spacing w:before="0" w:after="0" w:line="240" w:lineRule="auto"/>
              <w:jc w:val="right"/>
              <w:rPr>
                <w:rFonts w:cs="Arial"/>
                <w:b/>
                <w:bCs/>
                <w:color w:val="000000"/>
                <w:sz w:val="18"/>
                <w:szCs w:val="18"/>
              </w:rPr>
            </w:pPr>
            <w:r w:rsidRPr="005D3133">
              <w:rPr>
                <w:rFonts w:cs="Arial"/>
                <w:b/>
                <w:bCs/>
                <w:color w:val="000000"/>
                <w:sz w:val="18"/>
                <w:szCs w:val="18"/>
              </w:rPr>
              <w:t>Percent Change in Total Expenditure</w:t>
            </w:r>
          </w:p>
        </w:tc>
      </w:tr>
      <w:tr w:rsidR="003B4C44" w:rsidRPr="005D3133" w:rsidTr="00255A18">
        <w:trPr>
          <w:trHeight w:val="720"/>
          <w:jc w:val="center"/>
        </w:trPr>
        <w:tc>
          <w:tcPr>
            <w:tcW w:w="2340" w:type="dxa"/>
            <w:tcBorders>
              <w:top w:val="nil"/>
              <w:left w:val="nil"/>
              <w:bottom w:val="single" w:sz="4" w:space="0" w:color="auto"/>
              <w:right w:val="nil"/>
            </w:tcBorders>
            <w:shd w:val="clear" w:color="auto" w:fill="auto"/>
            <w:noWrap/>
            <w:vAlign w:val="center"/>
            <w:hideMark/>
          </w:tcPr>
          <w:p w:rsidR="003B4C44" w:rsidRPr="005D3133" w:rsidRDefault="003B4C44" w:rsidP="005D3133">
            <w:pPr>
              <w:spacing w:before="0" w:after="0" w:line="240" w:lineRule="auto"/>
              <w:rPr>
                <w:rFonts w:cs="Arial"/>
                <w:color w:val="000000"/>
                <w:sz w:val="20"/>
                <w:szCs w:val="20"/>
              </w:rPr>
            </w:pPr>
            <w:r w:rsidRPr="005D3133">
              <w:rPr>
                <w:rFonts w:cs="Arial"/>
                <w:color w:val="000000"/>
                <w:sz w:val="20"/>
                <w:szCs w:val="20"/>
              </w:rPr>
              <w:t> </w:t>
            </w:r>
          </w:p>
        </w:tc>
        <w:tc>
          <w:tcPr>
            <w:tcW w:w="960" w:type="dxa"/>
            <w:tcBorders>
              <w:top w:val="nil"/>
              <w:left w:val="nil"/>
              <w:bottom w:val="single" w:sz="4" w:space="0" w:color="auto"/>
              <w:right w:val="nil"/>
            </w:tcBorders>
            <w:shd w:val="clear" w:color="000000" w:fill="FFFFFF"/>
            <w:vAlign w:val="center"/>
            <w:hideMark/>
          </w:tcPr>
          <w:p w:rsidR="003B4C44" w:rsidRPr="005D3133" w:rsidRDefault="003B4C44" w:rsidP="000827B6">
            <w:pPr>
              <w:spacing w:before="0" w:after="0" w:line="240" w:lineRule="auto"/>
              <w:jc w:val="right"/>
              <w:rPr>
                <w:rFonts w:cs="Arial"/>
                <w:color w:val="000000"/>
                <w:sz w:val="18"/>
                <w:szCs w:val="18"/>
              </w:rPr>
            </w:pPr>
            <w:r w:rsidRPr="005D3133">
              <w:rPr>
                <w:rFonts w:cs="Arial"/>
                <w:color w:val="000000"/>
                <w:sz w:val="18"/>
                <w:szCs w:val="18"/>
              </w:rPr>
              <w:t>Number of Hospitals</w:t>
            </w:r>
          </w:p>
        </w:tc>
        <w:tc>
          <w:tcPr>
            <w:tcW w:w="1180" w:type="dxa"/>
            <w:tcBorders>
              <w:top w:val="nil"/>
              <w:left w:val="nil"/>
              <w:bottom w:val="single" w:sz="4" w:space="0" w:color="auto"/>
              <w:right w:val="nil"/>
            </w:tcBorders>
            <w:shd w:val="clear" w:color="000000" w:fill="FFFFFF"/>
            <w:vAlign w:val="center"/>
            <w:hideMark/>
          </w:tcPr>
          <w:p w:rsidR="003B4C44" w:rsidRPr="005D3133" w:rsidRDefault="003B4C44" w:rsidP="000827B6">
            <w:pPr>
              <w:spacing w:before="0" w:after="0" w:line="240" w:lineRule="auto"/>
              <w:jc w:val="right"/>
              <w:rPr>
                <w:rFonts w:cs="Arial"/>
                <w:color w:val="000000"/>
                <w:sz w:val="18"/>
                <w:szCs w:val="18"/>
              </w:rPr>
            </w:pPr>
            <w:r w:rsidRPr="005D3133">
              <w:rPr>
                <w:rFonts w:cs="Arial"/>
                <w:color w:val="000000"/>
                <w:sz w:val="18"/>
                <w:szCs w:val="18"/>
              </w:rPr>
              <w:t>Total Expenditure</w:t>
            </w:r>
          </w:p>
        </w:tc>
        <w:tc>
          <w:tcPr>
            <w:tcW w:w="1320" w:type="dxa"/>
            <w:tcBorders>
              <w:top w:val="single" w:sz="4" w:space="0" w:color="auto"/>
              <w:left w:val="nil"/>
              <w:bottom w:val="single" w:sz="4" w:space="0" w:color="000000"/>
              <w:right w:val="nil"/>
            </w:tcBorders>
            <w:vAlign w:val="center"/>
          </w:tcPr>
          <w:p w:rsidR="003B4C44" w:rsidRPr="005D3133" w:rsidRDefault="003B4C44" w:rsidP="000827B6">
            <w:pPr>
              <w:spacing w:before="0" w:after="0" w:line="240" w:lineRule="auto"/>
              <w:jc w:val="right"/>
              <w:rPr>
                <w:rFonts w:cs="Arial"/>
                <w:b/>
                <w:bCs/>
                <w:color w:val="000000"/>
                <w:sz w:val="18"/>
                <w:szCs w:val="18"/>
              </w:rPr>
            </w:pPr>
            <w:r w:rsidRPr="005D3133">
              <w:rPr>
                <w:rFonts w:cs="Arial"/>
                <w:color w:val="000000"/>
                <w:sz w:val="18"/>
                <w:szCs w:val="18"/>
              </w:rPr>
              <w:t>Number of Hospitals</w:t>
            </w:r>
          </w:p>
        </w:tc>
        <w:tc>
          <w:tcPr>
            <w:tcW w:w="1320" w:type="dxa"/>
            <w:tcBorders>
              <w:top w:val="single" w:sz="4" w:space="0" w:color="auto"/>
              <w:left w:val="nil"/>
              <w:bottom w:val="single" w:sz="4" w:space="0" w:color="000000"/>
              <w:right w:val="nil"/>
            </w:tcBorders>
            <w:vAlign w:val="center"/>
          </w:tcPr>
          <w:p w:rsidR="003B4C44" w:rsidRPr="005D3133" w:rsidRDefault="003B4C44" w:rsidP="000827B6">
            <w:pPr>
              <w:spacing w:before="0" w:after="0" w:line="240" w:lineRule="auto"/>
              <w:jc w:val="right"/>
              <w:rPr>
                <w:rFonts w:cs="Arial"/>
                <w:b/>
                <w:bCs/>
                <w:color w:val="000000"/>
                <w:sz w:val="18"/>
                <w:szCs w:val="18"/>
              </w:rPr>
            </w:pPr>
            <w:r w:rsidRPr="005D3133">
              <w:rPr>
                <w:rFonts w:cs="Arial"/>
                <w:color w:val="000000"/>
                <w:sz w:val="18"/>
                <w:szCs w:val="18"/>
              </w:rPr>
              <w:t>Total Expenditure</w:t>
            </w:r>
          </w:p>
        </w:tc>
        <w:tc>
          <w:tcPr>
            <w:tcW w:w="1320" w:type="dxa"/>
            <w:vMerge/>
            <w:tcBorders>
              <w:top w:val="single" w:sz="4" w:space="0" w:color="auto"/>
              <w:left w:val="nil"/>
              <w:bottom w:val="single" w:sz="4" w:space="0" w:color="000000"/>
              <w:right w:val="nil"/>
            </w:tcBorders>
            <w:vAlign w:val="center"/>
            <w:hideMark/>
          </w:tcPr>
          <w:p w:rsidR="003B4C44" w:rsidRPr="005D3133" w:rsidRDefault="003B4C44" w:rsidP="005D3133">
            <w:pPr>
              <w:spacing w:before="0" w:after="0" w:line="240" w:lineRule="auto"/>
              <w:rPr>
                <w:rFonts w:cs="Arial"/>
                <w:b/>
                <w:bCs/>
                <w:color w:val="000000"/>
                <w:sz w:val="18"/>
                <w:szCs w:val="18"/>
              </w:rPr>
            </w:pPr>
          </w:p>
        </w:tc>
      </w:tr>
      <w:tr w:rsidR="003B4C44" w:rsidRPr="005D3133" w:rsidTr="00255A18">
        <w:trPr>
          <w:trHeight w:val="300"/>
          <w:jc w:val="center"/>
        </w:trPr>
        <w:tc>
          <w:tcPr>
            <w:tcW w:w="2340" w:type="dxa"/>
            <w:tcBorders>
              <w:top w:val="nil"/>
              <w:left w:val="nil"/>
              <w:bottom w:val="single" w:sz="4" w:space="0" w:color="auto"/>
              <w:right w:val="nil"/>
            </w:tcBorders>
            <w:shd w:val="clear" w:color="000000" w:fill="FFFFFF"/>
            <w:noWrap/>
            <w:vAlign w:val="bottom"/>
            <w:hideMark/>
          </w:tcPr>
          <w:p w:rsidR="003B4C44" w:rsidRPr="005D3133" w:rsidRDefault="003B4C44" w:rsidP="005D3133">
            <w:pPr>
              <w:spacing w:before="0" w:after="0" w:line="240" w:lineRule="auto"/>
              <w:rPr>
                <w:rFonts w:cs="Arial"/>
                <w:color w:val="000000"/>
                <w:sz w:val="18"/>
                <w:szCs w:val="18"/>
              </w:rPr>
            </w:pPr>
            <w:r w:rsidRPr="005D3133">
              <w:rPr>
                <w:rFonts w:cs="Arial"/>
                <w:color w:val="000000"/>
                <w:sz w:val="18"/>
                <w:szCs w:val="18"/>
              </w:rPr>
              <w:t> </w:t>
            </w:r>
          </w:p>
        </w:tc>
        <w:tc>
          <w:tcPr>
            <w:tcW w:w="960" w:type="dxa"/>
            <w:tcBorders>
              <w:top w:val="nil"/>
              <w:left w:val="nil"/>
              <w:bottom w:val="single" w:sz="4" w:space="0" w:color="auto"/>
              <w:right w:val="nil"/>
            </w:tcBorders>
            <w:shd w:val="clear" w:color="000000" w:fill="FFFFFF"/>
            <w:noWrap/>
            <w:vAlign w:val="center"/>
            <w:hideMark/>
          </w:tcPr>
          <w:p w:rsidR="003B4C44" w:rsidRPr="005D3133" w:rsidRDefault="003B4C44" w:rsidP="000827B6">
            <w:pPr>
              <w:spacing w:before="0" w:after="0" w:line="240" w:lineRule="auto"/>
              <w:jc w:val="right"/>
              <w:rPr>
                <w:rFonts w:cs="Arial"/>
                <w:color w:val="000000"/>
                <w:sz w:val="18"/>
                <w:szCs w:val="18"/>
              </w:rPr>
            </w:pPr>
            <w:r w:rsidRPr="005D3133">
              <w:rPr>
                <w:rFonts w:cs="Arial"/>
                <w:color w:val="000000"/>
                <w:sz w:val="18"/>
                <w:szCs w:val="18"/>
              </w:rPr>
              <w:t> </w:t>
            </w:r>
          </w:p>
        </w:tc>
        <w:tc>
          <w:tcPr>
            <w:tcW w:w="1180" w:type="dxa"/>
            <w:tcBorders>
              <w:top w:val="nil"/>
              <w:left w:val="nil"/>
              <w:bottom w:val="single" w:sz="4" w:space="0" w:color="auto"/>
              <w:right w:val="nil"/>
            </w:tcBorders>
            <w:shd w:val="clear" w:color="000000" w:fill="FFFFFF"/>
            <w:noWrap/>
            <w:vAlign w:val="center"/>
            <w:hideMark/>
          </w:tcPr>
          <w:p w:rsidR="003B4C44" w:rsidRPr="005D3133" w:rsidRDefault="003B4C44" w:rsidP="000827B6">
            <w:pPr>
              <w:spacing w:before="0" w:after="0" w:line="240" w:lineRule="auto"/>
              <w:jc w:val="right"/>
              <w:rPr>
                <w:rFonts w:cs="Arial"/>
                <w:color w:val="000000"/>
                <w:sz w:val="18"/>
                <w:szCs w:val="18"/>
              </w:rPr>
            </w:pPr>
            <w:r w:rsidRPr="005D3133">
              <w:rPr>
                <w:rFonts w:cs="Arial"/>
                <w:color w:val="000000"/>
                <w:sz w:val="18"/>
                <w:szCs w:val="18"/>
              </w:rPr>
              <w:t>($m)</w:t>
            </w:r>
          </w:p>
        </w:tc>
        <w:tc>
          <w:tcPr>
            <w:tcW w:w="1320" w:type="dxa"/>
            <w:tcBorders>
              <w:top w:val="nil"/>
              <w:left w:val="nil"/>
              <w:bottom w:val="single" w:sz="4" w:space="0" w:color="auto"/>
              <w:right w:val="nil"/>
            </w:tcBorders>
            <w:shd w:val="clear" w:color="000000" w:fill="FFFFFF"/>
            <w:vAlign w:val="center"/>
          </w:tcPr>
          <w:p w:rsidR="003B4C44" w:rsidRPr="005D3133" w:rsidRDefault="003B4C44" w:rsidP="000827B6">
            <w:pPr>
              <w:spacing w:before="0" w:after="0" w:line="240" w:lineRule="auto"/>
              <w:jc w:val="right"/>
              <w:rPr>
                <w:rFonts w:cs="Arial"/>
                <w:color w:val="000000"/>
                <w:sz w:val="18"/>
                <w:szCs w:val="18"/>
              </w:rPr>
            </w:pPr>
            <w:r w:rsidRPr="005D3133">
              <w:rPr>
                <w:rFonts w:cs="Arial"/>
                <w:color w:val="000000"/>
                <w:sz w:val="18"/>
                <w:szCs w:val="18"/>
              </w:rPr>
              <w:t> </w:t>
            </w:r>
          </w:p>
        </w:tc>
        <w:tc>
          <w:tcPr>
            <w:tcW w:w="1320" w:type="dxa"/>
            <w:tcBorders>
              <w:top w:val="nil"/>
              <w:left w:val="nil"/>
              <w:bottom w:val="single" w:sz="4" w:space="0" w:color="auto"/>
              <w:right w:val="nil"/>
            </w:tcBorders>
            <w:shd w:val="clear" w:color="000000" w:fill="FFFFFF"/>
            <w:vAlign w:val="center"/>
          </w:tcPr>
          <w:p w:rsidR="003B4C44" w:rsidRPr="005D3133" w:rsidRDefault="003B4C44" w:rsidP="000827B6">
            <w:pPr>
              <w:spacing w:before="0" w:after="0" w:line="240" w:lineRule="auto"/>
              <w:jc w:val="right"/>
              <w:rPr>
                <w:rFonts w:cs="Arial"/>
                <w:color w:val="000000"/>
                <w:sz w:val="18"/>
                <w:szCs w:val="18"/>
              </w:rPr>
            </w:pPr>
            <w:r w:rsidRPr="005D3133">
              <w:rPr>
                <w:rFonts w:cs="Arial"/>
                <w:color w:val="000000"/>
                <w:sz w:val="18"/>
                <w:szCs w:val="18"/>
              </w:rPr>
              <w:t>($m)</w:t>
            </w:r>
          </w:p>
        </w:tc>
        <w:tc>
          <w:tcPr>
            <w:tcW w:w="1320" w:type="dxa"/>
            <w:tcBorders>
              <w:top w:val="nil"/>
              <w:left w:val="nil"/>
              <w:bottom w:val="single" w:sz="4" w:space="0" w:color="auto"/>
              <w:right w:val="nil"/>
            </w:tcBorders>
            <w:shd w:val="clear" w:color="000000" w:fill="FFFFFF"/>
            <w:noWrap/>
            <w:vAlign w:val="center"/>
            <w:hideMark/>
          </w:tcPr>
          <w:p w:rsidR="003B4C44" w:rsidRPr="005D3133" w:rsidRDefault="003B4C44" w:rsidP="000827B6">
            <w:pPr>
              <w:spacing w:before="0" w:after="0" w:line="240" w:lineRule="auto"/>
              <w:jc w:val="right"/>
              <w:rPr>
                <w:rFonts w:cs="Arial"/>
                <w:color w:val="000000"/>
                <w:sz w:val="18"/>
                <w:szCs w:val="18"/>
              </w:rPr>
            </w:pPr>
            <w:r w:rsidRPr="005D3133">
              <w:rPr>
                <w:rFonts w:cs="Arial"/>
                <w:color w:val="000000"/>
                <w:sz w:val="18"/>
                <w:szCs w:val="18"/>
              </w:rPr>
              <w:t>(%)</w:t>
            </w:r>
          </w:p>
        </w:tc>
      </w:tr>
      <w:tr w:rsidR="003B4C44" w:rsidRPr="005D3133" w:rsidTr="00255A18">
        <w:trPr>
          <w:trHeight w:val="300"/>
          <w:jc w:val="center"/>
        </w:trPr>
        <w:tc>
          <w:tcPr>
            <w:tcW w:w="2340" w:type="dxa"/>
            <w:tcBorders>
              <w:top w:val="nil"/>
              <w:left w:val="nil"/>
              <w:bottom w:val="nil"/>
              <w:right w:val="nil"/>
            </w:tcBorders>
            <w:shd w:val="clear" w:color="000000" w:fill="FFFFFF"/>
            <w:noWrap/>
            <w:vAlign w:val="center"/>
            <w:hideMark/>
          </w:tcPr>
          <w:p w:rsidR="003B4C44" w:rsidRPr="005D3133" w:rsidRDefault="003B4C44" w:rsidP="00A92BBB">
            <w:pPr>
              <w:spacing w:before="0" w:after="0" w:line="240" w:lineRule="auto"/>
              <w:rPr>
                <w:rFonts w:cs="Arial"/>
                <w:color w:val="000000"/>
                <w:sz w:val="18"/>
                <w:szCs w:val="18"/>
              </w:rPr>
            </w:pPr>
            <w:r w:rsidRPr="005D3133">
              <w:rPr>
                <w:rFonts w:cs="Arial"/>
                <w:color w:val="000000"/>
                <w:sz w:val="18"/>
                <w:szCs w:val="18"/>
              </w:rPr>
              <w:t>Admitted Acute</w:t>
            </w:r>
          </w:p>
        </w:tc>
        <w:tc>
          <w:tcPr>
            <w:tcW w:w="960" w:type="dxa"/>
            <w:tcBorders>
              <w:top w:val="nil"/>
              <w:left w:val="nil"/>
              <w:bottom w:val="nil"/>
              <w:right w:val="nil"/>
            </w:tcBorders>
            <w:shd w:val="clear" w:color="000000" w:fill="FFFFFF"/>
            <w:noWrap/>
            <w:vAlign w:val="center"/>
            <w:hideMark/>
          </w:tcPr>
          <w:p w:rsidR="003B4C44" w:rsidRPr="005D3133" w:rsidRDefault="003B4C44" w:rsidP="000827B6">
            <w:pPr>
              <w:spacing w:before="0" w:after="0" w:line="240" w:lineRule="auto"/>
              <w:jc w:val="right"/>
              <w:rPr>
                <w:rFonts w:cs="Arial"/>
                <w:color w:val="000000"/>
                <w:sz w:val="18"/>
                <w:szCs w:val="18"/>
              </w:rPr>
            </w:pPr>
            <w:r w:rsidRPr="005D3133">
              <w:rPr>
                <w:rFonts w:cs="Arial"/>
                <w:color w:val="000000"/>
                <w:sz w:val="18"/>
                <w:szCs w:val="18"/>
              </w:rPr>
              <w:t>327</w:t>
            </w:r>
          </w:p>
        </w:tc>
        <w:tc>
          <w:tcPr>
            <w:tcW w:w="1180" w:type="dxa"/>
            <w:tcBorders>
              <w:top w:val="nil"/>
              <w:left w:val="nil"/>
              <w:bottom w:val="nil"/>
              <w:right w:val="nil"/>
            </w:tcBorders>
            <w:shd w:val="clear" w:color="000000" w:fill="FFFFFF"/>
            <w:noWrap/>
            <w:vAlign w:val="center"/>
            <w:hideMark/>
          </w:tcPr>
          <w:p w:rsidR="003B4C44" w:rsidRPr="005D3133" w:rsidRDefault="003B4C44" w:rsidP="000827B6">
            <w:pPr>
              <w:spacing w:before="0" w:after="0" w:line="240" w:lineRule="auto"/>
              <w:jc w:val="right"/>
              <w:rPr>
                <w:rFonts w:cs="Arial"/>
                <w:color w:val="000000"/>
                <w:sz w:val="18"/>
                <w:szCs w:val="18"/>
              </w:rPr>
            </w:pPr>
            <w:r w:rsidRPr="005D3133">
              <w:rPr>
                <w:rFonts w:cs="Arial"/>
                <w:color w:val="000000"/>
                <w:sz w:val="18"/>
                <w:szCs w:val="18"/>
              </w:rPr>
              <w:t>28,222</w:t>
            </w:r>
          </w:p>
        </w:tc>
        <w:tc>
          <w:tcPr>
            <w:tcW w:w="1320" w:type="dxa"/>
            <w:tcBorders>
              <w:top w:val="nil"/>
              <w:left w:val="nil"/>
              <w:bottom w:val="nil"/>
              <w:right w:val="nil"/>
            </w:tcBorders>
            <w:shd w:val="clear" w:color="000000" w:fill="FFFFFF"/>
            <w:vAlign w:val="center"/>
          </w:tcPr>
          <w:p w:rsidR="003B4C44" w:rsidRPr="005D3133" w:rsidRDefault="003B4C44" w:rsidP="000827B6">
            <w:pPr>
              <w:spacing w:before="0" w:after="0" w:line="240" w:lineRule="auto"/>
              <w:jc w:val="right"/>
              <w:rPr>
                <w:rFonts w:cs="Arial"/>
                <w:color w:val="000000"/>
                <w:sz w:val="18"/>
                <w:szCs w:val="18"/>
              </w:rPr>
            </w:pPr>
            <w:r w:rsidRPr="005D3133">
              <w:rPr>
                <w:rFonts w:cs="Arial"/>
                <w:color w:val="000000"/>
                <w:sz w:val="18"/>
                <w:szCs w:val="18"/>
              </w:rPr>
              <w:t>344</w:t>
            </w:r>
          </w:p>
        </w:tc>
        <w:tc>
          <w:tcPr>
            <w:tcW w:w="1320" w:type="dxa"/>
            <w:tcBorders>
              <w:top w:val="nil"/>
              <w:left w:val="nil"/>
              <w:bottom w:val="nil"/>
              <w:right w:val="nil"/>
            </w:tcBorders>
            <w:shd w:val="clear" w:color="000000" w:fill="FFFFFF"/>
            <w:vAlign w:val="center"/>
          </w:tcPr>
          <w:p w:rsidR="003B4C44" w:rsidRPr="005D3133" w:rsidRDefault="003B4C44" w:rsidP="000827B6">
            <w:pPr>
              <w:spacing w:before="0" w:after="0" w:line="240" w:lineRule="auto"/>
              <w:jc w:val="right"/>
              <w:rPr>
                <w:rFonts w:cs="Arial"/>
                <w:color w:val="000000"/>
                <w:sz w:val="18"/>
                <w:szCs w:val="18"/>
              </w:rPr>
            </w:pPr>
            <w:r w:rsidRPr="005D3133">
              <w:rPr>
                <w:rFonts w:cs="Arial"/>
                <w:color w:val="000000"/>
                <w:sz w:val="18"/>
                <w:szCs w:val="18"/>
              </w:rPr>
              <w:t>29,854</w:t>
            </w:r>
          </w:p>
        </w:tc>
        <w:tc>
          <w:tcPr>
            <w:tcW w:w="1320" w:type="dxa"/>
            <w:tcBorders>
              <w:top w:val="nil"/>
              <w:left w:val="nil"/>
              <w:bottom w:val="nil"/>
              <w:right w:val="nil"/>
            </w:tcBorders>
            <w:shd w:val="clear" w:color="000000" w:fill="FFFFFF"/>
            <w:noWrap/>
            <w:vAlign w:val="center"/>
            <w:hideMark/>
          </w:tcPr>
          <w:p w:rsidR="003B4C44" w:rsidRPr="005D3133" w:rsidRDefault="000827B6" w:rsidP="000827B6">
            <w:pPr>
              <w:spacing w:before="0" w:after="0" w:line="240" w:lineRule="auto"/>
              <w:jc w:val="right"/>
              <w:rPr>
                <w:rFonts w:cs="Arial"/>
                <w:color w:val="000000"/>
                <w:sz w:val="18"/>
                <w:szCs w:val="18"/>
              </w:rPr>
            </w:pPr>
            <w:r>
              <w:rPr>
                <w:rFonts w:cs="Arial"/>
                <w:color w:val="000000"/>
                <w:sz w:val="18"/>
                <w:szCs w:val="18"/>
              </w:rPr>
              <w:t>5.8</w:t>
            </w:r>
          </w:p>
        </w:tc>
      </w:tr>
      <w:tr w:rsidR="003B4C44" w:rsidRPr="005D3133" w:rsidTr="00255A18">
        <w:trPr>
          <w:trHeight w:val="300"/>
          <w:jc w:val="center"/>
        </w:trPr>
        <w:tc>
          <w:tcPr>
            <w:tcW w:w="2340" w:type="dxa"/>
            <w:tcBorders>
              <w:top w:val="nil"/>
              <w:left w:val="nil"/>
              <w:bottom w:val="nil"/>
              <w:right w:val="nil"/>
            </w:tcBorders>
            <w:shd w:val="clear" w:color="000000" w:fill="FFFFFF"/>
            <w:noWrap/>
            <w:vAlign w:val="center"/>
            <w:hideMark/>
          </w:tcPr>
          <w:p w:rsidR="003B4C44" w:rsidRPr="005D3133" w:rsidRDefault="003B4C44" w:rsidP="00A92BBB">
            <w:pPr>
              <w:spacing w:before="0" w:after="0" w:line="240" w:lineRule="auto"/>
              <w:rPr>
                <w:rFonts w:cs="Arial"/>
                <w:color w:val="000000"/>
                <w:sz w:val="18"/>
                <w:szCs w:val="18"/>
              </w:rPr>
            </w:pPr>
            <w:r w:rsidRPr="005D3133">
              <w:rPr>
                <w:rFonts w:cs="Arial"/>
                <w:color w:val="000000"/>
                <w:sz w:val="18"/>
                <w:szCs w:val="18"/>
              </w:rPr>
              <w:t>Emergency Department</w:t>
            </w:r>
          </w:p>
        </w:tc>
        <w:tc>
          <w:tcPr>
            <w:tcW w:w="960" w:type="dxa"/>
            <w:tcBorders>
              <w:top w:val="nil"/>
              <w:left w:val="nil"/>
              <w:bottom w:val="nil"/>
              <w:right w:val="nil"/>
            </w:tcBorders>
            <w:shd w:val="clear" w:color="000000" w:fill="FFFFFF"/>
            <w:noWrap/>
            <w:vAlign w:val="center"/>
            <w:hideMark/>
          </w:tcPr>
          <w:p w:rsidR="003B4C44" w:rsidRPr="005D3133" w:rsidRDefault="003B4C44" w:rsidP="000827B6">
            <w:pPr>
              <w:spacing w:before="0" w:after="0" w:line="240" w:lineRule="auto"/>
              <w:jc w:val="right"/>
              <w:rPr>
                <w:rFonts w:cs="Arial"/>
                <w:color w:val="000000"/>
                <w:sz w:val="18"/>
                <w:szCs w:val="18"/>
              </w:rPr>
            </w:pPr>
            <w:r w:rsidRPr="005D3133">
              <w:rPr>
                <w:rFonts w:cs="Arial"/>
                <w:color w:val="000000"/>
                <w:sz w:val="18"/>
                <w:szCs w:val="18"/>
              </w:rPr>
              <w:t>215</w:t>
            </w:r>
          </w:p>
        </w:tc>
        <w:tc>
          <w:tcPr>
            <w:tcW w:w="1180" w:type="dxa"/>
            <w:tcBorders>
              <w:top w:val="nil"/>
              <w:left w:val="nil"/>
              <w:bottom w:val="nil"/>
              <w:right w:val="nil"/>
            </w:tcBorders>
            <w:shd w:val="clear" w:color="000000" w:fill="FFFFFF"/>
            <w:noWrap/>
            <w:vAlign w:val="center"/>
            <w:hideMark/>
          </w:tcPr>
          <w:p w:rsidR="003B4C44" w:rsidRPr="005D3133" w:rsidRDefault="003B4C44" w:rsidP="000827B6">
            <w:pPr>
              <w:spacing w:before="0" w:after="0" w:line="240" w:lineRule="auto"/>
              <w:jc w:val="right"/>
              <w:rPr>
                <w:rFonts w:cs="Arial"/>
                <w:color w:val="000000"/>
                <w:sz w:val="18"/>
                <w:szCs w:val="18"/>
              </w:rPr>
            </w:pPr>
            <w:r w:rsidRPr="005D3133">
              <w:rPr>
                <w:rFonts w:cs="Arial"/>
                <w:color w:val="000000"/>
                <w:sz w:val="18"/>
                <w:szCs w:val="18"/>
              </w:rPr>
              <w:t>4,711</w:t>
            </w:r>
          </w:p>
        </w:tc>
        <w:tc>
          <w:tcPr>
            <w:tcW w:w="1320" w:type="dxa"/>
            <w:tcBorders>
              <w:top w:val="nil"/>
              <w:left w:val="nil"/>
              <w:bottom w:val="nil"/>
              <w:right w:val="nil"/>
            </w:tcBorders>
            <w:shd w:val="clear" w:color="000000" w:fill="FFFFFF"/>
            <w:vAlign w:val="center"/>
          </w:tcPr>
          <w:p w:rsidR="003B4C44" w:rsidRPr="005D3133" w:rsidRDefault="003B4C44" w:rsidP="000827B6">
            <w:pPr>
              <w:spacing w:before="0" w:after="0" w:line="240" w:lineRule="auto"/>
              <w:jc w:val="right"/>
              <w:rPr>
                <w:rFonts w:cs="Arial"/>
                <w:color w:val="000000"/>
                <w:sz w:val="18"/>
                <w:szCs w:val="18"/>
              </w:rPr>
            </w:pPr>
            <w:r w:rsidRPr="005D3133">
              <w:rPr>
                <w:rFonts w:cs="Arial"/>
                <w:color w:val="000000"/>
                <w:sz w:val="18"/>
                <w:szCs w:val="18"/>
              </w:rPr>
              <w:t>265</w:t>
            </w:r>
          </w:p>
        </w:tc>
        <w:tc>
          <w:tcPr>
            <w:tcW w:w="1320" w:type="dxa"/>
            <w:tcBorders>
              <w:top w:val="nil"/>
              <w:left w:val="nil"/>
              <w:bottom w:val="nil"/>
              <w:right w:val="nil"/>
            </w:tcBorders>
            <w:shd w:val="clear" w:color="000000" w:fill="FFFFFF"/>
            <w:vAlign w:val="center"/>
          </w:tcPr>
          <w:p w:rsidR="003B4C44" w:rsidRPr="005D3133" w:rsidRDefault="003B4C44" w:rsidP="000827B6">
            <w:pPr>
              <w:spacing w:before="0" w:after="0" w:line="240" w:lineRule="auto"/>
              <w:jc w:val="right"/>
              <w:rPr>
                <w:rFonts w:cs="Arial"/>
                <w:color w:val="000000"/>
                <w:sz w:val="18"/>
                <w:szCs w:val="18"/>
              </w:rPr>
            </w:pPr>
            <w:r w:rsidRPr="005D3133">
              <w:rPr>
                <w:rFonts w:cs="Arial"/>
                <w:color w:val="000000"/>
                <w:sz w:val="18"/>
                <w:szCs w:val="18"/>
              </w:rPr>
              <w:t>5,100</w:t>
            </w:r>
          </w:p>
        </w:tc>
        <w:tc>
          <w:tcPr>
            <w:tcW w:w="1320" w:type="dxa"/>
            <w:tcBorders>
              <w:top w:val="nil"/>
              <w:left w:val="nil"/>
              <w:bottom w:val="nil"/>
              <w:right w:val="nil"/>
            </w:tcBorders>
            <w:shd w:val="clear" w:color="000000" w:fill="FFFFFF"/>
            <w:noWrap/>
            <w:vAlign w:val="center"/>
            <w:hideMark/>
          </w:tcPr>
          <w:p w:rsidR="003B4C44" w:rsidRPr="005D3133" w:rsidRDefault="000827B6" w:rsidP="000827B6">
            <w:pPr>
              <w:spacing w:before="0" w:after="0" w:line="240" w:lineRule="auto"/>
              <w:jc w:val="right"/>
              <w:rPr>
                <w:rFonts w:cs="Arial"/>
                <w:color w:val="000000"/>
                <w:sz w:val="18"/>
                <w:szCs w:val="18"/>
              </w:rPr>
            </w:pPr>
            <w:r>
              <w:rPr>
                <w:rFonts w:cs="Arial"/>
                <w:color w:val="000000"/>
                <w:sz w:val="18"/>
                <w:szCs w:val="18"/>
              </w:rPr>
              <w:t>8.3</w:t>
            </w:r>
          </w:p>
        </w:tc>
      </w:tr>
      <w:tr w:rsidR="003B4C44" w:rsidRPr="005D3133" w:rsidTr="00255A18">
        <w:trPr>
          <w:trHeight w:val="300"/>
          <w:jc w:val="center"/>
        </w:trPr>
        <w:tc>
          <w:tcPr>
            <w:tcW w:w="2340" w:type="dxa"/>
            <w:tcBorders>
              <w:top w:val="nil"/>
              <w:left w:val="nil"/>
              <w:bottom w:val="nil"/>
              <w:right w:val="nil"/>
            </w:tcBorders>
            <w:shd w:val="clear" w:color="000000" w:fill="FFFFFF"/>
            <w:noWrap/>
            <w:vAlign w:val="center"/>
            <w:hideMark/>
          </w:tcPr>
          <w:p w:rsidR="003B4C44" w:rsidRPr="005D3133" w:rsidRDefault="003B4C44" w:rsidP="00A92BBB">
            <w:pPr>
              <w:spacing w:before="0" w:after="0" w:line="240" w:lineRule="auto"/>
              <w:rPr>
                <w:rFonts w:cs="Arial"/>
                <w:color w:val="000000"/>
                <w:sz w:val="18"/>
                <w:szCs w:val="18"/>
              </w:rPr>
            </w:pPr>
            <w:r w:rsidRPr="005D3133">
              <w:rPr>
                <w:rFonts w:cs="Arial"/>
                <w:color w:val="000000"/>
                <w:sz w:val="18"/>
                <w:szCs w:val="18"/>
              </w:rPr>
              <w:t>Non-Admitted</w:t>
            </w:r>
          </w:p>
        </w:tc>
        <w:tc>
          <w:tcPr>
            <w:tcW w:w="960" w:type="dxa"/>
            <w:tcBorders>
              <w:top w:val="nil"/>
              <w:left w:val="nil"/>
              <w:bottom w:val="nil"/>
              <w:right w:val="nil"/>
            </w:tcBorders>
            <w:shd w:val="clear" w:color="000000" w:fill="FFFFFF"/>
            <w:noWrap/>
            <w:vAlign w:val="center"/>
            <w:hideMark/>
          </w:tcPr>
          <w:p w:rsidR="003B4C44" w:rsidRPr="005D3133" w:rsidRDefault="003B4C44" w:rsidP="000827B6">
            <w:pPr>
              <w:spacing w:before="0" w:after="0" w:line="240" w:lineRule="auto"/>
              <w:jc w:val="right"/>
              <w:rPr>
                <w:rFonts w:cs="Arial"/>
                <w:color w:val="000000"/>
                <w:sz w:val="18"/>
                <w:szCs w:val="18"/>
              </w:rPr>
            </w:pPr>
            <w:r w:rsidRPr="005D3133">
              <w:rPr>
                <w:rFonts w:cs="Arial"/>
                <w:color w:val="000000"/>
                <w:sz w:val="18"/>
                <w:szCs w:val="18"/>
              </w:rPr>
              <w:t>257</w:t>
            </w:r>
          </w:p>
        </w:tc>
        <w:tc>
          <w:tcPr>
            <w:tcW w:w="1180" w:type="dxa"/>
            <w:tcBorders>
              <w:top w:val="nil"/>
              <w:left w:val="nil"/>
              <w:bottom w:val="nil"/>
              <w:right w:val="nil"/>
            </w:tcBorders>
            <w:shd w:val="clear" w:color="000000" w:fill="FFFFFF"/>
            <w:noWrap/>
            <w:vAlign w:val="center"/>
            <w:hideMark/>
          </w:tcPr>
          <w:p w:rsidR="003B4C44" w:rsidRPr="005D3133" w:rsidRDefault="003B4C44" w:rsidP="000827B6">
            <w:pPr>
              <w:spacing w:before="0" w:after="0" w:line="240" w:lineRule="auto"/>
              <w:jc w:val="right"/>
              <w:rPr>
                <w:rFonts w:cs="Arial"/>
                <w:color w:val="000000"/>
                <w:sz w:val="18"/>
                <w:szCs w:val="18"/>
              </w:rPr>
            </w:pPr>
            <w:r w:rsidRPr="005D3133">
              <w:rPr>
                <w:rFonts w:cs="Arial"/>
                <w:color w:val="000000"/>
                <w:sz w:val="18"/>
                <w:szCs w:val="18"/>
              </w:rPr>
              <w:t>5,392</w:t>
            </w:r>
          </w:p>
        </w:tc>
        <w:tc>
          <w:tcPr>
            <w:tcW w:w="1320" w:type="dxa"/>
            <w:tcBorders>
              <w:top w:val="nil"/>
              <w:left w:val="nil"/>
              <w:bottom w:val="nil"/>
              <w:right w:val="nil"/>
            </w:tcBorders>
            <w:shd w:val="clear" w:color="000000" w:fill="FFFFFF"/>
            <w:vAlign w:val="center"/>
          </w:tcPr>
          <w:p w:rsidR="003B4C44" w:rsidRPr="005D3133" w:rsidRDefault="003B4C44" w:rsidP="000827B6">
            <w:pPr>
              <w:spacing w:before="0" w:after="0" w:line="240" w:lineRule="auto"/>
              <w:jc w:val="right"/>
              <w:rPr>
                <w:rFonts w:cs="Arial"/>
                <w:color w:val="000000"/>
                <w:sz w:val="18"/>
                <w:szCs w:val="18"/>
              </w:rPr>
            </w:pPr>
            <w:r w:rsidRPr="005D3133">
              <w:rPr>
                <w:rFonts w:cs="Arial"/>
                <w:color w:val="000000"/>
                <w:sz w:val="18"/>
                <w:szCs w:val="18"/>
              </w:rPr>
              <w:t>273</w:t>
            </w:r>
          </w:p>
        </w:tc>
        <w:tc>
          <w:tcPr>
            <w:tcW w:w="1320" w:type="dxa"/>
            <w:tcBorders>
              <w:top w:val="nil"/>
              <w:left w:val="nil"/>
              <w:bottom w:val="nil"/>
              <w:right w:val="nil"/>
            </w:tcBorders>
            <w:shd w:val="clear" w:color="000000" w:fill="FFFFFF"/>
            <w:vAlign w:val="center"/>
          </w:tcPr>
          <w:p w:rsidR="003B4C44" w:rsidRPr="005D3133" w:rsidRDefault="003B4C44" w:rsidP="000827B6">
            <w:pPr>
              <w:spacing w:before="0" w:after="0" w:line="240" w:lineRule="auto"/>
              <w:jc w:val="right"/>
              <w:rPr>
                <w:rFonts w:cs="Arial"/>
                <w:color w:val="000000"/>
                <w:sz w:val="18"/>
                <w:szCs w:val="18"/>
              </w:rPr>
            </w:pPr>
            <w:r w:rsidRPr="005D3133">
              <w:rPr>
                <w:rFonts w:cs="Arial"/>
                <w:color w:val="000000"/>
                <w:sz w:val="18"/>
                <w:szCs w:val="18"/>
              </w:rPr>
              <w:t>5,742</w:t>
            </w:r>
          </w:p>
        </w:tc>
        <w:tc>
          <w:tcPr>
            <w:tcW w:w="1320" w:type="dxa"/>
            <w:tcBorders>
              <w:top w:val="nil"/>
              <w:left w:val="nil"/>
              <w:bottom w:val="nil"/>
              <w:right w:val="nil"/>
            </w:tcBorders>
            <w:shd w:val="clear" w:color="000000" w:fill="FFFFFF"/>
            <w:noWrap/>
            <w:vAlign w:val="center"/>
            <w:hideMark/>
          </w:tcPr>
          <w:p w:rsidR="003B4C44" w:rsidRPr="005D3133" w:rsidRDefault="000827B6" w:rsidP="000827B6">
            <w:pPr>
              <w:spacing w:before="0" w:after="0" w:line="240" w:lineRule="auto"/>
              <w:jc w:val="right"/>
              <w:rPr>
                <w:rFonts w:cs="Arial"/>
                <w:color w:val="000000"/>
                <w:sz w:val="18"/>
                <w:szCs w:val="18"/>
              </w:rPr>
            </w:pPr>
            <w:r>
              <w:rPr>
                <w:rFonts w:cs="Arial"/>
                <w:color w:val="000000"/>
                <w:sz w:val="18"/>
                <w:szCs w:val="18"/>
              </w:rPr>
              <w:t>6.5</w:t>
            </w:r>
          </w:p>
        </w:tc>
      </w:tr>
      <w:tr w:rsidR="003B4C44" w:rsidRPr="005D3133" w:rsidTr="00255A18">
        <w:trPr>
          <w:trHeight w:val="300"/>
          <w:jc w:val="center"/>
        </w:trPr>
        <w:tc>
          <w:tcPr>
            <w:tcW w:w="2340" w:type="dxa"/>
            <w:tcBorders>
              <w:top w:val="nil"/>
              <w:left w:val="nil"/>
              <w:bottom w:val="nil"/>
              <w:right w:val="nil"/>
            </w:tcBorders>
            <w:shd w:val="clear" w:color="000000" w:fill="FFFFFF"/>
            <w:noWrap/>
            <w:vAlign w:val="center"/>
            <w:hideMark/>
          </w:tcPr>
          <w:p w:rsidR="003B4C44" w:rsidRPr="005D3133" w:rsidRDefault="003B4C44" w:rsidP="00A92BBB">
            <w:pPr>
              <w:spacing w:before="0" w:after="0" w:line="240" w:lineRule="auto"/>
              <w:rPr>
                <w:rFonts w:cs="Arial"/>
                <w:color w:val="000000"/>
                <w:sz w:val="18"/>
                <w:szCs w:val="18"/>
              </w:rPr>
            </w:pPr>
            <w:r w:rsidRPr="005D3133">
              <w:rPr>
                <w:rFonts w:cs="Arial"/>
                <w:color w:val="000000"/>
                <w:sz w:val="18"/>
                <w:szCs w:val="18"/>
              </w:rPr>
              <w:t>Sub-Acute</w:t>
            </w:r>
          </w:p>
        </w:tc>
        <w:tc>
          <w:tcPr>
            <w:tcW w:w="960" w:type="dxa"/>
            <w:tcBorders>
              <w:top w:val="nil"/>
              <w:left w:val="nil"/>
              <w:bottom w:val="nil"/>
              <w:right w:val="nil"/>
            </w:tcBorders>
            <w:shd w:val="clear" w:color="000000" w:fill="FFFFFF"/>
            <w:noWrap/>
            <w:vAlign w:val="center"/>
            <w:hideMark/>
          </w:tcPr>
          <w:p w:rsidR="003B4C44" w:rsidRPr="005D3133" w:rsidRDefault="003B4C44" w:rsidP="000827B6">
            <w:pPr>
              <w:spacing w:before="0" w:after="0" w:line="240" w:lineRule="auto"/>
              <w:jc w:val="right"/>
              <w:rPr>
                <w:rFonts w:cs="Arial"/>
                <w:color w:val="000000"/>
                <w:sz w:val="18"/>
                <w:szCs w:val="18"/>
              </w:rPr>
            </w:pPr>
            <w:r w:rsidRPr="005D3133">
              <w:rPr>
                <w:rFonts w:cs="Arial"/>
                <w:color w:val="000000"/>
                <w:sz w:val="18"/>
                <w:szCs w:val="18"/>
              </w:rPr>
              <w:t>316</w:t>
            </w:r>
          </w:p>
        </w:tc>
        <w:tc>
          <w:tcPr>
            <w:tcW w:w="1180" w:type="dxa"/>
            <w:tcBorders>
              <w:top w:val="nil"/>
              <w:left w:val="nil"/>
              <w:bottom w:val="nil"/>
              <w:right w:val="nil"/>
            </w:tcBorders>
            <w:shd w:val="clear" w:color="000000" w:fill="FFFFFF"/>
            <w:noWrap/>
            <w:vAlign w:val="center"/>
            <w:hideMark/>
          </w:tcPr>
          <w:p w:rsidR="003B4C44" w:rsidRPr="005D3133" w:rsidRDefault="003B4C44" w:rsidP="000827B6">
            <w:pPr>
              <w:spacing w:before="0" w:after="0" w:line="240" w:lineRule="auto"/>
              <w:jc w:val="right"/>
              <w:rPr>
                <w:rFonts w:cs="Arial"/>
                <w:color w:val="000000"/>
                <w:sz w:val="18"/>
                <w:szCs w:val="18"/>
              </w:rPr>
            </w:pPr>
            <w:r w:rsidRPr="005D3133">
              <w:rPr>
                <w:rFonts w:cs="Arial"/>
                <w:color w:val="000000"/>
                <w:sz w:val="18"/>
                <w:szCs w:val="18"/>
              </w:rPr>
              <w:t>2,731</w:t>
            </w:r>
          </w:p>
        </w:tc>
        <w:tc>
          <w:tcPr>
            <w:tcW w:w="1320" w:type="dxa"/>
            <w:tcBorders>
              <w:top w:val="nil"/>
              <w:left w:val="nil"/>
              <w:bottom w:val="nil"/>
              <w:right w:val="nil"/>
            </w:tcBorders>
            <w:shd w:val="clear" w:color="000000" w:fill="FFFFFF"/>
            <w:vAlign w:val="center"/>
          </w:tcPr>
          <w:p w:rsidR="003B4C44" w:rsidRPr="005D3133" w:rsidRDefault="003B4C44" w:rsidP="000827B6">
            <w:pPr>
              <w:spacing w:before="0" w:after="0" w:line="240" w:lineRule="auto"/>
              <w:jc w:val="right"/>
              <w:rPr>
                <w:rFonts w:cs="Arial"/>
                <w:color w:val="000000"/>
                <w:sz w:val="18"/>
                <w:szCs w:val="18"/>
              </w:rPr>
            </w:pPr>
            <w:r w:rsidRPr="005D3133">
              <w:rPr>
                <w:rFonts w:cs="Arial"/>
                <w:color w:val="000000"/>
                <w:sz w:val="18"/>
                <w:szCs w:val="18"/>
              </w:rPr>
              <w:t>331</w:t>
            </w:r>
          </w:p>
        </w:tc>
        <w:tc>
          <w:tcPr>
            <w:tcW w:w="1320" w:type="dxa"/>
            <w:tcBorders>
              <w:top w:val="nil"/>
              <w:left w:val="nil"/>
              <w:bottom w:val="nil"/>
              <w:right w:val="nil"/>
            </w:tcBorders>
            <w:shd w:val="clear" w:color="000000" w:fill="FFFFFF"/>
            <w:vAlign w:val="center"/>
          </w:tcPr>
          <w:p w:rsidR="003B4C44" w:rsidRPr="005D3133" w:rsidRDefault="003B4C44" w:rsidP="000827B6">
            <w:pPr>
              <w:spacing w:before="0" w:after="0" w:line="240" w:lineRule="auto"/>
              <w:jc w:val="right"/>
              <w:rPr>
                <w:rFonts w:cs="Arial"/>
                <w:color w:val="000000"/>
                <w:sz w:val="18"/>
                <w:szCs w:val="18"/>
              </w:rPr>
            </w:pPr>
            <w:r w:rsidRPr="005D3133">
              <w:rPr>
                <w:rFonts w:cs="Arial"/>
                <w:color w:val="000000"/>
                <w:sz w:val="18"/>
                <w:szCs w:val="18"/>
              </w:rPr>
              <w:t>2,793</w:t>
            </w:r>
          </w:p>
        </w:tc>
        <w:tc>
          <w:tcPr>
            <w:tcW w:w="1320" w:type="dxa"/>
            <w:tcBorders>
              <w:top w:val="nil"/>
              <w:left w:val="nil"/>
              <w:bottom w:val="nil"/>
              <w:right w:val="nil"/>
            </w:tcBorders>
            <w:shd w:val="clear" w:color="000000" w:fill="FFFFFF"/>
            <w:noWrap/>
            <w:vAlign w:val="center"/>
            <w:hideMark/>
          </w:tcPr>
          <w:p w:rsidR="003B4C44" w:rsidRPr="005D3133" w:rsidRDefault="000827B6" w:rsidP="000827B6">
            <w:pPr>
              <w:spacing w:before="0" w:after="0" w:line="240" w:lineRule="auto"/>
              <w:jc w:val="right"/>
              <w:rPr>
                <w:rFonts w:cs="Arial"/>
                <w:color w:val="000000"/>
                <w:sz w:val="18"/>
                <w:szCs w:val="18"/>
              </w:rPr>
            </w:pPr>
            <w:r>
              <w:rPr>
                <w:rFonts w:cs="Arial"/>
                <w:color w:val="000000"/>
                <w:sz w:val="18"/>
                <w:szCs w:val="18"/>
              </w:rPr>
              <w:t>2.3</w:t>
            </w:r>
          </w:p>
        </w:tc>
      </w:tr>
      <w:tr w:rsidR="003B4C44" w:rsidRPr="005D3133" w:rsidTr="00255A18">
        <w:trPr>
          <w:trHeight w:val="300"/>
          <w:jc w:val="center"/>
        </w:trPr>
        <w:tc>
          <w:tcPr>
            <w:tcW w:w="2340" w:type="dxa"/>
            <w:tcBorders>
              <w:top w:val="nil"/>
              <w:left w:val="nil"/>
              <w:bottom w:val="nil"/>
              <w:right w:val="nil"/>
            </w:tcBorders>
            <w:shd w:val="clear" w:color="000000" w:fill="FFFFFF"/>
            <w:noWrap/>
            <w:vAlign w:val="center"/>
            <w:hideMark/>
          </w:tcPr>
          <w:p w:rsidR="003B4C44" w:rsidRPr="005D3133" w:rsidRDefault="003B4C44" w:rsidP="00A92BBB">
            <w:pPr>
              <w:spacing w:before="0" w:after="0" w:line="240" w:lineRule="auto"/>
              <w:rPr>
                <w:rFonts w:cs="Arial"/>
                <w:color w:val="000000"/>
                <w:sz w:val="18"/>
                <w:szCs w:val="18"/>
              </w:rPr>
            </w:pPr>
            <w:r w:rsidRPr="005D3133">
              <w:rPr>
                <w:rFonts w:cs="Arial"/>
                <w:color w:val="000000"/>
                <w:sz w:val="18"/>
                <w:szCs w:val="18"/>
              </w:rPr>
              <w:t>Mental Health</w:t>
            </w:r>
          </w:p>
        </w:tc>
        <w:tc>
          <w:tcPr>
            <w:tcW w:w="960" w:type="dxa"/>
            <w:tcBorders>
              <w:top w:val="nil"/>
              <w:left w:val="nil"/>
              <w:bottom w:val="nil"/>
              <w:right w:val="nil"/>
            </w:tcBorders>
            <w:shd w:val="clear" w:color="000000" w:fill="FFFFFF"/>
            <w:noWrap/>
            <w:vAlign w:val="center"/>
            <w:hideMark/>
          </w:tcPr>
          <w:p w:rsidR="003B4C44" w:rsidRPr="005D3133" w:rsidRDefault="003B4C44" w:rsidP="000827B6">
            <w:pPr>
              <w:spacing w:before="0" w:after="0" w:line="240" w:lineRule="auto"/>
              <w:jc w:val="right"/>
              <w:rPr>
                <w:rFonts w:cs="Arial"/>
                <w:color w:val="000000"/>
                <w:sz w:val="18"/>
                <w:szCs w:val="18"/>
              </w:rPr>
            </w:pPr>
            <w:r w:rsidRPr="005D3133">
              <w:rPr>
                <w:rFonts w:cs="Arial"/>
                <w:color w:val="000000"/>
                <w:sz w:val="18"/>
                <w:szCs w:val="18"/>
              </w:rPr>
              <w:t>121</w:t>
            </w:r>
          </w:p>
        </w:tc>
        <w:tc>
          <w:tcPr>
            <w:tcW w:w="1180" w:type="dxa"/>
            <w:tcBorders>
              <w:top w:val="nil"/>
              <w:left w:val="nil"/>
              <w:bottom w:val="nil"/>
              <w:right w:val="nil"/>
            </w:tcBorders>
            <w:shd w:val="clear" w:color="000000" w:fill="FFFFFF"/>
            <w:noWrap/>
            <w:vAlign w:val="center"/>
            <w:hideMark/>
          </w:tcPr>
          <w:p w:rsidR="003B4C44" w:rsidRPr="005D3133" w:rsidRDefault="003B4C44" w:rsidP="000827B6">
            <w:pPr>
              <w:spacing w:before="0" w:after="0" w:line="240" w:lineRule="auto"/>
              <w:jc w:val="right"/>
              <w:rPr>
                <w:rFonts w:cs="Arial"/>
                <w:color w:val="000000"/>
                <w:sz w:val="18"/>
                <w:szCs w:val="18"/>
              </w:rPr>
            </w:pPr>
            <w:r w:rsidRPr="005D3133">
              <w:rPr>
                <w:rFonts w:cs="Arial"/>
                <w:color w:val="000000"/>
                <w:sz w:val="18"/>
                <w:szCs w:val="18"/>
              </w:rPr>
              <w:t>1,216</w:t>
            </w:r>
          </w:p>
        </w:tc>
        <w:tc>
          <w:tcPr>
            <w:tcW w:w="1320" w:type="dxa"/>
            <w:tcBorders>
              <w:top w:val="nil"/>
              <w:left w:val="nil"/>
              <w:bottom w:val="nil"/>
              <w:right w:val="nil"/>
            </w:tcBorders>
            <w:shd w:val="clear" w:color="000000" w:fill="FFFFFF"/>
            <w:vAlign w:val="center"/>
          </w:tcPr>
          <w:p w:rsidR="003B4C44" w:rsidRPr="005D3133" w:rsidRDefault="003B4C44" w:rsidP="000827B6">
            <w:pPr>
              <w:spacing w:before="0" w:after="0" w:line="240" w:lineRule="auto"/>
              <w:jc w:val="right"/>
              <w:rPr>
                <w:rFonts w:cs="Arial"/>
                <w:color w:val="000000"/>
                <w:sz w:val="18"/>
                <w:szCs w:val="18"/>
              </w:rPr>
            </w:pPr>
            <w:r w:rsidRPr="005D3133">
              <w:rPr>
                <w:rFonts w:cs="Arial"/>
                <w:color w:val="000000"/>
                <w:sz w:val="18"/>
                <w:szCs w:val="18"/>
              </w:rPr>
              <w:t>242</w:t>
            </w:r>
          </w:p>
        </w:tc>
        <w:tc>
          <w:tcPr>
            <w:tcW w:w="1320" w:type="dxa"/>
            <w:tcBorders>
              <w:top w:val="nil"/>
              <w:left w:val="nil"/>
              <w:bottom w:val="nil"/>
              <w:right w:val="nil"/>
            </w:tcBorders>
            <w:shd w:val="clear" w:color="000000" w:fill="FFFFFF"/>
            <w:vAlign w:val="center"/>
          </w:tcPr>
          <w:p w:rsidR="003B4C44" w:rsidRPr="005D3133" w:rsidRDefault="003B4C44" w:rsidP="000827B6">
            <w:pPr>
              <w:spacing w:before="0" w:after="0" w:line="240" w:lineRule="auto"/>
              <w:jc w:val="right"/>
              <w:rPr>
                <w:rFonts w:cs="Arial"/>
                <w:color w:val="000000"/>
                <w:sz w:val="18"/>
                <w:szCs w:val="18"/>
              </w:rPr>
            </w:pPr>
            <w:r w:rsidRPr="005D3133">
              <w:rPr>
                <w:rFonts w:cs="Arial"/>
                <w:color w:val="000000"/>
                <w:sz w:val="18"/>
                <w:szCs w:val="18"/>
              </w:rPr>
              <w:t>2,506</w:t>
            </w:r>
          </w:p>
        </w:tc>
        <w:tc>
          <w:tcPr>
            <w:tcW w:w="1320" w:type="dxa"/>
            <w:tcBorders>
              <w:top w:val="nil"/>
              <w:left w:val="nil"/>
              <w:bottom w:val="nil"/>
              <w:right w:val="nil"/>
            </w:tcBorders>
            <w:shd w:val="clear" w:color="000000" w:fill="FFFFFF"/>
            <w:noWrap/>
            <w:vAlign w:val="center"/>
            <w:hideMark/>
          </w:tcPr>
          <w:p w:rsidR="003B4C44" w:rsidRPr="005D3133" w:rsidRDefault="000827B6" w:rsidP="000827B6">
            <w:pPr>
              <w:spacing w:before="0" w:after="0" w:line="240" w:lineRule="auto"/>
              <w:jc w:val="right"/>
              <w:rPr>
                <w:rFonts w:cs="Arial"/>
                <w:color w:val="000000"/>
                <w:sz w:val="18"/>
                <w:szCs w:val="18"/>
              </w:rPr>
            </w:pPr>
            <w:r>
              <w:rPr>
                <w:rFonts w:cs="Arial"/>
                <w:color w:val="000000"/>
                <w:sz w:val="18"/>
                <w:szCs w:val="18"/>
              </w:rPr>
              <w:t>106.2</w:t>
            </w:r>
          </w:p>
        </w:tc>
      </w:tr>
      <w:tr w:rsidR="003B4C44" w:rsidRPr="005D3133" w:rsidTr="00255A18">
        <w:trPr>
          <w:trHeight w:val="300"/>
          <w:jc w:val="center"/>
        </w:trPr>
        <w:tc>
          <w:tcPr>
            <w:tcW w:w="2340" w:type="dxa"/>
            <w:tcBorders>
              <w:top w:val="nil"/>
              <w:left w:val="nil"/>
              <w:bottom w:val="nil"/>
              <w:right w:val="nil"/>
            </w:tcBorders>
            <w:shd w:val="clear" w:color="000000" w:fill="FFFFFF"/>
            <w:noWrap/>
            <w:vAlign w:val="center"/>
            <w:hideMark/>
          </w:tcPr>
          <w:p w:rsidR="003B4C44" w:rsidRPr="005D3133" w:rsidRDefault="003B4C44" w:rsidP="00A92BBB">
            <w:pPr>
              <w:spacing w:before="0" w:after="0" w:line="240" w:lineRule="auto"/>
              <w:rPr>
                <w:rFonts w:cs="Arial"/>
                <w:color w:val="000000"/>
                <w:sz w:val="18"/>
                <w:szCs w:val="18"/>
              </w:rPr>
            </w:pPr>
            <w:r w:rsidRPr="005D3133">
              <w:rPr>
                <w:rFonts w:cs="Arial"/>
                <w:color w:val="000000"/>
                <w:sz w:val="18"/>
                <w:szCs w:val="18"/>
              </w:rPr>
              <w:t>Other Expenditure</w:t>
            </w:r>
          </w:p>
        </w:tc>
        <w:tc>
          <w:tcPr>
            <w:tcW w:w="960" w:type="dxa"/>
            <w:tcBorders>
              <w:top w:val="nil"/>
              <w:left w:val="nil"/>
              <w:bottom w:val="nil"/>
              <w:right w:val="nil"/>
            </w:tcBorders>
            <w:shd w:val="clear" w:color="000000" w:fill="FFFFFF"/>
            <w:noWrap/>
            <w:vAlign w:val="center"/>
            <w:hideMark/>
          </w:tcPr>
          <w:p w:rsidR="003B4C44" w:rsidRPr="005D3133" w:rsidRDefault="003B4C44" w:rsidP="000827B6">
            <w:pPr>
              <w:spacing w:before="0" w:after="0" w:line="240" w:lineRule="auto"/>
              <w:jc w:val="right"/>
              <w:rPr>
                <w:rFonts w:cs="Arial"/>
                <w:color w:val="000000"/>
                <w:sz w:val="18"/>
                <w:szCs w:val="18"/>
              </w:rPr>
            </w:pPr>
            <w:r w:rsidRPr="005D3133">
              <w:rPr>
                <w:rFonts w:cs="Arial"/>
                <w:color w:val="000000"/>
                <w:sz w:val="18"/>
                <w:szCs w:val="18"/>
              </w:rPr>
              <w:t>165</w:t>
            </w:r>
          </w:p>
        </w:tc>
        <w:tc>
          <w:tcPr>
            <w:tcW w:w="1180" w:type="dxa"/>
            <w:tcBorders>
              <w:top w:val="nil"/>
              <w:left w:val="nil"/>
              <w:bottom w:val="nil"/>
              <w:right w:val="nil"/>
            </w:tcBorders>
            <w:shd w:val="clear" w:color="000000" w:fill="FFFFFF"/>
            <w:noWrap/>
            <w:vAlign w:val="center"/>
            <w:hideMark/>
          </w:tcPr>
          <w:p w:rsidR="003B4C44" w:rsidRPr="005D3133" w:rsidRDefault="003B4C44" w:rsidP="000827B6">
            <w:pPr>
              <w:spacing w:before="0" w:after="0" w:line="240" w:lineRule="auto"/>
              <w:jc w:val="right"/>
              <w:rPr>
                <w:rFonts w:cs="Arial"/>
                <w:color w:val="000000"/>
                <w:sz w:val="18"/>
                <w:szCs w:val="18"/>
              </w:rPr>
            </w:pPr>
            <w:r w:rsidRPr="005D3133">
              <w:rPr>
                <w:rFonts w:cs="Arial"/>
                <w:color w:val="000000"/>
                <w:sz w:val="18"/>
                <w:szCs w:val="18"/>
              </w:rPr>
              <w:t>96</w:t>
            </w:r>
          </w:p>
        </w:tc>
        <w:tc>
          <w:tcPr>
            <w:tcW w:w="1320" w:type="dxa"/>
            <w:tcBorders>
              <w:top w:val="nil"/>
              <w:left w:val="nil"/>
              <w:bottom w:val="nil"/>
              <w:right w:val="nil"/>
            </w:tcBorders>
            <w:shd w:val="clear" w:color="000000" w:fill="FFFFFF"/>
            <w:vAlign w:val="center"/>
          </w:tcPr>
          <w:p w:rsidR="003B4C44" w:rsidRPr="005D3133" w:rsidRDefault="003B4C44" w:rsidP="000827B6">
            <w:pPr>
              <w:spacing w:before="0" w:after="0" w:line="240" w:lineRule="auto"/>
              <w:jc w:val="right"/>
              <w:rPr>
                <w:rFonts w:cs="Arial"/>
                <w:color w:val="000000"/>
                <w:sz w:val="18"/>
                <w:szCs w:val="18"/>
              </w:rPr>
            </w:pPr>
            <w:r w:rsidRPr="005D3133">
              <w:rPr>
                <w:rFonts w:cs="Arial"/>
                <w:color w:val="000000"/>
                <w:sz w:val="18"/>
                <w:szCs w:val="18"/>
              </w:rPr>
              <w:t>138</w:t>
            </w:r>
          </w:p>
        </w:tc>
        <w:tc>
          <w:tcPr>
            <w:tcW w:w="1320" w:type="dxa"/>
            <w:tcBorders>
              <w:top w:val="nil"/>
              <w:left w:val="nil"/>
              <w:bottom w:val="nil"/>
              <w:right w:val="nil"/>
            </w:tcBorders>
            <w:shd w:val="clear" w:color="000000" w:fill="FFFFFF"/>
            <w:vAlign w:val="center"/>
          </w:tcPr>
          <w:p w:rsidR="003B4C44" w:rsidRPr="005D3133" w:rsidRDefault="003B4C44" w:rsidP="000827B6">
            <w:pPr>
              <w:spacing w:before="0" w:after="0" w:line="240" w:lineRule="auto"/>
              <w:jc w:val="right"/>
              <w:rPr>
                <w:rFonts w:cs="Arial"/>
                <w:color w:val="000000"/>
                <w:sz w:val="18"/>
                <w:szCs w:val="18"/>
              </w:rPr>
            </w:pPr>
            <w:r w:rsidRPr="005D3133">
              <w:rPr>
                <w:rFonts w:cs="Arial"/>
                <w:color w:val="000000"/>
                <w:sz w:val="18"/>
                <w:szCs w:val="18"/>
              </w:rPr>
              <w:t>35</w:t>
            </w:r>
          </w:p>
        </w:tc>
        <w:tc>
          <w:tcPr>
            <w:tcW w:w="1320" w:type="dxa"/>
            <w:tcBorders>
              <w:top w:val="nil"/>
              <w:left w:val="nil"/>
              <w:bottom w:val="nil"/>
              <w:right w:val="nil"/>
            </w:tcBorders>
            <w:shd w:val="clear" w:color="000000" w:fill="FFFFFF"/>
            <w:noWrap/>
            <w:vAlign w:val="center"/>
            <w:hideMark/>
          </w:tcPr>
          <w:p w:rsidR="003B4C44" w:rsidRPr="005D3133" w:rsidRDefault="000827B6" w:rsidP="000827B6">
            <w:pPr>
              <w:spacing w:before="0" w:after="0" w:line="240" w:lineRule="auto"/>
              <w:jc w:val="right"/>
              <w:rPr>
                <w:rFonts w:cs="Arial"/>
                <w:color w:val="000000"/>
                <w:sz w:val="18"/>
                <w:szCs w:val="18"/>
              </w:rPr>
            </w:pPr>
            <w:r>
              <w:rPr>
                <w:rFonts w:cs="Arial"/>
                <w:color w:val="000000"/>
                <w:sz w:val="18"/>
                <w:szCs w:val="18"/>
              </w:rPr>
              <w:t>-63.5</w:t>
            </w:r>
          </w:p>
        </w:tc>
      </w:tr>
      <w:tr w:rsidR="003B4C44" w:rsidRPr="005D3133" w:rsidTr="00255A18">
        <w:trPr>
          <w:trHeight w:val="300"/>
          <w:jc w:val="center"/>
        </w:trPr>
        <w:tc>
          <w:tcPr>
            <w:tcW w:w="2340" w:type="dxa"/>
            <w:tcBorders>
              <w:top w:val="single" w:sz="4" w:space="0" w:color="auto"/>
              <w:left w:val="nil"/>
              <w:bottom w:val="single" w:sz="4" w:space="0" w:color="auto"/>
              <w:right w:val="nil"/>
            </w:tcBorders>
            <w:shd w:val="clear" w:color="000000" w:fill="FFFFFF"/>
            <w:noWrap/>
            <w:vAlign w:val="center"/>
            <w:hideMark/>
          </w:tcPr>
          <w:p w:rsidR="003B4C44" w:rsidRPr="005D3133" w:rsidRDefault="003B4C44" w:rsidP="00A92BBB">
            <w:pPr>
              <w:spacing w:before="0" w:after="0" w:line="240" w:lineRule="auto"/>
              <w:rPr>
                <w:rFonts w:cs="Arial"/>
                <w:b/>
                <w:bCs/>
                <w:color w:val="000000"/>
                <w:sz w:val="18"/>
                <w:szCs w:val="18"/>
              </w:rPr>
            </w:pPr>
            <w:r w:rsidRPr="005D3133">
              <w:rPr>
                <w:rFonts w:cs="Arial"/>
                <w:b/>
                <w:bCs/>
                <w:color w:val="000000"/>
                <w:sz w:val="18"/>
                <w:szCs w:val="18"/>
              </w:rPr>
              <w:t>Total*</w:t>
            </w:r>
          </w:p>
        </w:tc>
        <w:tc>
          <w:tcPr>
            <w:tcW w:w="960" w:type="dxa"/>
            <w:tcBorders>
              <w:top w:val="single" w:sz="4" w:space="0" w:color="auto"/>
              <w:left w:val="nil"/>
              <w:bottom w:val="single" w:sz="4" w:space="0" w:color="auto"/>
              <w:right w:val="nil"/>
            </w:tcBorders>
            <w:shd w:val="clear" w:color="000000" w:fill="FFFFFF"/>
            <w:noWrap/>
            <w:vAlign w:val="center"/>
            <w:hideMark/>
          </w:tcPr>
          <w:p w:rsidR="003B4C44" w:rsidRPr="005D3133" w:rsidRDefault="003B4C44" w:rsidP="000827B6">
            <w:pPr>
              <w:spacing w:before="0" w:after="0" w:line="240" w:lineRule="auto"/>
              <w:jc w:val="right"/>
              <w:rPr>
                <w:rFonts w:cs="Arial"/>
                <w:b/>
                <w:bCs/>
                <w:color w:val="000000"/>
                <w:sz w:val="18"/>
                <w:szCs w:val="18"/>
              </w:rPr>
            </w:pPr>
            <w:r w:rsidRPr="005D3133">
              <w:rPr>
                <w:rFonts w:cs="Arial"/>
                <w:b/>
                <w:bCs/>
                <w:color w:val="000000"/>
                <w:sz w:val="18"/>
                <w:szCs w:val="18"/>
              </w:rPr>
              <w:t>343</w:t>
            </w:r>
          </w:p>
        </w:tc>
        <w:tc>
          <w:tcPr>
            <w:tcW w:w="1180" w:type="dxa"/>
            <w:tcBorders>
              <w:top w:val="single" w:sz="4" w:space="0" w:color="auto"/>
              <w:left w:val="nil"/>
              <w:bottom w:val="single" w:sz="4" w:space="0" w:color="auto"/>
              <w:right w:val="nil"/>
            </w:tcBorders>
            <w:shd w:val="clear" w:color="000000" w:fill="FFFFFF"/>
            <w:noWrap/>
            <w:vAlign w:val="center"/>
            <w:hideMark/>
          </w:tcPr>
          <w:p w:rsidR="003B4C44" w:rsidRPr="005D3133" w:rsidRDefault="003B4C44" w:rsidP="000827B6">
            <w:pPr>
              <w:spacing w:before="0" w:after="0" w:line="240" w:lineRule="auto"/>
              <w:jc w:val="right"/>
              <w:rPr>
                <w:rFonts w:cs="Arial"/>
                <w:b/>
                <w:bCs/>
                <w:color w:val="000000"/>
                <w:sz w:val="18"/>
                <w:szCs w:val="18"/>
              </w:rPr>
            </w:pPr>
            <w:r w:rsidRPr="005D3133">
              <w:rPr>
                <w:rFonts w:cs="Arial"/>
                <w:b/>
                <w:bCs/>
                <w:color w:val="000000"/>
                <w:sz w:val="18"/>
                <w:szCs w:val="18"/>
              </w:rPr>
              <w:t>$40,292</w:t>
            </w:r>
          </w:p>
        </w:tc>
        <w:tc>
          <w:tcPr>
            <w:tcW w:w="1320" w:type="dxa"/>
            <w:tcBorders>
              <w:top w:val="single" w:sz="4" w:space="0" w:color="auto"/>
              <w:left w:val="nil"/>
              <w:bottom w:val="single" w:sz="4" w:space="0" w:color="auto"/>
              <w:right w:val="nil"/>
            </w:tcBorders>
            <w:shd w:val="clear" w:color="000000" w:fill="FFFFFF"/>
            <w:vAlign w:val="center"/>
          </w:tcPr>
          <w:p w:rsidR="003B4C44" w:rsidRPr="005D3133" w:rsidRDefault="003B4C44" w:rsidP="000827B6">
            <w:pPr>
              <w:spacing w:before="0" w:after="0" w:line="240" w:lineRule="auto"/>
              <w:jc w:val="right"/>
              <w:rPr>
                <w:rFonts w:cs="Arial"/>
                <w:b/>
                <w:bCs/>
                <w:color w:val="000000"/>
                <w:sz w:val="18"/>
                <w:szCs w:val="18"/>
              </w:rPr>
            </w:pPr>
            <w:r w:rsidRPr="005D3133">
              <w:rPr>
                <w:rFonts w:cs="Arial"/>
                <w:b/>
                <w:bCs/>
                <w:color w:val="000000"/>
                <w:sz w:val="18"/>
                <w:szCs w:val="18"/>
              </w:rPr>
              <w:t>451</w:t>
            </w:r>
          </w:p>
        </w:tc>
        <w:tc>
          <w:tcPr>
            <w:tcW w:w="1320" w:type="dxa"/>
            <w:tcBorders>
              <w:top w:val="single" w:sz="4" w:space="0" w:color="auto"/>
              <w:left w:val="nil"/>
              <w:bottom w:val="single" w:sz="4" w:space="0" w:color="auto"/>
              <w:right w:val="nil"/>
            </w:tcBorders>
            <w:shd w:val="clear" w:color="000000" w:fill="FFFFFF"/>
            <w:vAlign w:val="center"/>
          </w:tcPr>
          <w:p w:rsidR="003B4C44" w:rsidRPr="005D3133" w:rsidRDefault="003B4C44" w:rsidP="000827B6">
            <w:pPr>
              <w:spacing w:before="0" w:after="0" w:line="240" w:lineRule="auto"/>
              <w:jc w:val="right"/>
              <w:rPr>
                <w:rFonts w:cs="Arial"/>
                <w:b/>
                <w:bCs/>
                <w:color w:val="000000"/>
                <w:sz w:val="18"/>
                <w:szCs w:val="18"/>
              </w:rPr>
            </w:pPr>
            <w:r w:rsidRPr="005D3133">
              <w:rPr>
                <w:rFonts w:cs="Arial"/>
                <w:b/>
                <w:bCs/>
                <w:color w:val="000000"/>
                <w:sz w:val="18"/>
                <w:szCs w:val="18"/>
              </w:rPr>
              <w:t>$43,770</w:t>
            </w:r>
          </w:p>
        </w:tc>
        <w:tc>
          <w:tcPr>
            <w:tcW w:w="1320" w:type="dxa"/>
            <w:tcBorders>
              <w:top w:val="single" w:sz="4" w:space="0" w:color="auto"/>
              <w:left w:val="nil"/>
              <w:bottom w:val="single" w:sz="4" w:space="0" w:color="auto"/>
              <w:right w:val="nil"/>
            </w:tcBorders>
            <w:shd w:val="clear" w:color="000000" w:fill="FFFFFF"/>
            <w:noWrap/>
            <w:vAlign w:val="center"/>
            <w:hideMark/>
          </w:tcPr>
          <w:p w:rsidR="003B4C44" w:rsidRPr="005D3133" w:rsidRDefault="000827B6" w:rsidP="000827B6">
            <w:pPr>
              <w:spacing w:before="0" w:after="0" w:line="240" w:lineRule="auto"/>
              <w:jc w:val="right"/>
              <w:rPr>
                <w:rFonts w:cs="Arial"/>
                <w:b/>
                <w:bCs/>
                <w:color w:val="000000"/>
                <w:sz w:val="18"/>
                <w:szCs w:val="18"/>
              </w:rPr>
            </w:pPr>
            <w:r>
              <w:rPr>
                <w:rFonts w:cs="Arial"/>
                <w:b/>
                <w:bCs/>
                <w:color w:val="000000"/>
                <w:sz w:val="18"/>
                <w:szCs w:val="18"/>
              </w:rPr>
              <w:t>8.6</w:t>
            </w:r>
          </w:p>
        </w:tc>
      </w:tr>
    </w:tbl>
    <w:p w:rsidR="002371BB" w:rsidRPr="005D3133" w:rsidRDefault="002371BB" w:rsidP="002371BB">
      <w:pPr>
        <w:rPr>
          <w:rFonts w:cs="Arial"/>
          <w:i/>
          <w:sz w:val="18"/>
          <w:szCs w:val="22"/>
        </w:rPr>
      </w:pPr>
      <w:r w:rsidRPr="005D3133">
        <w:rPr>
          <w:rFonts w:cs="Arial"/>
          <w:i/>
          <w:sz w:val="18"/>
          <w:szCs w:val="22"/>
        </w:rPr>
        <w:t>*Total excludes duplicate episodes (it is not a sum of above rows)</w:t>
      </w:r>
      <w:r w:rsidR="009552F1" w:rsidRPr="005D3133">
        <w:rPr>
          <w:rFonts w:cs="Arial"/>
          <w:i/>
          <w:sz w:val="18"/>
          <w:szCs w:val="22"/>
        </w:rPr>
        <w:t xml:space="preserve">. </w:t>
      </w:r>
      <w:r w:rsidRPr="005D3133">
        <w:rPr>
          <w:rFonts w:cs="Arial"/>
          <w:i/>
          <w:sz w:val="18"/>
          <w:szCs w:val="22"/>
        </w:rPr>
        <w:t xml:space="preserve">See note under </w:t>
      </w:r>
      <w:r w:rsidR="00597F15">
        <w:rPr>
          <w:rFonts w:cs="Arial"/>
          <w:i/>
          <w:sz w:val="18"/>
          <w:szCs w:val="22"/>
        </w:rPr>
        <w:fldChar w:fldCharType="begin"/>
      </w:r>
      <w:r w:rsidR="00597F15">
        <w:rPr>
          <w:rFonts w:cs="Arial"/>
          <w:i/>
          <w:sz w:val="18"/>
          <w:szCs w:val="22"/>
        </w:rPr>
        <w:instrText xml:space="preserve"> REF _Ref527368699 \h  \* MERGEFORMAT </w:instrText>
      </w:r>
      <w:r w:rsidR="00597F15">
        <w:rPr>
          <w:rFonts w:cs="Arial"/>
          <w:i/>
          <w:sz w:val="18"/>
          <w:szCs w:val="22"/>
        </w:rPr>
      </w:r>
      <w:r w:rsidR="00597F15">
        <w:rPr>
          <w:rFonts w:cs="Arial"/>
          <w:i/>
          <w:sz w:val="18"/>
          <w:szCs w:val="22"/>
        </w:rPr>
        <w:fldChar w:fldCharType="separate"/>
      </w:r>
      <w:r w:rsidR="00342D61" w:rsidRPr="00342D61">
        <w:rPr>
          <w:rFonts w:cs="Arial"/>
          <w:i/>
          <w:sz w:val="18"/>
          <w:szCs w:val="22"/>
        </w:rPr>
        <w:t>Table 4</w:t>
      </w:r>
      <w:r w:rsidR="00597F15">
        <w:rPr>
          <w:rFonts w:cs="Arial"/>
          <w:i/>
          <w:sz w:val="18"/>
          <w:szCs w:val="22"/>
        </w:rPr>
        <w:fldChar w:fldCharType="end"/>
      </w:r>
      <w:r w:rsidRPr="005D3133">
        <w:rPr>
          <w:rFonts w:cs="Arial"/>
          <w:i/>
          <w:sz w:val="18"/>
          <w:szCs w:val="22"/>
        </w:rPr>
        <w:t xml:space="preserve"> for more details.</w:t>
      </w:r>
    </w:p>
    <w:p w:rsidR="008835F5" w:rsidRPr="00CE56F0" w:rsidRDefault="0053195F" w:rsidP="005F7F28">
      <w:pPr>
        <w:rPr>
          <w:rFonts w:cs="Arial"/>
          <w:b/>
          <w:szCs w:val="22"/>
        </w:rPr>
      </w:pPr>
      <w:r w:rsidRPr="00CE56F0">
        <w:rPr>
          <w:rFonts w:cs="Arial"/>
          <w:szCs w:val="22"/>
        </w:rPr>
        <w:t xml:space="preserve">The </w:t>
      </w:r>
      <w:r w:rsidR="005F7F28" w:rsidRPr="00CE56F0">
        <w:rPr>
          <w:rFonts w:cs="Arial"/>
          <w:szCs w:val="22"/>
        </w:rPr>
        <w:t xml:space="preserve">large increase in </w:t>
      </w:r>
      <w:r w:rsidR="000E5768" w:rsidRPr="00CE56F0">
        <w:rPr>
          <w:rFonts w:cs="Arial"/>
          <w:szCs w:val="22"/>
        </w:rPr>
        <w:t xml:space="preserve">reported </w:t>
      </w:r>
      <w:r w:rsidR="005F7F28" w:rsidRPr="00CE56F0">
        <w:rPr>
          <w:rFonts w:cs="Arial"/>
          <w:szCs w:val="22"/>
        </w:rPr>
        <w:t xml:space="preserve">mental health expenditure since Round 20 (106%) reflects the </w:t>
      </w:r>
      <w:r w:rsidRPr="00CE56F0">
        <w:rPr>
          <w:rFonts w:cs="Arial"/>
          <w:szCs w:val="22"/>
        </w:rPr>
        <w:t xml:space="preserve">introduction of </w:t>
      </w:r>
      <w:r w:rsidR="00663F4C" w:rsidRPr="00CE56F0">
        <w:rPr>
          <w:rFonts w:cs="Arial"/>
          <w:szCs w:val="22"/>
        </w:rPr>
        <w:t xml:space="preserve">care type 11 mental </w:t>
      </w:r>
      <w:proofErr w:type="gramStart"/>
      <w:r w:rsidR="00663F4C" w:rsidRPr="00CE56F0">
        <w:rPr>
          <w:rFonts w:cs="Arial"/>
          <w:szCs w:val="22"/>
        </w:rPr>
        <w:t>health</w:t>
      </w:r>
      <w:proofErr w:type="gramEnd"/>
      <w:r w:rsidR="00845638">
        <w:rPr>
          <w:rFonts w:cs="Arial"/>
          <w:szCs w:val="22"/>
        </w:rPr>
        <w:t>.</w:t>
      </w:r>
      <w:r w:rsidR="00663F4C" w:rsidRPr="00CE56F0">
        <w:rPr>
          <w:rFonts w:cs="Arial"/>
          <w:szCs w:val="22"/>
        </w:rPr>
        <w:t xml:space="preserve"> </w:t>
      </w:r>
      <w:r w:rsidR="00845638">
        <w:rPr>
          <w:rFonts w:cs="Arial"/>
          <w:szCs w:val="22"/>
        </w:rPr>
        <w:t>T</w:t>
      </w:r>
      <w:r w:rsidR="00663F4C" w:rsidRPr="00CE56F0">
        <w:rPr>
          <w:rFonts w:cs="Arial"/>
          <w:szCs w:val="22"/>
        </w:rPr>
        <w:t xml:space="preserve">his activity had previously been reported using care type 1 (acute admitted). Care type 11 allows patients to be identified and grouped to the </w:t>
      </w:r>
      <w:r w:rsidRPr="00CE56F0">
        <w:rPr>
          <w:rFonts w:cs="Arial"/>
          <w:szCs w:val="22"/>
        </w:rPr>
        <w:t>Australian Mental Health Care Classification (AMHCC)</w:t>
      </w:r>
      <w:r w:rsidR="000E5768" w:rsidRPr="00CE56F0">
        <w:rPr>
          <w:rFonts w:cs="Arial"/>
          <w:szCs w:val="22"/>
        </w:rPr>
        <w:t>.</w:t>
      </w:r>
    </w:p>
    <w:p w:rsidR="0053195F" w:rsidRDefault="0053195F" w:rsidP="0053195F">
      <w:pPr>
        <w:rPr>
          <w:rFonts w:cs="Arial"/>
          <w:szCs w:val="22"/>
        </w:rPr>
      </w:pPr>
      <w:r>
        <w:rPr>
          <w:rFonts w:cs="Arial"/>
          <w:szCs w:val="22"/>
        </w:rPr>
        <w:t>The large change in ‘other’ expenditure reflects a change by the ACT</w:t>
      </w:r>
      <w:r w:rsidR="00845638">
        <w:rPr>
          <w:rFonts w:cs="Arial"/>
          <w:szCs w:val="22"/>
        </w:rPr>
        <w:t>,</w:t>
      </w:r>
      <w:r>
        <w:rPr>
          <w:rFonts w:cs="Arial"/>
          <w:szCs w:val="22"/>
        </w:rPr>
        <w:t xml:space="preserve"> which did not submit costs under the Teaching, Training and Research activity type in Round 21.</w:t>
      </w:r>
    </w:p>
    <w:p w:rsidR="002371BB" w:rsidRPr="006C7F28" w:rsidRDefault="00845638" w:rsidP="002371BB">
      <w:pPr>
        <w:rPr>
          <w:rFonts w:cs="Arial"/>
          <w:szCs w:val="22"/>
        </w:rPr>
      </w:pPr>
      <w:r>
        <w:rPr>
          <w:rFonts w:cs="Arial"/>
          <w:szCs w:val="22"/>
        </w:rPr>
        <w:fldChar w:fldCharType="begin"/>
      </w:r>
      <w:r>
        <w:rPr>
          <w:rFonts w:cs="Arial"/>
          <w:szCs w:val="22"/>
        </w:rPr>
        <w:instrText xml:space="preserve"> REF _Ref527369401 \h </w:instrText>
      </w:r>
      <w:r>
        <w:rPr>
          <w:rFonts w:cs="Arial"/>
          <w:szCs w:val="22"/>
        </w:rPr>
      </w:r>
      <w:r>
        <w:rPr>
          <w:rFonts w:cs="Arial"/>
          <w:szCs w:val="22"/>
        </w:rPr>
        <w:fldChar w:fldCharType="separate"/>
      </w:r>
      <w:r w:rsidR="00342D61">
        <w:t xml:space="preserve">Table </w:t>
      </w:r>
      <w:r w:rsidR="00342D61">
        <w:rPr>
          <w:noProof/>
        </w:rPr>
        <w:t>8</w:t>
      </w:r>
      <w:r>
        <w:rPr>
          <w:rFonts w:cs="Arial"/>
          <w:szCs w:val="22"/>
        </w:rPr>
        <w:fldChar w:fldCharType="end"/>
      </w:r>
      <w:r w:rsidR="002371BB" w:rsidRPr="006C7F28">
        <w:rPr>
          <w:rFonts w:cs="Arial"/>
          <w:szCs w:val="22"/>
        </w:rPr>
        <w:t xml:space="preserve"> presents the total hospital expenditure submitted by jurisdictions across the past three NHCDC rounds</w:t>
      </w:r>
      <w:r w:rsidR="009552F1">
        <w:rPr>
          <w:rFonts w:cs="Arial"/>
          <w:szCs w:val="22"/>
        </w:rPr>
        <w:t xml:space="preserve">. </w:t>
      </w:r>
      <w:r w:rsidR="002371BB" w:rsidRPr="006C7F28">
        <w:rPr>
          <w:rFonts w:cs="Arial"/>
          <w:szCs w:val="22"/>
        </w:rPr>
        <w:t xml:space="preserve">While the national </w:t>
      </w:r>
      <w:r w:rsidR="00A17C30">
        <w:rPr>
          <w:rFonts w:cs="Arial"/>
          <w:szCs w:val="22"/>
        </w:rPr>
        <w:t xml:space="preserve">reported </w:t>
      </w:r>
      <w:r w:rsidR="002371BB" w:rsidRPr="006C7F28">
        <w:rPr>
          <w:rFonts w:cs="Arial"/>
          <w:szCs w:val="22"/>
        </w:rPr>
        <w:t>expenditure increased by 18% since Round 19, the share of this expenditure at the jurisdictional level has remained relatively stable</w:t>
      </w:r>
      <w:r w:rsidR="009552F1">
        <w:rPr>
          <w:rFonts w:cs="Arial"/>
          <w:szCs w:val="22"/>
        </w:rPr>
        <w:t xml:space="preserve">. </w:t>
      </w:r>
      <w:r w:rsidR="002371BB" w:rsidRPr="006C7F28">
        <w:rPr>
          <w:rFonts w:cs="Arial"/>
          <w:szCs w:val="22"/>
        </w:rPr>
        <w:t>In each round, NSW, Queensland and Victoria have collectively submitted around 75 percent of the national hospital expenditure</w:t>
      </w:r>
      <w:r w:rsidR="009552F1">
        <w:rPr>
          <w:rFonts w:cs="Arial"/>
          <w:szCs w:val="22"/>
        </w:rPr>
        <w:t xml:space="preserve">. </w:t>
      </w:r>
    </w:p>
    <w:p w:rsidR="00807238" w:rsidRDefault="00807238" w:rsidP="007F44CC">
      <w:pPr>
        <w:pStyle w:val="Caption"/>
      </w:pPr>
      <w:bookmarkStart w:id="34" w:name="_Ref524511634"/>
      <w:bookmarkStart w:id="35" w:name="_Ref527369401"/>
      <w:bookmarkStart w:id="36" w:name="_Toc527385235"/>
      <w:r>
        <w:t xml:space="preserve">Table </w:t>
      </w:r>
      <w:bookmarkEnd w:id="34"/>
      <w:r w:rsidR="00C72BFB">
        <w:fldChar w:fldCharType="begin"/>
      </w:r>
      <w:r w:rsidR="00C72BFB">
        <w:instrText xml:space="preserve"> SEQ Table \* ARABIC </w:instrText>
      </w:r>
      <w:r w:rsidR="00C72BFB">
        <w:fldChar w:fldCharType="separate"/>
      </w:r>
      <w:r w:rsidR="00342D61">
        <w:rPr>
          <w:noProof/>
        </w:rPr>
        <w:t>8</w:t>
      </w:r>
      <w:r w:rsidR="00C72BFB">
        <w:fldChar w:fldCharType="end"/>
      </w:r>
      <w:bookmarkEnd w:id="35"/>
      <w:r w:rsidR="00C72BFB" w:rsidRPr="006F7C01">
        <w:t xml:space="preserve"> </w:t>
      </w:r>
      <w:r w:rsidRPr="00C34A59">
        <w:t>Total expenditure, by jurisdiction, R</w:t>
      </w:r>
      <w:r w:rsidR="009C47B3">
        <w:t xml:space="preserve">ound </w:t>
      </w:r>
      <w:r w:rsidRPr="00C34A59">
        <w:t>19</w:t>
      </w:r>
      <w:r w:rsidR="00AE3B41">
        <w:t>-</w:t>
      </w:r>
      <w:r w:rsidRPr="00C34A59">
        <w:t>21</w:t>
      </w:r>
      <w:bookmarkEnd w:id="36"/>
    </w:p>
    <w:tbl>
      <w:tblPr>
        <w:tblW w:w="7960" w:type="dxa"/>
        <w:tblInd w:w="93" w:type="dxa"/>
        <w:tblLook w:val="04A0" w:firstRow="1" w:lastRow="0" w:firstColumn="1" w:lastColumn="0" w:noHBand="0" w:noVBand="1"/>
        <w:tblCaption w:val="Table 8 Total expenditure, by jurisdiction, Round 19-21"/>
        <w:tblDescription w:val="The table diplays the total expenditure by jurisdiction between Round 19 to Round 21. "/>
      </w:tblPr>
      <w:tblGrid>
        <w:gridCol w:w="1240"/>
        <w:gridCol w:w="1177"/>
        <w:gridCol w:w="1177"/>
        <w:gridCol w:w="1177"/>
        <w:gridCol w:w="1177"/>
        <w:gridCol w:w="1177"/>
        <w:gridCol w:w="1177"/>
      </w:tblGrid>
      <w:tr w:rsidR="00985220" w:rsidRPr="00985220" w:rsidTr="00985220">
        <w:trPr>
          <w:trHeight w:val="300"/>
        </w:trPr>
        <w:tc>
          <w:tcPr>
            <w:tcW w:w="1240" w:type="dxa"/>
            <w:tcBorders>
              <w:top w:val="single" w:sz="4" w:space="0" w:color="auto"/>
              <w:left w:val="nil"/>
              <w:bottom w:val="nil"/>
              <w:right w:val="nil"/>
            </w:tcBorders>
            <w:shd w:val="clear" w:color="auto" w:fill="auto"/>
            <w:noWrap/>
            <w:vAlign w:val="center"/>
            <w:hideMark/>
          </w:tcPr>
          <w:p w:rsidR="00985220" w:rsidRPr="00985220" w:rsidRDefault="00985220" w:rsidP="00985220">
            <w:pPr>
              <w:spacing w:before="0" w:after="0" w:line="240" w:lineRule="auto"/>
              <w:rPr>
                <w:rFonts w:cs="Arial"/>
                <w:color w:val="000000"/>
                <w:sz w:val="20"/>
                <w:szCs w:val="20"/>
              </w:rPr>
            </w:pPr>
            <w:r w:rsidRPr="00985220">
              <w:rPr>
                <w:rFonts w:cs="Arial"/>
                <w:color w:val="000000"/>
                <w:sz w:val="20"/>
                <w:szCs w:val="20"/>
              </w:rPr>
              <w:t> </w:t>
            </w:r>
          </w:p>
        </w:tc>
        <w:tc>
          <w:tcPr>
            <w:tcW w:w="2240" w:type="dxa"/>
            <w:gridSpan w:val="2"/>
            <w:tcBorders>
              <w:top w:val="single" w:sz="4" w:space="0" w:color="auto"/>
              <w:left w:val="nil"/>
              <w:bottom w:val="single" w:sz="4" w:space="0" w:color="auto"/>
              <w:right w:val="nil"/>
            </w:tcBorders>
            <w:shd w:val="clear" w:color="000000" w:fill="FFFFFF"/>
            <w:noWrap/>
            <w:vAlign w:val="center"/>
            <w:hideMark/>
          </w:tcPr>
          <w:p w:rsidR="00985220" w:rsidRPr="00985220" w:rsidRDefault="00985220" w:rsidP="00985220">
            <w:pPr>
              <w:spacing w:before="0" w:after="0" w:line="240" w:lineRule="auto"/>
              <w:jc w:val="center"/>
              <w:rPr>
                <w:rFonts w:cs="Arial"/>
                <w:b/>
                <w:bCs/>
                <w:color w:val="000000"/>
                <w:szCs w:val="22"/>
              </w:rPr>
            </w:pPr>
            <w:r w:rsidRPr="00985220">
              <w:rPr>
                <w:rFonts w:cs="Arial"/>
                <w:b/>
                <w:bCs/>
                <w:color w:val="000000"/>
                <w:szCs w:val="22"/>
              </w:rPr>
              <w:t>Round 19</w:t>
            </w:r>
          </w:p>
        </w:tc>
        <w:tc>
          <w:tcPr>
            <w:tcW w:w="2240" w:type="dxa"/>
            <w:gridSpan w:val="2"/>
            <w:tcBorders>
              <w:top w:val="single" w:sz="4" w:space="0" w:color="auto"/>
              <w:left w:val="nil"/>
              <w:bottom w:val="single" w:sz="4" w:space="0" w:color="auto"/>
              <w:right w:val="nil"/>
            </w:tcBorders>
            <w:shd w:val="clear" w:color="000000" w:fill="FFFFFF"/>
            <w:noWrap/>
            <w:vAlign w:val="center"/>
            <w:hideMark/>
          </w:tcPr>
          <w:p w:rsidR="00985220" w:rsidRPr="00985220" w:rsidRDefault="00985220" w:rsidP="00985220">
            <w:pPr>
              <w:spacing w:before="0" w:after="0" w:line="240" w:lineRule="auto"/>
              <w:jc w:val="center"/>
              <w:rPr>
                <w:rFonts w:cs="Arial"/>
                <w:b/>
                <w:bCs/>
                <w:color w:val="000000"/>
                <w:szCs w:val="22"/>
              </w:rPr>
            </w:pPr>
            <w:r w:rsidRPr="00985220">
              <w:rPr>
                <w:rFonts w:cs="Arial"/>
                <w:b/>
                <w:bCs/>
                <w:color w:val="000000"/>
                <w:szCs w:val="22"/>
              </w:rPr>
              <w:t>Round 20</w:t>
            </w:r>
          </w:p>
        </w:tc>
        <w:tc>
          <w:tcPr>
            <w:tcW w:w="2240" w:type="dxa"/>
            <w:gridSpan w:val="2"/>
            <w:tcBorders>
              <w:top w:val="single" w:sz="4" w:space="0" w:color="auto"/>
              <w:left w:val="nil"/>
              <w:bottom w:val="single" w:sz="4" w:space="0" w:color="auto"/>
              <w:right w:val="nil"/>
            </w:tcBorders>
            <w:shd w:val="clear" w:color="000000" w:fill="FFFFFF"/>
            <w:noWrap/>
            <w:vAlign w:val="center"/>
            <w:hideMark/>
          </w:tcPr>
          <w:p w:rsidR="00985220" w:rsidRPr="00985220" w:rsidRDefault="00985220" w:rsidP="00985220">
            <w:pPr>
              <w:spacing w:before="0" w:after="0" w:line="240" w:lineRule="auto"/>
              <w:jc w:val="center"/>
              <w:rPr>
                <w:rFonts w:cs="Arial"/>
                <w:b/>
                <w:bCs/>
                <w:color w:val="000000"/>
                <w:szCs w:val="22"/>
              </w:rPr>
            </w:pPr>
            <w:r w:rsidRPr="00985220">
              <w:rPr>
                <w:rFonts w:cs="Arial"/>
                <w:b/>
                <w:bCs/>
                <w:color w:val="000000"/>
                <w:szCs w:val="22"/>
              </w:rPr>
              <w:t>Round 21</w:t>
            </w:r>
          </w:p>
        </w:tc>
      </w:tr>
      <w:tr w:rsidR="00985220" w:rsidRPr="00985220" w:rsidTr="00985220">
        <w:trPr>
          <w:trHeight w:val="480"/>
        </w:trPr>
        <w:tc>
          <w:tcPr>
            <w:tcW w:w="1240" w:type="dxa"/>
            <w:tcBorders>
              <w:top w:val="nil"/>
              <w:left w:val="nil"/>
              <w:bottom w:val="single" w:sz="4" w:space="0" w:color="auto"/>
              <w:right w:val="nil"/>
            </w:tcBorders>
            <w:shd w:val="clear" w:color="auto" w:fill="auto"/>
            <w:noWrap/>
            <w:vAlign w:val="center"/>
            <w:hideMark/>
          </w:tcPr>
          <w:p w:rsidR="00985220" w:rsidRPr="00985220" w:rsidRDefault="00985220" w:rsidP="00985220">
            <w:pPr>
              <w:spacing w:before="0" w:after="0" w:line="240" w:lineRule="auto"/>
              <w:rPr>
                <w:rFonts w:cs="Arial"/>
                <w:b/>
                <w:bCs/>
                <w:color w:val="000000"/>
                <w:sz w:val="18"/>
                <w:szCs w:val="18"/>
              </w:rPr>
            </w:pPr>
            <w:r w:rsidRPr="00985220">
              <w:rPr>
                <w:rFonts w:cs="Arial"/>
                <w:b/>
                <w:bCs/>
                <w:color w:val="000000"/>
                <w:sz w:val="18"/>
                <w:szCs w:val="18"/>
              </w:rPr>
              <w:t>Jurisdiction</w:t>
            </w:r>
          </w:p>
        </w:tc>
        <w:tc>
          <w:tcPr>
            <w:tcW w:w="1120" w:type="dxa"/>
            <w:tcBorders>
              <w:top w:val="nil"/>
              <w:left w:val="nil"/>
              <w:bottom w:val="single" w:sz="4" w:space="0" w:color="auto"/>
              <w:right w:val="nil"/>
            </w:tcBorders>
            <w:shd w:val="clear" w:color="000000" w:fill="FFFFFF"/>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Total Expenditure</w:t>
            </w:r>
          </w:p>
        </w:tc>
        <w:tc>
          <w:tcPr>
            <w:tcW w:w="1120" w:type="dxa"/>
            <w:tcBorders>
              <w:top w:val="nil"/>
              <w:left w:val="nil"/>
              <w:bottom w:val="single" w:sz="4" w:space="0" w:color="auto"/>
              <w:right w:val="nil"/>
            </w:tcBorders>
            <w:shd w:val="clear" w:color="000000" w:fill="FFFFFF"/>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 of Total Expenditure</w:t>
            </w:r>
          </w:p>
        </w:tc>
        <w:tc>
          <w:tcPr>
            <w:tcW w:w="1120" w:type="dxa"/>
            <w:tcBorders>
              <w:top w:val="nil"/>
              <w:left w:val="nil"/>
              <w:bottom w:val="single" w:sz="4" w:space="0" w:color="auto"/>
              <w:right w:val="nil"/>
            </w:tcBorders>
            <w:shd w:val="clear" w:color="000000" w:fill="FFFFFF"/>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Total Expenditure</w:t>
            </w:r>
          </w:p>
        </w:tc>
        <w:tc>
          <w:tcPr>
            <w:tcW w:w="1120" w:type="dxa"/>
            <w:tcBorders>
              <w:top w:val="nil"/>
              <w:left w:val="nil"/>
              <w:bottom w:val="single" w:sz="4" w:space="0" w:color="auto"/>
              <w:right w:val="nil"/>
            </w:tcBorders>
            <w:shd w:val="clear" w:color="000000" w:fill="FFFFFF"/>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 of Total Expenditure</w:t>
            </w:r>
          </w:p>
        </w:tc>
        <w:tc>
          <w:tcPr>
            <w:tcW w:w="1120" w:type="dxa"/>
            <w:tcBorders>
              <w:top w:val="nil"/>
              <w:left w:val="nil"/>
              <w:bottom w:val="single" w:sz="4" w:space="0" w:color="auto"/>
              <w:right w:val="nil"/>
            </w:tcBorders>
            <w:shd w:val="clear" w:color="000000" w:fill="FFFFFF"/>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Total Expenditure</w:t>
            </w:r>
          </w:p>
        </w:tc>
        <w:tc>
          <w:tcPr>
            <w:tcW w:w="1120" w:type="dxa"/>
            <w:tcBorders>
              <w:top w:val="nil"/>
              <w:left w:val="nil"/>
              <w:bottom w:val="single" w:sz="4" w:space="0" w:color="auto"/>
              <w:right w:val="nil"/>
            </w:tcBorders>
            <w:shd w:val="clear" w:color="000000" w:fill="FFFFFF"/>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 of Total Expenditure</w:t>
            </w:r>
          </w:p>
        </w:tc>
      </w:tr>
      <w:tr w:rsidR="00985220" w:rsidRPr="00985220" w:rsidTr="00985220">
        <w:trPr>
          <w:trHeight w:val="300"/>
        </w:trPr>
        <w:tc>
          <w:tcPr>
            <w:tcW w:w="1240" w:type="dxa"/>
            <w:tcBorders>
              <w:top w:val="nil"/>
              <w:left w:val="nil"/>
              <w:bottom w:val="single" w:sz="4" w:space="0" w:color="auto"/>
              <w:right w:val="nil"/>
            </w:tcBorders>
            <w:shd w:val="clear" w:color="000000" w:fill="FFFFFF"/>
            <w:noWrap/>
            <w:vAlign w:val="bottom"/>
            <w:hideMark/>
          </w:tcPr>
          <w:p w:rsidR="00985220" w:rsidRPr="00985220" w:rsidRDefault="00985220" w:rsidP="00985220">
            <w:pPr>
              <w:spacing w:before="0" w:after="0" w:line="240" w:lineRule="auto"/>
              <w:rPr>
                <w:rFonts w:cs="Arial"/>
                <w:color w:val="000000"/>
                <w:sz w:val="18"/>
                <w:szCs w:val="18"/>
              </w:rPr>
            </w:pPr>
            <w:r w:rsidRPr="00985220">
              <w:rPr>
                <w:rFonts w:cs="Arial"/>
                <w:color w:val="000000"/>
                <w:sz w:val="18"/>
                <w:szCs w:val="18"/>
              </w:rPr>
              <w:t> </w:t>
            </w:r>
          </w:p>
        </w:tc>
        <w:tc>
          <w:tcPr>
            <w:tcW w:w="1120" w:type="dxa"/>
            <w:tcBorders>
              <w:top w:val="nil"/>
              <w:left w:val="nil"/>
              <w:bottom w:val="single" w:sz="4" w:space="0" w:color="auto"/>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($m)</w:t>
            </w:r>
          </w:p>
        </w:tc>
        <w:tc>
          <w:tcPr>
            <w:tcW w:w="1120" w:type="dxa"/>
            <w:tcBorders>
              <w:top w:val="nil"/>
              <w:left w:val="nil"/>
              <w:bottom w:val="single" w:sz="4" w:space="0" w:color="auto"/>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w:t>
            </w:r>
          </w:p>
        </w:tc>
        <w:tc>
          <w:tcPr>
            <w:tcW w:w="1120" w:type="dxa"/>
            <w:tcBorders>
              <w:top w:val="nil"/>
              <w:left w:val="nil"/>
              <w:bottom w:val="single" w:sz="4" w:space="0" w:color="auto"/>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($m)</w:t>
            </w:r>
          </w:p>
        </w:tc>
        <w:tc>
          <w:tcPr>
            <w:tcW w:w="1120" w:type="dxa"/>
            <w:tcBorders>
              <w:top w:val="nil"/>
              <w:left w:val="nil"/>
              <w:bottom w:val="single" w:sz="4" w:space="0" w:color="auto"/>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w:t>
            </w:r>
          </w:p>
        </w:tc>
        <w:tc>
          <w:tcPr>
            <w:tcW w:w="1120" w:type="dxa"/>
            <w:tcBorders>
              <w:top w:val="nil"/>
              <w:left w:val="nil"/>
              <w:bottom w:val="single" w:sz="4" w:space="0" w:color="auto"/>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($m)</w:t>
            </w:r>
          </w:p>
        </w:tc>
        <w:tc>
          <w:tcPr>
            <w:tcW w:w="1120" w:type="dxa"/>
            <w:tcBorders>
              <w:top w:val="nil"/>
              <w:left w:val="nil"/>
              <w:bottom w:val="single" w:sz="4" w:space="0" w:color="auto"/>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w:t>
            </w:r>
          </w:p>
        </w:tc>
      </w:tr>
      <w:tr w:rsidR="00985220" w:rsidRPr="00985220" w:rsidTr="00985220">
        <w:trPr>
          <w:trHeight w:val="300"/>
        </w:trPr>
        <w:tc>
          <w:tcPr>
            <w:tcW w:w="1240" w:type="dxa"/>
            <w:tcBorders>
              <w:top w:val="nil"/>
              <w:left w:val="nil"/>
              <w:bottom w:val="nil"/>
              <w:right w:val="nil"/>
            </w:tcBorders>
            <w:shd w:val="clear" w:color="000000" w:fill="FFFFFF"/>
            <w:noWrap/>
            <w:vAlign w:val="bottom"/>
            <w:hideMark/>
          </w:tcPr>
          <w:p w:rsidR="00985220" w:rsidRPr="00985220" w:rsidRDefault="00985220" w:rsidP="00985220">
            <w:pPr>
              <w:spacing w:before="0" w:after="0" w:line="240" w:lineRule="auto"/>
              <w:rPr>
                <w:rFonts w:cs="Arial"/>
                <w:color w:val="000000"/>
                <w:sz w:val="18"/>
                <w:szCs w:val="18"/>
              </w:rPr>
            </w:pPr>
            <w:r w:rsidRPr="00985220">
              <w:rPr>
                <w:rFonts w:cs="Arial"/>
                <w:color w:val="000000"/>
                <w:sz w:val="18"/>
                <w:szCs w:val="18"/>
              </w:rPr>
              <w:t>NSW</w:t>
            </w:r>
          </w:p>
        </w:tc>
        <w:tc>
          <w:tcPr>
            <w:tcW w:w="1120" w:type="dxa"/>
            <w:tcBorders>
              <w:top w:val="nil"/>
              <w:left w:val="nil"/>
              <w:bottom w:val="nil"/>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$11,306</w:t>
            </w:r>
          </w:p>
        </w:tc>
        <w:tc>
          <w:tcPr>
            <w:tcW w:w="1120" w:type="dxa"/>
            <w:tcBorders>
              <w:top w:val="nil"/>
              <w:left w:val="nil"/>
              <w:bottom w:val="nil"/>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31%</w:t>
            </w:r>
          </w:p>
        </w:tc>
        <w:tc>
          <w:tcPr>
            <w:tcW w:w="1120" w:type="dxa"/>
            <w:tcBorders>
              <w:top w:val="nil"/>
              <w:left w:val="nil"/>
              <w:bottom w:val="nil"/>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$12,158</w:t>
            </w:r>
          </w:p>
        </w:tc>
        <w:tc>
          <w:tcPr>
            <w:tcW w:w="1120" w:type="dxa"/>
            <w:tcBorders>
              <w:top w:val="nil"/>
              <w:left w:val="nil"/>
              <w:bottom w:val="nil"/>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30%</w:t>
            </w:r>
          </w:p>
        </w:tc>
        <w:tc>
          <w:tcPr>
            <w:tcW w:w="1120" w:type="dxa"/>
            <w:tcBorders>
              <w:top w:val="nil"/>
              <w:left w:val="nil"/>
              <w:bottom w:val="nil"/>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$12,752</w:t>
            </w:r>
          </w:p>
        </w:tc>
        <w:tc>
          <w:tcPr>
            <w:tcW w:w="1120" w:type="dxa"/>
            <w:tcBorders>
              <w:top w:val="nil"/>
              <w:left w:val="nil"/>
              <w:bottom w:val="nil"/>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29%</w:t>
            </w:r>
          </w:p>
        </w:tc>
      </w:tr>
      <w:tr w:rsidR="00985220" w:rsidRPr="00985220" w:rsidTr="00985220">
        <w:trPr>
          <w:trHeight w:val="300"/>
        </w:trPr>
        <w:tc>
          <w:tcPr>
            <w:tcW w:w="1240" w:type="dxa"/>
            <w:tcBorders>
              <w:top w:val="nil"/>
              <w:left w:val="nil"/>
              <w:bottom w:val="nil"/>
              <w:right w:val="nil"/>
            </w:tcBorders>
            <w:shd w:val="clear" w:color="000000" w:fill="FFFFFF"/>
            <w:noWrap/>
            <w:vAlign w:val="bottom"/>
            <w:hideMark/>
          </w:tcPr>
          <w:p w:rsidR="00985220" w:rsidRPr="00985220" w:rsidRDefault="00985220" w:rsidP="00985220">
            <w:pPr>
              <w:spacing w:before="0" w:after="0" w:line="240" w:lineRule="auto"/>
              <w:rPr>
                <w:rFonts w:cs="Arial"/>
                <w:color w:val="000000"/>
                <w:sz w:val="18"/>
                <w:szCs w:val="18"/>
              </w:rPr>
            </w:pPr>
            <w:r w:rsidRPr="00985220">
              <w:rPr>
                <w:rFonts w:cs="Arial"/>
                <w:color w:val="000000"/>
                <w:sz w:val="18"/>
                <w:szCs w:val="18"/>
              </w:rPr>
              <w:t>Vic</w:t>
            </w:r>
          </w:p>
        </w:tc>
        <w:tc>
          <w:tcPr>
            <w:tcW w:w="1120" w:type="dxa"/>
            <w:tcBorders>
              <w:top w:val="nil"/>
              <w:left w:val="nil"/>
              <w:bottom w:val="nil"/>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$8,062</w:t>
            </w:r>
          </w:p>
        </w:tc>
        <w:tc>
          <w:tcPr>
            <w:tcW w:w="1120" w:type="dxa"/>
            <w:tcBorders>
              <w:top w:val="nil"/>
              <w:left w:val="nil"/>
              <w:bottom w:val="nil"/>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22%</w:t>
            </w:r>
          </w:p>
        </w:tc>
        <w:tc>
          <w:tcPr>
            <w:tcW w:w="1120" w:type="dxa"/>
            <w:tcBorders>
              <w:top w:val="nil"/>
              <w:left w:val="nil"/>
              <w:bottom w:val="nil"/>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$8,765</w:t>
            </w:r>
          </w:p>
        </w:tc>
        <w:tc>
          <w:tcPr>
            <w:tcW w:w="1120" w:type="dxa"/>
            <w:tcBorders>
              <w:top w:val="nil"/>
              <w:left w:val="nil"/>
              <w:bottom w:val="nil"/>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22%</w:t>
            </w:r>
          </w:p>
        </w:tc>
        <w:tc>
          <w:tcPr>
            <w:tcW w:w="1120" w:type="dxa"/>
            <w:tcBorders>
              <w:top w:val="nil"/>
              <w:left w:val="nil"/>
              <w:bottom w:val="nil"/>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$9,818</w:t>
            </w:r>
          </w:p>
        </w:tc>
        <w:tc>
          <w:tcPr>
            <w:tcW w:w="1120" w:type="dxa"/>
            <w:tcBorders>
              <w:top w:val="nil"/>
              <w:left w:val="nil"/>
              <w:bottom w:val="nil"/>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22%</w:t>
            </w:r>
          </w:p>
        </w:tc>
      </w:tr>
      <w:tr w:rsidR="00985220" w:rsidRPr="00985220" w:rsidTr="00985220">
        <w:trPr>
          <w:trHeight w:val="300"/>
        </w:trPr>
        <w:tc>
          <w:tcPr>
            <w:tcW w:w="1240" w:type="dxa"/>
            <w:tcBorders>
              <w:top w:val="nil"/>
              <w:left w:val="nil"/>
              <w:bottom w:val="nil"/>
              <w:right w:val="nil"/>
            </w:tcBorders>
            <w:shd w:val="clear" w:color="000000" w:fill="FFFFFF"/>
            <w:noWrap/>
            <w:vAlign w:val="bottom"/>
            <w:hideMark/>
          </w:tcPr>
          <w:p w:rsidR="00985220" w:rsidRPr="00985220" w:rsidRDefault="00985220" w:rsidP="00985220">
            <w:pPr>
              <w:spacing w:before="0" w:after="0" w:line="240" w:lineRule="auto"/>
              <w:rPr>
                <w:rFonts w:cs="Arial"/>
                <w:color w:val="000000"/>
                <w:sz w:val="18"/>
                <w:szCs w:val="18"/>
              </w:rPr>
            </w:pPr>
            <w:r w:rsidRPr="00985220">
              <w:rPr>
                <w:rFonts w:cs="Arial"/>
                <w:color w:val="000000"/>
                <w:sz w:val="18"/>
                <w:szCs w:val="18"/>
              </w:rPr>
              <w:t>Qld</w:t>
            </w:r>
          </w:p>
        </w:tc>
        <w:tc>
          <w:tcPr>
            <w:tcW w:w="1120" w:type="dxa"/>
            <w:tcBorders>
              <w:top w:val="nil"/>
              <w:left w:val="nil"/>
              <w:bottom w:val="nil"/>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$7,929</w:t>
            </w:r>
          </w:p>
        </w:tc>
        <w:tc>
          <w:tcPr>
            <w:tcW w:w="1120" w:type="dxa"/>
            <w:tcBorders>
              <w:top w:val="nil"/>
              <w:left w:val="nil"/>
              <w:bottom w:val="nil"/>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21%</w:t>
            </w:r>
          </w:p>
        </w:tc>
        <w:tc>
          <w:tcPr>
            <w:tcW w:w="1120" w:type="dxa"/>
            <w:tcBorders>
              <w:top w:val="nil"/>
              <w:left w:val="nil"/>
              <w:bottom w:val="nil"/>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$8,570</w:t>
            </w:r>
          </w:p>
        </w:tc>
        <w:tc>
          <w:tcPr>
            <w:tcW w:w="1120" w:type="dxa"/>
            <w:tcBorders>
              <w:top w:val="nil"/>
              <w:left w:val="nil"/>
              <w:bottom w:val="nil"/>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21%</w:t>
            </w:r>
          </w:p>
        </w:tc>
        <w:tc>
          <w:tcPr>
            <w:tcW w:w="1120" w:type="dxa"/>
            <w:tcBorders>
              <w:top w:val="nil"/>
              <w:left w:val="nil"/>
              <w:bottom w:val="nil"/>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$10,117</w:t>
            </w:r>
          </w:p>
        </w:tc>
        <w:tc>
          <w:tcPr>
            <w:tcW w:w="1120" w:type="dxa"/>
            <w:tcBorders>
              <w:top w:val="nil"/>
              <w:left w:val="nil"/>
              <w:bottom w:val="nil"/>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23%</w:t>
            </w:r>
          </w:p>
        </w:tc>
      </w:tr>
      <w:tr w:rsidR="00985220" w:rsidRPr="00985220" w:rsidTr="00985220">
        <w:trPr>
          <w:trHeight w:val="300"/>
        </w:trPr>
        <w:tc>
          <w:tcPr>
            <w:tcW w:w="1240" w:type="dxa"/>
            <w:tcBorders>
              <w:top w:val="nil"/>
              <w:left w:val="nil"/>
              <w:bottom w:val="nil"/>
              <w:right w:val="nil"/>
            </w:tcBorders>
            <w:shd w:val="clear" w:color="000000" w:fill="FFFFFF"/>
            <w:noWrap/>
            <w:vAlign w:val="bottom"/>
            <w:hideMark/>
          </w:tcPr>
          <w:p w:rsidR="00985220" w:rsidRPr="00985220" w:rsidRDefault="00985220" w:rsidP="00985220">
            <w:pPr>
              <w:spacing w:before="0" w:after="0" w:line="240" w:lineRule="auto"/>
              <w:rPr>
                <w:rFonts w:cs="Arial"/>
                <w:color w:val="000000"/>
                <w:sz w:val="18"/>
                <w:szCs w:val="18"/>
              </w:rPr>
            </w:pPr>
            <w:r w:rsidRPr="00985220">
              <w:rPr>
                <w:rFonts w:cs="Arial"/>
                <w:color w:val="000000"/>
                <w:sz w:val="18"/>
                <w:szCs w:val="18"/>
              </w:rPr>
              <w:t>SA</w:t>
            </w:r>
          </w:p>
        </w:tc>
        <w:tc>
          <w:tcPr>
            <w:tcW w:w="1120" w:type="dxa"/>
            <w:tcBorders>
              <w:top w:val="nil"/>
              <w:left w:val="nil"/>
              <w:bottom w:val="nil"/>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$3,079</w:t>
            </w:r>
          </w:p>
        </w:tc>
        <w:tc>
          <w:tcPr>
            <w:tcW w:w="1120" w:type="dxa"/>
            <w:tcBorders>
              <w:top w:val="nil"/>
              <w:left w:val="nil"/>
              <w:bottom w:val="nil"/>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8%</w:t>
            </w:r>
          </w:p>
        </w:tc>
        <w:tc>
          <w:tcPr>
            <w:tcW w:w="1120" w:type="dxa"/>
            <w:tcBorders>
              <w:top w:val="nil"/>
              <w:left w:val="nil"/>
              <w:bottom w:val="nil"/>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$3,255</w:t>
            </w:r>
          </w:p>
        </w:tc>
        <w:tc>
          <w:tcPr>
            <w:tcW w:w="1120" w:type="dxa"/>
            <w:tcBorders>
              <w:top w:val="nil"/>
              <w:left w:val="nil"/>
              <w:bottom w:val="nil"/>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8%</w:t>
            </w:r>
          </w:p>
        </w:tc>
        <w:tc>
          <w:tcPr>
            <w:tcW w:w="1120" w:type="dxa"/>
            <w:tcBorders>
              <w:top w:val="nil"/>
              <w:left w:val="nil"/>
              <w:bottom w:val="nil"/>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$3,345</w:t>
            </w:r>
          </w:p>
        </w:tc>
        <w:tc>
          <w:tcPr>
            <w:tcW w:w="1120" w:type="dxa"/>
            <w:tcBorders>
              <w:top w:val="nil"/>
              <w:left w:val="nil"/>
              <w:bottom w:val="nil"/>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8%</w:t>
            </w:r>
          </w:p>
        </w:tc>
      </w:tr>
      <w:tr w:rsidR="00985220" w:rsidRPr="00985220" w:rsidTr="00985220">
        <w:trPr>
          <w:trHeight w:val="300"/>
        </w:trPr>
        <w:tc>
          <w:tcPr>
            <w:tcW w:w="1240" w:type="dxa"/>
            <w:tcBorders>
              <w:top w:val="nil"/>
              <w:left w:val="nil"/>
              <w:bottom w:val="nil"/>
              <w:right w:val="nil"/>
            </w:tcBorders>
            <w:shd w:val="clear" w:color="000000" w:fill="FFFFFF"/>
            <w:noWrap/>
            <w:vAlign w:val="bottom"/>
            <w:hideMark/>
          </w:tcPr>
          <w:p w:rsidR="00985220" w:rsidRPr="00985220" w:rsidRDefault="00985220" w:rsidP="00985220">
            <w:pPr>
              <w:spacing w:before="0" w:after="0" w:line="240" w:lineRule="auto"/>
              <w:rPr>
                <w:rFonts w:cs="Arial"/>
                <w:color w:val="000000"/>
                <w:sz w:val="18"/>
                <w:szCs w:val="18"/>
              </w:rPr>
            </w:pPr>
            <w:r w:rsidRPr="00985220">
              <w:rPr>
                <w:rFonts w:cs="Arial"/>
                <w:color w:val="000000"/>
                <w:sz w:val="18"/>
                <w:szCs w:val="18"/>
              </w:rPr>
              <w:t>WA</w:t>
            </w:r>
          </w:p>
        </w:tc>
        <w:tc>
          <w:tcPr>
            <w:tcW w:w="1120" w:type="dxa"/>
            <w:tcBorders>
              <w:top w:val="nil"/>
              <w:left w:val="nil"/>
              <w:bottom w:val="nil"/>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$3,970</w:t>
            </w:r>
          </w:p>
        </w:tc>
        <w:tc>
          <w:tcPr>
            <w:tcW w:w="1120" w:type="dxa"/>
            <w:tcBorders>
              <w:top w:val="nil"/>
              <w:left w:val="nil"/>
              <w:bottom w:val="nil"/>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11%</w:t>
            </w:r>
          </w:p>
        </w:tc>
        <w:tc>
          <w:tcPr>
            <w:tcW w:w="1120" w:type="dxa"/>
            <w:tcBorders>
              <w:top w:val="nil"/>
              <w:left w:val="nil"/>
              <w:bottom w:val="nil"/>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$4,622</w:t>
            </w:r>
          </w:p>
        </w:tc>
        <w:tc>
          <w:tcPr>
            <w:tcW w:w="1120" w:type="dxa"/>
            <w:tcBorders>
              <w:top w:val="nil"/>
              <w:left w:val="nil"/>
              <w:bottom w:val="nil"/>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11%</w:t>
            </w:r>
          </w:p>
        </w:tc>
        <w:tc>
          <w:tcPr>
            <w:tcW w:w="1120" w:type="dxa"/>
            <w:tcBorders>
              <w:top w:val="nil"/>
              <w:left w:val="nil"/>
              <w:bottom w:val="nil"/>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$4,860</w:t>
            </w:r>
          </w:p>
        </w:tc>
        <w:tc>
          <w:tcPr>
            <w:tcW w:w="1120" w:type="dxa"/>
            <w:tcBorders>
              <w:top w:val="nil"/>
              <w:left w:val="nil"/>
              <w:bottom w:val="nil"/>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11%</w:t>
            </w:r>
          </w:p>
        </w:tc>
      </w:tr>
      <w:tr w:rsidR="00985220" w:rsidRPr="00985220" w:rsidTr="00985220">
        <w:trPr>
          <w:trHeight w:val="300"/>
        </w:trPr>
        <w:tc>
          <w:tcPr>
            <w:tcW w:w="1240" w:type="dxa"/>
            <w:tcBorders>
              <w:top w:val="nil"/>
              <w:left w:val="nil"/>
              <w:bottom w:val="nil"/>
              <w:right w:val="nil"/>
            </w:tcBorders>
            <w:shd w:val="clear" w:color="000000" w:fill="FFFFFF"/>
            <w:noWrap/>
            <w:vAlign w:val="bottom"/>
            <w:hideMark/>
          </w:tcPr>
          <w:p w:rsidR="00985220" w:rsidRPr="00985220" w:rsidRDefault="00985220" w:rsidP="00985220">
            <w:pPr>
              <w:spacing w:before="0" w:after="0" w:line="240" w:lineRule="auto"/>
              <w:rPr>
                <w:rFonts w:cs="Arial"/>
                <w:color w:val="000000"/>
                <w:sz w:val="18"/>
                <w:szCs w:val="18"/>
              </w:rPr>
            </w:pPr>
            <w:proofErr w:type="spellStart"/>
            <w:r w:rsidRPr="00985220">
              <w:rPr>
                <w:rFonts w:cs="Arial"/>
                <w:color w:val="000000"/>
                <w:sz w:val="18"/>
                <w:szCs w:val="18"/>
              </w:rPr>
              <w:t>Tas</w:t>
            </w:r>
            <w:proofErr w:type="spellEnd"/>
          </w:p>
        </w:tc>
        <w:tc>
          <w:tcPr>
            <w:tcW w:w="1120" w:type="dxa"/>
            <w:tcBorders>
              <w:top w:val="nil"/>
              <w:left w:val="nil"/>
              <w:bottom w:val="nil"/>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$775</w:t>
            </w:r>
          </w:p>
        </w:tc>
        <w:tc>
          <w:tcPr>
            <w:tcW w:w="1120" w:type="dxa"/>
            <w:tcBorders>
              <w:top w:val="nil"/>
              <w:left w:val="nil"/>
              <w:bottom w:val="nil"/>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2%</w:t>
            </w:r>
          </w:p>
        </w:tc>
        <w:tc>
          <w:tcPr>
            <w:tcW w:w="1120" w:type="dxa"/>
            <w:tcBorders>
              <w:top w:val="nil"/>
              <w:left w:val="nil"/>
              <w:bottom w:val="nil"/>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$906</w:t>
            </w:r>
          </w:p>
        </w:tc>
        <w:tc>
          <w:tcPr>
            <w:tcW w:w="1120" w:type="dxa"/>
            <w:tcBorders>
              <w:top w:val="nil"/>
              <w:left w:val="nil"/>
              <w:bottom w:val="nil"/>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2%</w:t>
            </w:r>
          </w:p>
        </w:tc>
        <w:tc>
          <w:tcPr>
            <w:tcW w:w="1120" w:type="dxa"/>
            <w:tcBorders>
              <w:top w:val="nil"/>
              <w:left w:val="nil"/>
              <w:bottom w:val="nil"/>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$948</w:t>
            </w:r>
          </w:p>
        </w:tc>
        <w:tc>
          <w:tcPr>
            <w:tcW w:w="1120" w:type="dxa"/>
            <w:tcBorders>
              <w:top w:val="nil"/>
              <w:left w:val="nil"/>
              <w:bottom w:val="nil"/>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2%</w:t>
            </w:r>
          </w:p>
        </w:tc>
      </w:tr>
      <w:tr w:rsidR="00985220" w:rsidRPr="00985220" w:rsidTr="00985220">
        <w:trPr>
          <w:trHeight w:val="300"/>
        </w:trPr>
        <w:tc>
          <w:tcPr>
            <w:tcW w:w="1240" w:type="dxa"/>
            <w:tcBorders>
              <w:top w:val="nil"/>
              <w:left w:val="nil"/>
              <w:bottom w:val="nil"/>
              <w:right w:val="nil"/>
            </w:tcBorders>
            <w:shd w:val="clear" w:color="000000" w:fill="FFFFFF"/>
            <w:noWrap/>
            <w:vAlign w:val="bottom"/>
            <w:hideMark/>
          </w:tcPr>
          <w:p w:rsidR="00985220" w:rsidRPr="00985220" w:rsidRDefault="00985220" w:rsidP="00985220">
            <w:pPr>
              <w:spacing w:before="0" w:after="0" w:line="240" w:lineRule="auto"/>
              <w:rPr>
                <w:rFonts w:cs="Arial"/>
                <w:color w:val="000000"/>
                <w:sz w:val="18"/>
                <w:szCs w:val="18"/>
              </w:rPr>
            </w:pPr>
            <w:r w:rsidRPr="00985220">
              <w:rPr>
                <w:rFonts w:cs="Arial"/>
                <w:color w:val="000000"/>
                <w:sz w:val="18"/>
                <w:szCs w:val="18"/>
              </w:rPr>
              <w:t>NT</w:t>
            </w:r>
          </w:p>
        </w:tc>
        <w:tc>
          <w:tcPr>
            <w:tcW w:w="1120" w:type="dxa"/>
            <w:tcBorders>
              <w:top w:val="nil"/>
              <w:left w:val="nil"/>
              <w:bottom w:val="nil"/>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$761</w:t>
            </w:r>
          </w:p>
        </w:tc>
        <w:tc>
          <w:tcPr>
            <w:tcW w:w="1120" w:type="dxa"/>
            <w:tcBorders>
              <w:top w:val="nil"/>
              <w:left w:val="nil"/>
              <w:bottom w:val="nil"/>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2%</w:t>
            </w:r>
          </w:p>
        </w:tc>
        <w:tc>
          <w:tcPr>
            <w:tcW w:w="1120" w:type="dxa"/>
            <w:tcBorders>
              <w:top w:val="nil"/>
              <w:left w:val="nil"/>
              <w:bottom w:val="nil"/>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$834</w:t>
            </w:r>
          </w:p>
        </w:tc>
        <w:tc>
          <w:tcPr>
            <w:tcW w:w="1120" w:type="dxa"/>
            <w:tcBorders>
              <w:top w:val="nil"/>
              <w:left w:val="nil"/>
              <w:bottom w:val="nil"/>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2%</w:t>
            </w:r>
          </w:p>
        </w:tc>
        <w:tc>
          <w:tcPr>
            <w:tcW w:w="1120" w:type="dxa"/>
            <w:tcBorders>
              <w:top w:val="nil"/>
              <w:left w:val="nil"/>
              <w:bottom w:val="nil"/>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$919</w:t>
            </w:r>
          </w:p>
        </w:tc>
        <w:tc>
          <w:tcPr>
            <w:tcW w:w="1120" w:type="dxa"/>
            <w:tcBorders>
              <w:top w:val="nil"/>
              <w:left w:val="nil"/>
              <w:bottom w:val="nil"/>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2%</w:t>
            </w:r>
          </w:p>
        </w:tc>
      </w:tr>
      <w:tr w:rsidR="00985220" w:rsidRPr="00985220" w:rsidTr="00985220">
        <w:trPr>
          <w:trHeight w:val="300"/>
        </w:trPr>
        <w:tc>
          <w:tcPr>
            <w:tcW w:w="1240" w:type="dxa"/>
            <w:tcBorders>
              <w:top w:val="nil"/>
              <w:left w:val="nil"/>
              <w:bottom w:val="nil"/>
              <w:right w:val="nil"/>
            </w:tcBorders>
            <w:shd w:val="clear" w:color="000000" w:fill="FFFFFF"/>
            <w:noWrap/>
            <w:vAlign w:val="bottom"/>
            <w:hideMark/>
          </w:tcPr>
          <w:p w:rsidR="00985220" w:rsidRPr="00985220" w:rsidRDefault="00985220" w:rsidP="00985220">
            <w:pPr>
              <w:spacing w:before="0" w:after="0" w:line="240" w:lineRule="auto"/>
              <w:rPr>
                <w:rFonts w:cs="Arial"/>
                <w:color w:val="000000"/>
                <w:sz w:val="18"/>
                <w:szCs w:val="18"/>
              </w:rPr>
            </w:pPr>
            <w:r w:rsidRPr="00985220">
              <w:rPr>
                <w:rFonts w:cs="Arial"/>
                <w:color w:val="000000"/>
                <w:sz w:val="18"/>
                <w:szCs w:val="18"/>
              </w:rPr>
              <w:t>ACT</w:t>
            </w:r>
          </w:p>
        </w:tc>
        <w:tc>
          <w:tcPr>
            <w:tcW w:w="1120" w:type="dxa"/>
            <w:tcBorders>
              <w:top w:val="nil"/>
              <w:left w:val="nil"/>
              <w:bottom w:val="nil"/>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$1,083</w:t>
            </w:r>
          </w:p>
        </w:tc>
        <w:tc>
          <w:tcPr>
            <w:tcW w:w="1120" w:type="dxa"/>
            <w:tcBorders>
              <w:top w:val="nil"/>
              <w:left w:val="nil"/>
              <w:bottom w:val="nil"/>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3%</w:t>
            </w:r>
          </w:p>
        </w:tc>
        <w:tc>
          <w:tcPr>
            <w:tcW w:w="1120" w:type="dxa"/>
            <w:tcBorders>
              <w:top w:val="nil"/>
              <w:left w:val="nil"/>
              <w:bottom w:val="nil"/>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$1,182</w:t>
            </w:r>
          </w:p>
        </w:tc>
        <w:tc>
          <w:tcPr>
            <w:tcW w:w="1120" w:type="dxa"/>
            <w:tcBorders>
              <w:top w:val="nil"/>
              <w:left w:val="nil"/>
              <w:bottom w:val="nil"/>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3%</w:t>
            </w:r>
          </w:p>
        </w:tc>
        <w:tc>
          <w:tcPr>
            <w:tcW w:w="1120" w:type="dxa"/>
            <w:tcBorders>
              <w:top w:val="nil"/>
              <w:left w:val="nil"/>
              <w:bottom w:val="nil"/>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$1,011</w:t>
            </w:r>
          </w:p>
        </w:tc>
        <w:tc>
          <w:tcPr>
            <w:tcW w:w="1120" w:type="dxa"/>
            <w:tcBorders>
              <w:top w:val="nil"/>
              <w:left w:val="nil"/>
              <w:bottom w:val="nil"/>
              <w:right w:val="nil"/>
            </w:tcBorders>
            <w:shd w:val="clear" w:color="000000" w:fill="FFFFFF"/>
            <w:noWrap/>
            <w:vAlign w:val="center"/>
            <w:hideMark/>
          </w:tcPr>
          <w:p w:rsidR="00985220" w:rsidRPr="00985220" w:rsidRDefault="00985220" w:rsidP="00985220">
            <w:pPr>
              <w:spacing w:before="0" w:after="0" w:line="240" w:lineRule="auto"/>
              <w:jc w:val="right"/>
              <w:rPr>
                <w:rFonts w:cs="Arial"/>
                <w:color w:val="000000"/>
                <w:sz w:val="18"/>
                <w:szCs w:val="18"/>
              </w:rPr>
            </w:pPr>
            <w:r w:rsidRPr="00985220">
              <w:rPr>
                <w:rFonts w:cs="Arial"/>
                <w:color w:val="000000"/>
                <w:sz w:val="18"/>
                <w:szCs w:val="18"/>
              </w:rPr>
              <w:t>2%</w:t>
            </w:r>
          </w:p>
        </w:tc>
      </w:tr>
      <w:tr w:rsidR="00985220" w:rsidRPr="00985220" w:rsidTr="00985220">
        <w:trPr>
          <w:trHeight w:val="300"/>
        </w:trPr>
        <w:tc>
          <w:tcPr>
            <w:tcW w:w="1240" w:type="dxa"/>
            <w:tcBorders>
              <w:top w:val="single" w:sz="4" w:space="0" w:color="auto"/>
              <w:left w:val="nil"/>
              <w:bottom w:val="single" w:sz="4" w:space="0" w:color="auto"/>
              <w:right w:val="nil"/>
            </w:tcBorders>
            <w:shd w:val="clear" w:color="000000" w:fill="FFFFFF"/>
            <w:noWrap/>
            <w:vAlign w:val="center"/>
            <w:hideMark/>
          </w:tcPr>
          <w:p w:rsidR="00985220" w:rsidRPr="00985220" w:rsidRDefault="00985220" w:rsidP="00985220">
            <w:pPr>
              <w:spacing w:before="0" w:after="0" w:line="240" w:lineRule="auto"/>
              <w:rPr>
                <w:rFonts w:cs="Arial"/>
                <w:b/>
                <w:bCs/>
                <w:color w:val="000000"/>
                <w:sz w:val="18"/>
                <w:szCs w:val="18"/>
              </w:rPr>
            </w:pPr>
            <w:r w:rsidRPr="00985220">
              <w:rPr>
                <w:rFonts w:cs="Arial"/>
                <w:b/>
                <w:bCs/>
                <w:color w:val="000000"/>
                <w:sz w:val="18"/>
                <w:szCs w:val="18"/>
              </w:rPr>
              <w:t>Total</w:t>
            </w:r>
          </w:p>
        </w:tc>
        <w:tc>
          <w:tcPr>
            <w:tcW w:w="1120" w:type="dxa"/>
            <w:tcBorders>
              <w:top w:val="single" w:sz="4" w:space="0" w:color="auto"/>
              <w:left w:val="nil"/>
              <w:bottom w:val="single" w:sz="4" w:space="0" w:color="auto"/>
              <w:right w:val="nil"/>
            </w:tcBorders>
            <w:shd w:val="clear" w:color="000000" w:fill="FFFFFF"/>
            <w:noWrap/>
            <w:vAlign w:val="center"/>
            <w:hideMark/>
          </w:tcPr>
          <w:p w:rsidR="00985220" w:rsidRPr="00985220" w:rsidRDefault="00985220" w:rsidP="00985220">
            <w:pPr>
              <w:spacing w:before="0" w:after="0" w:line="240" w:lineRule="auto"/>
              <w:jc w:val="right"/>
              <w:rPr>
                <w:rFonts w:cs="Arial"/>
                <w:b/>
                <w:bCs/>
                <w:color w:val="000000"/>
                <w:sz w:val="18"/>
                <w:szCs w:val="18"/>
              </w:rPr>
            </w:pPr>
            <w:r w:rsidRPr="00985220">
              <w:rPr>
                <w:rFonts w:cs="Arial"/>
                <w:b/>
                <w:bCs/>
                <w:color w:val="000000"/>
                <w:sz w:val="18"/>
                <w:szCs w:val="18"/>
              </w:rPr>
              <w:t>$36,965</w:t>
            </w:r>
          </w:p>
        </w:tc>
        <w:tc>
          <w:tcPr>
            <w:tcW w:w="1120" w:type="dxa"/>
            <w:tcBorders>
              <w:top w:val="single" w:sz="4" w:space="0" w:color="auto"/>
              <w:left w:val="nil"/>
              <w:bottom w:val="single" w:sz="4" w:space="0" w:color="auto"/>
              <w:right w:val="nil"/>
            </w:tcBorders>
            <w:shd w:val="clear" w:color="000000" w:fill="FFFFFF"/>
            <w:noWrap/>
            <w:vAlign w:val="center"/>
            <w:hideMark/>
          </w:tcPr>
          <w:p w:rsidR="00985220" w:rsidRPr="00985220" w:rsidRDefault="00985220" w:rsidP="00985220">
            <w:pPr>
              <w:spacing w:before="0" w:after="0" w:line="240" w:lineRule="auto"/>
              <w:jc w:val="right"/>
              <w:rPr>
                <w:rFonts w:cs="Arial"/>
                <w:b/>
                <w:bCs/>
                <w:color w:val="000000"/>
                <w:sz w:val="18"/>
                <w:szCs w:val="18"/>
              </w:rPr>
            </w:pPr>
            <w:r w:rsidRPr="00985220">
              <w:rPr>
                <w:rFonts w:cs="Arial"/>
                <w:b/>
                <w:bCs/>
                <w:color w:val="000000"/>
                <w:sz w:val="18"/>
                <w:szCs w:val="18"/>
              </w:rPr>
              <w:t>100%</w:t>
            </w:r>
          </w:p>
        </w:tc>
        <w:tc>
          <w:tcPr>
            <w:tcW w:w="1120" w:type="dxa"/>
            <w:tcBorders>
              <w:top w:val="single" w:sz="4" w:space="0" w:color="auto"/>
              <w:left w:val="nil"/>
              <w:bottom w:val="single" w:sz="4" w:space="0" w:color="auto"/>
              <w:right w:val="nil"/>
            </w:tcBorders>
            <w:shd w:val="clear" w:color="000000" w:fill="FFFFFF"/>
            <w:noWrap/>
            <w:vAlign w:val="center"/>
            <w:hideMark/>
          </w:tcPr>
          <w:p w:rsidR="00985220" w:rsidRPr="00985220" w:rsidRDefault="00985220" w:rsidP="00985220">
            <w:pPr>
              <w:spacing w:before="0" w:after="0" w:line="240" w:lineRule="auto"/>
              <w:jc w:val="right"/>
              <w:rPr>
                <w:rFonts w:cs="Arial"/>
                <w:b/>
                <w:bCs/>
                <w:color w:val="000000"/>
                <w:sz w:val="18"/>
                <w:szCs w:val="18"/>
              </w:rPr>
            </w:pPr>
            <w:r w:rsidRPr="00985220">
              <w:rPr>
                <w:rFonts w:cs="Arial"/>
                <w:b/>
                <w:bCs/>
                <w:color w:val="000000"/>
                <w:sz w:val="18"/>
                <w:szCs w:val="18"/>
              </w:rPr>
              <w:t>$40,292</w:t>
            </w:r>
          </w:p>
        </w:tc>
        <w:tc>
          <w:tcPr>
            <w:tcW w:w="1120" w:type="dxa"/>
            <w:tcBorders>
              <w:top w:val="single" w:sz="4" w:space="0" w:color="auto"/>
              <w:left w:val="nil"/>
              <w:bottom w:val="single" w:sz="4" w:space="0" w:color="auto"/>
              <w:right w:val="nil"/>
            </w:tcBorders>
            <w:shd w:val="clear" w:color="000000" w:fill="FFFFFF"/>
            <w:noWrap/>
            <w:vAlign w:val="center"/>
            <w:hideMark/>
          </w:tcPr>
          <w:p w:rsidR="00985220" w:rsidRPr="00985220" w:rsidRDefault="00985220" w:rsidP="00985220">
            <w:pPr>
              <w:spacing w:before="0" w:after="0" w:line="240" w:lineRule="auto"/>
              <w:jc w:val="right"/>
              <w:rPr>
                <w:rFonts w:cs="Arial"/>
                <w:b/>
                <w:bCs/>
                <w:color w:val="000000"/>
                <w:sz w:val="18"/>
                <w:szCs w:val="18"/>
              </w:rPr>
            </w:pPr>
            <w:r w:rsidRPr="00985220">
              <w:rPr>
                <w:rFonts w:cs="Arial"/>
                <w:b/>
                <w:bCs/>
                <w:color w:val="000000"/>
                <w:sz w:val="18"/>
                <w:szCs w:val="18"/>
              </w:rPr>
              <w:t>100%</w:t>
            </w:r>
          </w:p>
        </w:tc>
        <w:tc>
          <w:tcPr>
            <w:tcW w:w="1120" w:type="dxa"/>
            <w:tcBorders>
              <w:top w:val="single" w:sz="4" w:space="0" w:color="auto"/>
              <w:left w:val="nil"/>
              <w:bottom w:val="single" w:sz="4" w:space="0" w:color="auto"/>
              <w:right w:val="nil"/>
            </w:tcBorders>
            <w:shd w:val="clear" w:color="000000" w:fill="FFFFFF"/>
            <w:noWrap/>
            <w:vAlign w:val="center"/>
            <w:hideMark/>
          </w:tcPr>
          <w:p w:rsidR="00985220" w:rsidRPr="00985220" w:rsidRDefault="00985220" w:rsidP="00985220">
            <w:pPr>
              <w:spacing w:before="0" w:after="0" w:line="240" w:lineRule="auto"/>
              <w:jc w:val="right"/>
              <w:rPr>
                <w:rFonts w:cs="Arial"/>
                <w:b/>
                <w:bCs/>
                <w:color w:val="000000"/>
                <w:sz w:val="18"/>
                <w:szCs w:val="18"/>
              </w:rPr>
            </w:pPr>
            <w:r w:rsidRPr="00985220">
              <w:rPr>
                <w:rFonts w:cs="Arial"/>
                <w:b/>
                <w:bCs/>
                <w:color w:val="000000"/>
                <w:sz w:val="18"/>
                <w:szCs w:val="18"/>
              </w:rPr>
              <w:t>$43,770</w:t>
            </w:r>
          </w:p>
        </w:tc>
        <w:tc>
          <w:tcPr>
            <w:tcW w:w="1120" w:type="dxa"/>
            <w:tcBorders>
              <w:top w:val="single" w:sz="4" w:space="0" w:color="auto"/>
              <w:left w:val="nil"/>
              <w:bottom w:val="single" w:sz="4" w:space="0" w:color="auto"/>
              <w:right w:val="nil"/>
            </w:tcBorders>
            <w:shd w:val="clear" w:color="000000" w:fill="FFFFFF"/>
            <w:noWrap/>
            <w:vAlign w:val="center"/>
            <w:hideMark/>
          </w:tcPr>
          <w:p w:rsidR="00985220" w:rsidRPr="00985220" w:rsidRDefault="00985220" w:rsidP="00985220">
            <w:pPr>
              <w:spacing w:before="0" w:after="0" w:line="240" w:lineRule="auto"/>
              <w:jc w:val="right"/>
              <w:rPr>
                <w:rFonts w:cs="Arial"/>
                <w:b/>
                <w:bCs/>
                <w:color w:val="000000"/>
                <w:sz w:val="18"/>
                <w:szCs w:val="18"/>
              </w:rPr>
            </w:pPr>
            <w:r w:rsidRPr="00985220">
              <w:rPr>
                <w:rFonts w:cs="Arial"/>
                <w:b/>
                <w:bCs/>
                <w:color w:val="000000"/>
                <w:sz w:val="18"/>
                <w:szCs w:val="18"/>
              </w:rPr>
              <w:t>100%</w:t>
            </w:r>
          </w:p>
        </w:tc>
      </w:tr>
    </w:tbl>
    <w:p w:rsidR="00985220" w:rsidRPr="00985220" w:rsidRDefault="00985220" w:rsidP="00985220"/>
    <w:p w:rsidR="002371BB" w:rsidRPr="00C7496A" w:rsidRDefault="00033C8D" w:rsidP="003B4C44">
      <w:pPr>
        <w:pStyle w:val="Heading2"/>
      </w:pPr>
      <w:bookmarkStart w:id="37" w:name="_Toc524173854"/>
      <w:bookmarkStart w:id="38" w:name="_Toc530055083"/>
      <w:r>
        <w:lastRenderedPageBreak/>
        <w:t>Average c</w:t>
      </w:r>
      <w:r w:rsidR="002371BB" w:rsidRPr="00C7496A">
        <w:t>ost</w:t>
      </w:r>
      <w:bookmarkEnd w:id="37"/>
      <w:bookmarkEnd w:id="38"/>
    </w:p>
    <w:p w:rsidR="006F0FA9" w:rsidRDefault="00A17C30" w:rsidP="00A17C30">
      <w:pPr>
        <w:rPr>
          <w:rFonts w:cs="Arial"/>
          <w:szCs w:val="22"/>
        </w:rPr>
      </w:pPr>
      <w:r w:rsidRPr="0082107A">
        <w:rPr>
          <w:rFonts w:cs="Arial"/>
          <w:szCs w:val="22"/>
        </w:rPr>
        <w:t xml:space="preserve">This report provides the average cost information for all hospital </w:t>
      </w:r>
      <w:r w:rsidR="008C3809">
        <w:rPr>
          <w:rFonts w:cs="Arial"/>
          <w:szCs w:val="22"/>
        </w:rPr>
        <w:t>output</w:t>
      </w:r>
      <w:r w:rsidRPr="0082107A">
        <w:rPr>
          <w:rFonts w:cs="Arial"/>
          <w:szCs w:val="22"/>
        </w:rPr>
        <w:t xml:space="preserve"> assigned by the different IHPA classifications</w:t>
      </w:r>
      <w:r>
        <w:rPr>
          <w:rFonts w:cs="Arial"/>
          <w:szCs w:val="22"/>
        </w:rPr>
        <w:t xml:space="preserve">. </w:t>
      </w:r>
      <w:r w:rsidR="00E7547E">
        <w:rPr>
          <w:rFonts w:cs="Arial"/>
          <w:szCs w:val="22"/>
        </w:rPr>
        <w:fldChar w:fldCharType="begin"/>
      </w:r>
      <w:r w:rsidR="00E7547E">
        <w:rPr>
          <w:rFonts w:cs="Arial"/>
          <w:szCs w:val="22"/>
        </w:rPr>
        <w:instrText xml:space="preserve"> REF _Ref524511685 \h </w:instrText>
      </w:r>
      <w:r w:rsidR="00E7547E">
        <w:rPr>
          <w:rFonts w:cs="Arial"/>
          <w:szCs w:val="22"/>
        </w:rPr>
      </w:r>
      <w:r w:rsidR="00E7547E">
        <w:rPr>
          <w:rFonts w:cs="Arial"/>
          <w:szCs w:val="22"/>
        </w:rPr>
        <w:fldChar w:fldCharType="separate"/>
      </w:r>
      <w:r w:rsidR="00342D61">
        <w:t xml:space="preserve">Table </w:t>
      </w:r>
      <w:r w:rsidR="00E7547E">
        <w:rPr>
          <w:rFonts w:cs="Arial"/>
          <w:szCs w:val="22"/>
        </w:rPr>
        <w:fldChar w:fldCharType="end"/>
      </w:r>
      <w:r w:rsidR="000A25F2">
        <w:rPr>
          <w:rFonts w:cs="Arial"/>
          <w:szCs w:val="22"/>
        </w:rPr>
        <w:t>9</w:t>
      </w:r>
      <w:r w:rsidRPr="0082107A">
        <w:rPr>
          <w:rFonts w:cs="Arial"/>
          <w:szCs w:val="22"/>
        </w:rPr>
        <w:t xml:space="preserve"> summarises these results by presenting the average cost at the activity stream level</w:t>
      </w:r>
      <w:r>
        <w:rPr>
          <w:rFonts w:cs="Arial"/>
          <w:szCs w:val="22"/>
        </w:rPr>
        <w:t xml:space="preserve">. </w:t>
      </w:r>
      <w:r w:rsidRPr="0082107A">
        <w:rPr>
          <w:rFonts w:cs="Arial"/>
          <w:szCs w:val="22"/>
        </w:rPr>
        <w:t xml:space="preserve">While each activity stream is broad and represents a wide variety of different hospital procedures and services provided, the categories </w:t>
      </w:r>
      <w:r w:rsidR="008C3809">
        <w:rPr>
          <w:rFonts w:cs="Arial"/>
          <w:szCs w:val="22"/>
        </w:rPr>
        <w:t>serve to provide for useful</w:t>
      </w:r>
      <w:r w:rsidRPr="0082107A">
        <w:rPr>
          <w:rFonts w:cs="Arial"/>
          <w:szCs w:val="22"/>
        </w:rPr>
        <w:t xml:space="preserve"> summary statistic</w:t>
      </w:r>
      <w:r w:rsidR="008C3809">
        <w:rPr>
          <w:rFonts w:cs="Arial"/>
          <w:szCs w:val="22"/>
        </w:rPr>
        <w:t>s</w:t>
      </w:r>
      <w:r w:rsidRPr="0082107A">
        <w:rPr>
          <w:rFonts w:cs="Arial"/>
          <w:szCs w:val="22"/>
        </w:rPr>
        <w:t>.</w:t>
      </w:r>
    </w:p>
    <w:p w:rsidR="004D3C7F" w:rsidRDefault="008C3809" w:rsidP="00A17C30">
      <w:pPr>
        <w:rPr>
          <w:rFonts w:cs="Arial"/>
          <w:szCs w:val="22"/>
        </w:rPr>
      </w:pPr>
      <w:r>
        <w:rPr>
          <w:rFonts w:cs="Arial"/>
          <w:szCs w:val="22"/>
        </w:rPr>
        <w:t xml:space="preserve">The average cost of an admitted acute separation decreased from $5,217 </w:t>
      </w:r>
      <w:r w:rsidR="00845638">
        <w:rPr>
          <w:rFonts w:cs="Arial"/>
          <w:szCs w:val="22"/>
        </w:rPr>
        <w:t xml:space="preserve">in Round 20 </w:t>
      </w:r>
      <w:r>
        <w:rPr>
          <w:rFonts w:cs="Arial"/>
          <w:szCs w:val="22"/>
        </w:rPr>
        <w:t>to $5,171</w:t>
      </w:r>
      <w:r w:rsidR="00845638">
        <w:rPr>
          <w:rFonts w:cs="Arial"/>
          <w:szCs w:val="22"/>
        </w:rPr>
        <w:t xml:space="preserve"> in Round 21</w:t>
      </w:r>
      <w:r>
        <w:rPr>
          <w:rFonts w:cs="Arial"/>
          <w:szCs w:val="22"/>
        </w:rPr>
        <w:t>, a 0.9 percent reduction. This was reflective of the average patient’s length of stay reducing and the percent</w:t>
      </w:r>
      <w:r w:rsidR="00845638">
        <w:rPr>
          <w:rFonts w:cs="Arial"/>
          <w:szCs w:val="22"/>
        </w:rPr>
        <w:t>age</w:t>
      </w:r>
      <w:r>
        <w:rPr>
          <w:rFonts w:cs="Arial"/>
          <w:szCs w:val="22"/>
        </w:rPr>
        <w:t xml:space="preserve"> of same-day separations increasing. </w:t>
      </w:r>
    </w:p>
    <w:p w:rsidR="00A07808" w:rsidRDefault="004D3C7F" w:rsidP="00A17C30">
      <w:pPr>
        <w:rPr>
          <w:rFonts w:cs="Arial"/>
          <w:szCs w:val="22"/>
        </w:rPr>
      </w:pPr>
      <w:r>
        <w:rPr>
          <w:rFonts w:cs="Arial"/>
          <w:szCs w:val="22"/>
        </w:rPr>
        <w:t>The average costs for Emergency Department and Non-admitted episodes had a 2.0 percent increase between Rounds 20 and 21. For sub-acute episodes, average cost was stable with a 1.4% increase.</w:t>
      </w:r>
    </w:p>
    <w:p w:rsidR="004D3C7F" w:rsidRPr="0082107A" w:rsidRDefault="004D3C7F" w:rsidP="00A17C30">
      <w:pPr>
        <w:rPr>
          <w:rFonts w:cs="Arial"/>
          <w:szCs w:val="22"/>
        </w:rPr>
      </w:pPr>
      <w:r>
        <w:rPr>
          <w:rFonts w:cs="Arial"/>
          <w:szCs w:val="22"/>
        </w:rPr>
        <w:t>The improved reporting under Mental Health has resulted in a shift of activity and expenditure from admitted acute to mental health. The AMHCC defines activity at the phase level. As reporting improves</w:t>
      </w:r>
      <w:r w:rsidR="00845638">
        <w:rPr>
          <w:rFonts w:cs="Arial"/>
          <w:szCs w:val="22"/>
        </w:rPr>
        <w:t>,</w:t>
      </w:r>
      <w:r>
        <w:rPr>
          <w:rFonts w:cs="Arial"/>
          <w:szCs w:val="22"/>
        </w:rPr>
        <w:t xml:space="preserve"> the average cost and average length of stay </w:t>
      </w:r>
      <w:r w:rsidR="00F768F0">
        <w:rPr>
          <w:rFonts w:cs="Arial"/>
          <w:szCs w:val="22"/>
        </w:rPr>
        <w:t>is expected to stabilise</w:t>
      </w:r>
      <w:r>
        <w:rPr>
          <w:rFonts w:cs="Arial"/>
          <w:szCs w:val="22"/>
        </w:rPr>
        <w:t>.</w:t>
      </w:r>
    </w:p>
    <w:p w:rsidR="00807238" w:rsidRDefault="00807238" w:rsidP="007F44CC">
      <w:pPr>
        <w:pStyle w:val="Caption"/>
      </w:pPr>
      <w:bookmarkStart w:id="39" w:name="_Ref524511685"/>
      <w:bookmarkStart w:id="40" w:name="_Toc527385236"/>
      <w:r>
        <w:t xml:space="preserve">Table </w:t>
      </w:r>
      <w:bookmarkEnd w:id="39"/>
      <w:r w:rsidR="00C72BFB">
        <w:fldChar w:fldCharType="begin"/>
      </w:r>
      <w:r w:rsidR="00C72BFB">
        <w:instrText xml:space="preserve"> SEQ Table \* ARABIC </w:instrText>
      </w:r>
      <w:r w:rsidR="00C72BFB">
        <w:fldChar w:fldCharType="separate"/>
      </w:r>
      <w:r w:rsidR="00342D61">
        <w:rPr>
          <w:noProof/>
        </w:rPr>
        <w:t>9</w:t>
      </w:r>
      <w:r w:rsidR="00C72BFB">
        <w:fldChar w:fldCharType="end"/>
      </w:r>
      <w:r w:rsidR="00C72BFB" w:rsidRPr="006F7C01">
        <w:t xml:space="preserve"> </w:t>
      </w:r>
      <w:r w:rsidRPr="00DC6B49">
        <w:t xml:space="preserve">Average cost per episode, by activity stream, </w:t>
      </w:r>
      <w:r w:rsidR="00E923E4">
        <w:t>Round 2</w:t>
      </w:r>
      <w:r w:rsidRPr="00DC6B49">
        <w:t>0-21</w:t>
      </w:r>
      <w:bookmarkEnd w:id="40"/>
    </w:p>
    <w:tbl>
      <w:tblPr>
        <w:tblW w:w="8500" w:type="dxa"/>
        <w:jc w:val="center"/>
        <w:tblLook w:val="04A0" w:firstRow="1" w:lastRow="0" w:firstColumn="1" w:lastColumn="0" w:noHBand="0" w:noVBand="1"/>
        <w:tblCaption w:val="Table 9 Average cost per episode, by activity stream, Round 20-21"/>
        <w:tblDescription w:val="The table diplays the average cost per episode by activity stream for Round 20 and Round 21. "/>
      </w:tblPr>
      <w:tblGrid>
        <w:gridCol w:w="2180"/>
        <w:gridCol w:w="1340"/>
        <w:gridCol w:w="1660"/>
        <w:gridCol w:w="1660"/>
        <w:gridCol w:w="1340"/>
        <w:gridCol w:w="320"/>
      </w:tblGrid>
      <w:tr w:rsidR="003B4C44" w:rsidRPr="00E923E4" w:rsidTr="00255A18">
        <w:trPr>
          <w:gridAfter w:val="1"/>
          <w:wAfter w:w="320" w:type="dxa"/>
          <w:trHeight w:val="315"/>
          <w:jc w:val="center"/>
        </w:trPr>
        <w:tc>
          <w:tcPr>
            <w:tcW w:w="2180" w:type="dxa"/>
            <w:tcBorders>
              <w:top w:val="single" w:sz="4" w:space="0" w:color="auto"/>
              <w:left w:val="nil"/>
              <w:bottom w:val="nil"/>
              <w:right w:val="nil"/>
            </w:tcBorders>
            <w:shd w:val="clear" w:color="auto" w:fill="auto"/>
            <w:noWrap/>
            <w:vAlign w:val="center"/>
            <w:hideMark/>
          </w:tcPr>
          <w:p w:rsidR="003B4C44" w:rsidRPr="00E923E4" w:rsidRDefault="003B4C44" w:rsidP="0036204F">
            <w:pPr>
              <w:keepNext/>
              <w:spacing w:before="0" w:after="0" w:line="240" w:lineRule="auto"/>
              <w:rPr>
                <w:rFonts w:cs="Arial"/>
                <w:color w:val="000000"/>
                <w:sz w:val="20"/>
                <w:szCs w:val="20"/>
              </w:rPr>
            </w:pPr>
            <w:r w:rsidRPr="00E923E4">
              <w:rPr>
                <w:rFonts w:cs="Arial"/>
                <w:color w:val="000000"/>
                <w:sz w:val="20"/>
                <w:szCs w:val="20"/>
              </w:rPr>
              <w:t> </w:t>
            </w:r>
          </w:p>
        </w:tc>
        <w:tc>
          <w:tcPr>
            <w:tcW w:w="3000" w:type="dxa"/>
            <w:gridSpan w:val="2"/>
            <w:tcBorders>
              <w:top w:val="single" w:sz="4" w:space="0" w:color="auto"/>
              <w:left w:val="nil"/>
              <w:bottom w:val="single" w:sz="4" w:space="0" w:color="auto"/>
              <w:right w:val="nil"/>
            </w:tcBorders>
            <w:shd w:val="clear" w:color="000000" w:fill="FFFFFF"/>
            <w:noWrap/>
            <w:vAlign w:val="center"/>
            <w:hideMark/>
          </w:tcPr>
          <w:p w:rsidR="003B4C44" w:rsidRPr="00E923E4" w:rsidRDefault="003B4C44" w:rsidP="0036204F">
            <w:pPr>
              <w:keepNext/>
              <w:spacing w:before="0" w:after="0" w:line="240" w:lineRule="auto"/>
              <w:jc w:val="center"/>
              <w:rPr>
                <w:rFonts w:cs="Arial"/>
                <w:b/>
                <w:bCs/>
                <w:color w:val="000000"/>
                <w:szCs w:val="22"/>
              </w:rPr>
            </w:pPr>
            <w:r w:rsidRPr="00E923E4">
              <w:rPr>
                <w:rFonts w:cs="Arial"/>
                <w:b/>
                <w:bCs/>
                <w:color w:val="000000"/>
                <w:szCs w:val="22"/>
              </w:rPr>
              <w:t>Round 20</w:t>
            </w:r>
          </w:p>
        </w:tc>
        <w:tc>
          <w:tcPr>
            <w:tcW w:w="3000" w:type="dxa"/>
            <w:gridSpan w:val="2"/>
            <w:tcBorders>
              <w:top w:val="single" w:sz="4" w:space="0" w:color="auto"/>
              <w:left w:val="nil"/>
              <w:bottom w:val="single" w:sz="4" w:space="0" w:color="auto"/>
              <w:right w:val="nil"/>
            </w:tcBorders>
            <w:shd w:val="clear" w:color="000000" w:fill="FFFFFF"/>
            <w:vAlign w:val="center"/>
          </w:tcPr>
          <w:p w:rsidR="003B4C44" w:rsidRPr="00E923E4" w:rsidRDefault="003B4C44" w:rsidP="0036204F">
            <w:pPr>
              <w:keepNext/>
              <w:spacing w:before="0" w:after="0" w:line="240" w:lineRule="auto"/>
              <w:jc w:val="center"/>
              <w:rPr>
                <w:rFonts w:cs="Arial"/>
                <w:b/>
                <w:bCs/>
                <w:color w:val="000000"/>
                <w:szCs w:val="22"/>
              </w:rPr>
            </w:pPr>
            <w:r w:rsidRPr="00E923E4">
              <w:rPr>
                <w:rFonts w:cs="Arial"/>
                <w:b/>
                <w:bCs/>
                <w:color w:val="000000"/>
                <w:szCs w:val="22"/>
              </w:rPr>
              <w:t>Round 21</w:t>
            </w:r>
          </w:p>
        </w:tc>
      </w:tr>
      <w:tr w:rsidR="003B4C44" w:rsidRPr="00E923E4" w:rsidTr="00255A18">
        <w:trPr>
          <w:trHeight w:val="960"/>
          <w:jc w:val="center"/>
        </w:trPr>
        <w:tc>
          <w:tcPr>
            <w:tcW w:w="2180" w:type="dxa"/>
            <w:tcBorders>
              <w:top w:val="nil"/>
              <w:left w:val="nil"/>
              <w:bottom w:val="single" w:sz="4" w:space="0" w:color="auto"/>
              <w:right w:val="nil"/>
            </w:tcBorders>
            <w:shd w:val="clear" w:color="auto" w:fill="auto"/>
            <w:noWrap/>
            <w:vAlign w:val="center"/>
            <w:hideMark/>
          </w:tcPr>
          <w:p w:rsidR="003B4C44" w:rsidRPr="00E923E4" w:rsidRDefault="003B4C44" w:rsidP="0036204F">
            <w:pPr>
              <w:keepNext/>
              <w:spacing w:before="0" w:after="0" w:line="240" w:lineRule="auto"/>
              <w:rPr>
                <w:rFonts w:cs="Arial"/>
                <w:color w:val="000000"/>
                <w:sz w:val="20"/>
                <w:szCs w:val="20"/>
              </w:rPr>
            </w:pPr>
            <w:r w:rsidRPr="00E923E4">
              <w:rPr>
                <w:rFonts w:cs="Arial"/>
                <w:color w:val="000000"/>
                <w:sz w:val="20"/>
                <w:szCs w:val="20"/>
              </w:rPr>
              <w:t> </w:t>
            </w:r>
          </w:p>
        </w:tc>
        <w:tc>
          <w:tcPr>
            <w:tcW w:w="1340" w:type="dxa"/>
            <w:tcBorders>
              <w:top w:val="nil"/>
              <w:left w:val="nil"/>
              <w:bottom w:val="single" w:sz="4" w:space="0" w:color="auto"/>
              <w:right w:val="nil"/>
            </w:tcBorders>
            <w:shd w:val="clear" w:color="000000" w:fill="FFFFFF"/>
            <w:vAlign w:val="center"/>
            <w:hideMark/>
          </w:tcPr>
          <w:p w:rsidR="003B4C44" w:rsidRPr="00E923E4" w:rsidRDefault="003B4C44" w:rsidP="000827B6">
            <w:pPr>
              <w:keepNext/>
              <w:spacing w:before="0" w:after="0" w:line="240" w:lineRule="auto"/>
              <w:jc w:val="right"/>
              <w:rPr>
                <w:rFonts w:cs="Arial"/>
                <w:color w:val="000000"/>
                <w:sz w:val="18"/>
                <w:szCs w:val="18"/>
              </w:rPr>
            </w:pPr>
            <w:r w:rsidRPr="00E923E4">
              <w:rPr>
                <w:rFonts w:cs="Arial"/>
                <w:color w:val="000000"/>
                <w:sz w:val="18"/>
                <w:szCs w:val="18"/>
              </w:rPr>
              <w:t>Average Cost per Episode</w:t>
            </w:r>
          </w:p>
        </w:tc>
        <w:tc>
          <w:tcPr>
            <w:tcW w:w="1660" w:type="dxa"/>
            <w:tcBorders>
              <w:top w:val="nil"/>
              <w:left w:val="nil"/>
              <w:bottom w:val="single" w:sz="4" w:space="0" w:color="auto"/>
              <w:right w:val="nil"/>
            </w:tcBorders>
            <w:shd w:val="clear" w:color="000000" w:fill="FFFFFF"/>
            <w:vAlign w:val="center"/>
            <w:hideMark/>
          </w:tcPr>
          <w:p w:rsidR="003B4C44" w:rsidRPr="00E923E4" w:rsidRDefault="003B4C44" w:rsidP="000827B6">
            <w:pPr>
              <w:keepNext/>
              <w:spacing w:before="0" w:after="0" w:line="240" w:lineRule="auto"/>
              <w:jc w:val="right"/>
              <w:rPr>
                <w:rFonts w:cs="Arial"/>
                <w:color w:val="000000"/>
                <w:sz w:val="18"/>
                <w:szCs w:val="18"/>
              </w:rPr>
            </w:pPr>
            <w:r w:rsidRPr="00E923E4">
              <w:rPr>
                <w:rFonts w:cs="Arial"/>
                <w:color w:val="000000"/>
                <w:sz w:val="18"/>
                <w:szCs w:val="18"/>
              </w:rPr>
              <w:t>Change in Average Cost Since Previous Round</w:t>
            </w:r>
          </w:p>
        </w:tc>
        <w:tc>
          <w:tcPr>
            <w:tcW w:w="1660" w:type="dxa"/>
            <w:tcBorders>
              <w:top w:val="nil"/>
              <w:left w:val="nil"/>
              <w:bottom w:val="single" w:sz="4" w:space="0" w:color="auto"/>
              <w:right w:val="nil"/>
            </w:tcBorders>
            <w:shd w:val="clear" w:color="000000" w:fill="FFFFFF"/>
            <w:vAlign w:val="center"/>
          </w:tcPr>
          <w:p w:rsidR="003B4C44" w:rsidRPr="00E923E4" w:rsidRDefault="003B4C44" w:rsidP="000827B6">
            <w:pPr>
              <w:keepNext/>
              <w:spacing w:before="0" w:after="0" w:line="240" w:lineRule="auto"/>
              <w:jc w:val="right"/>
              <w:rPr>
                <w:rFonts w:cs="Arial"/>
                <w:color w:val="000000"/>
                <w:sz w:val="18"/>
                <w:szCs w:val="18"/>
              </w:rPr>
            </w:pPr>
            <w:r w:rsidRPr="00E923E4">
              <w:rPr>
                <w:rFonts w:cs="Arial"/>
                <w:color w:val="000000"/>
                <w:sz w:val="18"/>
                <w:szCs w:val="18"/>
              </w:rPr>
              <w:t>Average Cost per Episode</w:t>
            </w:r>
          </w:p>
        </w:tc>
        <w:tc>
          <w:tcPr>
            <w:tcW w:w="1660" w:type="dxa"/>
            <w:gridSpan w:val="2"/>
            <w:tcBorders>
              <w:top w:val="nil"/>
              <w:left w:val="nil"/>
              <w:bottom w:val="single" w:sz="4" w:space="0" w:color="auto"/>
              <w:right w:val="nil"/>
            </w:tcBorders>
            <w:shd w:val="clear" w:color="000000" w:fill="FFFFFF"/>
            <w:vAlign w:val="center"/>
          </w:tcPr>
          <w:p w:rsidR="003B4C44" w:rsidRPr="00E923E4" w:rsidRDefault="003B4C44" w:rsidP="000827B6">
            <w:pPr>
              <w:keepNext/>
              <w:spacing w:before="0" w:after="0" w:line="240" w:lineRule="auto"/>
              <w:jc w:val="right"/>
              <w:rPr>
                <w:rFonts w:cs="Arial"/>
                <w:color w:val="000000"/>
                <w:sz w:val="18"/>
                <w:szCs w:val="18"/>
              </w:rPr>
            </w:pPr>
            <w:r w:rsidRPr="00E923E4">
              <w:rPr>
                <w:rFonts w:cs="Arial"/>
                <w:color w:val="000000"/>
                <w:sz w:val="18"/>
                <w:szCs w:val="18"/>
              </w:rPr>
              <w:t>Change in Average Cost Since Previous Round</w:t>
            </w:r>
          </w:p>
        </w:tc>
      </w:tr>
      <w:tr w:rsidR="003B4C44" w:rsidRPr="00E923E4" w:rsidTr="00255A18">
        <w:trPr>
          <w:trHeight w:val="300"/>
          <w:jc w:val="center"/>
        </w:trPr>
        <w:tc>
          <w:tcPr>
            <w:tcW w:w="2180" w:type="dxa"/>
            <w:tcBorders>
              <w:top w:val="nil"/>
              <w:left w:val="nil"/>
              <w:bottom w:val="single" w:sz="4" w:space="0" w:color="auto"/>
              <w:right w:val="nil"/>
            </w:tcBorders>
            <w:shd w:val="clear" w:color="000000" w:fill="FFFFFF"/>
            <w:noWrap/>
            <w:vAlign w:val="bottom"/>
            <w:hideMark/>
          </w:tcPr>
          <w:p w:rsidR="003B4C44" w:rsidRPr="00E923E4" w:rsidRDefault="003B4C44" w:rsidP="0036204F">
            <w:pPr>
              <w:keepNext/>
              <w:spacing w:before="0" w:after="0" w:line="240" w:lineRule="auto"/>
              <w:rPr>
                <w:rFonts w:cs="Arial"/>
                <w:color w:val="000000"/>
                <w:sz w:val="18"/>
                <w:szCs w:val="18"/>
              </w:rPr>
            </w:pPr>
            <w:r w:rsidRPr="00E923E4">
              <w:rPr>
                <w:rFonts w:cs="Arial"/>
                <w:color w:val="000000"/>
                <w:sz w:val="18"/>
                <w:szCs w:val="18"/>
              </w:rPr>
              <w:t> </w:t>
            </w:r>
          </w:p>
        </w:tc>
        <w:tc>
          <w:tcPr>
            <w:tcW w:w="1340" w:type="dxa"/>
            <w:tcBorders>
              <w:top w:val="nil"/>
              <w:left w:val="nil"/>
              <w:bottom w:val="single" w:sz="4" w:space="0" w:color="auto"/>
              <w:right w:val="nil"/>
            </w:tcBorders>
            <w:shd w:val="clear" w:color="000000" w:fill="FFFFFF"/>
            <w:noWrap/>
            <w:vAlign w:val="center"/>
            <w:hideMark/>
          </w:tcPr>
          <w:p w:rsidR="003B4C44" w:rsidRPr="00E923E4" w:rsidRDefault="003B4C44" w:rsidP="000827B6">
            <w:pPr>
              <w:keepNext/>
              <w:spacing w:before="0" w:after="0" w:line="240" w:lineRule="auto"/>
              <w:jc w:val="right"/>
              <w:rPr>
                <w:rFonts w:cs="Arial"/>
                <w:color w:val="000000"/>
                <w:sz w:val="18"/>
                <w:szCs w:val="18"/>
              </w:rPr>
            </w:pPr>
            <w:r w:rsidRPr="00E923E4">
              <w:rPr>
                <w:rFonts w:cs="Arial"/>
                <w:color w:val="000000"/>
                <w:sz w:val="18"/>
                <w:szCs w:val="18"/>
              </w:rPr>
              <w:t>($)</w:t>
            </w:r>
          </w:p>
        </w:tc>
        <w:tc>
          <w:tcPr>
            <w:tcW w:w="1660" w:type="dxa"/>
            <w:tcBorders>
              <w:top w:val="nil"/>
              <w:left w:val="nil"/>
              <w:bottom w:val="single" w:sz="4" w:space="0" w:color="auto"/>
              <w:right w:val="nil"/>
            </w:tcBorders>
            <w:shd w:val="clear" w:color="000000" w:fill="FFFFFF"/>
            <w:noWrap/>
            <w:vAlign w:val="center"/>
            <w:hideMark/>
          </w:tcPr>
          <w:p w:rsidR="003B4C44" w:rsidRPr="00E923E4" w:rsidRDefault="003B4C44" w:rsidP="000827B6">
            <w:pPr>
              <w:keepNext/>
              <w:spacing w:before="0" w:after="0" w:line="240" w:lineRule="auto"/>
              <w:jc w:val="right"/>
              <w:rPr>
                <w:rFonts w:cs="Arial"/>
                <w:color w:val="000000"/>
                <w:sz w:val="18"/>
                <w:szCs w:val="18"/>
              </w:rPr>
            </w:pPr>
            <w:r w:rsidRPr="00E923E4">
              <w:rPr>
                <w:rFonts w:cs="Arial"/>
                <w:color w:val="000000"/>
                <w:sz w:val="18"/>
                <w:szCs w:val="18"/>
              </w:rPr>
              <w:t>(%)</w:t>
            </w:r>
          </w:p>
        </w:tc>
        <w:tc>
          <w:tcPr>
            <w:tcW w:w="1660" w:type="dxa"/>
            <w:tcBorders>
              <w:top w:val="nil"/>
              <w:left w:val="nil"/>
              <w:bottom w:val="single" w:sz="4" w:space="0" w:color="auto"/>
              <w:right w:val="nil"/>
            </w:tcBorders>
            <w:shd w:val="clear" w:color="000000" w:fill="FFFFFF"/>
            <w:vAlign w:val="center"/>
          </w:tcPr>
          <w:p w:rsidR="003B4C44" w:rsidRPr="00E923E4" w:rsidRDefault="003B4C44" w:rsidP="000827B6">
            <w:pPr>
              <w:keepNext/>
              <w:spacing w:before="0" w:after="0" w:line="240" w:lineRule="auto"/>
              <w:jc w:val="right"/>
              <w:rPr>
                <w:rFonts w:cs="Arial"/>
                <w:color w:val="000000"/>
                <w:sz w:val="18"/>
                <w:szCs w:val="18"/>
              </w:rPr>
            </w:pPr>
            <w:r w:rsidRPr="00E923E4">
              <w:rPr>
                <w:rFonts w:cs="Arial"/>
                <w:color w:val="000000"/>
                <w:sz w:val="18"/>
                <w:szCs w:val="18"/>
              </w:rPr>
              <w:t>($)</w:t>
            </w:r>
          </w:p>
        </w:tc>
        <w:tc>
          <w:tcPr>
            <w:tcW w:w="1660" w:type="dxa"/>
            <w:gridSpan w:val="2"/>
            <w:tcBorders>
              <w:top w:val="nil"/>
              <w:left w:val="nil"/>
              <w:bottom w:val="single" w:sz="4" w:space="0" w:color="auto"/>
              <w:right w:val="nil"/>
            </w:tcBorders>
            <w:shd w:val="clear" w:color="000000" w:fill="FFFFFF"/>
            <w:vAlign w:val="center"/>
          </w:tcPr>
          <w:p w:rsidR="003B4C44" w:rsidRPr="00E923E4" w:rsidRDefault="003B4C44" w:rsidP="000827B6">
            <w:pPr>
              <w:keepNext/>
              <w:spacing w:before="0" w:after="0" w:line="240" w:lineRule="auto"/>
              <w:jc w:val="right"/>
              <w:rPr>
                <w:rFonts w:cs="Arial"/>
                <w:color w:val="000000"/>
                <w:sz w:val="18"/>
                <w:szCs w:val="18"/>
              </w:rPr>
            </w:pPr>
            <w:r w:rsidRPr="00E923E4">
              <w:rPr>
                <w:rFonts w:cs="Arial"/>
                <w:color w:val="000000"/>
                <w:sz w:val="18"/>
                <w:szCs w:val="18"/>
              </w:rPr>
              <w:t>(%)</w:t>
            </w:r>
          </w:p>
        </w:tc>
      </w:tr>
      <w:tr w:rsidR="003B4C44" w:rsidRPr="00E923E4" w:rsidTr="00255A18">
        <w:trPr>
          <w:trHeight w:val="300"/>
          <w:jc w:val="center"/>
        </w:trPr>
        <w:tc>
          <w:tcPr>
            <w:tcW w:w="2180" w:type="dxa"/>
            <w:tcBorders>
              <w:top w:val="nil"/>
              <w:left w:val="nil"/>
              <w:bottom w:val="nil"/>
              <w:right w:val="nil"/>
            </w:tcBorders>
            <w:shd w:val="clear" w:color="000000" w:fill="FFFFFF"/>
            <w:noWrap/>
            <w:vAlign w:val="center"/>
            <w:hideMark/>
          </w:tcPr>
          <w:p w:rsidR="003B4C44" w:rsidRPr="00E923E4" w:rsidRDefault="003B4C44" w:rsidP="0036204F">
            <w:pPr>
              <w:keepNext/>
              <w:spacing w:before="0" w:after="0" w:line="240" w:lineRule="auto"/>
              <w:rPr>
                <w:rFonts w:cs="Arial"/>
                <w:color w:val="000000"/>
                <w:sz w:val="18"/>
                <w:szCs w:val="18"/>
              </w:rPr>
            </w:pPr>
            <w:r w:rsidRPr="00E923E4">
              <w:rPr>
                <w:rFonts w:cs="Arial"/>
                <w:color w:val="000000"/>
                <w:sz w:val="18"/>
                <w:szCs w:val="18"/>
              </w:rPr>
              <w:t>Admitted Acute</w:t>
            </w:r>
          </w:p>
        </w:tc>
        <w:tc>
          <w:tcPr>
            <w:tcW w:w="1340" w:type="dxa"/>
            <w:tcBorders>
              <w:top w:val="nil"/>
              <w:left w:val="nil"/>
              <w:bottom w:val="nil"/>
              <w:right w:val="nil"/>
            </w:tcBorders>
            <w:shd w:val="clear" w:color="000000" w:fill="FFFFFF"/>
            <w:noWrap/>
            <w:vAlign w:val="center"/>
            <w:hideMark/>
          </w:tcPr>
          <w:p w:rsidR="003B4C44" w:rsidRPr="00E923E4" w:rsidRDefault="003B4C44" w:rsidP="000827B6">
            <w:pPr>
              <w:keepNext/>
              <w:spacing w:before="0" w:after="0" w:line="240" w:lineRule="auto"/>
              <w:jc w:val="right"/>
              <w:rPr>
                <w:rFonts w:cs="Arial"/>
                <w:color w:val="000000"/>
                <w:sz w:val="18"/>
                <w:szCs w:val="18"/>
              </w:rPr>
            </w:pPr>
            <w:r w:rsidRPr="00E923E4">
              <w:rPr>
                <w:rFonts w:cs="Arial"/>
                <w:color w:val="000000"/>
                <w:sz w:val="18"/>
                <w:szCs w:val="18"/>
              </w:rPr>
              <w:t>5,217</w:t>
            </w:r>
          </w:p>
        </w:tc>
        <w:tc>
          <w:tcPr>
            <w:tcW w:w="1660" w:type="dxa"/>
            <w:tcBorders>
              <w:top w:val="nil"/>
              <w:left w:val="nil"/>
              <w:bottom w:val="nil"/>
              <w:right w:val="nil"/>
            </w:tcBorders>
            <w:shd w:val="clear" w:color="000000" w:fill="FFFFFF"/>
            <w:noWrap/>
            <w:vAlign w:val="center"/>
            <w:hideMark/>
          </w:tcPr>
          <w:p w:rsidR="003B4C44" w:rsidRPr="00E923E4" w:rsidRDefault="000827B6" w:rsidP="000827B6">
            <w:pPr>
              <w:keepNext/>
              <w:spacing w:before="0" w:after="0" w:line="240" w:lineRule="auto"/>
              <w:jc w:val="right"/>
              <w:rPr>
                <w:rFonts w:cs="Arial"/>
                <w:color w:val="000000"/>
                <w:sz w:val="18"/>
                <w:szCs w:val="18"/>
              </w:rPr>
            </w:pPr>
            <w:r>
              <w:rPr>
                <w:rFonts w:cs="Arial"/>
                <w:color w:val="000000"/>
                <w:sz w:val="18"/>
                <w:szCs w:val="18"/>
              </w:rPr>
              <w:t>0.4</w:t>
            </w:r>
          </w:p>
        </w:tc>
        <w:tc>
          <w:tcPr>
            <w:tcW w:w="1660" w:type="dxa"/>
            <w:tcBorders>
              <w:top w:val="nil"/>
              <w:left w:val="nil"/>
              <w:bottom w:val="nil"/>
              <w:right w:val="nil"/>
            </w:tcBorders>
            <w:shd w:val="clear" w:color="000000" w:fill="FFFFFF"/>
            <w:vAlign w:val="center"/>
          </w:tcPr>
          <w:p w:rsidR="003B4C44" w:rsidRPr="00E923E4" w:rsidRDefault="003B4C44" w:rsidP="000827B6">
            <w:pPr>
              <w:keepNext/>
              <w:spacing w:before="0" w:after="0" w:line="240" w:lineRule="auto"/>
              <w:jc w:val="right"/>
              <w:rPr>
                <w:rFonts w:cs="Arial"/>
                <w:color w:val="000000"/>
                <w:sz w:val="18"/>
                <w:szCs w:val="18"/>
              </w:rPr>
            </w:pPr>
            <w:r w:rsidRPr="00E923E4">
              <w:rPr>
                <w:rFonts w:cs="Arial"/>
                <w:color w:val="000000"/>
                <w:sz w:val="18"/>
                <w:szCs w:val="18"/>
              </w:rPr>
              <w:t>5,171</w:t>
            </w:r>
          </w:p>
        </w:tc>
        <w:tc>
          <w:tcPr>
            <w:tcW w:w="1660" w:type="dxa"/>
            <w:gridSpan w:val="2"/>
            <w:tcBorders>
              <w:top w:val="nil"/>
              <w:left w:val="nil"/>
              <w:bottom w:val="nil"/>
              <w:right w:val="nil"/>
            </w:tcBorders>
            <w:shd w:val="clear" w:color="000000" w:fill="FFFFFF"/>
            <w:vAlign w:val="center"/>
          </w:tcPr>
          <w:p w:rsidR="003B4C44" w:rsidRPr="00E923E4" w:rsidRDefault="000827B6" w:rsidP="000827B6">
            <w:pPr>
              <w:keepNext/>
              <w:spacing w:before="0" w:after="0" w:line="240" w:lineRule="auto"/>
              <w:jc w:val="right"/>
              <w:rPr>
                <w:rFonts w:cs="Arial"/>
                <w:color w:val="000000"/>
                <w:sz w:val="18"/>
                <w:szCs w:val="18"/>
              </w:rPr>
            </w:pPr>
            <w:r>
              <w:rPr>
                <w:rFonts w:cs="Arial"/>
                <w:color w:val="000000"/>
                <w:sz w:val="18"/>
                <w:szCs w:val="18"/>
              </w:rPr>
              <w:t>-0.9</w:t>
            </w:r>
          </w:p>
        </w:tc>
      </w:tr>
      <w:tr w:rsidR="003B4C44" w:rsidRPr="00E923E4" w:rsidTr="00255A18">
        <w:trPr>
          <w:trHeight w:val="300"/>
          <w:jc w:val="center"/>
        </w:trPr>
        <w:tc>
          <w:tcPr>
            <w:tcW w:w="2180" w:type="dxa"/>
            <w:tcBorders>
              <w:top w:val="nil"/>
              <w:left w:val="nil"/>
              <w:bottom w:val="nil"/>
              <w:right w:val="nil"/>
            </w:tcBorders>
            <w:shd w:val="clear" w:color="000000" w:fill="FFFFFF"/>
            <w:noWrap/>
            <w:vAlign w:val="center"/>
            <w:hideMark/>
          </w:tcPr>
          <w:p w:rsidR="003B4C44" w:rsidRPr="00E923E4" w:rsidRDefault="003B4C44" w:rsidP="0036204F">
            <w:pPr>
              <w:keepNext/>
              <w:spacing w:before="0" w:after="0" w:line="240" w:lineRule="auto"/>
              <w:rPr>
                <w:rFonts w:cs="Arial"/>
                <w:color w:val="000000"/>
                <w:sz w:val="18"/>
                <w:szCs w:val="18"/>
              </w:rPr>
            </w:pPr>
            <w:r w:rsidRPr="00E923E4">
              <w:rPr>
                <w:rFonts w:cs="Arial"/>
                <w:color w:val="000000"/>
                <w:sz w:val="18"/>
                <w:szCs w:val="18"/>
              </w:rPr>
              <w:t>Emergency Department</w:t>
            </w:r>
          </w:p>
        </w:tc>
        <w:tc>
          <w:tcPr>
            <w:tcW w:w="1340" w:type="dxa"/>
            <w:tcBorders>
              <w:top w:val="nil"/>
              <w:left w:val="nil"/>
              <w:bottom w:val="nil"/>
              <w:right w:val="nil"/>
            </w:tcBorders>
            <w:shd w:val="clear" w:color="000000" w:fill="FFFFFF"/>
            <w:noWrap/>
            <w:vAlign w:val="center"/>
            <w:hideMark/>
          </w:tcPr>
          <w:p w:rsidR="003B4C44" w:rsidRPr="00E923E4" w:rsidRDefault="003B4C44" w:rsidP="000827B6">
            <w:pPr>
              <w:keepNext/>
              <w:spacing w:before="0" w:after="0" w:line="240" w:lineRule="auto"/>
              <w:jc w:val="right"/>
              <w:rPr>
                <w:rFonts w:cs="Arial"/>
                <w:color w:val="000000"/>
                <w:sz w:val="18"/>
                <w:szCs w:val="18"/>
              </w:rPr>
            </w:pPr>
            <w:r w:rsidRPr="00E923E4">
              <w:rPr>
                <w:rFonts w:cs="Arial"/>
                <w:color w:val="000000"/>
                <w:sz w:val="18"/>
                <w:szCs w:val="18"/>
              </w:rPr>
              <w:t>652</w:t>
            </w:r>
          </w:p>
        </w:tc>
        <w:tc>
          <w:tcPr>
            <w:tcW w:w="1660" w:type="dxa"/>
            <w:tcBorders>
              <w:top w:val="nil"/>
              <w:left w:val="nil"/>
              <w:bottom w:val="nil"/>
              <w:right w:val="nil"/>
            </w:tcBorders>
            <w:shd w:val="clear" w:color="000000" w:fill="FFFFFF"/>
            <w:noWrap/>
            <w:vAlign w:val="center"/>
            <w:hideMark/>
          </w:tcPr>
          <w:p w:rsidR="003B4C44" w:rsidRPr="00E923E4" w:rsidRDefault="000827B6" w:rsidP="000827B6">
            <w:pPr>
              <w:keepNext/>
              <w:spacing w:before="0" w:after="0" w:line="240" w:lineRule="auto"/>
              <w:jc w:val="right"/>
              <w:rPr>
                <w:rFonts w:cs="Arial"/>
                <w:color w:val="000000"/>
                <w:sz w:val="18"/>
                <w:szCs w:val="18"/>
              </w:rPr>
            </w:pPr>
            <w:r>
              <w:rPr>
                <w:rFonts w:cs="Arial"/>
                <w:color w:val="000000"/>
                <w:sz w:val="18"/>
                <w:szCs w:val="18"/>
              </w:rPr>
              <w:t>7.8</w:t>
            </w:r>
          </w:p>
        </w:tc>
        <w:tc>
          <w:tcPr>
            <w:tcW w:w="1660" w:type="dxa"/>
            <w:tcBorders>
              <w:top w:val="nil"/>
              <w:left w:val="nil"/>
              <w:bottom w:val="nil"/>
              <w:right w:val="nil"/>
            </w:tcBorders>
            <w:shd w:val="clear" w:color="000000" w:fill="FFFFFF"/>
            <w:vAlign w:val="center"/>
          </w:tcPr>
          <w:p w:rsidR="003B4C44" w:rsidRPr="00E923E4" w:rsidRDefault="003B4C44" w:rsidP="000827B6">
            <w:pPr>
              <w:keepNext/>
              <w:spacing w:before="0" w:after="0" w:line="240" w:lineRule="auto"/>
              <w:jc w:val="right"/>
              <w:rPr>
                <w:rFonts w:cs="Arial"/>
                <w:color w:val="000000"/>
                <w:sz w:val="18"/>
                <w:szCs w:val="18"/>
              </w:rPr>
            </w:pPr>
            <w:r w:rsidRPr="00E923E4">
              <w:rPr>
                <w:rFonts w:cs="Arial"/>
                <w:color w:val="000000"/>
                <w:sz w:val="18"/>
                <w:szCs w:val="18"/>
              </w:rPr>
              <w:t>666</w:t>
            </w:r>
          </w:p>
        </w:tc>
        <w:tc>
          <w:tcPr>
            <w:tcW w:w="1660" w:type="dxa"/>
            <w:gridSpan w:val="2"/>
            <w:tcBorders>
              <w:top w:val="nil"/>
              <w:left w:val="nil"/>
              <w:bottom w:val="nil"/>
              <w:right w:val="nil"/>
            </w:tcBorders>
            <w:shd w:val="clear" w:color="000000" w:fill="FFFFFF"/>
            <w:vAlign w:val="center"/>
          </w:tcPr>
          <w:p w:rsidR="003B4C44" w:rsidRPr="00E923E4" w:rsidRDefault="000827B6" w:rsidP="000827B6">
            <w:pPr>
              <w:keepNext/>
              <w:spacing w:before="0" w:after="0" w:line="240" w:lineRule="auto"/>
              <w:jc w:val="right"/>
              <w:rPr>
                <w:rFonts w:cs="Arial"/>
                <w:color w:val="000000"/>
                <w:sz w:val="18"/>
                <w:szCs w:val="18"/>
              </w:rPr>
            </w:pPr>
            <w:r>
              <w:rPr>
                <w:rFonts w:cs="Arial"/>
                <w:color w:val="000000"/>
                <w:sz w:val="18"/>
                <w:szCs w:val="18"/>
              </w:rPr>
              <w:t>2.0</w:t>
            </w:r>
          </w:p>
        </w:tc>
      </w:tr>
      <w:tr w:rsidR="003B4C44" w:rsidRPr="00E923E4" w:rsidTr="00255A18">
        <w:trPr>
          <w:trHeight w:val="300"/>
          <w:jc w:val="center"/>
        </w:trPr>
        <w:tc>
          <w:tcPr>
            <w:tcW w:w="2180" w:type="dxa"/>
            <w:tcBorders>
              <w:top w:val="nil"/>
              <w:left w:val="nil"/>
              <w:bottom w:val="nil"/>
              <w:right w:val="nil"/>
            </w:tcBorders>
            <w:shd w:val="clear" w:color="000000" w:fill="FFFFFF"/>
            <w:noWrap/>
            <w:vAlign w:val="center"/>
            <w:hideMark/>
          </w:tcPr>
          <w:p w:rsidR="003B4C44" w:rsidRPr="00E923E4" w:rsidRDefault="003B4C44" w:rsidP="0036204F">
            <w:pPr>
              <w:keepNext/>
              <w:spacing w:before="0" w:after="0" w:line="240" w:lineRule="auto"/>
              <w:rPr>
                <w:rFonts w:cs="Arial"/>
                <w:color w:val="000000"/>
                <w:sz w:val="18"/>
                <w:szCs w:val="18"/>
              </w:rPr>
            </w:pPr>
            <w:r w:rsidRPr="00E923E4">
              <w:rPr>
                <w:rFonts w:cs="Arial"/>
                <w:color w:val="000000"/>
                <w:sz w:val="18"/>
                <w:szCs w:val="18"/>
              </w:rPr>
              <w:t>Non-Admitted</w:t>
            </w:r>
          </w:p>
        </w:tc>
        <w:tc>
          <w:tcPr>
            <w:tcW w:w="1340" w:type="dxa"/>
            <w:tcBorders>
              <w:top w:val="nil"/>
              <w:left w:val="nil"/>
              <w:bottom w:val="nil"/>
              <w:right w:val="nil"/>
            </w:tcBorders>
            <w:shd w:val="clear" w:color="000000" w:fill="FFFFFF"/>
            <w:noWrap/>
            <w:vAlign w:val="center"/>
            <w:hideMark/>
          </w:tcPr>
          <w:p w:rsidR="003B4C44" w:rsidRPr="00E923E4" w:rsidRDefault="003B4C44" w:rsidP="000827B6">
            <w:pPr>
              <w:keepNext/>
              <w:spacing w:before="0" w:after="0" w:line="240" w:lineRule="auto"/>
              <w:jc w:val="right"/>
              <w:rPr>
                <w:rFonts w:cs="Arial"/>
                <w:color w:val="000000"/>
                <w:sz w:val="18"/>
                <w:szCs w:val="18"/>
              </w:rPr>
            </w:pPr>
            <w:r w:rsidRPr="00E923E4">
              <w:rPr>
                <w:rFonts w:cs="Arial"/>
                <w:color w:val="000000"/>
                <w:sz w:val="18"/>
                <w:szCs w:val="18"/>
              </w:rPr>
              <w:t>303</w:t>
            </w:r>
          </w:p>
        </w:tc>
        <w:tc>
          <w:tcPr>
            <w:tcW w:w="1660" w:type="dxa"/>
            <w:tcBorders>
              <w:top w:val="nil"/>
              <w:left w:val="nil"/>
              <w:bottom w:val="nil"/>
              <w:right w:val="nil"/>
            </w:tcBorders>
            <w:shd w:val="clear" w:color="000000" w:fill="FFFFFF"/>
            <w:noWrap/>
            <w:vAlign w:val="center"/>
            <w:hideMark/>
          </w:tcPr>
          <w:p w:rsidR="003B4C44" w:rsidRPr="00E923E4" w:rsidRDefault="000827B6" w:rsidP="000827B6">
            <w:pPr>
              <w:keepNext/>
              <w:spacing w:before="0" w:after="0" w:line="240" w:lineRule="auto"/>
              <w:jc w:val="right"/>
              <w:rPr>
                <w:rFonts w:cs="Arial"/>
                <w:color w:val="000000"/>
                <w:sz w:val="18"/>
                <w:szCs w:val="18"/>
              </w:rPr>
            </w:pPr>
            <w:r>
              <w:rPr>
                <w:rFonts w:cs="Arial"/>
                <w:color w:val="000000"/>
                <w:sz w:val="18"/>
                <w:szCs w:val="18"/>
              </w:rPr>
              <w:t>11.4</w:t>
            </w:r>
          </w:p>
        </w:tc>
        <w:tc>
          <w:tcPr>
            <w:tcW w:w="1660" w:type="dxa"/>
            <w:tcBorders>
              <w:top w:val="nil"/>
              <w:left w:val="nil"/>
              <w:bottom w:val="nil"/>
              <w:right w:val="nil"/>
            </w:tcBorders>
            <w:shd w:val="clear" w:color="000000" w:fill="FFFFFF"/>
            <w:vAlign w:val="center"/>
          </w:tcPr>
          <w:p w:rsidR="003B4C44" w:rsidRPr="00E923E4" w:rsidRDefault="003B4C44" w:rsidP="000827B6">
            <w:pPr>
              <w:keepNext/>
              <w:spacing w:before="0" w:after="0" w:line="240" w:lineRule="auto"/>
              <w:jc w:val="right"/>
              <w:rPr>
                <w:rFonts w:cs="Arial"/>
                <w:color w:val="000000"/>
                <w:sz w:val="18"/>
                <w:szCs w:val="18"/>
              </w:rPr>
            </w:pPr>
            <w:r w:rsidRPr="00E923E4">
              <w:rPr>
                <w:rFonts w:cs="Arial"/>
                <w:color w:val="000000"/>
                <w:sz w:val="18"/>
                <w:szCs w:val="18"/>
              </w:rPr>
              <w:t>309</w:t>
            </w:r>
          </w:p>
        </w:tc>
        <w:tc>
          <w:tcPr>
            <w:tcW w:w="1660" w:type="dxa"/>
            <w:gridSpan w:val="2"/>
            <w:tcBorders>
              <w:top w:val="nil"/>
              <w:left w:val="nil"/>
              <w:bottom w:val="nil"/>
              <w:right w:val="nil"/>
            </w:tcBorders>
            <w:shd w:val="clear" w:color="000000" w:fill="FFFFFF"/>
            <w:vAlign w:val="center"/>
          </w:tcPr>
          <w:p w:rsidR="003B4C44" w:rsidRPr="00E923E4" w:rsidRDefault="000827B6" w:rsidP="000827B6">
            <w:pPr>
              <w:keepNext/>
              <w:spacing w:before="0" w:after="0" w:line="240" w:lineRule="auto"/>
              <w:jc w:val="right"/>
              <w:rPr>
                <w:rFonts w:cs="Arial"/>
                <w:color w:val="000000"/>
                <w:sz w:val="18"/>
                <w:szCs w:val="18"/>
              </w:rPr>
            </w:pPr>
            <w:r>
              <w:rPr>
                <w:rFonts w:cs="Arial"/>
                <w:color w:val="000000"/>
                <w:sz w:val="18"/>
                <w:szCs w:val="18"/>
              </w:rPr>
              <w:t>2.0</w:t>
            </w:r>
          </w:p>
        </w:tc>
      </w:tr>
      <w:tr w:rsidR="003B4C44" w:rsidRPr="00E923E4" w:rsidTr="00255A18">
        <w:trPr>
          <w:trHeight w:val="300"/>
          <w:jc w:val="center"/>
        </w:trPr>
        <w:tc>
          <w:tcPr>
            <w:tcW w:w="2180" w:type="dxa"/>
            <w:tcBorders>
              <w:top w:val="nil"/>
              <w:left w:val="nil"/>
              <w:bottom w:val="nil"/>
              <w:right w:val="nil"/>
            </w:tcBorders>
            <w:shd w:val="clear" w:color="000000" w:fill="FFFFFF"/>
            <w:noWrap/>
            <w:vAlign w:val="center"/>
            <w:hideMark/>
          </w:tcPr>
          <w:p w:rsidR="003B4C44" w:rsidRPr="00E923E4" w:rsidRDefault="003B4C44" w:rsidP="0036204F">
            <w:pPr>
              <w:keepNext/>
              <w:spacing w:before="0" w:after="0" w:line="240" w:lineRule="auto"/>
              <w:rPr>
                <w:rFonts w:cs="Arial"/>
                <w:color w:val="000000"/>
                <w:sz w:val="18"/>
                <w:szCs w:val="18"/>
              </w:rPr>
            </w:pPr>
            <w:r w:rsidRPr="00E923E4">
              <w:rPr>
                <w:rFonts w:cs="Arial"/>
                <w:color w:val="000000"/>
                <w:sz w:val="18"/>
                <w:szCs w:val="18"/>
              </w:rPr>
              <w:t>Sub-Acute</w:t>
            </w:r>
          </w:p>
        </w:tc>
        <w:tc>
          <w:tcPr>
            <w:tcW w:w="1340" w:type="dxa"/>
            <w:tcBorders>
              <w:top w:val="nil"/>
              <w:left w:val="nil"/>
              <w:bottom w:val="nil"/>
              <w:right w:val="nil"/>
            </w:tcBorders>
            <w:shd w:val="clear" w:color="000000" w:fill="FFFFFF"/>
            <w:noWrap/>
            <w:vAlign w:val="center"/>
            <w:hideMark/>
          </w:tcPr>
          <w:p w:rsidR="003B4C44" w:rsidRPr="00E923E4" w:rsidRDefault="003B4C44" w:rsidP="000827B6">
            <w:pPr>
              <w:keepNext/>
              <w:spacing w:before="0" w:after="0" w:line="240" w:lineRule="auto"/>
              <w:jc w:val="right"/>
              <w:rPr>
                <w:rFonts w:cs="Arial"/>
                <w:color w:val="000000"/>
                <w:sz w:val="18"/>
                <w:szCs w:val="18"/>
              </w:rPr>
            </w:pPr>
            <w:r w:rsidRPr="00E923E4">
              <w:rPr>
                <w:rFonts w:cs="Arial"/>
                <w:color w:val="000000"/>
                <w:sz w:val="18"/>
                <w:szCs w:val="18"/>
              </w:rPr>
              <w:t>13,803</w:t>
            </w:r>
          </w:p>
        </w:tc>
        <w:tc>
          <w:tcPr>
            <w:tcW w:w="1660" w:type="dxa"/>
            <w:tcBorders>
              <w:top w:val="nil"/>
              <w:left w:val="nil"/>
              <w:bottom w:val="nil"/>
              <w:right w:val="nil"/>
            </w:tcBorders>
            <w:shd w:val="clear" w:color="000000" w:fill="FFFFFF"/>
            <w:noWrap/>
            <w:vAlign w:val="center"/>
            <w:hideMark/>
          </w:tcPr>
          <w:p w:rsidR="003B4C44" w:rsidRPr="00E923E4" w:rsidRDefault="000827B6" w:rsidP="000827B6">
            <w:pPr>
              <w:keepNext/>
              <w:spacing w:before="0" w:after="0" w:line="240" w:lineRule="auto"/>
              <w:jc w:val="right"/>
              <w:rPr>
                <w:rFonts w:cs="Arial"/>
                <w:color w:val="000000"/>
                <w:sz w:val="18"/>
                <w:szCs w:val="18"/>
              </w:rPr>
            </w:pPr>
            <w:r>
              <w:rPr>
                <w:rFonts w:cs="Arial"/>
                <w:color w:val="000000"/>
                <w:sz w:val="18"/>
                <w:szCs w:val="18"/>
              </w:rPr>
              <w:t>2.3</w:t>
            </w:r>
          </w:p>
        </w:tc>
        <w:tc>
          <w:tcPr>
            <w:tcW w:w="1660" w:type="dxa"/>
            <w:tcBorders>
              <w:top w:val="nil"/>
              <w:left w:val="nil"/>
              <w:bottom w:val="nil"/>
              <w:right w:val="nil"/>
            </w:tcBorders>
            <w:shd w:val="clear" w:color="000000" w:fill="FFFFFF"/>
            <w:vAlign w:val="center"/>
          </w:tcPr>
          <w:p w:rsidR="003B4C44" w:rsidRPr="00E923E4" w:rsidRDefault="003B4C44" w:rsidP="000827B6">
            <w:pPr>
              <w:keepNext/>
              <w:spacing w:before="0" w:after="0" w:line="240" w:lineRule="auto"/>
              <w:jc w:val="right"/>
              <w:rPr>
                <w:rFonts w:cs="Arial"/>
                <w:color w:val="000000"/>
                <w:sz w:val="18"/>
                <w:szCs w:val="18"/>
              </w:rPr>
            </w:pPr>
            <w:r w:rsidRPr="00E923E4">
              <w:rPr>
                <w:rFonts w:cs="Arial"/>
                <w:color w:val="000000"/>
                <w:sz w:val="18"/>
                <w:szCs w:val="18"/>
              </w:rPr>
              <w:t>13,997</w:t>
            </w:r>
          </w:p>
        </w:tc>
        <w:tc>
          <w:tcPr>
            <w:tcW w:w="1660" w:type="dxa"/>
            <w:gridSpan w:val="2"/>
            <w:tcBorders>
              <w:top w:val="nil"/>
              <w:left w:val="nil"/>
              <w:bottom w:val="nil"/>
              <w:right w:val="nil"/>
            </w:tcBorders>
            <w:shd w:val="clear" w:color="000000" w:fill="FFFFFF"/>
            <w:vAlign w:val="center"/>
          </w:tcPr>
          <w:p w:rsidR="003B4C44" w:rsidRPr="00E923E4" w:rsidRDefault="003B4C44" w:rsidP="000827B6">
            <w:pPr>
              <w:keepNext/>
              <w:spacing w:before="0" w:after="0" w:line="240" w:lineRule="auto"/>
              <w:jc w:val="right"/>
              <w:rPr>
                <w:rFonts w:cs="Arial"/>
                <w:color w:val="000000"/>
                <w:sz w:val="18"/>
                <w:szCs w:val="18"/>
              </w:rPr>
            </w:pPr>
            <w:r w:rsidRPr="00E923E4">
              <w:rPr>
                <w:rFonts w:cs="Arial"/>
                <w:color w:val="000000"/>
                <w:sz w:val="18"/>
                <w:szCs w:val="18"/>
              </w:rPr>
              <w:t>1.4</w:t>
            </w:r>
          </w:p>
        </w:tc>
      </w:tr>
      <w:tr w:rsidR="003B4C44" w:rsidRPr="00E923E4" w:rsidTr="00255A18">
        <w:trPr>
          <w:trHeight w:val="300"/>
          <w:jc w:val="center"/>
        </w:trPr>
        <w:tc>
          <w:tcPr>
            <w:tcW w:w="2180" w:type="dxa"/>
            <w:tcBorders>
              <w:top w:val="nil"/>
              <w:left w:val="nil"/>
              <w:bottom w:val="single" w:sz="4" w:space="0" w:color="auto"/>
              <w:right w:val="nil"/>
            </w:tcBorders>
            <w:shd w:val="clear" w:color="000000" w:fill="FFFFFF"/>
            <w:noWrap/>
            <w:vAlign w:val="center"/>
            <w:hideMark/>
          </w:tcPr>
          <w:p w:rsidR="003B4C44" w:rsidRPr="00E923E4" w:rsidRDefault="003B4C44" w:rsidP="00A92BBB">
            <w:pPr>
              <w:spacing w:before="0" w:after="0" w:line="240" w:lineRule="auto"/>
              <w:rPr>
                <w:rFonts w:cs="Arial"/>
                <w:color w:val="000000"/>
                <w:sz w:val="18"/>
                <w:szCs w:val="18"/>
              </w:rPr>
            </w:pPr>
            <w:r w:rsidRPr="00E923E4">
              <w:rPr>
                <w:rFonts w:cs="Arial"/>
                <w:color w:val="000000"/>
                <w:sz w:val="18"/>
                <w:szCs w:val="18"/>
              </w:rPr>
              <w:t>Mental Health</w:t>
            </w:r>
          </w:p>
        </w:tc>
        <w:tc>
          <w:tcPr>
            <w:tcW w:w="1340" w:type="dxa"/>
            <w:tcBorders>
              <w:top w:val="nil"/>
              <w:left w:val="nil"/>
              <w:bottom w:val="single" w:sz="4" w:space="0" w:color="auto"/>
              <w:right w:val="nil"/>
            </w:tcBorders>
            <w:shd w:val="clear" w:color="000000" w:fill="FFFFFF"/>
            <w:noWrap/>
            <w:vAlign w:val="center"/>
            <w:hideMark/>
          </w:tcPr>
          <w:p w:rsidR="003B4C44" w:rsidRPr="00E923E4" w:rsidRDefault="003B4C44" w:rsidP="000827B6">
            <w:pPr>
              <w:spacing w:before="0" w:after="0" w:line="240" w:lineRule="auto"/>
              <w:jc w:val="right"/>
              <w:rPr>
                <w:rFonts w:cs="Arial"/>
                <w:color w:val="000000"/>
                <w:sz w:val="18"/>
                <w:szCs w:val="18"/>
              </w:rPr>
            </w:pPr>
            <w:r w:rsidRPr="00E923E4">
              <w:rPr>
                <w:rFonts w:cs="Arial"/>
                <w:color w:val="000000"/>
                <w:sz w:val="18"/>
                <w:szCs w:val="18"/>
              </w:rPr>
              <w:t>14,651</w:t>
            </w:r>
          </w:p>
        </w:tc>
        <w:tc>
          <w:tcPr>
            <w:tcW w:w="1660" w:type="dxa"/>
            <w:tcBorders>
              <w:top w:val="nil"/>
              <w:left w:val="nil"/>
              <w:bottom w:val="single" w:sz="4" w:space="0" w:color="auto"/>
              <w:right w:val="nil"/>
            </w:tcBorders>
            <w:shd w:val="clear" w:color="000000" w:fill="FFFFFF"/>
            <w:noWrap/>
            <w:vAlign w:val="center"/>
            <w:hideMark/>
          </w:tcPr>
          <w:p w:rsidR="003B4C44" w:rsidRPr="00E923E4" w:rsidRDefault="003B4C44" w:rsidP="000827B6">
            <w:pPr>
              <w:spacing w:before="0" w:after="0" w:line="240" w:lineRule="auto"/>
              <w:jc w:val="right"/>
              <w:rPr>
                <w:rFonts w:cs="Arial"/>
                <w:color w:val="000000"/>
                <w:sz w:val="18"/>
                <w:szCs w:val="18"/>
              </w:rPr>
            </w:pPr>
            <w:r w:rsidRPr="00E923E4">
              <w:rPr>
                <w:rFonts w:cs="Arial"/>
                <w:color w:val="000000"/>
                <w:sz w:val="18"/>
                <w:szCs w:val="18"/>
              </w:rPr>
              <w:t>n/a</w:t>
            </w:r>
          </w:p>
        </w:tc>
        <w:tc>
          <w:tcPr>
            <w:tcW w:w="1660" w:type="dxa"/>
            <w:tcBorders>
              <w:top w:val="nil"/>
              <w:left w:val="nil"/>
              <w:bottom w:val="single" w:sz="4" w:space="0" w:color="auto"/>
              <w:right w:val="nil"/>
            </w:tcBorders>
            <w:shd w:val="clear" w:color="000000" w:fill="FFFFFF"/>
            <w:vAlign w:val="center"/>
          </w:tcPr>
          <w:p w:rsidR="003B4C44" w:rsidRPr="00E923E4" w:rsidRDefault="003B4C44" w:rsidP="000827B6">
            <w:pPr>
              <w:spacing w:before="0" w:after="0" w:line="240" w:lineRule="auto"/>
              <w:jc w:val="right"/>
              <w:rPr>
                <w:rFonts w:cs="Arial"/>
                <w:color w:val="000000"/>
                <w:sz w:val="18"/>
                <w:szCs w:val="18"/>
              </w:rPr>
            </w:pPr>
            <w:r w:rsidRPr="00E923E4">
              <w:rPr>
                <w:rFonts w:cs="Arial"/>
                <w:color w:val="000000"/>
                <w:sz w:val="18"/>
                <w:szCs w:val="18"/>
              </w:rPr>
              <w:t>10,538</w:t>
            </w:r>
          </w:p>
        </w:tc>
        <w:tc>
          <w:tcPr>
            <w:tcW w:w="1660" w:type="dxa"/>
            <w:gridSpan w:val="2"/>
            <w:tcBorders>
              <w:top w:val="nil"/>
              <w:left w:val="nil"/>
              <w:bottom w:val="single" w:sz="4" w:space="0" w:color="auto"/>
              <w:right w:val="nil"/>
            </w:tcBorders>
            <w:shd w:val="clear" w:color="000000" w:fill="FFFFFF"/>
            <w:vAlign w:val="center"/>
          </w:tcPr>
          <w:p w:rsidR="003B4C44" w:rsidRPr="00E923E4" w:rsidRDefault="000827B6" w:rsidP="000827B6">
            <w:pPr>
              <w:spacing w:before="0" w:after="0" w:line="240" w:lineRule="auto"/>
              <w:jc w:val="right"/>
              <w:rPr>
                <w:rFonts w:cs="Arial"/>
                <w:color w:val="000000"/>
                <w:sz w:val="18"/>
                <w:szCs w:val="18"/>
              </w:rPr>
            </w:pPr>
            <w:r>
              <w:rPr>
                <w:rFonts w:cs="Arial"/>
                <w:color w:val="000000"/>
                <w:sz w:val="18"/>
                <w:szCs w:val="18"/>
              </w:rPr>
              <w:t>-28.1</w:t>
            </w:r>
          </w:p>
        </w:tc>
      </w:tr>
    </w:tbl>
    <w:p w:rsidR="00E923E4" w:rsidRDefault="00E923E4" w:rsidP="00E923E4"/>
    <w:p w:rsidR="00A07808" w:rsidRPr="0082107A" w:rsidRDefault="00A07808" w:rsidP="00A07808">
      <w:pPr>
        <w:rPr>
          <w:rFonts w:cs="Arial"/>
          <w:szCs w:val="22"/>
        </w:rPr>
      </w:pPr>
      <w:r w:rsidRPr="0082107A">
        <w:rPr>
          <w:rFonts w:cs="Arial"/>
          <w:szCs w:val="22"/>
        </w:rPr>
        <w:t xml:space="preserve">In determining the final funding amount per service, various adjustments are applied based on patient characteristics </w:t>
      </w:r>
      <w:r w:rsidR="00845638">
        <w:rPr>
          <w:rFonts w:cs="Arial"/>
          <w:szCs w:val="22"/>
        </w:rPr>
        <w:t>that</w:t>
      </w:r>
      <w:r w:rsidR="00845638" w:rsidRPr="0082107A">
        <w:rPr>
          <w:rFonts w:cs="Arial"/>
          <w:szCs w:val="22"/>
        </w:rPr>
        <w:t xml:space="preserve"> </w:t>
      </w:r>
      <w:r w:rsidRPr="0082107A">
        <w:rPr>
          <w:rFonts w:cs="Arial"/>
          <w:szCs w:val="22"/>
        </w:rPr>
        <w:t xml:space="preserve">influence </w:t>
      </w:r>
      <w:r w:rsidR="00F768F0">
        <w:rPr>
          <w:rFonts w:cs="Arial"/>
          <w:szCs w:val="22"/>
        </w:rPr>
        <w:t>the cost of service delivery</w:t>
      </w:r>
      <w:r w:rsidRPr="0082107A">
        <w:rPr>
          <w:rFonts w:cs="Arial"/>
          <w:szCs w:val="22"/>
        </w:rPr>
        <w:t xml:space="preserve"> (such as indigenous status, age and remoteness)</w:t>
      </w:r>
      <w:r>
        <w:rPr>
          <w:rFonts w:cs="Arial"/>
          <w:szCs w:val="22"/>
        </w:rPr>
        <w:t xml:space="preserve">. The appendix to this report includes an analysis of the cost data used to </w:t>
      </w:r>
      <w:r w:rsidR="00F768F0">
        <w:rPr>
          <w:rFonts w:cs="Arial"/>
          <w:szCs w:val="22"/>
        </w:rPr>
        <w:t>i</w:t>
      </w:r>
      <w:r w:rsidR="00417163">
        <w:rPr>
          <w:rFonts w:cs="Arial"/>
          <w:szCs w:val="22"/>
        </w:rPr>
        <w:t>nform these adjustments.</w:t>
      </w:r>
    </w:p>
    <w:p w:rsidR="002371BB" w:rsidRPr="00C7496A" w:rsidRDefault="00033C8D" w:rsidP="003B4C44">
      <w:pPr>
        <w:pStyle w:val="Heading2"/>
      </w:pPr>
      <w:bookmarkStart w:id="41" w:name="_Toc524173855"/>
      <w:bookmarkStart w:id="42" w:name="_Toc530055084"/>
      <w:r>
        <w:t>Line i</w:t>
      </w:r>
      <w:r w:rsidR="00755435" w:rsidRPr="00C7496A">
        <w:t>tems and cost buckets</w:t>
      </w:r>
      <w:bookmarkEnd w:id="41"/>
      <w:bookmarkEnd w:id="42"/>
    </w:p>
    <w:p w:rsidR="002371BB" w:rsidRDefault="00755435" w:rsidP="002371BB">
      <w:pPr>
        <w:rPr>
          <w:rFonts w:cs="Arial"/>
          <w:szCs w:val="22"/>
        </w:rPr>
      </w:pPr>
      <w:r w:rsidRPr="009B2462">
        <w:rPr>
          <w:rFonts w:cs="Arial"/>
          <w:szCs w:val="22"/>
        </w:rPr>
        <w:t>Cost data submitted to the NHCDC is reported by line items and cost buckets.</w:t>
      </w:r>
      <w:r w:rsidR="00B6521B">
        <w:rPr>
          <w:rFonts w:cs="Arial"/>
          <w:szCs w:val="22"/>
        </w:rPr>
        <w:t xml:space="preserve"> </w:t>
      </w:r>
      <w:r w:rsidRPr="009B2462">
        <w:rPr>
          <w:rFonts w:cs="Arial"/>
          <w:szCs w:val="22"/>
        </w:rPr>
        <w:t>Line items</w:t>
      </w:r>
      <w:r>
        <w:rPr>
          <w:rFonts w:cs="Arial"/>
          <w:szCs w:val="22"/>
        </w:rPr>
        <w:t xml:space="preserve"> represent types of costs (e.g. salaries and wages or goods and services) incurred by hospitals.</w:t>
      </w:r>
      <w:r w:rsidR="00B6521B">
        <w:rPr>
          <w:rFonts w:cs="Arial"/>
          <w:szCs w:val="22"/>
        </w:rPr>
        <w:t xml:space="preserve"> </w:t>
      </w:r>
      <w:r>
        <w:rPr>
          <w:rFonts w:cs="Arial"/>
          <w:szCs w:val="22"/>
        </w:rPr>
        <w:t xml:space="preserve">Cost buckets represent cost pools within a hospital </w:t>
      </w:r>
      <w:r w:rsidR="00845638">
        <w:rPr>
          <w:rFonts w:cs="Arial"/>
          <w:szCs w:val="22"/>
        </w:rPr>
        <w:t xml:space="preserve">that </w:t>
      </w:r>
      <w:r>
        <w:rPr>
          <w:rFonts w:cs="Arial"/>
          <w:szCs w:val="22"/>
        </w:rPr>
        <w:t>relate to a particular function of the hospital – for example, the hospital operating room. The Australian Patient Hospital Costing Standards (APHCS)</w:t>
      </w:r>
      <w:r w:rsidR="00D947C6">
        <w:rPr>
          <w:rFonts w:cs="Arial"/>
          <w:szCs w:val="22"/>
        </w:rPr>
        <w:t xml:space="preserve"> version 3.1 provides</w:t>
      </w:r>
      <w:r w:rsidR="00B63EFD">
        <w:rPr>
          <w:rFonts w:cs="Arial"/>
          <w:szCs w:val="22"/>
        </w:rPr>
        <w:t xml:space="preserve"> a detailed description of the categories of the </w:t>
      </w:r>
      <w:r>
        <w:rPr>
          <w:rFonts w:cs="Arial"/>
          <w:szCs w:val="22"/>
        </w:rPr>
        <w:t>cost buckets and line items</w:t>
      </w:r>
      <w:r w:rsidR="00B63EFD">
        <w:rPr>
          <w:rFonts w:cs="Arial"/>
          <w:szCs w:val="22"/>
        </w:rPr>
        <w:t xml:space="preserve"> reported below</w:t>
      </w:r>
      <w:r>
        <w:rPr>
          <w:rFonts w:cs="Arial"/>
          <w:szCs w:val="22"/>
        </w:rPr>
        <w:t xml:space="preserve">. </w:t>
      </w:r>
    </w:p>
    <w:p w:rsidR="004E2B48" w:rsidRDefault="00845638" w:rsidP="002371BB">
      <w:pPr>
        <w:rPr>
          <w:rFonts w:cs="Arial"/>
          <w:szCs w:val="22"/>
        </w:rPr>
      </w:pPr>
      <w:r>
        <w:rPr>
          <w:rFonts w:cs="Arial"/>
          <w:szCs w:val="22"/>
        </w:rPr>
        <w:lastRenderedPageBreak/>
        <w:fldChar w:fldCharType="begin"/>
      </w:r>
      <w:r>
        <w:rPr>
          <w:rFonts w:cs="Arial"/>
          <w:szCs w:val="22"/>
        </w:rPr>
        <w:instrText xml:space="preserve"> REF _Ref527369493 \h </w:instrText>
      </w:r>
      <w:r>
        <w:rPr>
          <w:rFonts w:cs="Arial"/>
          <w:szCs w:val="22"/>
        </w:rPr>
      </w:r>
      <w:r>
        <w:rPr>
          <w:rFonts w:cs="Arial"/>
          <w:szCs w:val="22"/>
        </w:rPr>
        <w:fldChar w:fldCharType="separate"/>
      </w:r>
      <w:r w:rsidR="00342D61">
        <w:t xml:space="preserve">Table </w:t>
      </w:r>
      <w:r w:rsidR="00342D61">
        <w:rPr>
          <w:noProof/>
        </w:rPr>
        <w:t>10</w:t>
      </w:r>
      <w:r>
        <w:rPr>
          <w:rFonts w:cs="Arial"/>
          <w:szCs w:val="22"/>
        </w:rPr>
        <w:fldChar w:fldCharType="end"/>
      </w:r>
      <w:r w:rsidR="00774B27">
        <w:rPr>
          <w:rFonts w:cs="Arial"/>
          <w:szCs w:val="22"/>
        </w:rPr>
        <w:t xml:space="preserve"> present</w:t>
      </w:r>
      <w:r w:rsidR="003E6B07">
        <w:rPr>
          <w:rFonts w:cs="Arial"/>
          <w:szCs w:val="22"/>
        </w:rPr>
        <w:t>s</w:t>
      </w:r>
      <w:r w:rsidR="00774B27">
        <w:rPr>
          <w:rFonts w:cs="Arial"/>
          <w:szCs w:val="22"/>
        </w:rPr>
        <w:t xml:space="preserve"> the total average cost (in dollars) for each line item by </w:t>
      </w:r>
      <w:r w:rsidR="003E6B07">
        <w:rPr>
          <w:rFonts w:cs="Arial"/>
          <w:szCs w:val="22"/>
        </w:rPr>
        <w:t xml:space="preserve">each </w:t>
      </w:r>
      <w:r w:rsidR="00240C6C">
        <w:rPr>
          <w:rFonts w:cs="Arial"/>
          <w:szCs w:val="22"/>
        </w:rPr>
        <w:t>activity stream.</w:t>
      </w:r>
    </w:p>
    <w:p w:rsidR="004E2B48" w:rsidRDefault="003E6B07" w:rsidP="004E2B48">
      <w:pPr>
        <w:rPr>
          <w:rFonts w:cs="Arial"/>
          <w:szCs w:val="22"/>
        </w:rPr>
      </w:pPr>
      <w:r>
        <w:rPr>
          <w:rFonts w:cs="Arial"/>
          <w:szCs w:val="22"/>
        </w:rPr>
        <w:t>In all streams</w:t>
      </w:r>
      <w:r w:rsidR="00845638">
        <w:rPr>
          <w:rFonts w:cs="Arial"/>
          <w:szCs w:val="22"/>
        </w:rPr>
        <w:t>,</w:t>
      </w:r>
      <w:r>
        <w:rPr>
          <w:rFonts w:cs="Arial"/>
          <w:szCs w:val="22"/>
        </w:rPr>
        <w:t xml:space="preserve"> the line items linked to salaries and wages accounted for approximately 60 percent of all costs.</w:t>
      </w:r>
      <w:r w:rsidR="004E2B48">
        <w:rPr>
          <w:rFonts w:cs="Arial"/>
          <w:szCs w:val="22"/>
        </w:rPr>
        <w:t xml:space="preserve"> Within these categories, however, there is considerable variation in the costs assigned. The nursing wages line item accounts for 33 percent of sub-acute patient costs and 14 percent of non-admitted patient costs.</w:t>
      </w:r>
    </w:p>
    <w:p w:rsidR="004E2B48" w:rsidRPr="00135FE5" w:rsidRDefault="004E2B48" w:rsidP="004E2B48">
      <w:pPr>
        <w:rPr>
          <w:rFonts w:cs="Arial"/>
          <w:szCs w:val="22"/>
        </w:rPr>
      </w:pPr>
      <w:r>
        <w:rPr>
          <w:rFonts w:cs="Arial"/>
          <w:szCs w:val="22"/>
        </w:rPr>
        <w:t xml:space="preserve">Similarly, the share of costs attributed to </w:t>
      </w:r>
      <w:r w:rsidRPr="00506748">
        <w:rPr>
          <w:rFonts w:cs="Arial"/>
          <w:szCs w:val="22"/>
        </w:rPr>
        <w:t>allied health salaries</w:t>
      </w:r>
      <w:r>
        <w:rPr>
          <w:rFonts w:cs="Arial"/>
          <w:szCs w:val="22"/>
        </w:rPr>
        <w:t xml:space="preserve"> is higher for non-admitted patients (12 percent) and Sub-acute patients (10 percent) compared with acute and </w:t>
      </w:r>
      <w:r w:rsidR="0004307D">
        <w:rPr>
          <w:rFonts w:cs="Arial"/>
          <w:szCs w:val="22"/>
        </w:rPr>
        <w:t>Emergency Department patients (five</w:t>
      </w:r>
      <w:r>
        <w:rPr>
          <w:rFonts w:cs="Arial"/>
          <w:szCs w:val="22"/>
        </w:rPr>
        <w:t xml:space="preserve"> percent and </w:t>
      </w:r>
      <w:r w:rsidR="0004307D">
        <w:rPr>
          <w:rFonts w:cs="Arial"/>
          <w:szCs w:val="22"/>
        </w:rPr>
        <w:t>four</w:t>
      </w:r>
      <w:r>
        <w:rPr>
          <w:rFonts w:cs="Arial"/>
          <w:szCs w:val="22"/>
        </w:rPr>
        <w:t xml:space="preserve"> percent respectively). This reflects the type of care provided.</w:t>
      </w:r>
    </w:p>
    <w:p w:rsidR="00FB5FE9" w:rsidRDefault="00807238" w:rsidP="007F44CC">
      <w:pPr>
        <w:pStyle w:val="Caption"/>
      </w:pPr>
      <w:bookmarkStart w:id="43" w:name="_Ref524337215"/>
      <w:bookmarkStart w:id="44" w:name="_Ref527369493"/>
      <w:bookmarkStart w:id="45" w:name="_Toc527385237"/>
      <w:r>
        <w:t xml:space="preserve">Table </w:t>
      </w:r>
      <w:bookmarkEnd w:id="43"/>
      <w:r w:rsidR="00C72BFB">
        <w:fldChar w:fldCharType="begin"/>
      </w:r>
      <w:r w:rsidR="00C72BFB">
        <w:instrText xml:space="preserve"> SEQ Table \* ARABIC </w:instrText>
      </w:r>
      <w:r w:rsidR="00C72BFB">
        <w:fldChar w:fldCharType="separate"/>
      </w:r>
      <w:r w:rsidR="00342D61">
        <w:rPr>
          <w:noProof/>
        </w:rPr>
        <w:t>10</w:t>
      </w:r>
      <w:r w:rsidR="00C72BFB">
        <w:fldChar w:fldCharType="end"/>
      </w:r>
      <w:bookmarkEnd w:id="44"/>
      <w:r w:rsidR="00C72BFB" w:rsidRPr="006F7C01">
        <w:t xml:space="preserve"> </w:t>
      </w:r>
      <w:r>
        <w:t>National a</w:t>
      </w:r>
      <w:r w:rsidRPr="00DC6B49">
        <w:t xml:space="preserve">verage cost per </w:t>
      </w:r>
      <w:r>
        <w:t>line item</w:t>
      </w:r>
      <w:r w:rsidRPr="00DC6B49">
        <w:t>, by act</w:t>
      </w:r>
      <w:r>
        <w:t xml:space="preserve">ivity stream, </w:t>
      </w:r>
      <w:r w:rsidR="00E923E4">
        <w:t>Round 2</w:t>
      </w:r>
      <w:r w:rsidRPr="00DC6B49">
        <w:t>1</w:t>
      </w:r>
      <w:bookmarkEnd w:id="45"/>
    </w:p>
    <w:p w:rsidR="00BE42CC" w:rsidRDefault="00B00D0A" w:rsidP="00172AA0">
      <w:pPr>
        <w:jc w:val="center"/>
      </w:pPr>
      <w:r w:rsidRPr="00B00D0A">
        <w:rPr>
          <w:noProof/>
        </w:rPr>
        <w:drawing>
          <wp:inline distT="0" distB="0" distL="0" distR="0" wp14:anchorId="3DA14DB8" wp14:editId="702F6023">
            <wp:extent cx="5372100" cy="5010150"/>
            <wp:effectExtent l="0" t="0" r="0" b="0"/>
            <wp:docPr id="4" name="Picture 4" descr="The table diplays the average cost per line item by activity stream for Round 21. " title="Table 10 National average cost per line item, by activity stream, Roun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72100" cy="5010150"/>
                    </a:xfrm>
                    <a:prstGeom prst="rect">
                      <a:avLst/>
                    </a:prstGeom>
                    <a:noFill/>
                    <a:ln>
                      <a:noFill/>
                    </a:ln>
                  </pic:spPr>
                </pic:pic>
              </a:graphicData>
            </a:graphic>
          </wp:inline>
        </w:drawing>
      </w:r>
    </w:p>
    <w:p w:rsidR="00C624F9" w:rsidRDefault="00C624F9" w:rsidP="00C624F9">
      <w:pPr>
        <w:rPr>
          <w:rFonts w:cs="Arial"/>
          <w:szCs w:val="22"/>
        </w:rPr>
      </w:pPr>
      <w:r w:rsidRPr="00B5546E">
        <w:rPr>
          <w:rFonts w:cs="Arial"/>
          <w:szCs w:val="22"/>
        </w:rPr>
        <w:t xml:space="preserve">At the cost bucket level, the Ward Nursing cost bucket accounted for the biggest share of the costs for the admitted acute (17 percent of costs), sub-acute (32 percent) and mental health (34 percent) activity streams. Similarly, the ward medical cost bucket accounted </w:t>
      </w:r>
      <w:r>
        <w:rPr>
          <w:rFonts w:cs="Arial"/>
          <w:szCs w:val="22"/>
        </w:rPr>
        <w:t xml:space="preserve">for a </w:t>
      </w:r>
      <w:r w:rsidRPr="00B5546E">
        <w:rPr>
          <w:rFonts w:cs="Arial"/>
          <w:szCs w:val="22"/>
        </w:rPr>
        <w:t xml:space="preserve">high </w:t>
      </w:r>
      <w:r>
        <w:rPr>
          <w:rFonts w:cs="Arial"/>
          <w:szCs w:val="22"/>
        </w:rPr>
        <w:t xml:space="preserve">share </w:t>
      </w:r>
      <w:r w:rsidRPr="00B5546E">
        <w:rPr>
          <w:rFonts w:cs="Arial"/>
          <w:szCs w:val="22"/>
        </w:rPr>
        <w:t xml:space="preserve">of costs </w:t>
      </w:r>
      <w:r>
        <w:rPr>
          <w:rFonts w:cs="Arial"/>
          <w:szCs w:val="22"/>
        </w:rPr>
        <w:t>in</w:t>
      </w:r>
      <w:r w:rsidRPr="00B5546E">
        <w:rPr>
          <w:rFonts w:cs="Arial"/>
          <w:szCs w:val="22"/>
        </w:rPr>
        <w:t xml:space="preserve"> all </w:t>
      </w:r>
      <w:r>
        <w:rPr>
          <w:rFonts w:cs="Arial"/>
          <w:szCs w:val="22"/>
        </w:rPr>
        <w:t xml:space="preserve">activity </w:t>
      </w:r>
      <w:r w:rsidRPr="00B5546E">
        <w:rPr>
          <w:rFonts w:cs="Arial"/>
          <w:szCs w:val="22"/>
        </w:rPr>
        <w:t xml:space="preserve">streams except the emergency department. </w:t>
      </w:r>
    </w:p>
    <w:p w:rsidR="006F4572" w:rsidRDefault="006F4572" w:rsidP="00C624F9">
      <w:pPr>
        <w:rPr>
          <w:rFonts w:cs="Arial"/>
          <w:szCs w:val="22"/>
        </w:rPr>
      </w:pPr>
    </w:p>
    <w:p w:rsidR="00807238" w:rsidRDefault="00807238" w:rsidP="007F44CC">
      <w:pPr>
        <w:pStyle w:val="Caption"/>
      </w:pPr>
      <w:bookmarkStart w:id="46" w:name="_Toc527385238"/>
      <w:r>
        <w:lastRenderedPageBreak/>
        <w:t xml:space="preserve">Table </w:t>
      </w:r>
      <w:r w:rsidR="00342D61">
        <w:fldChar w:fldCharType="begin"/>
      </w:r>
      <w:r w:rsidR="00342D61">
        <w:instrText xml:space="preserve"> SEQ Table \* ARABIC </w:instrText>
      </w:r>
      <w:r w:rsidR="00342D61">
        <w:fldChar w:fldCharType="separate"/>
      </w:r>
      <w:r w:rsidR="00342D61">
        <w:rPr>
          <w:noProof/>
        </w:rPr>
        <w:t>11</w:t>
      </w:r>
      <w:r w:rsidR="00342D61">
        <w:rPr>
          <w:noProof/>
        </w:rPr>
        <w:fldChar w:fldCharType="end"/>
      </w:r>
      <w:r w:rsidR="00C72BFB" w:rsidRPr="006F7C01">
        <w:t xml:space="preserve"> </w:t>
      </w:r>
      <w:r>
        <w:t>National a</w:t>
      </w:r>
      <w:r w:rsidRPr="00DC6B49">
        <w:t xml:space="preserve">verage cost per </w:t>
      </w:r>
      <w:r w:rsidR="00AC13B3">
        <w:t>cost bucket</w:t>
      </w:r>
      <w:r w:rsidRPr="00DC6B49">
        <w:t>, by act</w:t>
      </w:r>
      <w:r>
        <w:t xml:space="preserve">ivity stream, </w:t>
      </w:r>
      <w:r w:rsidR="00E923E4">
        <w:t>Round 2</w:t>
      </w:r>
      <w:r w:rsidRPr="00DC6B49">
        <w:t>1</w:t>
      </w:r>
      <w:bookmarkEnd w:id="46"/>
    </w:p>
    <w:p w:rsidR="00697B5F" w:rsidRDefault="00342D61" w:rsidP="00172AA0">
      <w:pPr>
        <w:jc w:val="center"/>
      </w:pPr>
      <w:r>
        <w:pict>
          <v:shape id="_x0000_i1026" type="#_x0000_t75" alt="Table 11 displays the National average cost per cost bucket, by activity stream, for Round 21" style="width:391.8pt;height:309.75pt">
            <v:imagedata r:id="rId17" o:title=""/>
          </v:shape>
        </w:pict>
      </w:r>
    </w:p>
    <w:p w:rsidR="00417163" w:rsidRDefault="00417163">
      <w:pPr>
        <w:spacing w:before="0" w:after="0" w:line="240" w:lineRule="auto"/>
        <w:rPr>
          <w:rFonts w:cs="Arial"/>
          <w:b/>
          <w:szCs w:val="22"/>
        </w:rPr>
      </w:pPr>
    </w:p>
    <w:p w:rsidR="002371BB" w:rsidRPr="00C7496A" w:rsidRDefault="002371BB" w:rsidP="003B4C44">
      <w:pPr>
        <w:pStyle w:val="Heading1"/>
      </w:pPr>
      <w:bookmarkStart w:id="47" w:name="_Toc524173856"/>
      <w:bookmarkStart w:id="48" w:name="_Toc530055085"/>
      <w:r w:rsidRPr="00C7496A">
        <w:t>Admitted acute care</w:t>
      </w:r>
      <w:bookmarkEnd w:id="47"/>
      <w:bookmarkEnd w:id="48"/>
    </w:p>
    <w:p w:rsidR="002371BB" w:rsidRPr="00110CDC" w:rsidRDefault="002371BB" w:rsidP="002371BB">
      <w:pPr>
        <w:rPr>
          <w:rFonts w:cs="Arial"/>
          <w:szCs w:val="22"/>
        </w:rPr>
      </w:pPr>
      <w:r w:rsidRPr="00DB5138">
        <w:rPr>
          <w:rFonts w:cs="Arial"/>
          <w:szCs w:val="22"/>
        </w:rPr>
        <w:t>Of the six IHPA activity streams</w:t>
      </w:r>
      <w:r w:rsidRPr="00DB5138">
        <w:rPr>
          <w:rStyle w:val="FootnoteReference"/>
          <w:rFonts w:cs="Arial"/>
          <w:szCs w:val="22"/>
        </w:rPr>
        <w:footnoteReference w:id="2"/>
      </w:r>
      <w:r w:rsidRPr="00DB5138">
        <w:rPr>
          <w:rFonts w:cs="Arial"/>
          <w:szCs w:val="22"/>
        </w:rPr>
        <w:t xml:space="preserve">, the admitted acute care stream accounts for the major share of all hospital costs: in Round 21, </w:t>
      </w:r>
      <w:r w:rsidR="00F23A7E">
        <w:rPr>
          <w:rFonts w:cs="Arial"/>
          <w:szCs w:val="22"/>
        </w:rPr>
        <w:t>$29.</w:t>
      </w:r>
      <w:r w:rsidR="00032E57">
        <w:rPr>
          <w:rFonts w:cs="Arial"/>
          <w:szCs w:val="22"/>
        </w:rPr>
        <w:t>9</w:t>
      </w:r>
      <w:r w:rsidR="00F23A7E">
        <w:rPr>
          <w:rFonts w:cs="Arial"/>
          <w:szCs w:val="22"/>
        </w:rPr>
        <w:t xml:space="preserve"> billion</w:t>
      </w:r>
      <w:r w:rsidRPr="00DB5138">
        <w:rPr>
          <w:rFonts w:cs="Arial"/>
          <w:szCs w:val="22"/>
        </w:rPr>
        <w:t xml:space="preserve"> of hospital costs were </w:t>
      </w:r>
      <w:r w:rsidR="00F23A7E">
        <w:rPr>
          <w:rFonts w:cs="Arial"/>
          <w:szCs w:val="22"/>
        </w:rPr>
        <w:t xml:space="preserve">associated with </w:t>
      </w:r>
      <w:r w:rsidRPr="00DB5138">
        <w:rPr>
          <w:rFonts w:cs="Arial"/>
          <w:szCs w:val="22"/>
        </w:rPr>
        <w:t>admitted acute care separations</w:t>
      </w:r>
      <w:r w:rsidR="009552F1">
        <w:rPr>
          <w:rFonts w:cs="Arial"/>
          <w:szCs w:val="22"/>
        </w:rPr>
        <w:t xml:space="preserve">. </w:t>
      </w:r>
      <w:r w:rsidRPr="00DB5138">
        <w:rPr>
          <w:rFonts w:cs="Arial"/>
          <w:szCs w:val="22"/>
        </w:rPr>
        <w:t>Admitted</w:t>
      </w:r>
      <w:r w:rsidRPr="00C44E77">
        <w:rPr>
          <w:rFonts w:cs="Arial"/>
          <w:szCs w:val="22"/>
        </w:rPr>
        <w:t xml:space="preserve"> acute care has the most developed classification system</w:t>
      </w:r>
      <w:r w:rsidRPr="00C44E77">
        <w:rPr>
          <w:rStyle w:val="FootnoteReference"/>
          <w:rFonts w:cs="Arial"/>
          <w:szCs w:val="22"/>
        </w:rPr>
        <w:footnoteReference w:id="3"/>
      </w:r>
      <w:r w:rsidR="00845638">
        <w:rPr>
          <w:rFonts w:cs="Arial"/>
          <w:szCs w:val="22"/>
        </w:rPr>
        <w:t>,</w:t>
      </w:r>
      <w:r w:rsidRPr="00C44E77">
        <w:rPr>
          <w:rFonts w:cs="Arial"/>
          <w:szCs w:val="22"/>
        </w:rPr>
        <w:t xml:space="preserve"> which in turn generates the most robust cost data results</w:t>
      </w:r>
      <w:r w:rsidR="009552F1">
        <w:rPr>
          <w:rFonts w:cs="Arial"/>
          <w:szCs w:val="22"/>
        </w:rPr>
        <w:t xml:space="preserve">. </w:t>
      </w:r>
    </w:p>
    <w:p w:rsidR="002371BB" w:rsidRPr="00CB4C9A" w:rsidRDefault="002371BB" w:rsidP="003B4C44">
      <w:pPr>
        <w:pStyle w:val="Heading2"/>
      </w:pPr>
      <w:bookmarkStart w:id="49" w:name="_Toc524173857"/>
      <w:bookmarkStart w:id="50" w:name="_Toc530055086"/>
      <w:r w:rsidRPr="00CB4C9A">
        <w:t xml:space="preserve">Average </w:t>
      </w:r>
      <w:r w:rsidR="00033C8D">
        <w:t>c</w:t>
      </w:r>
      <w:r w:rsidRPr="00CB4C9A">
        <w:t xml:space="preserve">ost per </w:t>
      </w:r>
      <w:r w:rsidR="00033C8D">
        <w:t>w</w:t>
      </w:r>
      <w:r w:rsidRPr="00CB4C9A">
        <w:t xml:space="preserve">eighted </w:t>
      </w:r>
      <w:r w:rsidR="00033C8D">
        <w:t>s</w:t>
      </w:r>
      <w:r w:rsidRPr="00CB4C9A">
        <w:t>eparation</w:t>
      </w:r>
      <w:bookmarkEnd w:id="49"/>
      <w:bookmarkEnd w:id="50"/>
    </w:p>
    <w:p w:rsidR="00495D86" w:rsidRDefault="00495D86" w:rsidP="002371BB">
      <w:pPr>
        <w:rPr>
          <w:rFonts w:cs="Arial"/>
        </w:rPr>
      </w:pPr>
      <w:r>
        <w:rPr>
          <w:rFonts w:cs="Arial"/>
        </w:rPr>
        <w:t xml:space="preserve">The average cost per acute separation in Round 21 is $5,171. The average cost at the jurisdiction level </w:t>
      </w:r>
      <w:r w:rsidR="00845638">
        <w:rPr>
          <w:rFonts w:cs="Arial"/>
        </w:rPr>
        <w:t xml:space="preserve">varied </w:t>
      </w:r>
      <w:r>
        <w:rPr>
          <w:rFonts w:cs="Arial"/>
        </w:rPr>
        <w:t>from $6,475 (Western Australia) t</w:t>
      </w:r>
      <w:r w:rsidR="00240C6C">
        <w:rPr>
          <w:rFonts w:cs="Arial"/>
        </w:rPr>
        <w:t xml:space="preserve">o $3,972 (Northern Territory). </w:t>
      </w:r>
      <w:r>
        <w:rPr>
          <w:rFonts w:cs="Arial"/>
        </w:rPr>
        <w:t>The variation in average cost is caused by the admission policies of the jurisdictions and the complexity of the treatment required and other factors such as location and age.</w:t>
      </w:r>
    </w:p>
    <w:p w:rsidR="002371BB" w:rsidRPr="00514DC1" w:rsidRDefault="002371BB" w:rsidP="002371BB">
      <w:pPr>
        <w:rPr>
          <w:rFonts w:cs="Arial"/>
        </w:rPr>
      </w:pPr>
      <w:r w:rsidRPr="00621707">
        <w:rPr>
          <w:rFonts w:cs="Arial"/>
        </w:rPr>
        <w:t>To compare the average cost of admitted acute care separations between jurisdictions, the complexity of each jurisdiction’s</w:t>
      </w:r>
      <w:r w:rsidRPr="00514DC1">
        <w:rPr>
          <w:rFonts w:cs="Arial"/>
        </w:rPr>
        <w:t xml:space="preserve"> work profile should be considered</w:t>
      </w:r>
      <w:r w:rsidR="009552F1">
        <w:rPr>
          <w:rFonts w:cs="Arial"/>
        </w:rPr>
        <w:t xml:space="preserve">. </w:t>
      </w:r>
    </w:p>
    <w:p w:rsidR="002371BB" w:rsidRDefault="002371BB" w:rsidP="002371BB">
      <w:pPr>
        <w:rPr>
          <w:rFonts w:cs="Arial"/>
        </w:rPr>
      </w:pPr>
      <w:r w:rsidRPr="00514DC1">
        <w:rPr>
          <w:rFonts w:cs="Arial"/>
        </w:rPr>
        <w:lastRenderedPageBreak/>
        <w:t xml:space="preserve">To do this, IHPA creates </w:t>
      </w:r>
      <w:r w:rsidRPr="00514DC1">
        <w:rPr>
          <w:rFonts w:cs="Arial"/>
          <w:i/>
        </w:rPr>
        <w:t>weighted separations</w:t>
      </w:r>
      <w:r w:rsidRPr="00514DC1">
        <w:rPr>
          <w:rFonts w:cs="Arial"/>
        </w:rPr>
        <w:t>. A weighted separation considers the complexity of each type of separation relative to the other types of admitted acute separations</w:t>
      </w:r>
      <w:r w:rsidR="00240C6C">
        <w:rPr>
          <w:rFonts w:cs="Arial"/>
        </w:rPr>
        <w:t xml:space="preserve">. </w:t>
      </w:r>
      <w:r w:rsidRPr="00514DC1">
        <w:rPr>
          <w:rFonts w:cs="Arial"/>
        </w:rPr>
        <w:t xml:space="preserve">The level of complexity is determined based on the resources required to treat that patient. </w:t>
      </w:r>
    </w:p>
    <w:p w:rsidR="00495D86" w:rsidRPr="00514DC1" w:rsidRDefault="0004587B" w:rsidP="002371BB">
      <w:pPr>
        <w:rPr>
          <w:rFonts w:cs="Arial"/>
        </w:rPr>
      </w:pPr>
      <w:r>
        <w:rPr>
          <w:rFonts w:cs="Arial"/>
        </w:rPr>
        <w:t xml:space="preserve">Admitted acute </w:t>
      </w:r>
      <w:r w:rsidR="00495D86">
        <w:rPr>
          <w:rFonts w:cs="Arial"/>
        </w:rPr>
        <w:t xml:space="preserve">cost weight tables </w:t>
      </w:r>
      <w:r>
        <w:rPr>
          <w:rFonts w:cs="Arial"/>
        </w:rPr>
        <w:t>are included in</w:t>
      </w:r>
      <w:r w:rsidR="00495D86">
        <w:rPr>
          <w:rFonts w:cs="Arial"/>
        </w:rPr>
        <w:t xml:space="preserve"> the appendix of this report</w:t>
      </w:r>
      <w:r>
        <w:rPr>
          <w:rFonts w:cs="Arial"/>
        </w:rPr>
        <w:t xml:space="preserve">. These tables include the cost weights for all </w:t>
      </w:r>
      <w:r w:rsidR="00845638">
        <w:rPr>
          <w:rFonts w:cs="Arial"/>
        </w:rPr>
        <w:t>D</w:t>
      </w:r>
      <w:r>
        <w:rPr>
          <w:rFonts w:cs="Arial"/>
        </w:rPr>
        <w:t xml:space="preserve">iagnosis </w:t>
      </w:r>
      <w:r w:rsidR="00845638">
        <w:rPr>
          <w:rFonts w:cs="Arial"/>
        </w:rPr>
        <w:t>R</w:t>
      </w:r>
      <w:r>
        <w:rPr>
          <w:rFonts w:cs="Arial"/>
        </w:rPr>
        <w:t xml:space="preserve">elated </w:t>
      </w:r>
      <w:r w:rsidR="00845638">
        <w:rPr>
          <w:rFonts w:cs="Arial"/>
        </w:rPr>
        <w:t>G</w:t>
      </w:r>
      <w:r>
        <w:rPr>
          <w:rFonts w:cs="Arial"/>
        </w:rPr>
        <w:t>roups (DRGs) in Round 21</w:t>
      </w:r>
      <w:r w:rsidR="00845638">
        <w:rPr>
          <w:rFonts w:cs="Arial"/>
        </w:rPr>
        <w:t>,</w:t>
      </w:r>
      <w:r>
        <w:rPr>
          <w:rFonts w:cs="Arial"/>
        </w:rPr>
        <w:t xml:space="preserve"> which are used to compare resource utilisation based on the national level.</w:t>
      </w:r>
    </w:p>
    <w:p w:rsidR="002371BB" w:rsidRPr="00514DC1" w:rsidRDefault="002371BB" w:rsidP="002371BB">
      <w:pPr>
        <w:rPr>
          <w:rFonts w:cs="Arial"/>
        </w:rPr>
      </w:pPr>
      <w:r w:rsidRPr="00514DC1">
        <w:rPr>
          <w:rFonts w:cs="Arial"/>
        </w:rPr>
        <w:t>In Round 21, a single heart transplant patient separation</w:t>
      </w:r>
      <w:r w:rsidRPr="00514DC1">
        <w:rPr>
          <w:rStyle w:val="FootnoteReference"/>
          <w:rFonts w:cs="Arial"/>
        </w:rPr>
        <w:footnoteReference w:id="4"/>
      </w:r>
      <w:r w:rsidRPr="00514DC1">
        <w:rPr>
          <w:rFonts w:cs="Arial"/>
        </w:rPr>
        <w:t>, for example, corresponds to 36.1 weighted separations</w:t>
      </w:r>
      <w:r w:rsidRPr="00514DC1">
        <w:rPr>
          <w:rStyle w:val="FootnoteReference"/>
          <w:rFonts w:cs="Arial"/>
        </w:rPr>
        <w:footnoteReference w:id="5"/>
      </w:r>
      <w:r w:rsidR="009552F1">
        <w:rPr>
          <w:rFonts w:cs="Arial"/>
        </w:rPr>
        <w:t xml:space="preserve">. </w:t>
      </w:r>
      <w:r w:rsidRPr="00514DC1">
        <w:rPr>
          <w:rFonts w:cs="Arial"/>
        </w:rPr>
        <w:t>In contrast, a single colonoscopy patient separation</w:t>
      </w:r>
      <w:r w:rsidRPr="00514DC1">
        <w:rPr>
          <w:rStyle w:val="FootnoteReference"/>
          <w:rFonts w:cs="Arial"/>
        </w:rPr>
        <w:footnoteReference w:id="6"/>
      </w:r>
      <w:r w:rsidRPr="00514DC1">
        <w:rPr>
          <w:rFonts w:cs="Arial"/>
        </w:rPr>
        <w:t xml:space="preserve"> corresponds to 0.42 of a weighted separation</w:t>
      </w:r>
      <w:r w:rsidR="009552F1">
        <w:rPr>
          <w:rFonts w:cs="Arial"/>
        </w:rPr>
        <w:t xml:space="preserve">. </w:t>
      </w:r>
      <w:r w:rsidRPr="00514DC1">
        <w:rPr>
          <w:rFonts w:cs="Arial"/>
        </w:rPr>
        <w:t>The difference reflects the significantly greater complexity associated with a heart transplant operation</w:t>
      </w:r>
      <w:r w:rsidR="009552F1">
        <w:rPr>
          <w:rFonts w:cs="Arial"/>
        </w:rPr>
        <w:t xml:space="preserve">. </w:t>
      </w:r>
    </w:p>
    <w:p w:rsidR="00E81277" w:rsidRDefault="002371BB" w:rsidP="002371BB">
      <w:pPr>
        <w:rPr>
          <w:rFonts w:cs="Arial"/>
        </w:rPr>
      </w:pPr>
      <w:r w:rsidRPr="00514DC1">
        <w:rPr>
          <w:rFonts w:cs="Arial"/>
        </w:rPr>
        <w:t xml:space="preserve">By summing the weighted separations for each jurisdiction, we can compare the </w:t>
      </w:r>
      <w:r w:rsidR="0004587B">
        <w:rPr>
          <w:rFonts w:cs="Arial"/>
        </w:rPr>
        <w:t>volume</w:t>
      </w:r>
      <w:r w:rsidRPr="00514DC1">
        <w:rPr>
          <w:rFonts w:cs="Arial"/>
        </w:rPr>
        <w:t xml:space="preserve"> of jurisdictions’ </w:t>
      </w:r>
      <w:r w:rsidR="0004587B">
        <w:rPr>
          <w:rFonts w:cs="Arial"/>
        </w:rPr>
        <w:t>acute admitted activity</w:t>
      </w:r>
      <w:r w:rsidR="00240C6C">
        <w:rPr>
          <w:rFonts w:cs="Arial"/>
        </w:rPr>
        <w:t>.</w:t>
      </w:r>
    </w:p>
    <w:p w:rsidR="00E81277" w:rsidRPr="00514DC1" w:rsidRDefault="009C47B3" w:rsidP="00E81277">
      <w:pPr>
        <w:rPr>
          <w:rFonts w:cs="Arial"/>
        </w:rPr>
      </w:pPr>
      <w:r>
        <w:rPr>
          <w:rFonts w:cs="Arial"/>
        </w:rPr>
        <w:fldChar w:fldCharType="begin"/>
      </w:r>
      <w:r>
        <w:rPr>
          <w:rFonts w:cs="Arial"/>
        </w:rPr>
        <w:instrText xml:space="preserve"> REF _Ref524337259 \h </w:instrText>
      </w:r>
      <w:r>
        <w:rPr>
          <w:rFonts w:cs="Arial"/>
        </w:rPr>
      </w:r>
      <w:r>
        <w:rPr>
          <w:rFonts w:cs="Arial"/>
        </w:rPr>
        <w:fldChar w:fldCharType="separate"/>
      </w:r>
      <w:r w:rsidR="00342D61">
        <w:t xml:space="preserve">Table </w:t>
      </w:r>
      <w:r>
        <w:rPr>
          <w:rFonts w:cs="Arial"/>
        </w:rPr>
        <w:fldChar w:fldCharType="end"/>
      </w:r>
      <w:r w:rsidR="00C72BFB">
        <w:rPr>
          <w:rFonts w:cs="Arial"/>
        </w:rPr>
        <w:t xml:space="preserve"> 12</w:t>
      </w:r>
      <w:r w:rsidR="00E81277" w:rsidRPr="00514DC1">
        <w:rPr>
          <w:rFonts w:cs="Arial"/>
        </w:rPr>
        <w:t xml:space="preserve"> </w:t>
      </w:r>
      <w:r w:rsidR="00E81277">
        <w:rPr>
          <w:rFonts w:cs="Arial"/>
        </w:rPr>
        <w:t xml:space="preserve">compares the average cost and average cost per weighted separation </w:t>
      </w:r>
      <w:r w:rsidR="00240C6C">
        <w:rPr>
          <w:rFonts w:cs="Arial"/>
        </w:rPr>
        <w:t xml:space="preserve">by jurisdiction. </w:t>
      </w:r>
      <w:r w:rsidR="00E81277" w:rsidRPr="00514DC1">
        <w:rPr>
          <w:rFonts w:cs="Arial"/>
        </w:rPr>
        <w:t xml:space="preserve">The </w:t>
      </w:r>
      <w:r w:rsidR="00E81277" w:rsidRPr="00514DC1">
        <w:rPr>
          <w:rFonts w:cs="Arial"/>
          <w:i/>
        </w:rPr>
        <w:t>‘average cost p</w:t>
      </w:r>
      <w:r w:rsidR="00E81277" w:rsidRPr="00514DC1">
        <w:rPr>
          <w:rFonts w:cs="Arial"/>
        </w:rPr>
        <w:t xml:space="preserve">er </w:t>
      </w:r>
      <w:r w:rsidR="00E81277" w:rsidRPr="00514DC1">
        <w:rPr>
          <w:rFonts w:cs="Arial"/>
          <w:i/>
        </w:rPr>
        <w:t>weighted separation’</w:t>
      </w:r>
      <w:r w:rsidR="00E81277" w:rsidRPr="00514DC1">
        <w:rPr>
          <w:rFonts w:cs="Arial"/>
        </w:rPr>
        <w:t xml:space="preserve"> accounts for the relative complexity of each jurisdiction’s work profile</w:t>
      </w:r>
      <w:r w:rsidR="00E81277">
        <w:rPr>
          <w:rFonts w:cs="Arial"/>
        </w:rPr>
        <w:t xml:space="preserve">. </w:t>
      </w:r>
      <w:r w:rsidR="00E81277" w:rsidRPr="00514DC1">
        <w:rPr>
          <w:rFonts w:cs="Arial"/>
        </w:rPr>
        <w:t xml:space="preserve">If a jurisdiction’s </w:t>
      </w:r>
      <w:r w:rsidR="00E81277" w:rsidRPr="00514DC1">
        <w:rPr>
          <w:rFonts w:cs="Arial"/>
          <w:i/>
        </w:rPr>
        <w:t>average cost per weighted separation</w:t>
      </w:r>
      <w:r w:rsidR="00E81277" w:rsidRPr="00514DC1">
        <w:rPr>
          <w:rFonts w:cs="Arial"/>
        </w:rPr>
        <w:t xml:space="preserve"> is lower than its average cost, the jurisdiction’s hospital activity comprised a higher proportion of complex Diagnosis Related Groups</w:t>
      </w:r>
      <w:r w:rsidR="00E81277">
        <w:rPr>
          <w:rFonts w:cs="Arial"/>
        </w:rPr>
        <w:t xml:space="preserve">. </w:t>
      </w:r>
    </w:p>
    <w:p w:rsidR="00FA3EF1" w:rsidRDefault="00FA3EF1" w:rsidP="002371BB">
      <w:pPr>
        <w:rPr>
          <w:rFonts w:cs="Arial"/>
        </w:rPr>
      </w:pPr>
      <w:r>
        <w:rPr>
          <w:rFonts w:cs="Arial"/>
        </w:rPr>
        <w:t>The Northern Territory has the biggest variance</w:t>
      </w:r>
      <w:r w:rsidR="00845638">
        <w:rPr>
          <w:rFonts w:cs="Arial"/>
        </w:rPr>
        <w:t>,</w:t>
      </w:r>
      <w:r>
        <w:rPr>
          <w:rFonts w:cs="Arial"/>
        </w:rPr>
        <w:t xml:space="preserve"> with a low average cost ($3,972) and a high average cost per weighted separation ($6,587). This reflects that the complexity of separations is quite low relative to the national case</w:t>
      </w:r>
      <w:r w:rsidR="00E81277">
        <w:rPr>
          <w:rFonts w:cs="Arial"/>
        </w:rPr>
        <w:t>-</w:t>
      </w:r>
      <w:r w:rsidR="00F768F0">
        <w:rPr>
          <w:rFonts w:cs="Arial"/>
        </w:rPr>
        <w:t>mix</w:t>
      </w:r>
      <w:r w:rsidR="0004307D">
        <w:rPr>
          <w:rFonts w:cs="Arial"/>
        </w:rPr>
        <w:t>.</w:t>
      </w:r>
    </w:p>
    <w:p w:rsidR="00E23ABA" w:rsidRDefault="00C83237" w:rsidP="007F44CC">
      <w:pPr>
        <w:pStyle w:val="Caption"/>
      </w:pPr>
      <w:bookmarkStart w:id="51" w:name="_Ref524337259"/>
      <w:bookmarkStart w:id="52" w:name="_Toc527385239"/>
      <w:r>
        <w:t xml:space="preserve">Table </w:t>
      </w:r>
      <w:bookmarkEnd w:id="51"/>
      <w:r w:rsidR="00C72BFB">
        <w:fldChar w:fldCharType="begin"/>
      </w:r>
      <w:r w:rsidR="00C72BFB">
        <w:instrText xml:space="preserve"> SEQ Table \* ARABIC </w:instrText>
      </w:r>
      <w:r w:rsidR="00C72BFB">
        <w:fldChar w:fldCharType="separate"/>
      </w:r>
      <w:r w:rsidR="00342D61">
        <w:rPr>
          <w:noProof/>
        </w:rPr>
        <w:t>12</w:t>
      </w:r>
      <w:r w:rsidR="00C72BFB">
        <w:fldChar w:fldCharType="end"/>
      </w:r>
      <w:r w:rsidR="00C72BFB" w:rsidRPr="006F7C01">
        <w:t xml:space="preserve"> </w:t>
      </w:r>
      <w:r w:rsidRPr="00514DC1">
        <w:t xml:space="preserve">Average cost per weighted separation (admitted acute care), by jurisdiction, </w:t>
      </w:r>
      <w:r w:rsidR="00E923E4">
        <w:t>Round 2</w:t>
      </w:r>
      <w:r w:rsidRPr="00514DC1">
        <w:t>1</w:t>
      </w:r>
      <w:bookmarkEnd w:id="52"/>
    </w:p>
    <w:tbl>
      <w:tblPr>
        <w:tblW w:w="7580" w:type="dxa"/>
        <w:jc w:val="center"/>
        <w:tblLook w:val="04A0" w:firstRow="1" w:lastRow="0" w:firstColumn="1" w:lastColumn="0" w:noHBand="0" w:noVBand="1"/>
        <w:tblCaption w:val="Table 12 Average cost per weighted separation (admitted acute care), by jurisdiction, Round 21"/>
        <w:tblDescription w:val="The table displays the Average cost per weighted separation (admitted acute care), by jurisdiction for Round 21"/>
      </w:tblPr>
      <w:tblGrid>
        <w:gridCol w:w="1240"/>
        <w:gridCol w:w="1300"/>
        <w:gridCol w:w="1300"/>
        <w:gridCol w:w="1140"/>
        <w:gridCol w:w="1300"/>
        <w:gridCol w:w="1300"/>
      </w:tblGrid>
      <w:tr w:rsidR="00E23ABA" w:rsidRPr="00E23ABA" w:rsidTr="005351D3">
        <w:trPr>
          <w:trHeight w:val="720"/>
          <w:jc w:val="center"/>
        </w:trPr>
        <w:tc>
          <w:tcPr>
            <w:tcW w:w="1240" w:type="dxa"/>
            <w:tcBorders>
              <w:top w:val="single" w:sz="4" w:space="0" w:color="auto"/>
              <w:left w:val="nil"/>
              <w:bottom w:val="single" w:sz="4" w:space="0" w:color="auto"/>
              <w:right w:val="nil"/>
            </w:tcBorders>
            <w:shd w:val="clear" w:color="auto" w:fill="auto"/>
            <w:noWrap/>
            <w:vAlign w:val="center"/>
            <w:hideMark/>
          </w:tcPr>
          <w:p w:rsidR="00E23ABA" w:rsidRPr="00E23ABA" w:rsidRDefault="00E23ABA" w:rsidP="00E23ABA">
            <w:pPr>
              <w:spacing w:before="0" w:after="0" w:line="240" w:lineRule="auto"/>
              <w:rPr>
                <w:rFonts w:cs="Arial"/>
                <w:b/>
                <w:bCs/>
                <w:color w:val="000000"/>
                <w:sz w:val="18"/>
                <w:szCs w:val="18"/>
              </w:rPr>
            </w:pPr>
            <w:r w:rsidRPr="00E23ABA">
              <w:rPr>
                <w:rFonts w:cs="Arial"/>
                <w:b/>
                <w:bCs/>
                <w:color w:val="000000"/>
                <w:sz w:val="18"/>
                <w:szCs w:val="18"/>
              </w:rPr>
              <w:t>Jurisdiction</w:t>
            </w:r>
          </w:p>
        </w:tc>
        <w:tc>
          <w:tcPr>
            <w:tcW w:w="1300" w:type="dxa"/>
            <w:tcBorders>
              <w:top w:val="single" w:sz="4" w:space="0" w:color="auto"/>
              <w:left w:val="nil"/>
              <w:bottom w:val="single" w:sz="4" w:space="0" w:color="auto"/>
              <w:right w:val="nil"/>
            </w:tcBorders>
            <w:shd w:val="clear" w:color="000000" w:fill="FFFFFF"/>
            <w:vAlign w:val="center"/>
            <w:hideMark/>
          </w:tcPr>
          <w:p w:rsidR="00E23ABA" w:rsidRPr="00E23ABA" w:rsidRDefault="00E23ABA" w:rsidP="00E23ABA">
            <w:pPr>
              <w:spacing w:before="0" w:after="0" w:line="240" w:lineRule="auto"/>
              <w:jc w:val="center"/>
              <w:rPr>
                <w:rFonts w:cs="Arial"/>
                <w:color w:val="000000"/>
                <w:sz w:val="18"/>
                <w:szCs w:val="18"/>
              </w:rPr>
            </w:pPr>
            <w:r w:rsidRPr="00E23ABA">
              <w:rPr>
                <w:rFonts w:cs="Arial"/>
                <w:color w:val="000000"/>
                <w:sz w:val="18"/>
                <w:szCs w:val="18"/>
              </w:rPr>
              <w:t>Number of separations</w:t>
            </w:r>
          </w:p>
        </w:tc>
        <w:tc>
          <w:tcPr>
            <w:tcW w:w="1300" w:type="dxa"/>
            <w:tcBorders>
              <w:top w:val="single" w:sz="4" w:space="0" w:color="auto"/>
              <w:left w:val="nil"/>
              <w:bottom w:val="single" w:sz="4" w:space="0" w:color="auto"/>
              <w:right w:val="nil"/>
            </w:tcBorders>
            <w:shd w:val="clear" w:color="000000" w:fill="FFFFFF"/>
            <w:vAlign w:val="center"/>
            <w:hideMark/>
          </w:tcPr>
          <w:p w:rsidR="00E23ABA" w:rsidRPr="00E23ABA" w:rsidRDefault="00E23ABA" w:rsidP="00E23ABA">
            <w:pPr>
              <w:spacing w:before="0" w:after="0" w:line="240" w:lineRule="auto"/>
              <w:jc w:val="center"/>
              <w:rPr>
                <w:rFonts w:cs="Arial"/>
                <w:color w:val="000000"/>
                <w:sz w:val="18"/>
                <w:szCs w:val="18"/>
              </w:rPr>
            </w:pPr>
            <w:r w:rsidRPr="00E23ABA">
              <w:rPr>
                <w:rFonts w:cs="Arial"/>
                <w:color w:val="000000"/>
                <w:sz w:val="18"/>
                <w:szCs w:val="18"/>
              </w:rPr>
              <w:t>Number of weighted separations</w:t>
            </w:r>
          </w:p>
        </w:tc>
        <w:tc>
          <w:tcPr>
            <w:tcW w:w="1140" w:type="dxa"/>
            <w:tcBorders>
              <w:top w:val="single" w:sz="4" w:space="0" w:color="auto"/>
              <w:left w:val="nil"/>
              <w:bottom w:val="single" w:sz="4" w:space="0" w:color="auto"/>
              <w:right w:val="nil"/>
            </w:tcBorders>
            <w:shd w:val="clear" w:color="000000" w:fill="FFFFFF"/>
            <w:vAlign w:val="center"/>
            <w:hideMark/>
          </w:tcPr>
          <w:p w:rsidR="00E23ABA" w:rsidRPr="00E23ABA" w:rsidRDefault="00E23ABA" w:rsidP="00E23ABA">
            <w:pPr>
              <w:spacing w:before="0" w:after="0" w:line="240" w:lineRule="auto"/>
              <w:jc w:val="center"/>
              <w:rPr>
                <w:rFonts w:cs="Arial"/>
                <w:color w:val="000000"/>
                <w:sz w:val="18"/>
                <w:szCs w:val="18"/>
              </w:rPr>
            </w:pPr>
            <w:r w:rsidRPr="00E23ABA">
              <w:rPr>
                <w:rFonts w:cs="Arial"/>
                <w:color w:val="000000"/>
                <w:sz w:val="18"/>
                <w:szCs w:val="18"/>
              </w:rPr>
              <w:t>Complexity factor (1)</w:t>
            </w:r>
          </w:p>
        </w:tc>
        <w:tc>
          <w:tcPr>
            <w:tcW w:w="1300" w:type="dxa"/>
            <w:tcBorders>
              <w:top w:val="single" w:sz="4" w:space="0" w:color="auto"/>
              <w:left w:val="nil"/>
              <w:bottom w:val="single" w:sz="4" w:space="0" w:color="auto"/>
              <w:right w:val="nil"/>
            </w:tcBorders>
            <w:shd w:val="clear" w:color="000000" w:fill="FFFFFF"/>
            <w:vAlign w:val="center"/>
            <w:hideMark/>
          </w:tcPr>
          <w:p w:rsidR="00E23ABA" w:rsidRPr="00E23ABA" w:rsidRDefault="00E23ABA" w:rsidP="00E23ABA">
            <w:pPr>
              <w:spacing w:before="0" w:after="0" w:line="240" w:lineRule="auto"/>
              <w:jc w:val="center"/>
              <w:rPr>
                <w:rFonts w:cs="Arial"/>
                <w:color w:val="000000"/>
                <w:sz w:val="18"/>
                <w:szCs w:val="18"/>
              </w:rPr>
            </w:pPr>
            <w:r w:rsidRPr="00E23ABA">
              <w:rPr>
                <w:rFonts w:cs="Arial"/>
                <w:color w:val="000000"/>
                <w:sz w:val="18"/>
                <w:szCs w:val="18"/>
              </w:rPr>
              <w:t>Average cost separation</w:t>
            </w:r>
          </w:p>
        </w:tc>
        <w:tc>
          <w:tcPr>
            <w:tcW w:w="1300" w:type="dxa"/>
            <w:tcBorders>
              <w:top w:val="single" w:sz="4" w:space="0" w:color="auto"/>
              <w:left w:val="nil"/>
              <w:bottom w:val="single" w:sz="4" w:space="0" w:color="auto"/>
              <w:right w:val="nil"/>
            </w:tcBorders>
            <w:shd w:val="clear" w:color="000000" w:fill="FFFFFF"/>
            <w:vAlign w:val="center"/>
            <w:hideMark/>
          </w:tcPr>
          <w:p w:rsidR="00E23ABA" w:rsidRPr="00E23ABA" w:rsidRDefault="00E23ABA" w:rsidP="00E23ABA">
            <w:pPr>
              <w:spacing w:before="0" w:after="0" w:line="240" w:lineRule="auto"/>
              <w:jc w:val="center"/>
              <w:rPr>
                <w:rFonts w:cs="Arial"/>
                <w:color w:val="000000"/>
                <w:sz w:val="18"/>
                <w:szCs w:val="18"/>
              </w:rPr>
            </w:pPr>
            <w:r w:rsidRPr="00E23ABA">
              <w:rPr>
                <w:rFonts w:cs="Arial"/>
                <w:color w:val="000000"/>
                <w:sz w:val="18"/>
                <w:szCs w:val="18"/>
              </w:rPr>
              <w:t>Average cost per weighted separation</w:t>
            </w:r>
          </w:p>
        </w:tc>
      </w:tr>
      <w:tr w:rsidR="00E23ABA" w:rsidRPr="00E23ABA" w:rsidTr="005351D3">
        <w:trPr>
          <w:trHeight w:val="300"/>
          <w:jc w:val="center"/>
        </w:trPr>
        <w:tc>
          <w:tcPr>
            <w:tcW w:w="1240" w:type="dxa"/>
            <w:tcBorders>
              <w:top w:val="nil"/>
              <w:left w:val="nil"/>
              <w:bottom w:val="single" w:sz="4" w:space="0" w:color="auto"/>
              <w:right w:val="nil"/>
            </w:tcBorders>
            <w:shd w:val="clear" w:color="000000" w:fill="FFFFFF"/>
            <w:noWrap/>
            <w:vAlign w:val="bottom"/>
            <w:hideMark/>
          </w:tcPr>
          <w:p w:rsidR="00E23ABA" w:rsidRPr="00E23ABA" w:rsidRDefault="00E23ABA" w:rsidP="00E23ABA">
            <w:pPr>
              <w:spacing w:before="0" w:after="0" w:line="240" w:lineRule="auto"/>
              <w:rPr>
                <w:rFonts w:cs="Arial"/>
                <w:color w:val="000000"/>
                <w:sz w:val="18"/>
                <w:szCs w:val="18"/>
              </w:rPr>
            </w:pPr>
            <w:r w:rsidRPr="00E23ABA">
              <w:rPr>
                <w:rFonts w:cs="Arial"/>
                <w:color w:val="000000"/>
                <w:sz w:val="18"/>
                <w:szCs w:val="18"/>
              </w:rPr>
              <w:t> </w:t>
            </w:r>
          </w:p>
        </w:tc>
        <w:tc>
          <w:tcPr>
            <w:tcW w:w="1300" w:type="dxa"/>
            <w:tcBorders>
              <w:top w:val="nil"/>
              <w:left w:val="nil"/>
              <w:bottom w:val="single" w:sz="4" w:space="0" w:color="auto"/>
              <w:right w:val="nil"/>
            </w:tcBorders>
            <w:shd w:val="clear" w:color="000000" w:fill="FFFFFF"/>
            <w:noWrap/>
            <w:vAlign w:val="center"/>
            <w:hideMark/>
          </w:tcPr>
          <w:p w:rsidR="00E23ABA" w:rsidRPr="00E23ABA" w:rsidRDefault="00E23ABA" w:rsidP="00E23ABA">
            <w:pPr>
              <w:spacing w:before="0" w:after="0" w:line="240" w:lineRule="auto"/>
              <w:jc w:val="center"/>
              <w:rPr>
                <w:rFonts w:cs="Arial"/>
                <w:color w:val="000000"/>
                <w:sz w:val="18"/>
                <w:szCs w:val="18"/>
              </w:rPr>
            </w:pPr>
            <w:r w:rsidRPr="00E23ABA">
              <w:rPr>
                <w:rFonts w:cs="Arial"/>
                <w:color w:val="000000"/>
                <w:sz w:val="18"/>
                <w:szCs w:val="18"/>
              </w:rPr>
              <w:t> </w:t>
            </w:r>
          </w:p>
        </w:tc>
        <w:tc>
          <w:tcPr>
            <w:tcW w:w="1300" w:type="dxa"/>
            <w:tcBorders>
              <w:top w:val="nil"/>
              <w:left w:val="nil"/>
              <w:bottom w:val="single" w:sz="4" w:space="0" w:color="auto"/>
              <w:right w:val="nil"/>
            </w:tcBorders>
            <w:shd w:val="clear" w:color="000000" w:fill="FFFFFF"/>
            <w:noWrap/>
            <w:vAlign w:val="bottom"/>
            <w:hideMark/>
          </w:tcPr>
          <w:p w:rsidR="00E23ABA" w:rsidRPr="00E23ABA" w:rsidRDefault="00E23ABA" w:rsidP="00E23ABA">
            <w:pPr>
              <w:spacing w:before="0" w:after="0" w:line="240" w:lineRule="auto"/>
              <w:jc w:val="center"/>
              <w:rPr>
                <w:rFonts w:cs="Arial"/>
                <w:color w:val="000000"/>
                <w:sz w:val="18"/>
                <w:szCs w:val="18"/>
              </w:rPr>
            </w:pPr>
            <w:r w:rsidRPr="00E23ABA">
              <w:rPr>
                <w:rFonts w:cs="Arial"/>
                <w:color w:val="000000"/>
                <w:sz w:val="18"/>
                <w:szCs w:val="18"/>
              </w:rPr>
              <w:t> </w:t>
            </w:r>
          </w:p>
        </w:tc>
        <w:tc>
          <w:tcPr>
            <w:tcW w:w="1140" w:type="dxa"/>
            <w:tcBorders>
              <w:top w:val="nil"/>
              <w:left w:val="nil"/>
              <w:bottom w:val="single" w:sz="4" w:space="0" w:color="auto"/>
              <w:right w:val="nil"/>
            </w:tcBorders>
            <w:shd w:val="clear" w:color="000000" w:fill="FFFFFF"/>
            <w:noWrap/>
            <w:vAlign w:val="center"/>
            <w:hideMark/>
          </w:tcPr>
          <w:p w:rsidR="00E23ABA" w:rsidRPr="00E23ABA" w:rsidRDefault="00E23ABA" w:rsidP="00E23ABA">
            <w:pPr>
              <w:spacing w:before="0" w:after="0" w:line="240" w:lineRule="auto"/>
              <w:jc w:val="center"/>
              <w:rPr>
                <w:rFonts w:cs="Arial"/>
                <w:color w:val="000000"/>
                <w:sz w:val="18"/>
                <w:szCs w:val="18"/>
              </w:rPr>
            </w:pPr>
            <w:r w:rsidRPr="00E23ABA">
              <w:rPr>
                <w:rFonts w:cs="Arial"/>
                <w:color w:val="000000"/>
                <w:sz w:val="18"/>
                <w:szCs w:val="18"/>
              </w:rPr>
              <w:t> </w:t>
            </w:r>
          </w:p>
        </w:tc>
        <w:tc>
          <w:tcPr>
            <w:tcW w:w="1300" w:type="dxa"/>
            <w:tcBorders>
              <w:top w:val="nil"/>
              <w:left w:val="nil"/>
              <w:bottom w:val="single" w:sz="4" w:space="0" w:color="auto"/>
              <w:right w:val="nil"/>
            </w:tcBorders>
            <w:shd w:val="clear" w:color="000000" w:fill="FFFFFF"/>
            <w:noWrap/>
            <w:vAlign w:val="bottom"/>
            <w:hideMark/>
          </w:tcPr>
          <w:p w:rsidR="00E23ABA" w:rsidRPr="00E23ABA" w:rsidRDefault="00E23ABA" w:rsidP="00697B5F">
            <w:pPr>
              <w:spacing w:before="0" w:after="0" w:line="240" w:lineRule="auto"/>
              <w:jc w:val="right"/>
              <w:rPr>
                <w:rFonts w:cs="Arial"/>
                <w:color w:val="000000"/>
                <w:sz w:val="18"/>
                <w:szCs w:val="18"/>
              </w:rPr>
            </w:pPr>
            <w:r w:rsidRPr="00E23ABA">
              <w:rPr>
                <w:rFonts w:cs="Arial"/>
                <w:color w:val="000000"/>
                <w:sz w:val="18"/>
                <w:szCs w:val="18"/>
              </w:rPr>
              <w:t>($)</w:t>
            </w:r>
          </w:p>
        </w:tc>
        <w:tc>
          <w:tcPr>
            <w:tcW w:w="1300" w:type="dxa"/>
            <w:tcBorders>
              <w:top w:val="nil"/>
              <w:left w:val="nil"/>
              <w:bottom w:val="single" w:sz="4" w:space="0" w:color="auto"/>
              <w:right w:val="nil"/>
            </w:tcBorders>
            <w:shd w:val="clear" w:color="000000" w:fill="FFFFFF"/>
            <w:noWrap/>
            <w:vAlign w:val="bottom"/>
            <w:hideMark/>
          </w:tcPr>
          <w:p w:rsidR="00E23ABA" w:rsidRPr="00E23ABA" w:rsidRDefault="00E23ABA" w:rsidP="00697B5F">
            <w:pPr>
              <w:spacing w:before="0" w:after="0" w:line="240" w:lineRule="auto"/>
              <w:jc w:val="right"/>
              <w:rPr>
                <w:rFonts w:cs="Arial"/>
                <w:color w:val="000000"/>
                <w:sz w:val="18"/>
                <w:szCs w:val="18"/>
              </w:rPr>
            </w:pPr>
            <w:r w:rsidRPr="00E23ABA">
              <w:rPr>
                <w:rFonts w:cs="Arial"/>
                <w:color w:val="000000"/>
                <w:sz w:val="18"/>
                <w:szCs w:val="18"/>
              </w:rPr>
              <w:t>($)</w:t>
            </w:r>
          </w:p>
        </w:tc>
      </w:tr>
      <w:tr w:rsidR="00E23ABA" w:rsidRPr="00E23ABA" w:rsidTr="005351D3">
        <w:trPr>
          <w:trHeight w:val="300"/>
          <w:jc w:val="center"/>
        </w:trPr>
        <w:tc>
          <w:tcPr>
            <w:tcW w:w="1240" w:type="dxa"/>
            <w:tcBorders>
              <w:top w:val="nil"/>
              <w:left w:val="nil"/>
              <w:bottom w:val="nil"/>
              <w:right w:val="nil"/>
            </w:tcBorders>
            <w:shd w:val="clear" w:color="000000" w:fill="FFFFFF"/>
            <w:noWrap/>
            <w:vAlign w:val="center"/>
            <w:hideMark/>
          </w:tcPr>
          <w:p w:rsidR="00E23ABA" w:rsidRPr="00E23ABA" w:rsidRDefault="00E23ABA" w:rsidP="00A92BBB">
            <w:pPr>
              <w:spacing w:before="0" w:after="0" w:line="240" w:lineRule="auto"/>
              <w:rPr>
                <w:rFonts w:cs="Arial"/>
                <w:color w:val="000000"/>
                <w:sz w:val="18"/>
                <w:szCs w:val="18"/>
              </w:rPr>
            </w:pPr>
            <w:r w:rsidRPr="00E23ABA">
              <w:rPr>
                <w:rFonts w:cs="Arial"/>
                <w:color w:val="000000"/>
                <w:sz w:val="18"/>
                <w:szCs w:val="18"/>
              </w:rPr>
              <w:t>NSW</w:t>
            </w:r>
          </w:p>
        </w:tc>
        <w:tc>
          <w:tcPr>
            <w:tcW w:w="1300" w:type="dxa"/>
            <w:tcBorders>
              <w:top w:val="nil"/>
              <w:left w:val="nil"/>
              <w:bottom w:val="nil"/>
              <w:right w:val="nil"/>
            </w:tcBorders>
            <w:shd w:val="clear" w:color="000000" w:fill="FFFFFF"/>
            <w:noWrap/>
            <w:vAlign w:val="center"/>
            <w:hideMark/>
          </w:tcPr>
          <w:p w:rsidR="00E23ABA" w:rsidRPr="00E23ABA" w:rsidRDefault="00E23ABA" w:rsidP="00E23ABA">
            <w:pPr>
              <w:spacing w:before="0" w:after="0" w:line="240" w:lineRule="auto"/>
              <w:jc w:val="right"/>
              <w:rPr>
                <w:rFonts w:cs="Arial"/>
                <w:color w:val="000000"/>
                <w:sz w:val="18"/>
                <w:szCs w:val="18"/>
              </w:rPr>
            </w:pPr>
            <w:r w:rsidRPr="00E23ABA">
              <w:rPr>
                <w:rFonts w:cs="Arial"/>
                <w:color w:val="000000"/>
                <w:sz w:val="18"/>
                <w:szCs w:val="18"/>
              </w:rPr>
              <w:t>1,589,586</w:t>
            </w:r>
          </w:p>
        </w:tc>
        <w:tc>
          <w:tcPr>
            <w:tcW w:w="1300" w:type="dxa"/>
            <w:tcBorders>
              <w:top w:val="nil"/>
              <w:left w:val="nil"/>
              <w:bottom w:val="nil"/>
              <w:right w:val="nil"/>
            </w:tcBorders>
            <w:shd w:val="clear" w:color="000000" w:fill="FFFFFF"/>
            <w:noWrap/>
            <w:vAlign w:val="center"/>
            <w:hideMark/>
          </w:tcPr>
          <w:p w:rsidR="00E23ABA" w:rsidRPr="00E23ABA" w:rsidRDefault="00E23ABA" w:rsidP="00E23ABA">
            <w:pPr>
              <w:spacing w:before="0" w:after="0" w:line="240" w:lineRule="auto"/>
              <w:jc w:val="right"/>
              <w:rPr>
                <w:rFonts w:cs="Arial"/>
                <w:color w:val="000000"/>
                <w:sz w:val="18"/>
                <w:szCs w:val="18"/>
              </w:rPr>
            </w:pPr>
            <w:r w:rsidRPr="00E23ABA">
              <w:rPr>
                <w:rFonts w:cs="Arial"/>
                <w:color w:val="000000"/>
                <w:sz w:val="18"/>
                <w:szCs w:val="18"/>
              </w:rPr>
              <w:t>1,715,970</w:t>
            </w:r>
          </w:p>
        </w:tc>
        <w:tc>
          <w:tcPr>
            <w:tcW w:w="1140" w:type="dxa"/>
            <w:tcBorders>
              <w:top w:val="nil"/>
              <w:left w:val="nil"/>
              <w:bottom w:val="nil"/>
              <w:right w:val="nil"/>
            </w:tcBorders>
            <w:shd w:val="clear" w:color="000000" w:fill="FFFFFF"/>
            <w:noWrap/>
            <w:vAlign w:val="center"/>
            <w:hideMark/>
          </w:tcPr>
          <w:p w:rsidR="00E23ABA" w:rsidRPr="00E23ABA" w:rsidRDefault="00E23ABA" w:rsidP="00E23ABA">
            <w:pPr>
              <w:spacing w:before="0" w:after="0" w:line="240" w:lineRule="auto"/>
              <w:jc w:val="right"/>
              <w:rPr>
                <w:rFonts w:cs="Arial"/>
                <w:color w:val="000000"/>
                <w:sz w:val="18"/>
                <w:szCs w:val="18"/>
              </w:rPr>
            </w:pPr>
            <w:r w:rsidRPr="00E23ABA">
              <w:rPr>
                <w:rFonts w:cs="Arial"/>
                <w:color w:val="000000"/>
                <w:sz w:val="18"/>
                <w:szCs w:val="18"/>
              </w:rPr>
              <w:t>1.08</w:t>
            </w:r>
          </w:p>
        </w:tc>
        <w:tc>
          <w:tcPr>
            <w:tcW w:w="1300" w:type="dxa"/>
            <w:tcBorders>
              <w:top w:val="nil"/>
              <w:left w:val="nil"/>
              <w:bottom w:val="nil"/>
              <w:right w:val="nil"/>
            </w:tcBorders>
            <w:shd w:val="clear" w:color="000000" w:fill="FFFFFF"/>
            <w:noWrap/>
            <w:vAlign w:val="center"/>
            <w:hideMark/>
          </w:tcPr>
          <w:p w:rsidR="00E23ABA" w:rsidRPr="00E23ABA" w:rsidRDefault="00E23ABA" w:rsidP="00E23ABA">
            <w:pPr>
              <w:spacing w:before="0" w:after="0" w:line="240" w:lineRule="auto"/>
              <w:jc w:val="right"/>
              <w:rPr>
                <w:rFonts w:cs="Arial"/>
                <w:color w:val="000000"/>
                <w:sz w:val="18"/>
                <w:szCs w:val="18"/>
              </w:rPr>
            </w:pPr>
            <w:r w:rsidRPr="00E23ABA">
              <w:rPr>
                <w:rFonts w:cs="Arial"/>
                <w:color w:val="000000"/>
                <w:sz w:val="18"/>
                <w:szCs w:val="18"/>
              </w:rPr>
              <w:t>5,477</w:t>
            </w:r>
          </w:p>
        </w:tc>
        <w:tc>
          <w:tcPr>
            <w:tcW w:w="1300" w:type="dxa"/>
            <w:tcBorders>
              <w:top w:val="nil"/>
              <w:left w:val="nil"/>
              <w:bottom w:val="nil"/>
              <w:right w:val="nil"/>
            </w:tcBorders>
            <w:shd w:val="clear" w:color="000000" w:fill="FFFFFF"/>
            <w:noWrap/>
            <w:vAlign w:val="center"/>
            <w:hideMark/>
          </w:tcPr>
          <w:p w:rsidR="00E23ABA" w:rsidRPr="00E23ABA" w:rsidRDefault="00E23ABA" w:rsidP="00E23ABA">
            <w:pPr>
              <w:spacing w:before="0" w:after="0" w:line="240" w:lineRule="auto"/>
              <w:jc w:val="right"/>
              <w:rPr>
                <w:rFonts w:cs="Arial"/>
                <w:color w:val="000000"/>
                <w:sz w:val="18"/>
                <w:szCs w:val="18"/>
              </w:rPr>
            </w:pPr>
            <w:r w:rsidRPr="00E23ABA">
              <w:rPr>
                <w:rFonts w:cs="Arial"/>
                <w:color w:val="000000"/>
                <w:sz w:val="18"/>
                <w:szCs w:val="18"/>
              </w:rPr>
              <w:t>5,074</w:t>
            </w:r>
          </w:p>
        </w:tc>
      </w:tr>
      <w:tr w:rsidR="00E23ABA" w:rsidRPr="00E23ABA" w:rsidTr="005351D3">
        <w:trPr>
          <w:trHeight w:val="300"/>
          <w:jc w:val="center"/>
        </w:trPr>
        <w:tc>
          <w:tcPr>
            <w:tcW w:w="1240" w:type="dxa"/>
            <w:tcBorders>
              <w:top w:val="nil"/>
              <w:left w:val="nil"/>
              <w:bottom w:val="nil"/>
              <w:right w:val="nil"/>
            </w:tcBorders>
            <w:shd w:val="clear" w:color="000000" w:fill="FFFFFF"/>
            <w:noWrap/>
            <w:vAlign w:val="center"/>
            <w:hideMark/>
          </w:tcPr>
          <w:p w:rsidR="00E23ABA" w:rsidRPr="00E23ABA" w:rsidRDefault="00E23ABA" w:rsidP="00A92BBB">
            <w:pPr>
              <w:spacing w:before="0" w:after="0" w:line="240" w:lineRule="auto"/>
              <w:rPr>
                <w:rFonts w:cs="Arial"/>
                <w:color w:val="000000"/>
                <w:sz w:val="18"/>
                <w:szCs w:val="18"/>
              </w:rPr>
            </w:pPr>
            <w:r w:rsidRPr="00E23ABA">
              <w:rPr>
                <w:rFonts w:cs="Arial"/>
                <w:color w:val="000000"/>
                <w:sz w:val="18"/>
                <w:szCs w:val="18"/>
              </w:rPr>
              <w:t>Vic</w:t>
            </w:r>
          </w:p>
        </w:tc>
        <w:tc>
          <w:tcPr>
            <w:tcW w:w="1300" w:type="dxa"/>
            <w:tcBorders>
              <w:top w:val="nil"/>
              <w:left w:val="nil"/>
              <w:bottom w:val="nil"/>
              <w:right w:val="nil"/>
            </w:tcBorders>
            <w:shd w:val="clear" w:color="000000" w:fill="FFFFFF"/>
            <w:noWrap/>
            <w:vAlign w:val="center"/>
            <w:hideMark/>
          </w:tcPr>
          <w:p w:rsidR="00E23ABA" w:rsidRPr="00E23ABA" w:rsidRDefault="00E23ABA" w:rsidP="00E23ABA">
            <w:pPr>
              <w:spacing w:before="0" w:after="0" w:line="240" w:lineRule="auto"/>
              <w:jc w:val="right"/>
              <w:rPr>
                <w:rFonts w:cs="Arial"/>
                <w:color w:val="000000"/>
                <w:sz w:val="18"/>
                <w:szCs w:val="18"/>
              </w:rPr>
            </w:pPr>
            <w:r w:rsidRPr="00E23ABA">
              <w:rPr>
                <w:rFonts w:cs="Arial"/>
                <w:color w:val="000000"/>
                <w:sz w:val="18"/>
                <w:szCs w:val="18"/>
              </w:rPr>
              <w:t>1,607,259</w:t>
            </w:r>
          </w:p>
        </w:tc>
        <w:tc>
          <w:tcPr>
            <w:tcW w:w="1300" w:type="dxa"/>
            <w:tcBorders>
              <w:top w:val="nil"/>
              <w:left w:val="nil"/>
              <w:bottom w:val="nil"/>
              <w:right w:val="nil"/>
            </w:tcBorders>
            <w:shd w:val="clear" w:color="000000" w:fill="FFFFFF"/>
            <w:noWrap/>
            <w:vAlign w:val="center"/>
            <w:hideMark/>
          </w:tcPr>
          <w:p w:rsidR="00E23ABA" w:rsidRPr="00E23ABA" w:rsidRDefault="00E23ABA" w:rsidP="00E23ABA">
            <w:pPr>
              <w:spacing w:before="0" w:after="0" w:line="240" w:lineRule="auto"/>
              <w:jc w:val="right"/>
              <w:rPr>
                <w:rFonts w:cs="Arial"/>
                <w:color w:val="000000"/>
                <w:sz w:val="18"/>
                <w:szCs w:val="18"/>
              </w:rPr>
            </w:pPr>
            <w:r w:rsidRPr="00E23ABA">
              <w:rPr>
                <w:rFonts w:cs="Arial"/>
                <w:color w:val="000000"/>
                <w:sz w:val="18"/>
                <w:szCs w:val="18"/>
              </w:rPr>
              <w:t>1,551,996</w:t>
            </w:r>
          </w:p>
        </w:tc>
        <w:tc>
          <w:tcPr>
            <w:tcW w:w="1140" w:type="dxa"/>
            <w:tcBorders>
              <w:top w:val="nil"/>
              <w:left w:val="nil"/>
              <w:bottom w:val="nil"/>
              <w:right w:val="nil"/>
            </w:tcBorders>
            <w:shd w:val="clear" w:color="000000" w:fill="FFFFFF"/>
            <w:noWrap/>
            <w:vAlign w:val="center"/>
            <w:hideMark/>
          </w:tcPr>
          <w:p w:rsidR="00E23ABA" w:rsidRPr="00E23ABA" w:rsidRDefault="00E23ABA" w:rsidP="00E23ABA">
            <w:pPr>
              <w:spacing w:before="0" w:after="0" w:line="240" w:lineRule="auto"/>
              <w:jc w:val="right"/>
              <w:rPr>
                <w:rFonts w:cs="Arial"/>
                <w:color w:val="000000"/>
                <w:sz w:val="18"/>
                <w:szCs w:val="18"/>
              </w:rPr>
            </w:pPr>
            <w:r w:rsidRPr="00E23ABA">
              <w:rPr>
                <w:rFonts w:cs="Arial"/>
                <w:color w:val="000000"/>
                <w:sz w:val="18"/>
                <w:szCs w:val="18"/>
              </w:rPr>
              <w:t>0.97</w:t>
            </w:r>
          </w:p>
        </w:tc>
        <w:tc>
          <w:tcPr>
            <w:tcW w:w="1300" w:type="dxa"/>
            <w:tcBorders>
              <w:top w:val="nil"/>
              <w:left w:val="nil"/>
              <w:bottom w:val="nil"/>
              <w:right w:val="nil"/>
            </w:tcBorders>
            <w:shd w:val="clear" w:color="000000" w:fill="FFFFFF"/>
            <w:noWrap/>
            <w:vAlign w:val="center"/>
            <w:hideMark/>
          </w:tcPr>
          <w:p w:rsidR="00E23ABA" w:rsidRPr="00E23ABA" w:rsidRDefault="00E23ABA" w:rsidP="00E23ABA">
            <w:pPr>
              <w:spacing w:before="0" w:after="0" w:line="240" w:lineRule="auto"/>
              <w:jc w:val="right"/>
              <w:rPr>
                <w:rFonts w:cs="Arial"/>
                <w:color w:val="000000"/>
                <w:sz w:val="18"/>
                <w:szCs w:val="18"/>
              </w:rPr>
            </w:pPr>
            <w:r w:rsidRPr="00E23ABA">
              <w:rPr>
                <w:rFonts w:cs="Arial"/>
                <w:color w:val="000000"/>
                <w:sz w:val="18"/>
                <w:szCs w:val="18"/>
              </w:rPr>
              <w:t>4,494</w:t>
            </w:r>
          </w:p>
        </w:tc>
        <w:tc>
          <w:tcPr>
            <w:tcW w:w="1300" w:type="dxa"/>
            <w:tcBorders>
              <w:top w:val="nil"/>
              <w:left w:val="nil"/>
              <w:bottom w:val="nil"/>
              <w:right w:val="nil"/>
            </w:tcBorders>
            <w:shd w:val="clear" w:color="000000" w:fill="FFFFFF"/>
            <w:noWrap/>
            <w:vAlign w:val="center"/>
            <w:hideMark/>
          </w:tcPr>
          <w:p w:rsidR="00E23ABA" w:rsidRPr="00E23ABA" w:rsidRDefault="00E23ABA" w:rsidP="00E23ABA">
            <w:pPr>
              <w:spacing w:before="0" w:after="0" w:line="240" w:lineRule="auto"/>
              <w:jc w:val="right"/>
              <w:rPr>
                <w:rFonts w:cs="Arial"/>
                <w:color w:val="000000"/>
                <w:sz w:val="18"/>
                <w:szCs w:val="18"/>
              </w:rPr>
            </w:pPr>
            <w:r w:rsidRPr="00E23ABA">
              <w:rPr>
                <w:rFonts w:cs="Arial"/>
                <w:color w:val="000000"/>
                <w:sz w:val="18"/>
                <w:szCs w:val="18"/>
              </w:rPr>
              <w:t>4,654</w:t>
            </w:r>
          </w:p>
        </w:tc>
      </w:tr>
      <w:tr w:rsidR="00E23ABA" w:rsidRPr="00E23ABA" w:rsidTr="005351D3">
        <w:trPr>
          <w:trHeight w:val="300"/>
          <w:jc w:val="center"/>
        </w:trPr>
        <w:tc>
          <w:tcPr>
            <w:tcW w:w="1240" w:type="dxa"/>
            <w:tcBorders>
              <w:top w:val="nil"/>
              <w:left w:val="nil"/>
              <w:bottom w:val="nil"/>
              <w:right w:val="nil"/>
            </w:tcBorders>
            <w:shd w:val="clear" w:color="000000" w:fill="FFFFFF"/>
            <w:noWrap/>
            <w:vAlign w:val="center"/>
            <w:hideMark/>
          </w:tcPr>
          <w:p w:rsidR="00E23ABA" w:rsidRPr="00E23ABA" w:rsidRDefault="00E23ABA" w:rsidP="00A92BBB">
            <w:pPr>
              <w:spacing w:before="0" w:after="0" w:line="240" w:lineRule="auto"/>
              <w:rPr>
                <w:rFonts w:cs="Arial"/>
                <w:color w:val="000000"/>
                <w:sz w:val="18"/>
                <w:szCs w:val="18"/>
              </w:rPr>
            </w:pPr>
            <w:r w:rsidRPr="00E23ABA">
              <w:rPr>
                <w:rFonts w:cs="Arial"/>
                <w:color w:val="000000"/>
                <w:sz w:val="18"/>
                <w:szCs w:val="18"/>
              </w:rPr>
              <w:t>Qld</w:t>
            </w:r>
          </w:p>
        </w:tc>
        <w:tc>
          <w:tcPr>
            <w:tcW w:w="1300" w:type="dxa"/>
            <w:tcBorders>
              <w:top w:val="nil"/>
              <w:left w:val="nil"/>
              <w:bottom w:val="nil"/>
              <w:right w:val="nil"/>
            </w:tcBorders>
            <w:shd w:val="clear" w:color="000000" w:fill="FFFFFF"/>
            <w:noWrap/>
            <w:vAlign w:val="center"/>
            <w:hideMark/>
          </w:tcPr>
          <w:p w:rsidR="00E23ABA" w:rsidRPr="00E23ABA" w:rsidRDefault="00E23ABA" w:rsidP="00E23ABA">
            <w:pPr>
              <w:spacing w:before="0" w:after="0" w:line="240" w:lineRule="auto"/>
              <w:jc w:val="right"/>
              <w:rPr>
                <w:rFonts w:cs="Arial"/>
                <w:color w:val="000000"/>
                <w:sz w:val="18"/>
                <w:szCs w:val="18"/>
              </w:rPr>
            </w:pPr>
            <w:r w:rsidRPr="00E23ABA">
              <w:rPr>
                <w:rFonts w:cs="Arial"/>
                <w:color w:val="000000"/>
                <w:sz w:val="18"/>
                <w:szCs w:val="18"/>
              </w:rPr>
              <w:t>1,307,683</w:t>
            </w:r>
          </w:p>
        </w:tc>
        <w:tc>
          <w:tcPr>
            <w:tcW w:w="1300" w:type="dxa"/>
            <w:tcBorders>
              <w:top w:val="nil"/>
              <w:left w:val="nil"/>
              <w:bottom w:val="nil"/>
              <w:right w:val="nil"/>
            </w:tcBorders>
            <w:shd w:val="clear" w:color="000000" w:fill="FFFFFF"/>
            <w:noWrap/>
            <w:vAlign w:val="center"/>
            <w:hideMark/>
          </w:tcPr>
          <w:p w:rsidR="00E23ABA" w:rsidRPr="00E23ABA" w:rsidRDefault="00E23ABA" w:rsidP="00E23ABA">
            <w:pPr>
              <w:spacing w:before="0" w:after="0" w:line="240" w:lineRule="auto"/>
              <w:jc w:val="right"/>
              <w:rPr>
                <w:rFonts w:cs="Arial"/>
                <w:color w:val="000000"/>
                <w:sz w:val="18"/>
                <w:szCs w:val="18"/>
              </w:rPr>
            </w:pPr>
            <w:r w:rsidRPr="00E23ABA">
              <w:rPr>
                <w:rFonts w:cs="Arial"/>
                <w:color w:val="000000"/>
                <w:sz w:val="18"/>
                <w:szCs w:val="18"/>
              </w:rPr>
              <w:t>1,268,075</w:t>
            </w:r>
          </w:p>
        </w:tc>
        <w:tc>
          <w:tcPr>
            <w:tcW w:w="1140" w:type="dxa"/>
            <w:tcBorders>
              <w:top w:val="nil"/>
              <w:left w:val="nil"/>
              <w:bottom w:val="nil"/>
              <w:right w:val="nil"/>
            </w:tcBorders>
            <w:shd w:val="clear" w:color="000000" w:fill="FFFFFF"/>
            <w:noWrap/>
            <w:vAlign w:val="center"/>
            <w:hideMark/>
          </w:tcPr>
          <w:p w:rsidR="00E23ABA" w:rsidRPr="00E23ABA" w:rsidRDefault="00E23ABA" w:rsidP="00E23ABA">
            <w:pPr>
              <w:spacing w:before="0" w:after="0" w:line="240" w:lineRule="auto"/>
              <w:jc w:val="right"/>
              <w:rPr>
                <w:rFonts w:cs="Arial"/>
                <w:color w:val="000000"/>
                <w:sz w:val="18"/>
                <w:szCs w:val="18"/>
              </w:rPr>
            </w:pPr>
            <w:r w:rsidRPr="00E23ABA">
              <w:rPr>
                <w:rFonts w:cs="Arial"/>
                <w:color w:val="000000"/>
                <w:sz w:val="18"/>
                <w:szCs w:val="18"/>
              </w:rPr>
              <w:t>0.97</w:t>
            </w:r>
          </w:p>
        </w:tc>
        <w:tc>
          <w:tcPr>
            <w:tcW w:w="1300" w:type="dxa"/>
            <w:tcBorders>
              <w:top w:val="nil"/>
              <w:left w:val="nil"/>
              <w:bottom w:val="nil"/>
              <w:right w:val="nil"/>
            </w:tcBorders>
            <w:shd w:val="clear" w:color="000000" w:fill="FFFFFF"/>
            <w:noWrap/>
            <w:vAlign w:val="center"/>
            <w:hideMark/>
          </w:tcPr>
          <w:p w:rsidR="00E23ABA" w:rsidRPr="00E23ABA" w:rsidRDefault="00E23ABA" w:rsidP="00E23ABA">
            <w:pPr>
              <w:spacing w:before="0" w:after="0" w:line="240" w:lineRule="auto"/>
              <w:jc w:val="right"/>
              <w:rPr>
                <w:rFonts w:cs="Arial"/>
                <w:color w:val="000000"/>
                <w:sz w:val="18"/>
                <w:szCs w:val="18"/>
              </w:rPr>
            </w:pPr>
            <w:r w:rsidRPr="00E23ABA">
              <w:rPr>
                <w:rFonts w:cs="Arial"/>
                <w:color w:val="000000"/>
                <w:sz w:val="18"/>
                <w:szCs w:val="18"/>
              </w:rPr>
              <w:t>4,922</w:t>
            </w:r>
          </w:p>
        </w:tc>
        <w:tc>
          <w:tcPr>
            <w:tcW w:w="1300" w:type="dxa"/>
            <w:tcBorders>
              <w:top w:val="nil"/>
              <w:left w:val="nil"/>
              <w:bottom w:val="nil"/>
              <w:right w:val="nil"/>
            </w:tcBorders>
            <w:shd w:val="clear" w:color="000000" w:fill="FFFFFF"/>
            <w:noWrap/>
            <w:vAlign w:val="center"/>
            <w:hideMark/>
          </w:tcPr>
          <w:p w:rsidR="00E23ABA" w:rsidRPr="00E23ABA" w:rsidRDefault="00E23ABA" w:rsidP="00E23ABA">
            <w:pPr>
              <w:spacing w:before="0" w:after="0" w:line="240" w:lineRule="auto"/>
              <w:jc w:val="right"/>
              <w:rPr>
                <w:rFonts w:cs="Arial"/>
                <w:color w:val="000000"/>
                <w:sz w:val="18"/>
                <w:szCs w:val="18"/>
              </w:rPr>
            </w:pPr>
            <w:r w:rsidRPr="00E23ABA">
              <w:rPr>
                <w:rFonts w:cs="Arial"/>
                <w:color w:val="000000"/>
                <w:sz w:val="18"/>
                <w:szCs w:val="18"/>
              </w:rPr>
              <w:t>5,076</w:t>
            </w:r>
          </w:p>
        </w:tc>
      </w:tr>
      <w:tr w:rsidR="00E23ABA" w:rsidRPr="00E23ABA" w:rsidTr="005351D3">
        <w:trPr>
          <w:trHeight w:val="300"/>
          <w:jc w:val="center"/>
        </w:trPr>
        <w:tc>
          <w:tcPr>
            <w:tcW w:w="1240" w:type="dxa"/>
            <w:tcBorders>
              <w:top w:val="nil"/>
              <w:left w:val="nil"/>
              <w:bottom w:val="nil"/>
              <w:right w:val="nil"/>
            </w:tcBorders>
            <w:shd w:val="clear" w:color="000000" w:fill="FFFFFF"/>
            <w:noWrap/>
            <w:vAlign w:val="center"/>
            <w:hideMark/>
          </w:tcPr>
          <w:p w:rsidR="00E23ABA" w:rsidRPr="00E23ABA" w:rsidRDefault="00E23ABA" w:rsidP="00A92BBB">
            <w:pPr>
              <w:spacing w:before="0" w:after="0" w:line="240" w:lineRule="auto"/>
              <w:rPr>
                <w:rFonts w:cs="Arial"/>
                <w:color w:val="000000"/>
                <w:sz w:val="18"/>
                <w:szCs w:val="18"/>
              </w:rPr>
            </w:pPr>
            <w:r w:rsidRPr="00E23ABA">
              <w:rPr>
                <w:rFonts w:cs="Arial"/>
                <w:color w:val="000000"/>
                <w:sz w:val="18"/>
                <w:szCs w:val="18"/>
              </w:rPr>
              <w:t>SA</w:t>
            </w:r>
          </w:p>
        </w:tc>
        <w:tc>
          <w:tcPr>
            <w:tcW w:w="1300" w:type="dxa"/>
            <w:tcBorders>
              <w:top w:val="nil"/>
              <w:left w:val="nil"/>
              <w:bottom w:val="nil"/>
              <w:right w:val="nil"/>
            </w:tcBorders>
            <w:shd w:val="clear" w:color="000000" w:fill="FFFFFF"/>
            <w:noWrap/>
            <w:vAlign w:val="center"/>
            <w:hideMark/>
          </w:tcPr>
          <w:p w:rsidR="00E23ABA" w:rsidRPr="00E23ABA" w:rsidRDefault="00E23ABA" w:rsidP="00E23ABA">
            <w:pPr>
              <w:spacing w:before="0" w:after="0" w:line="240" w:lineRule="auto"/>
              <w:jc w:val="right"/>
              <w:rPr>
                <w:rFonts w:cs="Arial"/>
                <w:color w:val="000000"/>
                <w:sz w:val="18"/>
                <w:szCs w:val="18"/>
              </w:rPr>
            </w:pPr>
            <w:r w:rsidRPr="00E23ABA">
              <w:rPr>
                <w:rFonts w:cs="Arial"/>
                <w:color w:val="000000"/>
                <w:sz w:val="18"/>
                <w:szCs w:val="18"/>
              </w:rPr>
              <w:t>376,885</w:t>
            </w:r>
          </w:p>
        </w:tc>
        <w:tc>
          <w:tcPr>
            <w:tcW w:w="1300" w:type="dxa"/>
            <w:tcBorders>
              <w:top w:val="nil"/>
              <w:left w:val="nil"/>
              <w:bottom w:val="nil"/>
              <w:right w:val="nil"/>
            </w:tcBorders>
            <w:shd w:val="clear" w:color="000000" w:fill="FFFFFF"/>
            <w:noWrap/>
            <w:vAlign w:val="center"/>
            <w:hideMark/>
          </w:tcPr>
          <w:p w:rsidR="00E23ABA" w:rsidRPr="00E23ABA" w:rsidRDefault="00E23ABA" w:rsidP="00E23ABA">
            <w:pPr>
              <w:spacing w:before="0" w:after="0" w:line="240" w:lineRule="auto"/>
              <w:jc w:val="right"/>
              <w:rPr>
                <w:rFonts w:cs="Arial"/>
                <w:color w:val="000000"/>
                <w:sz w:val="18"/>
                <w:szCs w:val="18"/>
              </w:rPr>
            </w:pPr>
            <w:r w:rsidRPr="00E23ABA">
              <w:rPr>
                <w:rFonts w:cs="Arial"/>
                <w:color w:val="000000"/>
                <w:sz w:val="18"/>
                <w:szCs w:val="18"/>
              </w:rPr>
              <w:t>402,558</w:t>
            </w:r>
          </w:p>
        </w:tc>
        <w:tc>
          <w:tcPr>
            <w:tcW w:w="1140" w:type="dxa"/>
            <w:tcBorders>
              <w:top w:val="nil"/>
              <w:left w:val="nil"/>
              <w:bottom w:val="nil"/>
              <w:right w:val="nil"/>
            </w:tcBorders>
            <w:shd w:val="clear" w:color="000000" w:fill="FFFFFF"/>
            <w:noWrap/>
            <w:vAlign w:val="center"/>
            <w:hideMark/>
          </w:tcPr>
          <w:p w:rsidR="00E23ABA" w:rsidRPr="00E23ABA" w:rsidRDefault="00E23ABA" w:rsidP="00E23ABA">
            <w:pPr>
              <w:spacing w:before="0" w:after="0" w:line="240" w:lineRule="auto"/>
              <w:jc w:val="right"/>
              <w:rPr>
                <w:rFonts w:cs="Arial"/>
                <w:color w:val="000000"/>
                <w:sz w:val="18"/>
                <w:szCs w:val="18"/>
              </w:rPr>
            </w:pPr>
            <w:r w:rsidRPr="00E23ABA">
              <w:rPr>
                <w:rFonts w:cs="Arial"/>
                <w:color w:val="000000"/>
                <w:sz w:val="18"/>
                <w:szCs w:val="18"/>
              </w:rPr>
              <w:t>1.07</w:t>
            </w:r>
          </w:p>
        </w:tc>
        <w:tc>
          <w:tcPr>
            <w:tcW w:w="1300" w:type="dxa"/>
            <w:tcBorders>
              <w:top w:val="nil"/>
              <w:left w:val="nil"/>
              <w:bottom w:val="nil"/>
              <w:right w:val="nil"/>
            </w:tcBorders>
            <w:shd w:val="clear" w:color="000000" w:fill="FFFFFF"/>
            <w:noWrap/>
            <w:vAlign w:val="center"/>
            <w:hideMark/>
          </w:tcPr>
          <w:p w:rsidR="00E23ABA" w:rsidRPr="00E23ABA" w:rsidRDefault="00E23ABA" w:rsidP="00E23ABA">
            <w:pPr>
              <w:spacing w:before="0" w:after="0" w:line="240" w:lineRule="auto"/>
              <w:jc w:val="right"/>
              <w:rPr>
                <w:rFonts w:cs="Arial"/>
                <w:color w:val="000000"/>
                <w:sz w:val="18"/>
                <w:szCs w:val="18"/>
              </w:rPr>
            </w:pPr>
            <w:r w:rsidRPr="00E23ABA">
              <w:rPr>
                <w:rFonts w:cs="Arial"/>
                <w:color w:val="000000"/>
                <w:sz w:val="18"/>
                <w:szCs w:val="18"/>
              </w:rPr>
              <w:t>6,008</w:t>
            </w:r>
          </w:p>
        </w:tc>
        <w:tc>
          <w:tcPr>
            <w:tcW w:w="1300" w:type="dxa"/>
            <w:tcBorders>
              <w:top w:val="nil"/>
              <w:left w:val="nil"/>
              <w:bottom w:val="nil"/>
              <w:right w:val="nil"/>
            </w:tcBorders>
            <w:shd w:val="clear" w:color="000000" w:fill="FFFFFF"/>
            <w:noWrap/>
            <w:vAlign w:val="center"/>
            <w:hideMark/>
          </w:tcPr>
          <w:p w:rsidR="00E23ABA" w:rsidRPr="00E23ABA" w:rsidRDefault="00E23ABA" w:rsidP="00E23ABA">
            <w:pPr>
              <w:spacing w:before="0" w:after="0" w:line="240" w:lineRule="auto"/>
              <w:jc w:val="right"/>
              <w:rPr>
                <w:rFonts w:cs="Arial"/>
                <w:color w:val="000000"/>
                <w:sz w:val="18"/>
                <w:szCs w:val="18"/>
              </w:rPr>
            </w:pPr>
            <w:r w:rsidRPr="00E23ABA">
              <w:rPr>
                <w:rFonts w:cs="Arial"/>
                <w:color w:val="000000"/>
                <w:sz w:val="18"/>
                <w:szCs w:val="18"/>
              </w:rPr>
              <w:t>5,625</w:t>
            </w:r>
          </w:p>
        </w:tc>
      </w:tr>
      <w:tr w:rsidR="00E23ABA" w:rsidRPr="00E23ABA" w:rsidTr="005351D3">
        <w:trPr>
          <w:trHeight w:val="300"/>
          <w:jc w:val="center"/>
        </w:trPr>
        <w:tc>
          <w:tcPr>
            <w:tcW w:w="1240" w:type="dxa"/>
            <w:tcBorders>
              <w:top w:val="nil"/>
              <w:left w:val="nil"/>
              <w:bottom w:val="nil"/>
              <w:right w:val="nil"/>
            </w:tcBorders>
            <w:shd w:val="clear" w:color="000000" w:fill="FFFFFF"/>
            <w:noWrap/>
            <w:vAlign w:val="center"/>
            <w:hideMark/>
          </w:tcPr>
          <w:p w:rsidR="00E23ABA" w:rsidRPr="00E23ABA" w:rsidRDefault="00E23ABA" w:rsidP="00A92BBB">
            <w:pPr>
              <w:spacing w:before="0" w:after="0" w:line="240" w:lineRule="auto"/>
              <w:rPr>
                <w:rFonts w:cs="Arial"/>
                <w:color w:val="000000"/>
                <w:sz w:val="18"/>
                <w:szCs w:val="18"/>
              </w:rPr>
            </w:pPr>
            <w:r w:rsidRPr="00E23ABA">
              <w:rPr>
                <w:rFonts w:cs="Arial"/>
                <w:color w:val="000000"/>
                <w:sz w:val="18"/>
                <w:szCs w:val="18"/>
              </w:rPr>
              <w:t>WA</w:t>
            </w:r>
          </w:p>
        </w:tc>
        <w:tc>
          <w:tcPr>
            <w:tcW w:w="1300" w:type="dxa"/>
            <w:tcBorders>
              <w:top w:val="nil"/>
              <w:left w:val="nil"/>
              <w:bottom w:val="nil"/>
              <w:right w:val="nil"/>
            </w:tcBorders>
            <w:shd w:val="clear" w:color="000000" w:fill="FFFFFF"/>
            <w:noWrap/>
            <w:vAlign w:val="center"/>
            <w:hideMark/>
          </w:tcPr>
          <w:p w:rsidR="00E23ABA" w:rsidRPr="00E23ABA" w:rsidRDefault="00E23ABA" w:rsidP="00E23ABA">
            <w:pPr>
              <w:spacing w:before="0" w:after="0" w:line="240" w:lineRule="auto"/>
              <w:jc w:val="right"/>
              <w:rPr>
                <w:rFonts w:cs="Arial"/>
                <w:color w:val="000000"/>
                <w:sz w:val="18"/>
                <w:szCs w:val="18"/>
              </w:rPr>
            </w:pPr>
            <w:r w:rsidRPr="00E23ABA">
              <w:rPr>
                <w:rFonts w:cs="Arial"/>
                <w:color w:val="000000"/>
                <w:sz w:val="18"/>
                <w:szCs w:val="18"/>
              </w:rPr>
              <w:t>508,829</w:t>
            </w:r>
          </w:p>
        </w:tc>
        <w:tc>
          <w:tcPr>
            <w:tcW w:w="1300" w:type="dxa"/>
            <w:tcBorders>
              <w:top w:val="nil"/>
              <w:left w:val="nil"/>
              <w:bottom w:val="nil"/>
              <w:right w:val="nil"/>
            </w:tcBorders>
            <w:shd w:val="clear" w:color="000000" w:fill="FFFFFF"/>
            <w:noWrap/>
            <w:vAlign w:val="center"/>
            <w:hideMark/>
          </w:tcPr>
          <w:p w:rsidR="00E23ABA" w:rsidRPr="00E23ABA" w:rsidRDefault="00E23ABA" w:rsidP="00E23ABA">
            <w:pPr>
              <w:spacing w:before="0" w:after="0" w:line="240" w:lineRule="auto"/>
              <w:jc w:val="right"/>
              <w:rPr>
                <w:rFonts w:cs="Arial"/>
                <w:color w:val="000000"/>
                <w:sz w:val="18"/>
                <w:szCs w:val="18"/>
              </w:rPr>
            </w:pPr>
            <w:r w:rsidRPr="00E23ABA">
              <w:rPr>
                <w:rFonts w:cs="Arial"/>
                <w:color w:val="000000"/>
                <w:sz w:val="18"/>
                <w:szCs w:val="18"/>
              </w:rPr>
              <w:t>499,645</w:t>
            </w:r>
          </w:p>
        </w:tc>
        <w:tc>
          <w:tcPr>
            <w:tcW w:w="1140" w:type="dxa"/>
            <w:tcBorders>
              <w:top w:val="nil"/>
              <w:left w:val="nil"/>
              <w:bottom w:val="nil"/>
              <w:right w:val="nil"/>
            </w:tcBorders>
            <w:shd w:val="clear" w:color="000000" w:fill="FFFFFF"/>
            <w:noWrap/>
            <w:vAlign w:val="center"/>
            <w:hideMark/>
          </w:tcPr>
          <w:p w:rsidR="00E23ABA" w:rsidRPr="00E23ABA" w:rsidRDefault="00E23ABA" w:rsidP="00E23ABA">
            <w:pPr>
              <w:spacing w:before="0" w:after="0" w:line="240" w:lineRule="auto"/>
              <w:jc w:val="right"/>
              <w:rPr>
                <w:rFonts w:cs="Arial"/>
                <w:color w:val="000000"/>
                <w:sz w:val="18"/>
                <w:szCs w:val="18"/>
              </w:rPr>
            </w:pPr>
            <w:r w:rsidRPr="00E23ABA">
              <w:rPr>
                <w:rFonts w:cs="Arial"/>
                <w:color w:val="000000"/>
                <w:sz w:val="18"/>
                <w:szCs w:val="18"/>
              </w:rPr>
              <w:t>0.98</w:t>
            </w:r>
          </w:p>
        </w:tc>
        <w:tc>
          <w:tcPr>
            <w:tcW w:w="1300" w:type="dxa"/>
            <w:tcBorders>
              <w:top w:val="nil"/>
              <w:left w:val="nil"/>
              <w:bottom w:val="nil"/>
              <w:right w:val="nil"/>
            </w:tcBorders>
            <w:shd w:val="clear" w:color="000000" w:fill="FFFFFF"/>
            <w:noWrap/>
            <w:vAlign w:val="center"/>
            <w:hideMark/>
          </w:tcPr>
          <w:p w:rsidR="00E23ABA" w:rsidRPr="00E23ABA" w:rsidRDefault="00E23ABA" w:rsidP="00E23ABA">
            <w:pPr>
              <w:spacing w:before="0" w:after="0" w:line="240" w:lineRule="auto"/>
              <w:jc w:val="right"/>
              <w:rPr>
                <w:rFonts w:cs="Arial"/>
                <w:color w:val="000000"/>
                <w:sz w:val="18"/>
                <w:szCs w:val="18"/>
              </w:rPr>
            </w:pPr>
            <w:r w:rsidRPr="00E23ABA">
              <w:rPr>
                <w:rFonts w:cs="Arial"/>
                <w:color w:val="000000"/>
                <w:sz w:val="18"/>
                <w:szCs w:val="18"/>
              </w:rPr>
              <w:t>6,475</w:t>
            </w:r>
          </w:p>
        </w:tc>
        <w:tc>
          <w:tcPr>
            <w:tcW w:w="1300" w:type="dxa"/>
            <w:tcBorders>
              <w:top w:val="nil"/>
              <w:left w:val="nil"/>
              <w:bottom w:val="nil"/>
              <w:right w:val="nil"/>
            </w:tcBorders>
            <w:shd w:val="clear" w:color="000000" w:fill="FFFFFF"/>
            <w:noWrap/>
            <w:vAlign w:val="center"/>
            <w:hideMark/>
          </w:tcPr>
          <w:p w:rsidR="00E23ABA" w:rsidRPr="00E23ABA" w:rsidRDefault="00E23ABA" w:rsidP="00E23ABA">
            <w:pPr>
              <w:spacing w:before="0" w:after="0" w:line="240" w:lineRule="auto"/>
              <w:jc w:val="right"/>
              <w:rPr>
                <w:rFonts w:cs="Arial"/>
                <w:color w:val="000000"/>
                <w:sz w:val="18"/>
                <w:szCs w:val="18"/>
              </w:rPr>
            </w:pPr>
            <w:r w:rsidRPr="00E23ABA">
              <w:rPr>
                <w:rFonts w:cs="Arial"/>
                <w:color w:val="000000"/>
                <w:sz w:val="18"/>
                <w:szCs w:val="18"/>
              </w:rPr>
              <w:t>6,594</w:t>
            </w:r>
          </w:p>
        </w:tc>
      </w:tr>
      <w:tr w:rsidR="00E23ABA" w:rsidRPr="00E23ABA" w:rsidTr="005351D3">
        <w:trPr>
          <w:trHeight w:val="300"/>
          <w:jc w:val="center"/>
        </w:trPr>
        <w:tc>
          <w:tcPr>
            <w:tcW w:w="1240" w:type="dxa"/>
            <w:tcBorders>
              <w:top w:val="nil"/>
              <w:left w:val="nil"/>
              <w:bottom w:val="nil"/>
              <w:right w:val="nil"/>
            </w:tcBorders>
            <w:shd w:val="clear" w:color="000000" w:fill="FFFFFF"/>
            <w:noWrap/>
            <w:vAlign w:val="center"/>
            <w:hideMark/>
          </w:tcPr>
          <w:p w:rsidR="00E23ABA" w:rsidRPr="00E23ABA" w:rsidRDefault="00E23ABA" w:rsidP="00A92BBB">
            <w:pPr>
              <w:spacing w:before="0" w:after="0" w:line="240" w:lineRule="auto"/>
              <w:rPr>
                <w:rFonts w:cs="Arial"/>
                <w:color w:val="000000"/>
                <w:sz w:val="18"/>
                <w:szCs w:val="18"/>
              </w:rPr>
            </w:pPr>
            <w:proofErr w:type="spellStart"/>
            <w:r w:rsidRPr="00E23ABA">
              <w:rPr>
                <w:rFonts w:cs="Arial"/>
                <w:color w:val="000000"/>
                <w:sz w:val="18"/>
                <w:szCs w:val="18"/>
              </w:rPr>
              <w:t>Tas</w:t>
            </w:r>
            <w:proofErr w:type="spellEnd"/>
          </w:p>
        </w:tc>
        <w:tc>
          <w:tcPr>
            <w:tcW w:w="1300" w:type="dxa"/>
            <w:tcBorders>
              <w:top w:val="nil"/>
              <w:left w:val="nil"/>
              <w:bottom w:val="nil"/>
              <w:right w:val="nil"/>
            </w:tcBorders>
            <w:shd w:val="clear" w:color="000000" w:fill="FFFFFF"/>
            <w:noWrap/>
            <w:vAlign w:val="center"/>
            <w:hideMark/>
          </w:tcPr>
          <w:p w:rsidR="00E23ABA" w:rsidRPr="00E23ABA" w:rsidRDefault="00E23ABA" w:rsidP="00E23ABA">
            <w:pPr>
              <w:spacing w:before="0" w:after="0" w:line="240" w:lineRule="auto"/>
              <w:jc w:val="right"/>
              <w:rPr>
                <w:rFonts w:cs="Arial"/>
                <w:color w:val="000000"/>
                <w:sz w:val="18"/>
                <w:szCs w:val="18"/>
              </w:rPr>
            </w:pPr>
            <w:r w:rsidRPr="00E23ABA">
              <w:rPr>
                <w:rFonts w:cs="Arial"/>
                <w:color w:val="000000"/>
                <w:sz w:val="18"/>
                <w:szCs w:val="18"/>
              </w:rPr>
              <w:t>117,360</w:t>
            </w:r>
          </w:p>
        </w:tc>
        <w:tc>
          <w:tcPr>
            <w:tcW w:w="1300" w:type="dxa"/>
            <w:tcBorders>
              <w:top w:val="nil"/>
              <w:left w:val="nil"/>
              <w:bottom w:val="nil"/>
              <w:right w:val="nil"/>
            </w:tcBorders>
            <w:shd w:val="clear" w:color="000000" w:fill="FFFFFF"/>
            <w:noWrap/>
            <w:vAlign w:val="center"/>
            <w:hideMark/>
          </w:tcPr>
          <w:p w:rsidR="00E23ABA" w:rsidRPr="00E23ABA" w:rsidRDefault="00E23ABA" w:rsidP="00E23ABA">
            <w:pPr>
              <w:spacing w:before="0" w:after="0" w:line="240" w:lineRule="auto"/>
              <w:jc w:val="right"/>
              <w:rPr>
                <w:rFonts w:cs="Arial"/>
                <w:color w:val="000000"/>
                <w:sz w:val="18"/>
                <w:szCs w:val="18"/>
              </w:rPr>
            </w:pPr>
            <w:r w:rsidRPr="00E23ABA">
              <w:rPr>
                <w:rFonts w:cs="Arial"/>
                <w:color w:val="000000"/>
                <w:sz w:val="18"/>
                <w:szCs w:val="18"/>
              </w:rPr>
              <w:t>128,955</w:t>
            </w:r>
          </w:p>
        </w:tc>
        <w:tc>
          <w:tcPr>
            <w:tcW w:w="1140" w:type="dxa"/>
            <w:tcBorders>
              <w:top w:val="nil"/>
              <w:left w:val="nil"/>
              <w:bottom w:val="nil"/>
              <w:right w:val="nil"/>
            </w:tcBorders>
            <w:shd w:val="clear" w:color="000000" w:fill="FFFFFF"/>
            <w:noWrap/>
            <w:vAlign w:val="center"/>
            <w:hideMark/>
          </w:tcPr>
          <w:p w:rsidR="00E23ABA" w:rsidRPr="00E23ABA" w:rsidRDefault="00E23ABA" w:rsidP="00E23ABA">
            <w:pPr>
              <w:spacing w:before="0" w:after="0" w:line="240" w:lineRule="auto"/>
              <w:jc w:val="right"/>
              <w:rPr>
                <w:rFonts w:cs="Arial"/>
                <w:color w:val="000000"/>
                <w:sz w:val="18"/>
                <w:szCs w:val="18"/>
              </w:rPr>
            </w:pPr>
            <w:r w:rsidRPr="00E23ABA">
              <w:rPr>
                <w:rFonts w:cs="Arial"/>
                <w:color w:val="000000"/>
                <w:sz w:val="18"/>
                <w:szCs w:val="18"/>
              </w:rPr>
              <w:t>1.10</w:t>
            </w:r>
          </w:p>
        </w:tc>
        <w:tc>
          <w:tcPr>
            <w:tcW w:w="1300" w:type="dxa"/>
            <w:tcBorders>
              <w:top w:val="nil"/>
              <w:left w:val="nil"/>
              <w:bottom w:val="nil"/>
              <w:right w:val="nil"/>
            </w:tcBorders>
            <w:shd w:val="clear" w:color="000000" w:fill="FFFFFF"/>
            <w:noWrap/>
            <w:vAlign w:val="center"/>
            <w:hideMark/>
          </w:tcPr>
          <w:p w:rsidR="00E23ABA" w:rsidRPr="00E23ABA" w:rsidRDefault="00E23ABA" w:rsidP="00E23ABA">
            <w:pPr>
              <w:spacing w:before="0" w:after="0" w:line="240" w:lineRule="auto"/>
              <w:jc w:val="right"/>
              <w:rPr>
                <w:rFonts w:cs="Arial"/>
                <w:color w:val="000000"/>
                <w:sz w:val="18"/>
                <w:szCs w:val="18"/>
              </w:rPr>
            </w:pPr>
            <w:r w:rsidRPr="00E23ABA">
              <w:rPr>
                <w:rFonts w:cs="Arial"/>
                <w:color w:val="000000"/>
                <w:sz w:val="18"/>
                <w:szCs w:val="18"/>
              </w:rPr>
              <w:t>5,813</w:t>
            </w:r>
          </w:p>
        </w:tc>
        <w:tc>
          <w:tcPr>
            <w:tcW w:w="1300" w:type="dxa"/>
            <w:tcBorders>
              <w:top w:val="nil"/>
              <w:left w:val="nil"/>
              <w:bottom w:val="nil"/>
              <w:right w:val="nil"/>
            </w:tcBorders>
            <w:shd w:val="clear" w:color="000000" w:fill="FFFFFF"/>
            <w:noWrap/>
            <w:vAlign w:val="center"/>
            <w:hideMark/>
          </w:tcPr>
          <w:p w:rsidR="00E23ABA" w:rsidRPr="00E23ABA" w:rsidRDefault="00E23ABA" w:rsidP="00E23ABA">
            <w:pPr>
              <w:spacing w:before="0" w:after="0" w:line="240" w:lineRule="auto"/>
              <w:jc w:val="right"/>
              <w:rPr>
                <w:rFonts w:cs="Arial"/>
                <w:color w:val="000000"/>
                <w:sz w:val="18"/>
                <w:szCs w:val="18"/>
              </w:rPr>
            </w:pPr>
            <w:r w:rsidRPr="00E23ABA">
              <w:rPr>
                <w:rFonts w:cs="Arial"/>
                <w:color w:val="000000"/>
                <w:sz w:val="18"/>
                <w:szCs w:val="18"/>
              </w:rPr>
              <w:t>5,290</w:t>
            </w:r>
          </w:p>
        </w:tc>
      </w:tr>
      <w:tr w:rsidR="00E23ABA" w:rsidRPr="00E23ABA" w:rsidTr="005351D3">
        <w:trPr>
          <w:trHeight w:val="300"/>
          <w:jc w:val="center"/>
        </w:trPr>
        <w:tc>
          <w:tcPr>
            <w:tcW w:w="1240" w:type="dxa"/>
            <w:tcBorders>
              <w:top w:val="nil"/>
              <w:left w:val="nil"/>
              <w:bottom w:val="nil"/>
              <w:right w:val="nil"/>
            </w:tcBorders>
            <w:shd w:val="clear" w:color="000000" w:fill="FFFFFF"/>
            <w:noWrap/>
            <w:vAlign w:val="center"/>
            <w:hideMark/>
          </w:tcPr>
          <w:p w:rsidR="00E23ABA" w:rsidRPr="00E23ABA" w:rsidRDefault="00E23ABA" w:rsidP="00A92BBB">
            <w:pPr>
              <w:spacing w:before="0" w:after="0" w:line="240" w:lineRule="auto"/>
              <w:rPr>
                <w:rFonts w:cs="Arial"/>
                <w:color w:val="000000"/>
                <w:sz w:val="18"/>
                <w:szCs w:val="18"/>
              </w:rPr>
            </w:pPr>
            <w:r w:rsidRPr="00E23ABA">
              <w:rPr>
                <w:rFonts w:cs="Arial"/>
                <w:color w:val="000000"/>
                <w:sz w:val="18"/>
                <w:szCs w:val="18"/>
              </w:rPr>
              <w:t>NT</w:t>
            </w:r>
          </w:p>
        </w:tc>
        <w:tc>
          <w:tcPr>
            <w:tcW w:w="1300" w:type="dxa"/>
            <w:tcBorders>
              <w:top w:val="nil"/>
              <w:left w:val="nil"/>
              <w:bottom w:val="nil"/>
              <w:right w:val="nil"/>
            </w:tcBorders>
            <w:shd w:val="clear" w:color="000000" w:fill="FFFFFF"/>
            <w:noWrap/>
            <w:vAlign w:val="center"/>
            <w:hideMark/>
          </w:tcPr>
          <w:p w:rsidR="00E23ABA" w:rsidRPr="00E23ABA" w:rsidRDefault="00E23ABA" w:rsidP="00E23ABA">
            <w:pPr>
              <w:spacing w:before="0" w:after="0" w:line="240" w:lineRule="auto"/>
              <w:jc w:val="right"/>
              <w:rPr>
                <w:rFonts w:cs="Arial"/>
                <w:color w:val="000000"/>
                <w:sz w:val="18"/>
                <w:szCs w:val="18"/>
              </w:rPr>
            </w:pPr>
            <w:r w:rsidRPr="00E23ABA">
              <w:rPr>
                <w:rFonts w:cs="Arial"/>
                <w:color w:val="000000"/>
                <w:sz w:val="18"/>
                <w:szCs w:val="18"/>
              </w:rPr>
              <w:t>156,866</w:t>
            </w:r>
          </w:p>
        </w:tc>
        <w:tc>
          <w:tcPr>
            <w:tcW w:w="1300" w:type="dxa"/>
            <w:tcBorders>
              <w:top w:val="nil"/>
              <w:left w:val="nil"/>
              <w:bottom w:val="nil"/>
              <w:right w:val="nil"/>
            </w:tcBorders>
            <w:shd w:val="clear" w:color="000000" w:fill="FFFFFF"/>
            <w:noWrap/>
            <w:vAlign w:val="center"/>
            <w:hideMark/>
          </w:tcPr>
          <w:p w:rsidR="00E23ABA" w:rsidRPr="00E23ABA" w:rsidRDefault="00E23ABA" w:rsidP="00E23ABA">
            <w:pPr>
              <w:spacing w:before="0" w:after="0" w:line="240" w:lineRule="auto"/>
              <w:jc w:val="right"/>
              <w:rPr>
                <w:rFonts w:cs="Arial"/>
                <w:color w:val="000000"/>
                <w:sz w:val="18"/>
                <w:szCs w:val="18"/>
              </w:rPr>
            </w:pPr>
            <w:r w:rsidRPr="00E23ABA">
              <w:rPr>
                <w:rFonts w:cs="Arial"/>
                <w:color w:val="000000"/>
                <w:sz w:val="18"/>
                <w:szCs w:val="18"/>
              </w:rPr>
              <w:t>94,591</w:t>
            </w:r>
          </w:p>
        </w:tc>
        <w:tc>
          <w:tcPr>
            <w:tcW w:w="1140" w:type="dxa"/>
            <w:tcBorders>
              <w:top w:val="nil"/>
              <w:left w:val="nil"/>
              <w:bottom w:val="nil"/>
              <w:right w:val="nil"/>
            </w:tcBorders>
            <w:shd w:val="clear" w:color="000000" w:fill="FFFFFF"/>
            <w:noWrap/>
            <w:vAlign w:val="center"/>
            <w:hideMark/>
          </w:tcPr>
          <w:p w:rsidR="00E23ABA" w:rsidRPr="00E23ABA" w:rsidRDefault="00E23ABA" w:rsidP="00E23ABA">
            <w:pPr>
              <w:spacing w:before="0" w:after="0" w:line="240" w:lineRule="auto"/>
              <w:jc w:val="right"/>
              <w:rPr>
                <w:rFonts w:cs="Arial"/>
                <w:color w:val="000000"/>
                <w:sz w:val="18"/>
                <w:szCs w:val="18"/>
              </w:rPr>
            </w:pPr>
            <w:r w:rsidRPr="00E23ABA">
              <w:rPr>
                <w:rFonts w:cs="Arial"/>
                <w:color w:val="000000"/>
                <w:sz w:val="18"/>
                <w:szCs w:val="18"/>
              </w:rPr>
              <w:t>0.60</w:t>
            </w:r>
          </w:p>
        </w:tc>
        <w:tc>
          <w:tcPr>
            <w:tcW w:w="1300" w:type="dxa"/>
            <w:tcBorders>
              <w:top w:val="nil"/>
              <w:left w:val="nil"/>
              <w:bottom w:val="nil"/>
              <w:right w:val="nil"/>
            </w:tcBorders>
            <w:shd w:val="clear" w:color="000000" w:fill="FFFFFF"/>
            <w:noWrap/>
            <w:vAlign w:val="center"/>
            <w:hideMark/>
          </w:tcPr>
          <w:p w:rsidR="00E23ABA" w:rsidRPr="00E23ABA" w:rsidRDefault="00E23ABA" w:rsidP="00E23ABA">
            <w:pPr>
              <w:spacing w:before="0" w:after="0" w:line="240" w:lineRule="auto"/>
              <w:jc w:val="right"/>
              <w:rPr>
                <w:rFonts w:cs="Arial"/>
                <w:color w:val="000000"/>
                <w:sz w:val="18"/>
                <w:szCs w:val="18"/>
              </w:rPr>
            </w:pPr>
            <w:r w:rsidRPr="00E23ABA">
              <w:rPr>
                <w:rFonts w:cs="Arial"/>
                <w:color w:val="000000"/>
                <w:sz w:val="18"/>
                <w:szCs w:val="18"/>
              </w:rPr>
              <w:t>3,972</w:t>
            </w:r>
          </w:p>
        </w:tc>
        <w:tc>
          <w:tcPr>
            <w:tcW w:w="1300" w:type="dxa"/>
            <w:tcBorders>
              <w:top w:val="nil"/>
              <w:left w:val="nil"/>
              <w:bottom w:val="nil"/>
              <w:right w:val="nil"/>
            </w:tcBorders>
            <w:shd w:val="clear" w:color="000000" w:fill="FFFFFF"/>
            <w:noWrap/>
            <w:vAlign w:val="center"/>
            <w:hideMark/>
          </w:tcPr>
          <w:p w:rsidR="00E23ABA" w:rsidRPr="00E23ABA" w:rsidRDefault="00E23ABA" w:rsidP="00E23ABA">
            <w:pPr>
              <w:spacing w:before="0" w:after="0" w:line="240" w:lineRule="auto"/>
              <w:jc w:val="right"/>
              <w:rPr>
                <w:rFonts w:cs="Arial"/>
                <w:color w:val="000000"/>
                <w:sz w:val="18"/>
                <w:szCs w:val="18"/>
              </w:rPr>
            </w:pPr>
            <w:r w:rsidRPr="00E23ABA">
              <w:rPr>
                <w:rFonts w:cs="Arial"/>
                <w:color w:val="000000"/>
                <w:sz w:val="18"/>
                <w:szCs w:val="18"/>
              </w:rPr>
              <w:t>6,587</w:t>
            </w:r>
          </w:p>
        </w:tc>
      </w:tr>
      <w:tr w:rsidR="00E23ABA" w:rsidRPr="00E23ABA" w:rsidTr="005351D3">
        <w:trPr>
          <w:trHeight w:val="300"/>
          <w:jc w:val="center"/>
        </w:trPr>
        <w:tc>
          <w:tcPr>
            <w:tcW w:w="1240" w:type="dxa"/>
            <w:tcBorders>
              <w:top w:val="nil"/>
              <w:left w:val="nil"/>
              <w:bottom w:val="nil"/>
              <w:right w:val="nil"/>
            </w:tcBorders>
            <w:shd w:val="clear" w:color="000000" w:fill="FFFFFF"/>
            <w:noWrap/>
            <w:vAlign w:val="center"/>
            <w:hideMark/>
          </w:tcPr>
          <w:p w:rsidR="00E23ABA" w:rsidRPr="00E23ABA" w:rsidRDefault="00E23ABA" w:rsidP="00A92BBB">
            <w:pPr>
              <w:spacing w:before="0" w:after="0" w:line="240" w:lineRule="auto"/>
              <w:rPr>
                <w:rFonts w:cs="Arial"/>
                <w:color w:val="000000"/>
                <w:sz w:val="18"/>
                <w:szCs w:val="18"/>
              </w:rPr>
            </w:pPr>
            <w:r w:rsidRPr="00E23ABA">
              <w:rPr>
                <w:rFonts w:cs="Arial"/>
                <w:color w:val="000000"/>
                <w:sz w:val="18"/>
                <w:szCs w:val="18"/>
              </w:rPr>
              <w:t>ACT</w:t>
            </w:r>
          </w:p>
        </w:tc>
        <w:tc>
          <w:tcPr>
            <w:tcW w:w="1300" w:type="dxa"/>
            <w:tcBorders>
              <w:top w:val="nil"/>
              <w:left w:val="nil"/>
              <w:bottom w:val="nil"/>
              <w:right w:val="nil"/>
            </w:tcBorders>
            <w:shd w:val="clear" w:color="000000" w:fill="FFFFFF"/>
            <w:noWrap/>
            <w:vAlign w:val="center"/>
            <w:hideMark/>
          </w:tcPr>
          <w:p w:rsidR="00E23ABA" w:rsidRPr="00E23ABA" w:rsidRDefault="00E23ABA" w:rsidP="00E23ABA">
            <w:pPr>
              <w:spacing w:before="0" w:after="0" w:line="240" w:lineRule="auto"/>
              <w:jc w:val="right"/>
              <w:rPr>
                <w:rFonts w:cs="Arial"/>
                <w:color w:val="000000"/>
                <w:sz w:val="18"/>
                <w:szCs w:val="18"/>
              </w:rPr>
            </w:pPr>
            <w:r w:rsidRPr="00E23ABA">
              <w:rPr>
                <w:rFonts w:cs="Arial"/>
                <w:color w:val="000000"/>
                <w:sz w:val="18"/>
                <w:szCs w:val="18"/>
              </w:rPr>
              <w:t>108,634</w:t>
            </w:r>
          </w:p>
        </w:tc>
        <w:tc>
          <w:tcPr>
            <w:tcW w:w="1300" w:type="dxa"/>
            <w:tcBorders>
              <w:top w:val="nil"/>
              <w:left w:val="nil"/>
              <w:bottom w:val="nil"/>
              <w:right w:val="nil"/>
            </w:tcBorders>
            <w:shd w:val="clear" w:color="000000" w:fill="FFFFFF"/>
            <w:noWrap/>
            <w:vAlign w:val="center"/>
            <w:hideMark/>
          </w:tcPr>
          <w:p w:rsidR="00E23ABA" w:rsidRPr="00E23ABA" w:rsidRDefault="00E23ABA" w:rsidP="00E23ABA">
            <w:pPr>
              <w:spacing w:before="0" w:after="0" w:line="240" w:lineRule="auto"/>
              <w:jc w:val="right"/>
              <w:rPr>
                <w:rFonts w:cs="Arial"/>
                <w:color w:val="000000"/>
                <w:sz w:val="18"/>
                <w:szCs w:val="18"/>
              </w:rPr>
            </w:pPr>
            <w:r w:rsidRPr="00E23ABA">
              <w:rPr>
                <w:rFonts w:cs="Arial"/>
                <w:color w:val="000000"/>
                <w:sz w:val="18"/>
                <w:szCs w:val="18"/>
              </w:rPr>
              <w:t>111,311</w:t>
            </w:r>
          </w:p>
        </w:tc>
        <w:tc>
          <w:tcPr>
            <w:tcW w:w="1140" w:type="dxa"/>
            <w:tcBorders>
              <w:top w:val="nil"/>
              <w:left w:val="nil"/>
              <w:bottom w:val="nil"/>
              <w:right w:val="nil"/>
            </w:tcBorders>
            <w:shd w:val="clear" w:color="000000" w:fill="FFFFFF"/>
            <w:noWrap/>
            <w:vAlign w:val="center"/>
            <w:hideMark/>
          </w:tcPr>
          <w:p w:rsidR="00E23ABA" w:rsidRPr="00E23ABA" w:rsidRDefault="00E23ABA" w:rsidP="00E23ABA">
            <w:pPr>
              <w:spacing w:before="0" w:after="0" w:line="240" w:lineRule="auto"/>
              <w:jc w:val="right"/>
              <w:rPr>
                <w:rFonts w:cs="Arial"/>
                <w:color w:val="000000"/>
                <w:sz w:val="18"/>
                <w:szCs w:val="18"/>
              </w:rPr>
            </w:pPr>
            <w:r w:rsidRPr="00E23ABA">
              <w:rPr>
                <w:rFonts w:cs="Arial"/>
                <w:color w:val="000000"/>
                <w:sz w:val="18"/>
                <w:szCs w:val="18"/>
              </w:rPr>
              <w:t>1.02</w:t>
            </w:r>
          </w:p>
        </w:tc>
        <w:tc>
          <w:tcPr>
            <w:tcW w:w="1300" w:type="dxa"/>
            <w:tcBorders>
              <w:top w:val="nil"/>
              <w:left w:val="nil"/>
              <w:bottom w:val="nil"/>
              <w:right w:val="nil"/>
            </w:tcBorders>
            <w:shd w:val="clear" w:color="000000" w:fill="FFFFFF"/>
            <w:noWrap/>
            <w:vAlign w:val="center"/>
            <w:hideMark/>
          </w:tcPr>
          <w:p w:rsidR="00E23ABA" w:rsidRPr="00E23ABA" w:rsidRDefault="00E23ABA" w:rsidP="00E23ABA">
            <w:pPr>
              <w:spacing w:before="0" w:after="0" w:line="240" w:lineRule="auto"/>
              <w:jc w:val="right"/>
              <w:rPr>
                <w:rFonts w:cs="Arial"/>
                <w:color w:val="000000"/>
                <w:sz w:val="18"/>
                <w:szCs w:val="18"/>
              </w:rPr>
            </w:pPr>
            <w:r w:rsidRPr="00E23ABA">
              <w:rPr>
                <w:rFonts w:cs="Arial"/>
                <w:color w:val="000000"/>
                <w:sz w:val="18"/>
                <w:szCs w:val="18"/>
              </w:rPr>
              <w:t>5,751</w:t>
            </w:r>
          </w:p>
        </w:tc>
        <w:tc>
          <w:tcPr>
            <w:tcW w:w="1300" w:type="dxa"/>
            <w:tcBorders>
              <w:top w:val="nil"/>
              <w:left w:val="nil"/>
              <w:bottom w:val="nil"/>
              <w:right w:val="nil"/>
            </w:tcBorders>
            <w:shd w:val="clear" w:color="000000" w:fill="FFFFFF"/>
            <w:noWrap/>
            <w:vAlign w:val="center"/>
            <w:hideMark/>
          </w:tcPr>
          <w:p w:rsidR="00E23ABA" w:rsidRPr="00E23ABA" w:rsidRDefault="00E23ABA" w:rsidP="00E23ABA">
            <w:pPr>
              <w:spacing w:before="0" w:after="0" w:line="240" w:lineRule="auto"/>
              <w:jc w:val="right"/>
              <w:rPr>
                <w:rFonts w:cs="Arial"/>
                <w:color w:val="000000"/>
                <w:sz w:val="18"/>
                <w:szCs w:val="18"/>
              </w:rPr>
            </w:pPr>
            <w:r w:rsidRPr="00E23ABA">
              <w:rPr>
                <w:rFonts w:cs="Arial"/>
                <w:color w:val="000000"/>
                <w:sz w:val="18"/>
                <w:szCs w:val="18"/>
              </w:rPr>
              <w:t>5,613</w:t>
            </w:r>
          </w:p>
        </w:tc>
      </w:tr>
      <w:tr w:rsidR="00E23ABA" w:rsidRPr="00E23ABA" w:rsidTr="005351D3">
        <w:trPr>
          <w:trHeight w:val="300"/>
          <w:jc w:val="center"/>
        </w:trPr>
        <w:tc>
          <w:tcPr>
            <w:tcW w:w="1240" w:type="dxa"/>
            <w:tcBorders>
              <w:top w:val="single" w:sz="4" w:space="0" w:color="auto"/>
              <w:left w:val="nil"/>
              <w:bottom w:val="single" w:sz="4" w:space="0" w:color="auto"/>
              <w:right w:val="nil"/>
            </w:tcBorders>
            <w:shd w:val="clear" w:color="000000" w:fill="FFFFFF"/>
            <w:noWrap/>
            <w:vAlign w:val="center"/>
            <w:hideMark/>
          </w:tcPr>
          <w:p w:rsidR="00E23ABA" w:rsidRPr="00E23ABA" w:rsidRDefault="00E23ABA" w:rsidP="00A92BBB">
            <w:pPr>
              <w:spacing w:before="0" w:after="0" w:line="240" w:lineRule="auto"/>
              <w:rPr>
                <w:rFonts w:cs="Arial"/>
                <w:b/>
                <w:bCs/>
                <w:color w:val="000000"/>
                <w:sz w:val="18"/>
                <w:szCs w:val="18"/>
              </w:rPr>
            </w:pPr>
            <w:r w:rsidRPr="00E23ABA">
              <w:rPr>
                <w:rFonts w:cs="Arial"/>
                <w:b/>
                <w:bCs/>
                <w:color w:val="000000"/>
                <w:sz w:val="18"/>
                <w:szCs w:val="18"/>
              </w:rPr>
              <w:t>National</w:t>
            </w:r>
          </w:p>
        </w:tc>
        <w:tc>
          <w:tcPr>
            <w:tcW w:w="1300" w:type="dxa"/>
            <w:tcBorders>
              <w:top w:val="single" w:sz="4" w:space="0" w:color="auto"/>
              <w:left w:val="nil"/>
              <w:bottom w:val="single" w:sz="4" w:space="0" w:color="auto"/>
              <w:right w:val="nil"/>
            </w:tcBorders>
            <w:shd w:val="clear" w:color="000000" w:fill="FFFFFF"/>
            <w:noWrap/>
            <w:vAlign w:val="center"/>
            <w:hideMark/>
          </w:tcPr>
          <w:p w:rsidR="00E23ABA" w:rsidRPr="00E23ABA" w:rsidRDefault="00E23ABA" w:rsidP="00E23ABA">
            <w:pPr>
              <w:spacing w:before="0" w:after="0" w:line="240" w:lineRule="auto"/>
              <w:jc w:val="right"/>
              <w:rPr>
                <w:rFonts w:cs="Arial"/>
                <w:b/>
                <w:bCs/>
                <w:color w:val="000000"/>
                <w:sz w:val="18"/>
                <w:szCs w:val="18"/>
              </w:rPr>
            </w:pPr>
            <w:r w:rsidRPr="00E23ABA">
              <w:rPr>
                <w:rFonts w:cs="Arial"/>
                <w:b/>
                <w:bCs/>
                <w:color w:val="000000"/>
                <w:sz w:val="18"/>
                <w:szCs w:val="18"/>
              </w:rPr>
              <w:t>5,773,102</w:t>
            </w:r>
          </w:p>
        </w:tc>
        <w:tc>
          <w:tcPr>
            <w:tcW w:w="1300" w:type="dxa"/>
            <w:tcBorders>
              <w:top w:val="single" w:sz="4" w:space="0" w:color="auto"/>
              <w:left w:val="nil"/>
              <w:bottom w:val="single" w:sz="4" w:space="0" w:color="auto"/>
              <w:right w:val="nil"/>
            </w:tcBorders>
            <w:shd w:val="clear" w:color="000000" w:fill="FFFFFF"/>
            <w:noWrap/>
            <w:vAlign w:val="center"/>
            <w:hideMark/>
          </w:tcPr>
          <w:p w:rsidR="00E23ABA" w:rsidRPr="00E23ABA" w:rsidRDefault="00E23ABA" w:rsidP="00E23ABA">
            <w:pPr>
              <w:spacing w:before="0" w:after="0" w:line="240" w:lineRule="auto"/>
              <w:jc w:val="right"/>
              <w:rPr>
                <w:rFonts w:cs="Arial"/>
                <w:b/>
                <w:bCs/>
                <w:color w:val="000000"/>
                <w:sz w:val="18"/>
                <w:szCs w:val="18"/>
              </w:rPr>
            </w:pPr>
            <w:r w:rsidRPr="00E23ABA">
              <w:rPr>
                <w:rFonts w:cs="Arial"/>
                <w:b/>
                <w:bCs/>
                <w:color w:val="000000"/>
                <w:sz w:val="18"/>
                <w:szCs w:val="18"/>
              </w:rPr>
              <w:t>5,773,102</w:t>
            </w:r>
          </w:p>
        </w:tc>
        <w:tc>
          <w:tcPr>
            <w:tcW w:w="1140" w:type="dxa"/>
            <w:tcBorders>
              <w:top w:val="single" w:sz="4" w:space="0" w:color="auto"/>
              <w:left w:val="nil"/>
              <w:bottom w:val="single" w:sz="4" w:space="0" w:color="auto"/>
              <w:right w:val="nil"/>
            </w:tcBorders>
            <w:shd w:val="clear" w:color="000000" w:fill="FFFFFF"/>
            <w:noWrap/>
            <w:vAlign w:val="center"/>
            <w:hideMark/>
          </w:tcPr>
          <w:p w:rsidR="00E23ABA" w:rsidRPr="00E23ABA" w:rsidRDefault="00E23ABA" w:rsidP="00E23ABA">
            <w:pPr>
              <w:spacing w:before="0" w:after="0" w:line="240" w:lineRule="auto"/>
              <w:jc w:val="right"/>
              <w:rPr>
                <w:rFonts w:cs="Arial"/>
                <w:b/>
                <w:bCs/>
                <w:color w:val="000000"/>
                <w:sz w:val="18"/>
                <w:szCs w:val="18"/>
              </w:rPr>
            </w:pPr>
            <w:r w:rsidRPr="00E23ABA">
              <w:rPr>
                <w:rFonts w:cs="Arial"/>
                <w:b/>
                <w:bCs/>
                <w:color w:val="000000"/>
                <w:sz w:val="18"/>
                <w:szCs w:val="18"/>
              </w:rPr>
              <w:t>1.00</w:t>
            </w:r>
          </w:p>
        </w:tc>
        <w:tc>
          <w:tcPr>
            <w:tcW w:w="1300" w:type="dxa"/>
            <w:tcBorders>
              <w:top w:val="single" w:sz="4" w:space="0" w:color="auto"/>
              <w:left w:val="nil"/>
              <w:bottom w:val="single" w:sz="4" w:space="0" w:color="auto"/>
              <w:right w:val="nil"/>
            </w:tcBorders>
            <w:shd w:val="clear" w:color="000000" w:fill="FFFFFF"/>
            <w:noWrap/>
            <w:vAlign w:val="center"/>
            <w:hideMark/>
          </w:tcPr>
          <w:p w:rsidR="00E23ABA" w:rsidRPr="00E23ABA" w:rsidRDefault="00E23ABA" w:rsidP="00E23ABA">
            <w:pPr>
              <w:spacing w:before="0" w:after="0" w:line="240" w:lineRule="auto"/>
              <w:jc w:val="right"/>
              <w:rPr>
                <w:rFonts w:cs="Arial"/>
                <w:b/>
                <w:bCs/>
                <w:color w:val="000000"/>
                <w:sz w:val="18"/>
                <w:szCs w:val="18"/>
              </w:rPr>
            </w:pPr>
            <w:r w:rsidRPr="00E23ABA">
              <w:rPr>
                <w:rFonts w:cs="Arial"/>
                <w:b/>
                <w:bCs/>
                <w:color w:val="000000"/>
                <w:sz w:val="18"/>
                <w:szCs w:val="18"/>
              </w:rPr>
              <w:t>5,171</w:t>
            </w:r>
          </w:p>
        </w:tc>
        <w:tc>
          <w:tcPr>
            <w:tcW w:w="1300" w:type="dxa"/>
            <w:tcBorders>
              <w:top w:val="single" w:sz="4" w:space="0" w:color="auto"/>
              <w:left w:val="nil"/>
              <w:bottom w:val="single" w:sz="4" w:space="0" w:color="auto"/>
              <w:right w:val="nil"/>
            </w:tcBorders>
            <w:shd w:val="clear" w:color="000000" w:fill="FFFFFF"/>
            <w:noWrap/>
            <w:vAlign w:val="center"/>
            <w:hideMark/>
          </w:tcPr>
          <w:p w:rsidR="00E23ABA" w:rsidRPr="00E23ABA" w:rsidRDefault="00E23ABA" w:rsidP="00E23ABA">
            <w:pPr>
              <w:spacing w:before="0" w:after="0" w:line="240" w:lineRule="auto"/>
              <w:jc w:val="right"/>
              <w:rPr>
                <w:rFonts w:cs="Arial"/>
                <w:b/>
                <w:bCs/>
                <w:color w:val="000000"/>
                <w:sz w:val="18"/>
                <w:szCs w:val="18"/>
              </w:rPr>
            </w:pPr>
            <w:r w:rsidRPr="00E23ABA">
              <w:rPr>
                <w:rFonts w:cs="Arial"/>
                <w:b/>
                <w:bCs/>
                <w:color w:val="000000"/>
                <w:sz w:val="18"/>
                <w:szCs w:val="18"/>
              </w:rPr>
              <w:t>5,171</w:t>
            </w:r>
          </w:p>
        </w:tc>
      </w:tr>
    </w:tbl>
    <w:p w:rsidR="002371BB" w:rsidRPr="00E923E4" w:rsidRDefault="002371BB" w:rsidP="00A10B59">
      <w:pPr>
        <w:spacing w:before="0" w:after="0"/>
        <w:ind w:left="720"/>
        <w:rPr>
          <w:rFonts w:cs="Arial"/>
          <w:i/>
          <w:sz w:val="18"/>
          <w:szCs w:val="20"/>
        </w:rPr>
      </w:pPr>
      <w:r w:rsidRPr="00E923E4">
        <w:rPr>
          <w:rFonts w:cs="Arial"/>
          <w:i/>
          <w:sz w:val="18"/>
          <w:szCs w:val="20"/>
        </w:rPr>
        <w:t>(1) Determined by dividing the jurisdiction’s number of weighted separations by number of separations.</w:t>
      </w:r>
    </w:p>
    <w:p w:rsidR="001C3539" w:rsidRDefault="001C3539" w:rsidP="002371BB">
      <w:pPr>
        <w:rPr>
          <w:rFonts w:cs="Arial"/>
        </w:rPr>
      </w:pPr>
    </w:p>
    <w:p w:rsidR="008601F0" w:rsidRPr="00FC6F70" w:rsidRDefault="008601F0" w:rsidP="003B4C44">
      <w:pPr>
        <w:pStyle w:val="Heading2"/>
      </w:pPr>
      <w:bookmarkStart w:id="53" w:name="_Toc524173858"/>
      <w:bookmarkStart w:id="54" w:name="_Toc530055087"/>
      <w:r w:rsidRPr="00FC6F70">
        <w:lastRenderedPageBreak/>
        <w:t>Average cost – excluding emergency department costs</w:t>
      </w:r>
      <w:bookmarkEnd w:id="53"/>
      <w:bookmarkEnd w:id="54"/>
    </w:p>
    <w:p w:rsidR="008601F0" w:rsidRPr="00FC6F70" w:rsidRDefault="008601F0" w:rsidP="008601F0">
      <w:r w:rsidRPr="00FC6F70">
        <w:t>On receiving cost data</w:t>
      </w:r>
      <w:r w:rsidR="00845638" w:rsidRPr="00FC6F70">
        <w:t>,</w:t>
      </w:r>
      <w:r w:rsidRPr="00FC6F70">
        <w:t xml:space="preserve"> IHPA identifies records that were admitted to hospital after presenting to the emergency department. The costs of the emergency department are included in the admitted costs, reported in the ED cost bucket. </w:t>
      </w:r>
      <w:r w:rsidR="00845638" w:rsidRPr="00FC6F70">
        <w:fldChar w:fldCharType="begin"/>
      </w:r>
      <w:r w:rsidR="00845638" w:rsidRPr="00FC6F70">
        <w:instrText xml:space="preserve"> REF _Ref527369785 \h </w:instrText>
      </w:r>
      <w:r w:rsidR="00300E43" w:rsidRPr="00FC6F70">
        <w:instrText xml:space="preserve"> \* MERGEFORMAT </w:instrText>
      </w:r>
      <w:r w:rsidR="00845638" w:rsidRPr="00FC6F70">
        <w:fldChar w:fldCharType="separate"/>
      </w:r>
      <w:r w:rsidR="00342D61" w:rsidRPr="00342D61">
        <w:t xml:space="preserve">Table </w:t>
      </w:r>
      <w:r w:rsidR="00342D61" w:rsidRPr="00342D61">
        <w:rPr>
          <w:noProof/>
        </w:rPr>
        <w:t>13</w:t>
      </w:r>
      <w:r w:rsidR="00845638" w:rsidRPr="00FC6F70">
        <w:fldChar w:fldCharType="end"/>
      </w:r>
      <w:r w:rsidRPr="00FC6F70">
        <w:t xml:space="preserve"> compares average cost per acute separation including and excluding emergency department costs. The column ‘average cost excluding ED </w:t>
      </w:r>
      <w:r w:rsidR="00845638" w:rsidRPr="00FC6F70">
        <w:t>c</w:t>
      </w:r>
      <w:r w:rsidRPr="00FC6F70">
        <w:t>ost</w:t>
      </w:r>
      <w:r w:rsidR="00845638" w:rsidRPr="00FC6F70">
        <w:t>s</w:t>
      </w:r>
      <w:r w:rsidRPr="00FC6F70">
        <w:t>’ includes only the costs associated with the patient from hospital admission to separation. There is a difference of $3</w:t>
      </w:r>
      <w:r w:rsidR="00845638" w:rsidRPr="00FC6F70">
        <w:t>79,</w:t>
      </w:r>
      <w:r w:rsidRPr="00FC6F70">
        <w:t xml:space="preserve"> which can be attributed to resource usage</w:t>
      </w:r>
      <w:r w:rsidR="00845638" w:rsidRPr="00FC6F70">
        <w:t xml:space="preserve"> associated with the ED presentation</w:t>
      </w:r>
      <w:r w:rsidRPr="00FC6F70">
        <w:t>.</w:t>
      </w:r>
    </w:p>
    <w:p w:rsidR="00C83237" w:rsidRPr="00FC6F70" w:rsidRDefault="00C83237" w:rsidP="00CC468A">
      <w:pPr>
        <w:spacing w:before="0" w:after="0" w:line="240" w:lineRule="auto"/>
        <w:rPr>
          <w:rFonts w:cs="Arial"/>
          <w:b/>
          <w:szCs w:val="22"/>
        </w:rPr>
      </w:pPr>
      <w:bookmarkStart w:id="55" w:name="_Ref524511735"/>
      <w:bookmarkStart w:id="56" w:name="_Ref527369785"/>
      <w:bookmarkStart w:id="57" w:name="_Toc527385240"/>
      <w:r w:rsidRPr="00FC6F70">
        <w:rPr>
          <w:b/>
        </w:rPr>
        <w:t xml:space="preserve">Table </w:t>
      </w:r>
      <w:bookmarkEnd w:id="55"/>
      <w:r w:rsidR="00C72BFB" w:rsidRPr="00FC6F70">
        <w:rPr>
          <w:b/>
        </w:rPr>
        <w:fldChar w:fldCharType="begin"/>
      </w:r>
      <w:r w:rsidR="00C72BFB" w:rsidRPr="00FC6F70">
        <w:rPr>
          <w:b/>
        </w:rPr>
        <w:instrText xml:space="preserve"> SEQ Table \* ARABIC </w:instrText>
      </w:r>
      <w:r w:rsidR="00C72BFB" w:rsidRPr="00FC6F70">
        <w:rPr>
          <w:b/>
        </w:rPr>
        <w:fldChar w:fldCharType="separate"/>
      </w:r>
      <w:r w:rsidR="00342D61">
        <w:rPr>
          <w:b/>
          <w:noProof/>
        </w:rPr>
        <w:t>13</w:t>
      </w:r>
      <w:r w:rsidR="00C72BFB" w:rsidRPr="00FC6F70">
        <w:rPr>
          <w:b/>
        </w:rPr>
        <w:fldChar w:fldCharType="end"/>
      </w:r>
      <w:bookmarkEnd w:id="56"/>
      <w:r w:rsidR="00C72BFB" w:rsidRPr="00FC6F70">
        <w:rPr>
          <w:b/>
        </w:rPr>
        <w:t xml:space="preserve"> </w:t>
      </w:r>
      <w:r w:rsidRPr="00FC6F70">
        <w:rPr>
          <w:rFonts w:cs="Arial"/>
          <w:b/>
          <w:szCs w:val="22"/>
        </w:rPr>
        <w:t xml:space="preserve">Average cost per admitted acute separation, excluding ED cost bucket, by jurisdiction, </w:t>
      </w:r>
      <w:r w:rsidR="00E923E4" w:rsidRPr="00FC6F70">
        <w:rPr>
          <w:rFonts w:cs="Arial"/>
          <w:b/>
          <w:szCs w:val="22"/>
        </w:rPr>
        <w:t>Round 2</w:t>
      </w:r>
      <w:r w:rsidRPr="00FC6F70">
        <w:rPr>
          <w:rFonts w:cs="Arial"/>
          <w:b/>
          <w:szCs w:val="22"/>
        </w:rPr>
        <w:t>1</w:t>
      </w:r>
      <w:bookmarkEnd w:id="57"/>
    </w:p>
    <w:tbl>
      <w:tblPr>
        <w:tblW w:w="5500" w:type="dxa"/>
        <w:jc w:val="center"/>
        <w:tblLook w:val="04A0" w:firstRow="1" w:lastRow="0" w:firstColumn="1" w:lastColumn="0" w:noHBand="0" w:noVBand="1"/>
        <w:tblCaption w:val="Table 13 Average cost per admitted acute separation, excluding ED cost bucket, by jurisdiction, Round 21"/>
        <w:tblDescription w:val="The table displays the average cost per admitted acute separation, excluding ED cost bucket, by jurisdiction for Round 21"/>
      </w:tblPr>
      <w:tblGrid>
        <w:gridCol w:w="1300"/>
        <w:gridCol w:w="960"/>
        <w:gridCol w:w="1960"/>
        <w:gridCol w:w="1280"/>
      </w:tblGrid>
      <w:tr w:rsidR="00697B5F" w:rsidRPr="00FC6F70" w:rsidTr="005351D3">
        <w:trPr>
          <w:trHeight w:val="720"/>
          <w:jc w:val="center"/>
        </w:trPr>
        <w:tc>
          <w:tcPr>
            <w:tcW w:w="1300" w:type="dxa"/>
            <w:tcBorders>
              <w:top w:val="single" w:sz="4" w:space="0" w:color="auto"/>
              <w:left w:val="nil"/>
              <w:bottom w:val="single" w:sz="4" w:space="0" w:color="auto"/>
              <w:right w:val="nil"/>
            </w:tcBorders>
            <w:shd w:val="clear" w:color="auto" w:fill="auto"/>
            <w:noWrap/>
            <w:vAlign w:val="center"/>
            <w:hideMark/>
          </w:tcPr>
          <w:p w:rsidR="00697B5F" w:rsidRPr="00FC6F70" w:rsidRDefault="00697B5F" w:rsidP="00697B5F">
            <w:pPr>
              <w:spacing w:before="0" w:after="0" w:line="240" w:lineRule="auto"/>
              <w:rPr>
                <w:rFonts w:cs="Arial"/>
                <w:b/>
                <w:bCs/>
                <w:color w:val="000000"/>
                <w:sz w:val="18"/>
                <w:szCs w:val="18"/>
              </w:rPr>
            </w:pPr>
            <w:r w:rsidRPr="00FC6F70">
              <w:rPr>
                <w:rFonts w:cs="Arial"/>
                <w:b/>
                <w:bCs/>
                <w:color w:val="000000"/>
                <w:sz w:val="18"/>
                <w:szCs w:val="18"/>
              </w:rPr>
              <w:t>Jurisdiction</w:t>
            </w:r>
          </w:p>
        </w:tc>
        <w:tc>
          <w:tcPr>
            <w:tcW w:w="960" w:type="dxa"/>
            <w:tcBorders>
              <w:top w:val="single" w:sz="4" w:space="0" w:color="auto"/>
              <w:left w:val="nil"/>
              <w:bottom w:val="single" w:sz="4" w:space="0" w:color="auto"/>
              <w:right w:val="nil"/>
            </w:tcBorders>
            <w:shd w:val="clear" w:color="000000" w:fill="FFFFFF"/>
            <w:vAlign w:val="center"/>
            <w:hideMark/>
          </w:tcPr>
          <w:p w:rsidR="00697B5F" w:rsidRPr="00FC6F70" w:rsidRDefault="00697B5F" w:rsidP="00697B5F">
            <w:pPr>
              <w:spacing w:before="0" w:after="0" w:line="240" w:lineRule="auto"/>
              <w:jc w:val="right"/>
              <w:rPr>
                <w:rFonts w:cs="Arial"/>
                <w:color w:val="000000"/>
                <w:sz w:val="18"/>
                <w:szCs w:val="18"/>
              </w:rPr>
            </w:pPr>
            <w:r w:rsidRPr="00FC6F70">
              <w:rPr>
                <w:rFonts w:cs="Arial"/>
                <w:color w:val="000000"/>
                <w:sz w:val="18"/>
                <w:szCs w:val="18"/>
              </w:rPr>
              <w:t>Average cost</w:t>
            </w:r>
          </w:p>
        </w:tc>
        <w:tc>
          <w:tcPr>
            <w:tcW w:w="1960" w:type="dxa"/>
            <w:tcBorders>
              <w:top w:val="single" w:sz="4" w:space="0" w:color="auto"/>
              <w:left w:val="nil"/>
              <w:bottom w:val="single" w:sz="4" w:space="0" w:color="auto"/>
              <w:right w:val="nil"/>
            </w:tcBorders>
            <w:shd w:val="clear" w:color="000000" w:fill="FFFFFF"/>
            <w:vAlign w:val="center"/>
            <w:hideMark/>
          </w:tcPr>
          <w:p w:rsidR="00697B5F" w:rsidRPr="00FC6F70" w:rsidRDefault="00697B5F" w:rsidP="00697B5F">
            <w:pPr>
              <w:spacing w:before="0" w:after="0" w:line="240" w:lineRule="auto"/>
              <w:jc w:val="right"/>
              <w:rPr>
                <w:rFonts w:cs="Arial"/>
                <w:color w:val="000000"/>
                <w:sz w:val="18"/>
                <w:szCs w:val="18"/>
              </w:rPr>
            </w:pPr>
            <w:r w:rsidRPr="00FC6F70">
              <w:rPr>
                <w:rFonts w:cs="Arial"/>
                <w:color w:val="000000"/>
                <w:sz w:val="18"/>
                <w:szCs w:val="18"/>
              </w:rPr>
              <w:t>Average cost, excluding Emergency Department costs</w:t>
            </w:r>
          </w:p>
        </w:tc>
        <w:tc>
          <w:tcPr>
            <w:tcW w:w="1280" w:type="dxa"/>
            <w:tcBorders>
              <w:top w:val="single" w:sz="4" w:space="0" w:color="auto"/>
              <w:left w:val="nil"/>
              <w:bottom w:val="single" w:sz="4" w:space="0" w:color="auto"/>
              <w:right w:val="nil"/>
            </w:tcBorders>
            <w:shd w:val="clear" w:color="auto" w:fill="auto"/>
            <w:noWrap/>
            <w:vAlign w:val="center"/>
            <w:hideMark/>
          </w:tcPr>
          <w:p w:rsidR="00697B5F" w:rsidRPr="00FC6F70" w:rsidRDefault="00697B5F" w:rsidP="00697B5F">
            <w:pPr>
              <w:spacing w:before="0" w:after="0" w:line="240" w:lineRule="auto"/>
              <w:jc w:val="right"/>
              <w:rPr>
                <w:rFonts w:cs="Arial"/>
                <w:color w:val="000000"/>
                <w:sz w:val="18"/>
                <w:szCs w:val="18"/>
              </w:rPr>
            </w:pPr>
            <w:r w:rsidRPr="00FC6F70">
              <w:rPr>
                <w:rFonts w:cs="Arial"/>
                <w:color w:val="000000"/>
                <w:sz w:val="18"/>
                <w:szCs w:val="18"/>
              </w:rPr>
              <w:t>Difference</w:t>
            </w:r>
          </w:p>
        </w:tc>
      </w:tr>
      <w:tr w:rsidR="00697B5F" w:rsidRPr="00FC6F70" w:rsidTr="005351D3">
        <w:trPr>
          <w:trHeight w:val="300"/>
          <w:jc w:val="center"/>
        </w:trPr>
        <w:tc>
          <w:tcPr>
            <w:tcW w:w="1300" w:type="dxa"/>
            <w:tcBorders>
              <w:top w:val="nil"/>
              <w:left w:val="nil"/>
              <w:bottom w:val="single" w:sz="4" w:space="0" w:color="auto"/>
              <w:right w:val="nil"/>
            </w:tcBorders>
            <w:shd w:val="clear" w:color="000000" w:fill="FFFFFF"/>
            <w:noWrap/>
            <w:vAlign w:val="bottom"/>
            <w:hideMark/>
          </w:tcPr>
          <w:p w:rsidR="00697B5F" w:rsidRPr="00FC6F70" w:rsidRDefault="00697B5F" w:rsidP="00697B5F">
            <w:pPr>
              <w:spacing w:before="0" w:after="0" w:line="240" w:lineRule="auto"/>
              <w:rPr>
                <w:rFonts w:cs="Arial"/>
                <w:color w:val="000000"/>
                <w:sz w:val="18"/>
                <w:szCs w:val="18"/>
              </w:rPr>
            </w:pPr>
            <w:r w:rsidRPr="00FC6F70">
              <w:rPr>
                <w:rFonts w:cs="Arial"/>
                <w:color w:val="000000"/>
                <w:sz w:val="18"/>
                <w:szCs w:val="18"/>
              </w:rPr>
              <w:t> </w:t>
            </w:r>
          </w:p>
        </w:tc>
        <w:tc>
          <w:tcPr>
            <w:tcW w:w="960" w:type="dxa"/>
            <w:tcBorders>
              <w:top w:val="nil"/>
              <w:left w:val="nil"/>
              <w:bottom w:val="single" w:sz="4" w:space="0" w:color="auto"/>
              <w:right w:val="nil"/>
            </w:tcBorders>
            <w:shd w:val="clear" w:color="000000" w:fill="FFFFFF"/>
            <w:noWrap/>
            <w:vAlign w:val="bottom"/>
            <w:hideMark/>
          </w:tcPr>
          <w:p w:rsidR="00697B5F" w:rsidRPr="00FC6F70" w:rsidRDefault="00697B5F" w:rsidP="00697B5F">
            <w:pPr>
              <w:spacing w:before="0" w:after="0" w:line="240" w:lineRule="auto"/>
              <w:jc w:val="right"/>
              <w:rPr>
                <w:rFonts w:cs="Arial"/>
                <w:color w:val="000000"/>
                <w:sz w:val="18"/>
                <w:szCs w:val="18"/>
              </w:rPr>
            </w:pPr>
            <w:r w:rsidRPr="00FC6F70">
              <w:rPr>
                <w:rFonts w:cs="Arial"/>
                <w:color w:val="000000"/>
                <w:sz w:val="18"/>
                <w:szCs w:val="18"/>
              </w:rPr>
              <w:t>($)</w:t>
            </w:r>
          </w:p>
        </w:tc>
        <w:tc>
          <w:tcPr>
            <w:tcW w:w="1960" w:type="dxa"/>
            <w:tcBorders>
              <w:top w:val="nil"/>
              <w:left w:val="nil"/>
              <w:bottom w:val="single" w:sz="4" w:space="0" w:color="auto"/>
              <w:right w:val="nil"/>
            </w:tcBorders>
            <w:shd w:val="clear" w:color="000000" w:fill="FFFFFF"/>
            <w:noWrap/>
            <w:vAlign w:val="bottom"/>
            <w:hideMark/>
          </w:tcPr>
          <w:p w:rsidR="00697B5F" w:rsidRPr="00FC6F70" w:rsidRDefault="00697B5F" w:rsidP="00697B5F">
            <w:pPr>
              <w:spacing w:before="0" w:after="0" w:line="240" w:lineRule="auto"/>
              <w:jc w:val="right"/>
              <w:rPr>
                <w:rFonts w:cs="Arial"/>
                <w:color w:val="000000"/>
                <w:sz w:val="18"/>
                <w:szCs w:val="18"/>
              </w:rPr>
            </w:pPr>
            <w:r w:rsidRPr="00FC6F70">
              <w:rPr>
                <w:rFonts w:cs="Arial"/>
                <w:color w:val="000000"/>
                <w:sz w:val="18"/>
                <w:szCs w:val="18"/>
              </w:rPr>
              <w:t>($)</w:t>
            </w:r>
          </w:p>
        </w:tc>
        <w:tc>
          <w:tcPr>
            <w:tcW w:w="1280" w:type="dxa"/>
            <w:tcBorders>
              <w:top w:val="nil"/>
              <w:left w:val="nil"/>
              <w:bottom w:val="single" w:sz="4" w:space="0" w:color="auto"/>
              <w:right w:val="nil"/>
            </w:tcBorders>
            <w:shd w:val="clear" w:color="000000" w:fill="FFFFFF"/>
            <w:noWrap/>
            <w:vAlign w:val="bottom"/>
            <w:hideMark/>
          </w:tcPr>
          <w:p w:rsidR="00697B5F" w:rsidRPr="00FC6F70" w:rsidRDefault="00697B5F" w:rsidP="00697B5F">
            <w:pPr>
              <w:spacing w:before="0" w:after="0" w:line="240" w:lineRule="auto"/>
              <w:jc w:val="right"/>
              <w:rPr>
                <w:rFonts w:cs="Arial"/>
                <w:color w:val="000000"/>
                <w:sz w:val="18"/>
                <w:szCs w:val="18"/>
              </w:rPr>
            </w:pPr>
            <w:r w:rsidRPr="00FC6F70">
              <w:rPr>
                <w:rFonts w:cs="Arial"/>
                <w:color w:val="000000"/>
                <w:sz w:val="18"/>
                <w:szCs w:val="18"/>
              </w:rPr>
              <w:t>($)</w:t>
            </w:r>
          </w:p>
        </w:tc>
      </w:tr>
      <w:tr w:rsidR="00697B5F" w:rsidRPr="00FC6F70" w:rsidTr="005351D3">
        <w:trPr>
          <w:trHeight w:val="300"/>
          <w:jc w:val="center"/>
        </w:trPr>
        <w:tc>
          <w:tcPr>
            <w:tcW w:w="1300" w:type="dxa"/>
            <w:tcBorders>
              <w:top w:val="nil"/>
              <w:left w:val="nil"/>
              <w:bottom w:val="nil"/>
              <w:right w:val="nil"/>
            </w:tcBorders>
            <w:shd w:val="clear" w:color="000000" w:fill="FFFFFF"/>
            <w:noWrap/>
            <w:vAlign w:val="center"/>
            <w:hideMark/>
          </w:tcPr>
          <w:p w:rsidR="00697B5F" w:rsidRPr="00FC6F70" w:rsidRDefault="00697B5F" w:rsidP="00172AA0">
            <w:pPr>
              <w:spacing w:before="0" w:after="0" w:line="240" w:lineRule="auto"/>
              <w:rPr>
                <w:rFonts w:cs="Arial"/>
                <w:color w:val="000000"/>
                <w:sz w:val="18"/>
                <w:szCs w:val="18"/>
              </w:rPr>
            </w:pPr>
            <w:r w:rsidRPr="00FC6F70">
              <w:rPr>
                <w:rFonts w:cs="Arial"/>
                <w:color w:val="000000"/>
                <w:sz w:val="18"/>
                <w:szCs w:val="18"/>
              </w:rPr>
              <w:t>NSW</w:t>
            </w:r>
          </w:p>
        </w:tc>
        <w:tc>
          <w:tcPr>
            <w:tcW w:w="960" w:type="dxa"/>
            <w:tcBorders>
              <w:top w:val="nil"/>
              <w:left w:val="nil"/>
              <w:bottom w:val="nil"/>
              <w:right w:val="nil"/>
            </w:tcBorders>
            <w:shd w:val="clear" w:color="000000" w:fill="FFFFFF"/>
            <w:noWrap/>
            <w:vAlign w:val="center"/>
            <w:hideMark/>
          </w:tcPr>
          <w:p w:rsidR="00697B5F" w:rsidRPr="00FC6F70" w:rsidRDefault="00697B5F" w:rsidP="0000327B">
            <w:pPr>
              <w:spacing w:before="0" w:after="0" w:line="240" w:lineRule="auto"/>
              <w:jc w:val="right"/>
              <w:rPr>
                <w:rFonts w:cs="Arial"/>
                <w:color w:val="000000"/>
                <w:sz w:val="18"/>
                <w:szCs w:val="18"/>
              </w:rPr>
            </w:pPr>
            <w:r w:rsidRPr="00FC6F70">
              <w:rPr>
                <w:rFonts w:cs="Arial"/>
                <w:color w:val="000000"/>
                <w:sz w:val="18"/>
                <w:szCs w:val="18"/>
              </w:rPr>
              <w:t>5,477</w:t>
            </w:r>
          </w:p>
        </w:tc>
        <w:tc>
          <w:tcPr>
            <w:tcW w:w="1960" w:type="dxa"/>
            <w:tcBorders>
              <w:top w:val="nil"/>
              <w:left w:val="nil"/>
              <w:bottom w:val="nil"/>
              <w:right w:val="nil"/>
            </w:tcBorders>
            <w:shd w:val="clear" w:color="000000" w:fill="FFFFFF"/>
            <w:noWrap/>
            <w:vAlign w:val="center"/>
            <w:hideMark/>
          </w:tcPr>
          <w:p w:rsidR="00697B5F" w:rsidRPr="00FC6F70" w:rsidRDefault="00697B5F" w:rsidP="0000327B">
            <w:pPr>
              <w:spacing w:before="0" w:after="0" w:line="240" w:lineRule="auto"/>
              <w:jc w:val="right"/>
              <w:rPr>
                <w:rFonts w:cs="Arial"/>
                <w:color w:val="000000"/>
                <w:sz w:val="18"/>
                <w:szCs w:val="18"/>
              </w:rPr>
            </w:pPr>
            <w:r w:rsidRPr="00FC6F70">
              <w:rPr>
                <w:rFonts w:cs="Arial"/>
                <w:color w:val="000000"/>
                <w:sz w:val="18"/>
                <w:szCs w:val="18"/>
              </w:rPr>
              <w:t>5,096</w:t>
            </w:r>
          </w:p>
        </w:tc>
        <w:tc>
          <w:tcPr>
            <w:tcW w:w="1280" w:type="dxa"/>
            <w:tcBorders>
              <w:top w:val="nil"/>
              <w:left w:val="nil"/>
              <w:bottom w:val="nil"/>
              <w:right w:val="nil"/>
            </w:tcBorders>
            <w:shd w:val="clear" w:color="000000" w:fill="FFFFFF"/>
            <w:noWrap/>
            <w:vAlign w:val="center"/>
            <w:hideMark/>
          </w:tcPr>
          <w:p w:rsidR="00697B5F" w:rsidRPr="00FC6F70" w:rsidRDefault="00697B5F" w:rsidP="0000327B">
            <w:pPr>
              <w:spacing w:before="0" w:after="0" w:line="240" w:lineRule="auto"/>
              <w:jc w:val="right"/>
              <w:rPr>
                <w:rFonts w:cs="Arial"/>
                <w:color w:val="000000"/>
                <w:sz w:val="18"/>
                <w:szCs w:val="18"/>
              </w:rPr>
            </w:pPr>
            <w:r w:rsidRPr="00FC6F70">
              <w:rPr>
                <w:rFonts w:cs="Arial"/>
                <w:color w:val="000000"/>
                <w:sz w:val="18"/>
                <w:szCs w:val="18"/>
              </w:rPr>
              <w:t>381</w:t>
            </w:r>
          </w:p>
        </w:tc>
      </w:tr>
      <w:tr w:rsidR="00697B5F" w:rsidRPr="00FC6F70" w:rsidTr="005351D3">
        <w:trPr>
          <w:trHeight w:val="300"/>
          <w:jc w:val="center"/>
        </w:trPr>
        <w:tc>
          <w:tcPr>
            <w:tcW w:w="1300" w:type="dxa"/>
            <w:tcBorders>
              <w:top w:val="nil"/>
              <w:left w:val="nil"/>
              <w:bottom w:val="nil"/>
              <w:right w:val="nil"/>
            </w:tcBorders>
            <w:shd w:val="clear" w:color="000000" w:fill="FFFFFF"/>
            <w:noWrap/>
            <w:vAlign w:val="center"/>
            <w:hideMark/>
          </w:tcPr>
          <w:p w:rsidR="00697B5F" w:rsidRPr="00FC6F70" w:rsidRDefault="00697B5F" w:rsidP="00172AA0">
            <w:pPr>
              <w:spacing w:before="0" w:after="0" w:line="240" w:lineRule="auto"/>
              <w:rPr>
                <w:rFonts w:cs="Arial"/>
                <w:color w:val="000000"/>
                <w:sz w:val="18"/>
                <w:szCs w:val="18"/>
              </w:rPr>
            </w:pPr>
            <w:r w:rsidRPr="00FC6F70">
              <w:rPr>
                <w:rFonts w:cs="Arial"/>
                <w:color w:val="000000"/>
                <w:sz w:val="18"/>
                <w:szCs w:val="18"/>
              </w:rPr>
              <w:t>VIC</w:t>
            </w:r>
          </w:p>
        </w:tc>
        <w:tc>
          <w:tcPr>
            <w:tcW w:w="960" w:type="dxa"/>
            <w:tcBorders>
              <w:top w:val="nil"/>
              <w:left w:val="nil"/>
              <w:bottom w:val="nil"/>
              <w:right w:val="nil"/>
            </w:tcBorders>
            <w:shd w:val="clear" w:color="000000" w:fill="FFFFFF"/>
            <w:noWrap/>
            <w:vAlign w:val="center"/>
            <w:hideMark/>
          </w:tcPr>
          <w:p w:rsidR="00697B5F" w:rsidRPr="00FC6F70" w:rsidRDefault="00697B5F" w:rsidP="0000327B">
            <w:pPr>
              <w:spacing w:before="0" w:after="0" w:line="240" w:lineRule="auto"/>
              <w:jc w:val="right"/>
              <w:rPr>
                <w:rFonts w:cs="Arial"/>
                <w:color w:val="000000"/>
                <w:sz w:val="18"/>
                <w:szCs w:val="18"/>
              </w:rPr>
            </w:pPr>
            <w:r w:rsidRPr="00FC6F70">
              <w:rPr>
                <w:rFonts w:cs="Arial"/>
                <w:color w:val="000000"/>
                <w:sz w:val="18"/>
                <w:szCs w:val="18"/>
              </w:rPr>
              <w:t>4,494</w:t>
            </w:r>
          </w:p>
        </w:tc>
        <w:tc>
          <w:tcPr>
            <w:tcW w:w="1960" w:type="dxa"/>
            <w:tcBorders>
              <w:top w:val="nil"/>
              <w:left w:val="nil"/>
              <w:bottom w:val="nil"/>
              <w:right w:val="nil"/>
            </w:tcBorders>
            <w:shd w:val="clear" w:color="000000" w:fill="FFFFFF"/>
            <w:noWrap/>
            <w:vAlign w:val="center"/>
            <w:hideMark/>
          </w:tcPr>
          <w:p w:rsidR="00697B5F" w:rsidRPr="00FC6F70" w:rsidRDefault="00697B5F" w:rsidP="0000327B">
            <w:pPr>
              <w:spacing w:before="0" w:after="0" w:line="240" w:lineRule="auto"/>
              <w:jc w:val="right"/>
              <w:rPr>
                <w:rFonts w:cs="Arial"/>
                <w:color w:val="000000"/>
                <w:sz w:val="18"/>
                <w:szCs w:val="18"/>
              </w:rPr>
            </w:pPr>
            <w:r w:rsidRPr="00FC6F70">
              <w:rPr>
                <w:rFonts w:cs="Arial"/>
                <w:color w:val="000000"/>
                <w:sz w:val="18"/>
                <w:szCs w:val="18"/>
              </w:rPr>
              <w:t>4,156</w:t>
            </w:r>
          </w:p>
        </w:tc>
        <w:tc>
          <w:tcPr>
            <w:tcW w:w="1280" w:type="dxa"/>
            <w:tcBorders>
              <w:top w:val="nil"/>
              <w:left w:val="nil"/>
              <w:bottom w:val="nil"/>
              <w:right w:val="nil"/>
            </w:tcBorders>
            <w:shd w:val="clear" w:color="000000" w:fill="FFFFFF"/>
            <w:noWrap/>
            <w:vAlign w:val="center"/>
            <w:hideMark/>
          </w:tcPr>
          <w:p w:rsidR="00697B5F" w:rsidRPr="00FC6F70" w:rsidRDefault="00697B5F" w:rsidP="0000327B">
            <w:pPr>
              <w:spacing w:before="0" w:after="0" w:line="240" w:lineRule="auto"/>
              <w:jc w:val="right"/>
              <w:rPr>
                <w:rFonts w:cs="Arial"/>
                <w:color w:val="000000"/>
                <w:sz w:val="18"/>
                <w:szCs w:val="18"/>
              </w:rPr>
            </w:pPr>
            <w:r w:rsidRPr="00FC6F70">
              <w:rPr>
                <w:rFonts w:cs="Arial"/>
                <w:color w:val="000000"/>
                <w:sz w:val="18"/>
                <w:szCs w:val="18"/>
              </w:rPr>
              <w:t>338</w:t>
            </w:r>
          </w:p>
        </w:tc>
      </w:tr>
      <w:tr w:rsidR="00697B5F" w:rsidRPr="00FC6F70" w:rsidTr="005351D3">
        <w:trPr>
          <w:trHeight w:val="300"/>
          <w:jc w:val="center"/>
        </w:trPr>
        <w:tc>
          <w:tcPr>
            <w:tcW w:w="1300" w:type="dxa"/>
            <w:tcBorders>
              <w:top w:val="nil"/>
              <w:left w:val="nil"/>
              <w:bottom w:val="nil"/>
              <w:right w:val="nil"/>
            </w:tcBorders>
            <w:shd w:val="clear" w:color="000000" w:fill="FFFFFF"/>
            <w:noWrap/>
            <w:vAlign w:val="center"/>
            <w:hideMark/>
          </w:tcPr>
          <w:p w:rsidR="00697B5F" w:rsidRPr="00FC6F70" w:rsidRDefault="00697B5F" w:rsidP="00172AA0">
            <w:pPr>
              <w:spacing w:before="0" w:after="0" w:line="240" w:lineRule="auto"/>
              <w:rPr>
                <w:rFonts w:cs="Arial"/>
                <w:color w:val="000000"/>
                <w:sz w:val="18"/>
                <w:szCs w:val="18"/>
              </w:rPr>
            </w:pPr>
            <w:r w:rsidRPr="00FC6F70">
              <w:rPr>
                <w:rFonts w:cs="Arial"/>
                <w:color w:val="000000"/>
                <w:sz w:val="18"/>
                <w:szCs w:val="18"/>
              </w:rPr>
              <w:t>QLD</w:t>
            </w:r>
          </w:p>
        </w:tc>
        <w:tc>
          <w:tcPr>
            <w:tcW w:w="960" w:type="dxa"/>
            <w:tcBorders>
              <w:top w:val="nil"/>
              <w:left w:val="nil"/>
              <w:bottom w:val="nil"/>
              <w:right w:val="nil"/>
            </w:tcBorders>
            <w:shd w:val="clear" w:color="000000" w:fill="FFFFFF"/>
            <w:noWrap/>
            <w:vAlign w:val="center"/>
            <w:hideMark/>
          </w:tcPr>
          <w:p w:rsidR="00697B5F" w:rsidRPr="00FC6F70" w:rsidRDefault="00697B5F" w:rsidP="0000327B">
            <w:pPr>
              <w:spacing w:before="0" w:after="0" w:line="240" w:lineRule="auto"/>
              <w:jc w:val="right"/>
              <w:rPr>
                <w:rFonts w:cs="Arial"/>
                <w:color w:val="000000"/>
                <w:sz w:val="18"/>
                <w:szCs w:val="18"/>
              </w:rPr>
            </w:pPr>
            <w:r w:rsidRPr="00FC6F70">
              <w:rPr>
                <w:rFonts w:cs="Arial"/>
                <w:color w:val="000000"/>
                <w:sz w:val="18"/>
                <w:szCs w:val="18"/>
              </w:rPr>
              <w:t>4,922</w:t>
            </w:r>
          </w:p>
        </w:tc>
        <w:tc>
          <w:tcPr>
            <w:tcW w:w="1960" w:type="dxa"/>
            <w:tcBorders>
              <w:top w:val="nil"/>
              <w:left w:val="nil"/>
              <w:bottom w:val="nil"/>
              <w:right w:val="nil"/>
            </w:tcBorders>
            <w:shd w:val="clear" w:color="000000" w:fill="FFFFFF"/>
            <w:noWrap/>
            <w:vAlign w:val="center"/>
            <w:hideMark/>
          </w:tcPr>
          <w:p w:rsidR="00697B5F" w:rsidRPr="00FC6F70" w:rsidRDefault="00697B5F" w:rsidP="0000327B">
            <w:pPr>
              <w:spacing w:before="0" w:after="0" w:line="240" w:lineRule="auto"/>
              <w:jc w:val="right"/>
              <w:rPr>
                <w:rFonts w:cs="Arial"/>
                <w:color w:val="000000"/>
                <w:sz w:val="18"/>
                <w:szCs w:val="18"/>
              </w:rPr>
            </w:pPr>
            <w:r w:rsidRPr="00FC6F70">
              <w:rPr>
                <w:rFonts w:cs="Arial"/>
                <w:color w:val="000000"/>
                <w:sz w:val="18"/>
                <w:szCs w:val="18"/>
              </w:rPr>
              <w:t>4,534</w:t>
            </w:r>
          </w:p>
        </w:tc>
        <w:tc>
          <w:tcPr>
            <w:tcW w:w="1280" w:type="dxa"/>
            <w:tcBorders>
              <w:top w:val="nil"/>
              <w:left w:val="nil"/>
              <w:bottom w:val="nil"/>
              <w:right w:val="nil"/>
            </w:tcBorders>
            <w:shd w:val="clear" w:color="000000" w:fill="FFFFFF"/>
            <w:noWrap/>
            <w:vAlign w:val="center"/>
            <w:hideMark/>
          </w:tcPr>
          <w:p w:rsidR="00697B5F" w:rsidRPr="00FC6F70" w:rsidRDefault="00697B5F" w:rsidP="0000327B">
            <w:pPr>
              <w:spacing w:before="0" w:after="0" w:line="240" w:lineRule="auto"/>
              <w:jc w:val="right"/>
              <w:rPr>
                <w:rFonts w:cs="Arial"/>
                <w:color w:val="000000"/>
                <w:sz w:val="18"/>
                <w:szCs w:val="18"/>
              </w:rPr>
            </w:pPr>
            <w:r w:rsidRPr="00FC6F70">
              <w:rPr>
                <w:rFonts w:cs="Arial"/>
                <w:color w:val="000000"/>
                <w:sz w:val="18"/>
                <w:szCs w:val="18"/>
              </w:rPr>
              <w:t>388</w:t>
            </w:r>
          </w:p>
        </w:tc>
      </w:tr>
      <w:tr w:rsidR="00697B5F" w:rsidRPr="00FC6F70" w:rsidTr="005351D3">
        <w:trPr>
          <w:trHeight w:val="300"/>
          <w:jc w:val="center"/>
        </w:trPr>
        <w:tc>
          <w:tcPr>
            <w:tcW w:w="1300" w:type="dxa"/>
            <w:tcBorders>
              <w:top w:val="nil"/>
              <w:left w:val="nil"/>
              <w:bottom w:val="nil"/>
              <w:right w:val="nil"/>
            </w:tcBorders>
            <w:shd w:val="clear" w:color="000000" w:fill="FFFFFF"/>
            <w:noWrap/>
            <w:vAlign w:val="center"/>
            <w:hideMark/>
          </w:tcPr>
          <w:p w:rsidR="00697B5F" w:rsidRPr="00FC6F70" w:rsidRDefault="00697B5F" w:rsidP="00172AA0">
            <w:pPr>
              <w:spacing w:before="0" w:after="0" w:line="240" w:lineRule="auto"/>
              <w:rPr>
                <w:rFonts w:cs="Arial"/>
                <w:color w:val="000000"/>
                <w:sz w:val="18"/>
                <w:szCs w:val="18"/>
              </w:rPr>
            </w:pPr>
            <w:r w:rsidRPr="00FC6F70">
              <w:rPr>
                <w:rFonts w:cs="Arial"/>
                <w:color w:val="000000"/>
                <w:sz w:val="18"/>
                <w:szCs w:val="18"/>
              </w:rPr>
              <w:t>SA</w:t>
            </w:r>
          </w:p>
        </w:tc>
        <w:tc>
          <w:tcPr>
            <w:tcW w:w="960" w:type="dxa"/>
            <w:tcBorders>
              <w:top w:val="nil"/>
              <w:left w:val="nil"/>
              <w:bottom w:val="nil"/>
              <w:right w:val="nil"/>
            </w:tcBorders>
            <w:shd w:val="clear" w:color="000000" w:fill="FFFFFF"/>
            <w:noWrap/>
            <w:vAlign w:val="center"/>
            <w:hideMark/>
          </w:tcPr>
          <w:p w:rsidR="00697B5F" w:rsidRPr="00FC6F70" w:rsidRDefault="00697B5F" w:rsidP="0000327B">
            <w:pPr>
              <w:spacing w:before="0" w:after="0" w:line="240" w:lineRule="auto"/>
              <w:jc w:val="right"/>
              <w:rPr>
                <w:rFonts w:cs="Arial"/>
                <w:color w:val="000000"/>
                <w:sz w:val="18"/>
                <w:szCs w:val="18"/>
              </w:rPr>
            </w:pPr>
            <w:r w:rsidRPr="00FC6F70">
              <w:rPr>
                <w:rFonts w:cs="Arial"/>
                <w:color w:val="000000"/>
                <w:sz w:val="18"/>
                <w:szCs w:val="18"/>
              </w:rPr>
              <w:t>6,008</w:t>
            </w:r>
          </w:p>
        </w:tc>
        <w:tc>
          <w:tcPr>
            <w:tcW w:w="1960" w:type="dxa"/>
            <w:tcBorders>
              <w:top w:val="nil"/>
              <w:left w:val="nil"/>
              <w:bottom w:val="nil"/>
              <w:right w:val="nil"/>
            </w:tcBorders>
            <w:shd w:val="clear" w:color="000000" w:fill="FFFFFF"/>
            <w:noWrap/>
            <w:vAlign w:val="center"/>
            <w:hideMark/>
          </w:tcPr>
          <w:p w:rsidR="00697B5F" w:rsidRPr="00FC6F70" w:rsidRDefault="00697B5F" w:rsidP="0000327B">
            <w:pPr>
              <w:spacing w:before="0" w:after="0" w:line="240" w:lineRule="auto"/>
              <w:jc w:val="right"/>
              <w:rPr>
                <w:rFonts w:cs="Arial"/>
                <w:color w:val="000000"/>
                <w:sz w:val="18"/>
                <w:szCs w:val="18"/>
              </w:rPr>
            </w:pPr>
            <w:r w:rsidRPr="00FC6F70">
              <w:rPr>
                <w:rFonts w:cs="Arial"/>
                <w:color w:val="000000"/>
                <w:sz w:val="18"/>
                <w:szCs w:val="18"/>
              </w:rPr>
              <w:t>5,627</w:t>
            </w:r>
          </w:p>
        </w:tc>
        <w:tc>
          <w:tcPr>
            <w:tcW w:w="1280" w:type="dxa"/>
            <w:tcBorders>
              <w:top w:val="nil"/>
              <w:left w:val="nil"/>
              <w:bottom w:val="nil"/>
              <w:right w:val="nil"/>
            </w:tcBorders>
            <w:shd w:val="clear" w:color="000000" w:fill="FFFFFF"/>
            <w:noWrap/>
            <w:vAlign w:val="center"/>
            <w:hideMark/>
          </w:tcPr>
          <w:p w:rsidR="00697B5F" w:rsidRPr="00FC6F70" w:rsidRDefault="00697B5F" w:rsidP="0000327B">
            <w:pPr>
              <w:spacing w:before="0" w:after="0" w:line="240" w:lineRule="auto"/>
              <w:jc w:val="right"/>
              <w:rPr>
                <w:rFonts w:cs="Arial"/>
                <w:color w:val="000000"/>
                <w:sz w:val="18"/>
                <w:szCs w:val="18"/>
              </w:rPr>
            </w:pPr>
            <w:r w:rsidRPr="00FC6F70">
              <w:rPr>
                <w:rFonts w:cs="Arial"/>
                <w:color w:val="000000"/>
                <w:sz w:val="18"/>
                <w:szCs w:val="18"/>
              </w:rPr>
              <w:t>381</w:t>
            </w:r>
          </w:p>
        </w:tc>
      </w:tr>
      <w:tr w:rsidR="00697B5F" w:rsidRPr="00FC6F70" w:rsidTr="005351D3">
        <w:trPr>
          <w:trHeight w:val="300"/>
          <w:jc w:val="center"/>
        </w:trPr>
        <w:tc>
          <w:tcPr>
            <w:tcW w:w="1300" w:type="dxa"/>
            <w:tcBorders>
              <w:top w:val="nil"/>
              <w:left w:val="nil"/>
              <w:bottom w:val="nil"/>
              <w:right w:val="nil"/>
            </w:tcBorders>
            <w:shd w:val="clear" w:color="000000" w:fill="FFFFFF"/>
            <w:noWrap/>
            <w:vAlign w:val="center"/>
            <w:hideMark/>
          </w:tcPr>
          <w:p w:rsidR="00697B5F" w:rsidRPr="00FC6F70" w:rsidRDefault="00697B5F" w:rsidP="00172AA0">
            <w:pPr>
              <w:spacing w:before="0" w:after="0" w:line="240" w:lineRule="auto"/>
              <w:rPr>
                <w:rFonts w:cs="Arial"/>
                <w:color w:val="000000"/>
                <w:sz w:val="18"/>
                <w:szCs w:val="18"/>
              </w:rPr>
            </w:pPr>
            <w:r w:rsidRPr="00FC6F70">
              <w:rPr>
                <w:rFonts w:cs="Arial"/>
                <w:color w:val="000000"/>
                <w:sz w:val="18"/>
                <w:szCs w:val="18"/>
              </w:rPr>
              <w:t>WA</w:t>
            </w:r>
          </w:p>
        </w:tc>
        <w:tc>
          <w:tcPr>
            <w:tcW w:w="960" w:type="dxa"/>
            <w:tcBorders>
              <w:top w:val="nil"/>
              <w:left w:val="nil"/>
              <w:bottom w:val="nil"/>
              <w:right w:val="nil"/>
            </w:tcBorders>
            <w:shd w:val="clear" w:color="000000" w:fill="FFFFFF"/>
            <w:noWrap/>
            <w:vAlign w:val="center"/>
            <w:hideMark/>
          </w:tcPr>
          <w:p w:rsidR="00697B5F" w:rsidRPr="00FC6F70" w:rsidRDefault="00697B5F" w:rsidP="0000327B">
            <w:pPr>
              <w:spacing w:before="0" w:after="0" w:line="240" w:lineRule="auto"/>
              <w:jc w:val="right"/>
              <w:rPr>
                <w:rFonts w:cs="Arial"/>
                <w:color w:val="000000"/>
                <w:sz w:val="18"/>
                <w:szCs w:val="18"/>
              </w:rPr>
            </w:pPr>
            <w:r w:rsidRPr="00FC6F70">
              <w:rPr>
                <w:rFonts w:cs="Arial"/>
                <w:color w:val="000000"/>
                <w:sz w:val="18"/>
                <w:szCs w:val="18"/>
              </w:rPr>
              <w:t>6,475</w:t>
            </w:r>
          </w:p>
        </w:tc>
        <w:tc>
          <w:tcPr>
            <w:tcW w:w="1960" w:type="dxa"/>
            <w:tcBorders>
              <w:top w:val="nil"/>
              <w:left w:val="nil"/>
              <w:bottom w:val="nil"/>
              <w:right w:val="nil"/>
            </w:tcBorders>
            <w:shd w:val="clear" w:color="000000" w:fill="FFFFFF"/>
            <w:noWrap/>
            <w:vAlign w:val="center"/>
            <w:hideMark/>
          </w:tcPr>
          <w:p w:rsidR="00697B5F" w:rsidRPr="00FC6F70" w:rsidRDefault="00697B5F" w:rsidP="0000327B">
            <w:pPr>
              <w:spacing w:before="0" w:after="0" w:line="240" w:lineRule="auto"/>
              <w:jc w:val="right"/>
              <w:rPr>
                <w:rFonts w:cs="Arial"/>
                <w:color w:val="000000"/>
                <w:sz w:val="18"/>
                <w:szCs w:val="18"/>
              </w:rPr>
            </w:pPr>
            <w:r w:rsidRPr="00FC6F70">
              <w:rPr>
                <w:rFonts w:cs="Arial"/>
                <w:color w:val="000000"/>
                <w:sz w:val="18"/>
                <w:szCs w:val="18"/>
              </w:rPr>
              <w:t>6,011</w:t>
            </w:r>
          </w:p>
        </w:tc>
        <w:tc>
          <w:tcPr>
            <w:tcW w:w="1280" w:type="dxa"/>
            <w:tcBorders>
              <w:top w:val="nil"/>
              <w:left w:val="nil"/>
              <w:bottom w:val="nil"/>
              <w:right w:val="nil"/>
            </w:tcBorders>
            <w:shd w:val="clear" w:color="000000" w:fill="FFFFFF"/>
            <w:noWrap/>
            <w:vAlign w:val="center"/>
            <w:hideMark/>
          </w:tcPr>
          <w:p w:rsidR="00697B5F" w:rsidRPr="00FC6F70" w:rsidRDefault="00697B5F" w:rsidP="0000327B">
            <w:pPr>
              <w:spacing w:before="0" w:after="0" w:line="240" w:lineRule="auto"/>
              <w:jc w:val="right"/>
              <w:rPr>
                <w:rFonts w:cs="Arial"/>
                <w:color w:val="000000"/>
                <w:sz w:val="18"/>
                <w:szCs w:val="18"/>
              </w:rPr>
            </w:pPr>
            <w:r w:rsidRPr="00FC6F70">
              <w:rPr>
                <w:rFonts w:cs="Arial"/>
                <w:color w:val="000000"/>
                <w:sz w:val="18"/>
                <w:szCs w:val="18"/>
              </w:rPr>
              <w:t>464</w:t>
            </w:r>
          </w:p>
        </w:tc>
      </w:tr>
      <w:tr w:rsidR="00697B5F" w:rsidRPr="00FC6F70" w:rsidTr="005351D3">
        <w:trPr>
          <w:trHeight w:val="300"/>
          <w:jc w:val="center"/>
        </w:trPr>
        <w:tc>
          <w:tcPr>
            <w:tcW w:w="1300" w:type="dxa"/>
            <w:tcBorders>
              <w:top w:val="nil"/>
              <w:left w:val="nil"/>
              <w:bottom w:val="nil"/>
              <w:right w:val="nil"/>
            </w:tcBorders>
            <w:shd w:val="clear" w:color="000000" w:fill="FFFFFF"/>
            <w:noWrap/>
            <w:vAlign w:val="center"/>
            <w:hideMark/>
          </w:tcPr>
          <w:p w:rsidR="00697B5F" w:rsidRPr="00FC6F70" w:rsidRDefault="00697B5F" w:rsidP="00172AA0">
            <w:pPr>
              <w:spacing w:before="0" w:after="0" w:line="240" w:lineRule="auto"/>
              <w:rPr>
                <w:rFonts w:cs="Arial"/>
                <w:color w:val="000000"/>
                <w:sz w:val="18"/>
                <w:szCs w:val="18"/>
              </w:rPr>
            </w:pPr>
            <w:proofErr w:type="spellStart"/>
            <w:r w:rsidRPr="00FC6F70">
              <w:rPr>
                <w:rFonts w:cs="Arial"/>
                <w:color w:val="000000"/>
                <w:sz w:val="18"/>
                <w:szCs w:val="18"/>
              </w:rPr>
              <w:t>Tas</w:t>
            </w:r>
            <w:proofErr w:type="spellEnd"/>
          </w:p>
        </w:tc>
        <w:tc>
          <w:tcPr>
            <w:tcW w:w="960" w:type="dxa"/>
            <w:tcBorders>
              <w:top w:val="nil"/>
              <w:left w:val="nil"/>
              <w:bottom w:val="nil"/>
              <w:right w:val="nil"/>
            </w:tcBorders>
            <w:shd w:val="clear" w:color="000000" w:fill="FFFFFF"/>
            <w:noWrap/>
            <w:vAlign w:val="center"/>
            <w:hideMark/>
          </w:tcPr>
          <w:p w:rsidR="00697B5F" w:rsidRPr="00FC6F70" w:rsidRDefault="00697B5F" w:rsidP="0000327B">
            <w:pPr>
              <w:spacing w:before="0" w:after="0" w:line="240" w:lineRule="auto"/>
              <w:jc w:val="right"/>
              <w:rPr>
                <w:rFonts w:cs="Arial"/>
                <w:color w:val="000000"/>
                <w:sz w:val="18"/>
                <w:szCs w:val="18"/>
              </w:rPr>
            </w:pPr>
            <w:r w:rsidRPr="00FC6F70">
              <w:rPr>
                <w:rFonts w:cs="Arial"/>
                <w:color w:val="000000"/>
                <w:sz w:val="18"/>
                <w:szCs w:val="18"/>
              </w:rPr>
              <w:t>5,813</w:t>
            </w:r>
          </w:p>
        </w:tc>
        <w:tc>
          <w:tcPr>
            <w:tcW w:w="1960" w:type="dxa"/>
            <w:tcBorders>
              <w:top w:val="nil"/>
              <w:left w:val="nil"/>
              <w:bottom w:val="nil"/>
              <w:right w:val="nil"/>
            </w:tcBorders>
            <w:shd w:val="clear" w:color="000000" w:fill="FFFFFF"/>
            <w:noWrap/>
            <w:vAlign w:val="center"/>
            <w:hideMark/>
          </w:tcPr>
          <w:p w:rsidR="00697B5F" w:rsidRPr="00FC6F70" w:rsidRDefault="00697B5F" w:rsidP="0000327B">
            <w:pPr>
              <w:spacing w:before="0" w:after="0" w:line="240" w:lineRule="auto"/>
              <w:jc w:val="right"/>
              <w:rPr>
                <w:rFonts w:cs="Arial"/>
                <w:color w:val="000000"/>
                <w:sz w:val="18"/>
                <w:szCs w:val="18"/>
              </w:rPr>
            </w:pPr>
            <w:r w:rsidRPr="00FC6F70">
              <w:rPr>
                <w:rFonts w:cs="Arial"/>
                <w:color w:val="000000"/>
                <w:sz w:val="18"/>
                <w:szCs w:val="18"/>
              </w:rPr>
              <w:t>5,323</w:t>
            </w:r>
          </w:p>
        </w:tc>
        <w:tc>
          <w:tcPr>
            <w:tcW w:w="1280" w:type="dxa"/>
            <w:tcBorders>
              <w:top w:val="nil"/>
              <w:left w:val="nil"/>
              <w:bottom w:val="nil"/>
              <w:right w:val="nil"/>
            </w:tcBorders>
            <w:shd w:val="clear" w:color="000000" w:fill="FFFFFF"/>
            <w:noWrap/>
            <w:vAlign w:val="center"/>
            <w:hideMark/>
          </w:tcPr>
          <w:p w:rsidR="00697B5F" w:rsidRPr="00FC6F70" w:rsidRDefault="00697B5F" w:rsidP="0000327B">
            <w:pPr>
              <w:spacing w:before="0" w:after="0" w:line="240" w:lineRule="auto"/>
              <w:jc w:val="right"/>
              <w:rPr>
                <w:rFonts w:cs="Arial"/>
                <w:color w:val="000000"/>
                <w:sz w:val="18"/>
                <w:szCs w:val="18"/>
              </w:rPr>
            </w:pPr>
            <w:r w:rsidRPr="00FC6F70">
              <w:rPr>
                <w:rFonts w:cs="Arial"/>
                <w:color w:val="000000"/>
                <w:sz w:val="18"/>
                <w:szCs w:val="18"/>
              </w:rPr>
              <w:t>490</w:t>
            </w:r>
          </w:p>
        </w:tc>
      </w:tr>
      <w:tr w:rsidR="00697B5F" w:rsidRPr="00FC6F70" w:rsidTr="005351D3">
        <w:trPr>
          <w:trHeight w:val="300"/>
          <w:jc w:val="center"/>
        </w:trPr>
        <w:tc>
          <w:tcPr>
            <w:tcW w:w="1300" w:type="dxa"/>
            <w:tcBorders>
              <w:top w:val="nil"/>
              <w:left w:val="nil"/>
              <w:bottom w:val="nil"/>
              <w:right w:val="nil"/>
            </w:tcBorders>
            <w:shd w:val="clear" w:color="000000" w:fill="FFFFFF"/>
            <w:noWrap/>
            <w:vAlign w:val="center"/>
            <w:hideMark/>
          </w:tcPr>
          <w:p w:rsidR="00697B5F" w:rsidRPr="00FC6F70" w:rsidRDefault="00697B5F" w:rsidP="00172AA0">
            <w:pPr>
              <w:spacing w:before="0" w:after="0" w:line="240" w:lineRule="auto"/>
              <w:rPr>
                <w:rFonts w:cs="Arial"/>
                <w:color w:val="000000"/>
                <w:sz w:val="18"/>
                <w:szCs w:val="18"/>
              </w:rPr>
            </w:pPr>
            <w:r w:rsidRPr="00FC6F70">
              <w:rPr>
                <w:rFonts w:cs="Arial"/>
                <w:color w:val="000000"/>
                <w:sz w:val="18"/>
                <w:szCs w:val="18"/>
              </w:rPr>
              <w:t>NT</w:t>
            </w:r>
          </w:p>
        </w:tc>
        <w:tc>
          <w:tcPr>
            <w:tcW w:w="960" w:type="dxa"/>
            <w:tcBorders>
              <w:top w:val="nil"/>
              <w:left w:val="nil"/>
              <w:bottom w:val="nil"/>
              <w:right w:val="nil"/>
            </w:tcBorders>
            <w:shd w:val="clear" w:color="000000" w:fill="FFFFFF"/>
            <w:noWrap/>
            <w:vAlign w:val="center"/>
            <w:hideMark/>
          </w:tcPr>
          <w:p w:rsidR="00697B5F" w:rsidRPr="00FC6F70" w:rsidRDefault="00697B5F" w:rsidP="0000327B">
            <w:pPr>
              <w:spacing w:before="0" w:after="0" w:line="240" w:lineRule="auto"/>
              <w:jc w:val="right"/>
              <w:rPr>
                <w:rFonts w:cs="Arial"/>
                <w:color w:val="000000"/>
                <w:sz w:val="18"/>
                <w:szCs w:val="18"/>
              </w:rPr>
            </w:pPr>
            <w:r w:rsidRPr="00FC6F70">
              <w:rPr>
                <w:rFonts w:cs="Arial"/>
                <w:color w:val="000000"/>
                <w:sz w:val="18"/>
                <w:szCs w:val="18"/>
              </w:rPr>
              <w:t>3,972</w:t>
            </w:r>
          </w:p>
        </w:tc>
        <w:tc>
          <w:tcPr>
            <w:tcW w:w="1960" w:type="dxa"/>
            <w:tcBorders>
              <w:top w:val="nil"/>
              <w:left w:val="nil"/>
              <w:bottom w:val="nil"/>
              <w:right w:val="nil"/>
            </w:tcBorders>
            <w:shd w:val="clear" w:color="000000" w:fill="FFFFFF"/>
            <w:noWrap/>
            <w:vAlign w:val="center"/>
            <w:hideMark/>
          </w:tcPr>
          <w:p w:rsidR="00697B5F" w:rsidRPr="00FC6F70" w:rsidRDefault="00697B5F" w:rsidP="0000327B">
            <w:pPr>
              <w:spacing w:before="0" w:after="0" w:line="240" w:lineRule="auto"/>
              <w:jc w:val="right"/>
              <w:rPr>
                <w:rFonts w:cs="Arial"/>
                <w:color w:val="000000"/>
                <w:sz w:val="18"/>
                <w:szCs w:val="18"/>
              </w:rPr>
            </w:pPr>
            <w:r w:rsidRPr="00FC6F70">
              <w:rPr>
                <w:rFonts w:cs="Arial"/>
                <w:color w:val="000000"/>
                <w:sz w:val="18"/>
                <w:szCs w:val="18"/>
              </w:rPr>
              <w:t>3,666</w:t>
            </w:r>
          </w:p>
        </w:tc>
        <w:tc>
          <w:tcPr>
            <w:tcW w:w="1280" w:type="dxa"/>
            <w:tcBorders>
              <w:top w:val="nil"/>
              <w:left w:val="nil"/>
              <w:bottom w:val="nil"/>
              <w:right w:val="nil"/>
            </w:tcBorders>
            <w:shd w:val="clear" w:color="000000" w:fill="FFFFFF"/>
            <w:noWrap/>
            <w:vAlign w:val="center"/>
            <w:hideMark/>
          </w:tcPr>
          <w:p w:rsidR="00697B5F" w:rsidRPr="00FC6F70" w:rsidRDefault="00697B5F" w:rsidP="0000327B">
            <w:pPr>
              <w:spacing w:before="0" w:after="0" w:line="240" w:lineRule="auto"/>
              <w:jc w:val="right"/>
              <w:rPr>
                <w:rFonts w:cs="Arial"/>
                <w:color w:val="000000"/>
                <w:sz w:val="18"/>
                <w:szCs w:val="18"/>
              </w:rPr>
            </w:pPr>
            <w:r w:rsidRPr="00FC6F70">
              <w:rPr>
                <w:rFonts w:cs="Arial"/>
                <w:color w:val="000000"/>
                <w:sz w:val="18"/>
                <w:szCs w:val="18"/>
              </w:rPr>
              <w:t>306</w:t>
            </w:r>
          </w:p>
        </w:tc>
      </w:tr>
      <w:tr w:rsidR="00697B5F" w:rsidRPr="00FC6F70" w:rsidTr="005351D3">
        <w:trPr>
          <w:trHeight w:val="300"/>
          <w:jc w:val="center"/>
        </w:trPr>
        <w:tc>
          <w:tcPr>
            <w:tcW w:w="1300" w:type="dxa"/>
            <w:tcBorders>
              <w:top w:val="nil"/>
              <w:left w:val="nil"/>
              <w:bottom w:val="nil"/>
              <w:right w:val="nil"/>
            </w:tcBorders>
            <w:shd w:val="clear" w:color="000000" w:fill="FFFFFF"/>
            <w:noWrap/>
            <w:vAlign w:val="center"/>
            <w:hideMark/>
          </w:tcPr>
          <w:p w:rsidR="00697B5F" w:rsidRPr="00FC6F70" w:rsidRDefault="00697B5F" w:rsidP="00172AA0">
            <w:pPr>
              <w:spacing w:before="0" w:after="0" w:line="240" w:lineRule="auto"/>
              <w:rPr>
                <w:rFonts w:cs="Arial"/>
                <w:color w:val="000000"/>
                <w:sz w:val="18"/>
                <w:szCs w:val="18"/>
              </w:rPr>
            </w:pPr>
            <w:r w:rsidRPr="00FC6F70">
              <w:rPr>
                <w:rFonts w:cs="Arial"/>
                <w:color w:val="000000"/>
                <w:sz w:val="18"/>
                <w:szCs w:val="18"/>
              </w:rPr>
              <w:t>ACT</w:t>
            </w:r>
          </w:p>
        </w:tc>
        <w:tc>
          <w:tcPr>
            <w:tcW w:w="960" w:type="dxa"/>
            <w:tcBorders>
              <w:top w:val="nil"/>
              <w:left w:val="nil"/>
              <w:bottom w:val="nil"/>
              <w:right w:val="nil"/>
            </w:tcBorders>
            <w:shd w:val="clear" w:color="000000" w:fill="FFFFFF"/>
            <w:noWrap/>
            <w:vAlign w:val="center"/>
            <w:hideMark/>
          </w:tcPr>
          <w:p w:rsidR="00697B5F" w:rsidRPr="00FC6F70" w:rsidRDefault="00697B5F" w:rsidP="0000327B">
            <w:pPr>
              <w:spacing w:before="0" w:after="0" w:line="240" w:lineRule="auto"/>
              <w:jc w:val="right"/>
              <w:rPr>
                <w:rFonts w:cs="Arial"/>
                <w:color w:val="000000"/>
                <w:sz w:val="18"/>
                <w:szCs w:val="18"/>
              </w:rPr>
            </w:pPr>
            <w:r w:rsidRPr="00FC6F70">
              <w:rPr>
                <w:rFonts w:cs="Arial"/>
                <w:color w:val="000000"/>
                <w:sz w:val="18"/>
                <w:szCs w:val="18"/>
              </w:rPr>
              <w:t>5,751</w:t>
            </w:r>
          </w:p>
        </w:tc>
        <w:tc>
          <w:tcPr>
            <w:tcW w:w="1960" w:type="dxa"/>
            <w:tcBorders>
              <w:top w:val="nil"/>
              <w:left w:val="nil"/>
              <w:bottom w:val="nil"/>
              <w:right w:val="nil"/>
            </w:tcBorders>
            <w:shd w:val="clear" w:color="000000" w:fill="FFFFFF"/>
            <w:noWrap/>
            <w:vAlign w:val="center"/>
            <w:hideMark/>
          </w:tcPr>
          <w:p w:rsidR="00697B5F" w:rsidRPr="00FC6F70" w:rsidRDefault="00697B5F" w:rsidP="0000327B">
            <w:pPr>
              <w:spacing w:before="0" w:after="0" w:line="240" w:lineRule="auto"/>
              <w:jc w:val="right"/>
              <w:rPr>
                <w:rFonts w:cs="Arial"/>
                <w:color w:val="000000"/>
                <w:sz w:val="18"/>
                <w:szCs w:val="18"/>
              </w:rPr>
            </w:pPr>
            <w:r w:rsidRPr="00FC6F70">
              <w:rPr>
                <w:rFonts w:cs="Arial"/>
                <w:color w:val="000000"/>
                <w:sz w:val="18"/>
                <w:szCs w:val="18"/>
              </w:rPr>
              <w:t>5,325</w:t>
            </w:r>
          </w:p>
        </w:tc>
        <w:tc>
          <w:tcPr>
            <w:tcW w:w="1280" w:type="dxa"/>
            <w:tcBorders>
              <w:top w:val="nil"/>
              <w:left w:val="nil"/>
              <w:bottom w:val="nil"/>
              <w:right w:val="nil"/>
            </w:tcBorders>
            <w:shd w:val="clear" w:color="000000" w:fill="FFFFFF"/>
            <w:noWrap/>
            <w:vAlign w:val="center"/>
            <w:hideMark/>
          </w:tcPr>
          <w:p w:rsidR="00697B5F" w:rsidRPr="00FC6F70" w:rsidRDefault="00697B5F" w:rsidP="0000327B">
            <w:pPr>
              <w:spacing w:before="0" w:after="0" w:line="240" w:lineRule="auto"/>
              <w:jc w:val="right"/>
              <w:rPr>
                <w:rFonts w:cs="Arial"/>
                <w:color w:val="000000"/>
                <w:sz w:val="18"/>
                <w:szCs w:val="18"/>
              </w:rPr>
            </w:pPr>
            <w:r w:rsidRPr="00FC6F70">
              <w:rPr>
                <w:rFonts w:cs="Arial"/>
                <w:color w:val="000000"/>
                <w:sz w:val="18"/>
                <w:szCs w:val="18"/>
              </w:rPr>
              <w:t>427</w:t>
            </w:r>
          </w:p>
        </w:tc>
      </w:tr>
      <w:tr w:rsidR="00697B5F" w:rsidRPr="00FC6F70" w:rsidTr="005351D3">
        <w:trPr>
          <w:trHeight w:val="300"/>
          <w:jc w:val="center"/>
        </w:trPr>
        <w:tc>
          <w:tcPr>
            <w:tcW w:w="1300" w:type="dxa"/>
            <w:tcBorders>
              <w:top w:val="single" w:sz="4" w:space="0" w:color="auto"/>
              <w:left w:val="nil"/>
              <w:bottom w:val="single" w:sz="4" w:space="0" w:color="auto"/>
              <w:right w:val="nil"/>
            </w:tcBorders>
            <w:shd w:val="clear" w:color="000000" w:fill="FFFFFF"/>
            <w:noWrap/>
            <w:vAlign w:val="center"/>
            <w:hideMark/>
          </w:tcPr>
          <w:p w:rsidR="00697B5F" w:rsidRPr="00FC6F70" w:rsidRDefault="00697B5F" w:rsidP="00172AA0">
            <w:pPr>
              <w:spacing w:before="0" w:after="0" w:line="240" w:lineRule="auto"/>
              <w:rPr>
                <w:rFonts w:cs="Arial"/>
                <w:b/>
                <w:bCs/>
                <w:color w:val="000000"/>
                <w:sz w:val="18"/>
                <w:szCs w:val="18"/>
              </w:rPr>
            </w:pPr>
            <w:r w:rsidRPr="00FC6F70">
              <w:rPr>
                <w:rFonts w:cs="Arial"/>
                <w:b/>
                <w:bCs/>
                <w:color w:val="000000"/>
                <w:sz w:val="18"/>
                <w:szCs w:val="18"/>
              </w:rPr>
              <w:t>National</w:t>
            </w:r>
          </w:p>
        </w:tc>
        <w:tc>
          <w:tcPr>
            <w:tcW w:w="960" w:type="dxa"/>
            <w:tcBorders>
              <w:top w:val="single" w:sz="4" w:space="0" w:color="auto"/>
              <w:left w:val="nil"/>
              <w:bottom w:val="single" w:sz="4" w:space="0" w:color="auto"/>
              <w:right w:val="nil"/>
            </w:tcBorders>
            <w:shd w:val="clear" w:color="000000" w:fill="FFFFFF"/>
            <w:noWrap/>
            <w:vAlign w:val="center"/>
            <w:hideMark/>
          </w:tcPr>
          <w:p w:rsidR="00697B5F" w:rsidRPr="00FC6F70" w:rsidRDefault="00697B5F" w:rsidP="0000327B">
            <w:pPr>
              <w:spacing w:before="0" w:after="0" w:line="240" w:lineRule="auto"/>
              <w:jc w:val="right"/>
              <w:rPr>
                <w:rFonts w:cs="Arial"/>
                <w:b/>
                <w:bCs/>
                <w:color w:val="000000"/>
                <w:sz w:val="18"/>
                <w:szCs w:val="18"/>
              </w:rPr>
            </w:pPr>
            <w:r w:rsidRPr="00FC6F70">
              <w:rPr>
                <w:rFonts w:cs="Arial"/>
                <w:b/>
                <w:bCs/>
                <w:color w:val="000000"/>
                <w:sz w:val="18"/>
                <w:szCs w:val="18"/>
              </w:rPr>
              <w:t>5,171</w:t>
            </w:r>
          </w:p>
        </w:tc>
        <w:tc>
          <w:tcPr>
            <w:tcW w:w="1960" w:type="dxa"/>
            <w:tcBorders>
              <w:top w:val="single" w:sz="4" w:space="0" w:color="auto"/>
              <w:left w:val="nil"/>
              <w:bottom w:val="single" w:sz="4" w:space="0" w:color="auto"/>
              <w:right w:val="nil"/>
            </w:tcBorders>
            <w:shd w:val="clear" w:color="000000" w:fill="FFFFFF"/>
            <w:noWrap/>
            <w:vAlign w:val="center"/>
            <w:hideMark/>
          </w:tcPr>
          <w:p w:rsidR="00697B5F" w:rsidRPr="00FC6F70" w:rsidRDefault="00697B5F" w:rsidP="0000327B">
            <w:pPr>
              <w:spacing w:before="0" w:after="0" w:line="240" w:lineRule="auto"/>
              <w:jc w:val="right"/>
              <w:rPr>
                <w:rFonts w:cs="Arial"/>
                <w:b/>
                <w:bCs/>
                <w:color w:val="000000"/>
                <w:sz w:val="18"/>
                <w:szCs w:val="18"/>
              </w:rPr>
            </w:pPr>
            <w:r w:rsidRPr="00FC6F70">
              <w:rPr>
                <w:rFonts w:cs="Arial"/>
                <w:b/>
                <w:bCs/>
                <w:color w:val="000000"/>
                <w:sz w:val="18"/>
                <w:szCs w:val="18"/>
              </w:rPr>
              <w:t>4,792</w:t>
            </w:r>
          </w:p>
        </w:tc>
        <w:tc>
          <w:tcPr>
            <w:tcW w:w="1280" w:type="dxa"/>
            <w:tcBorders>
              <w:top w:val="single" w:sz="4" w:space="0" w:color="auto"/>
              <w:left w:val="nil"/>
              <w:bottom w:val="single" w:sz="4" w:space="0" w:color="auto"/>
              <w:right w:val="nil"/>
            </w:tcBorders>
            <w:shd w:val="clear" w:color="000000" w:fill="FFFFFF"/>
            <w:noWrap/>
            <w:vAlign w:val="center"/>
            <w:hideMark/>
          </w:tcPr>
          <w:p w:rsidR="00697B5F" w:rsidRPr="00FC6F70" w:rsidRDefault="00697B5F" w:rsidP="0000327B">
            <w:pPr>
              <w:spacing w:before="0" w:after="0" w:line="240" w:lineRule="auto"/>
              <w:jc w:val="right"/>
              <w:rPr>
                <w:rFonts w:cs="Arial"/>
                <w:b/>
                <w:bCs/>
                <w:color w:val="000000"/>
                <w:sz w:val="18"/>
                <w:szCs w:val="18"/>
              </w:rPr>
            </w:pPr>
            <w:r w:rsidRPr="00FC6F70">
              <w:rPr>
                <w:rFonts w:cs="Arial"/>
                <w:b/>
                <w:bCs/>
                <w:color w:val="000000"/>
                <w:sz w:val="18"/>
                <w:szCs w:val="18"/>
              </w:rPr>
              <w:t>379</w:t>
            </w:r>
          </w:p>
        </w:tc>
      </w:tr>
    </w:tbl>
    <w:p w:rsidR="002371BB" w:rsidRPr="00FC6F70" w:rsidRDefault="007620BE" w:rsidP="003B4C44">
      <w:pPr>
        <w:pStyle w:val="Heading2"/>
      </w:pPr>
      <w:bookmarkStart w:id="58" w:name="_Toc524173859"/>
      <w:bookmarkStart w:id="59" w:name="_Toc530055088"/>
      <w:r w:rsidRPr="00FC6F70">
        <w:t>P</w:t>
      </w:r>
      <w:r w:rsidR="002371BB" w:rsidRPr="00FC6F70">
        <w:t>atient length of stay</w:t>
      </w:r>
      <w:bookmarkEnd w:id="58"/>
      <w:bookmarkEnd w:id="59"/>
    </w:p>
    <w:p w:rsidR="002371BB" w:rsidRDefault="002371BB" w:rsidP="002371BB">
      <w:pPr>
        <w:rPr>
          <w:rFonts w:cs="Arial"/>
          <w:szCs w:val="22"/>
        </w:rPr>
      </w:pPr>
      <w:r w:rsidRPr="00FC6F70">
        <w:rPr>
          <w:rFonts w:cs="Arial"/>
          <w:szCs w:val="22"/>
        </w:rPr>
        <w:t>In Round 21, the national average length of stay (ALOS) for admitted acute patients is 2.43 days</w:t>
      </w:r>
      <w:r w:rsidR="00845638" w:rsidRPr="00FC6F70">
        <w:rPr>
          <w:rFonts w:cs="Arial"/>
          <w:szCs w:val="22"/>
        </w:rPr>
        <w:t>,</w:t>
      </w:r>
      <w:r w:rsidRPr="00FC6F70">
        <w:rPr>
          <w:rFonts w:cs="Arial"/>
          <w:szCs w:val="22"/>
        </w:rPr>
        <w:t xml:space="preserve"> continuing a downward trend from Round 20 (2.53 days</w:t>
      </w:r>
      <w:r>
        <w:rPr>
          <w:rFonts w:cs="Arial"/>
          <w:szCs w:val="22"/>
        </w:rPr>
        <w:t>) and Round 19 (2.75 days).</w:t>
      </w:r>
    </w:p>
    <w:p w:rsidR="002371BB" w:rsidRDefault="002371BB" w:rsidP="002371BB">
      <w:pPr>
        <w:rPr>
          <w:rFonts w:cs="Arial"/>
          <w:szCs w:val="22"/>
        </w:rPr>
      </w:pPr>
      <w:r>
        <w:rPr>
          <w:rFonts w:cs="Arial"/>
          <w:szCs w:val="22"/>
        </w:rPr>
        <w:t>Two factors are contributing to this trend: an increased share of same-day patients</w:t>
      </w:r>
      <w:r w:rsidR="00280C95">
        <w:rPr>
          <w:rFonts w:cs="Arial"/>
          <w:szCs w:val="22"/>
        </w:rPr>
        <w:t>, and s</w:t>
      </w:r>
      <w:r>
        <w:rPr>
          <w:rFonts w:cs="Arial"/>
          <w:szCs w:val="22"/>
        </w:rPr>
        <w:t>horter average stays for overnight patients.</w:t>
      </w:r>
    </w:p>
    <w:p w:rsidR="002371BB" w:rsidRDefault="002371BB" w:rsidP="002371BB">
      <w:pPr>
        <w:rPr>
          <w:rFonts w:cs="Arial"/>
          <w:szCs w:val="22"/>
        </w:rPr>
      </w:pPr>
      <w:r>
        <w:rPr>
          <w:rFonts w:cs="Arial"/>
          <w:szCs w:val="22"/>
        </w:rPr>
        <w:t>An increasing share of admitted acute separations represents patients admitted and separated from the hospital on the same</w:t>
      </w:r>
      <w:r w:rsidR="00845638">
        <w:rPr>
          <w:rFonts w:cs="Arial"/>
          <w:szCs w:val="22"/>
        </w:rPr>
        <w:t xml:space="preserve"> </w:t>
      </w:r>
      <w:r>
        <w:rPr>
          <w:rFonts w:cs="Arial"/>
          <w:szCs w:val="22"/>
        </w:rPr>
        <w:t>day</w:t>
      </w:r>
      <w:r w:rsidR="009552F1">
        <w:rPr>
          <w:rFonts w:cs="Arial"/>
          <w:szCs w:val="22"/>
        </w:rPr>
        <w:t xml:space="preserve">. </w:t>
      </w:r>
      <w:r>
        <w:rPr>
          <w:rFonts w:cs="Arial"/>
          <w:szCs w:val="22"/>
        </w:rPr>
        <w:t>In Round 21, 55.7 percent of patients (3.2 million) were same-day separations</w:t>
      </w:r>
      <w:r w:rsidR="00845638">
        <w:rPr>
          <w:rFonts w:cs="Arial"/>
          <w:szCs w:val="22"/>
        </w:rPr>
        <w:t>,</w:t>
      </w:r>
      <w:r>
        <w:rPr>
          <w:rFonts w:cs="Arial"/>
          <w:szCs w:val="22"/>
        </w:rPr>
        <w:t xml:space="preserve"> an increase from Round 20 (54.6 percent) and Round 19 (53.6 percent).</w:t>
      </w:r>
    </w:p>
    <w:p w:rsidR="002371BB" w:rsidRPr="008E1B3B" w:rsidRDefault="002371BB" w:rsidP="002371BB">
      <w:pPr>
        <w:rPr>
          <w:rFonts w:cs="Arial"/>
          <w:szCs w:val="22"/>
        </w:rPr>
      </w:pPr>
      <w:r>
        <w:rPr>
          <w:rFonts w:cs="Arial"/>
          <w:szCs w:val="22"/>
        </w:rPr>
        <w:t>For patients who stayed overnight in hospital, t</w:t>
      </w:r>
      <w:r w:rsidRPr="000C7537">
        <w:rPr>
          <w:rFonts w:cs="Arial"/>
          <w:szCs w:val="22"/>
        </w:rPr>
        <w:t>he</w:t>
      </w:r>
      <w:r>
        <w:rPr>
          <w:rFonts w:cs="Arial"/>
          <w:szCs w:val="22"/>
        </w:rPr>
        <w:t xml:space="preserve"> national average length of stay was 4.24 days</w:t>
      </w:r>
      <w:r w:rsidR="00845638">
        <w:rPr>
          <w:rFonts w:cs="Arial"/>
          <w:szCs w:val="22"/>
        </w:rPr>
        <w:t>,</w:t>
      </w:r>
      <w:r>
        <w:rPr>
          <w:rFonts w:cs="Arial"/>
          <w:szCs w:val="22"/>
        </w:rPr>
        <w:t xml:space="preserve"> down from Round 20 (4.45 days) and Round 19 (4.77 days)</w:t>
      </w:r>
      <w:r w:rsidR="00240C6C">
        <w:rPr>
          <w:rFonts w:cs="Arial"/>
          <w:szCs w:val="22"/>
        </w:rPr>
        <w:t>.</w:t>
      </w:r>
    </w:p>
    <w:p w:rsidR="002371BB" w:rsidRPr="008E1B3B" w:rsidRDefault="009C47B3" w:rsidP="002371BB">
      <w:pPr>
        <w:rPr>
          <w:rFonts w:cs="Arial"/>
          <w:szCs w:val="22"/>
        </w:rPr>
      </w:pPr>
      <w:r>
        <w:rPr>
          <w:rFonts w:cs="Arial"/>
          <w:szCs w:val="22"/>
        </w:rPr>
        <w:fldChar w:fldCharType="begin"/>
      </w:r>
      <w:r>
        <w:rPr>
          <w:rFonts w:cs="Arial"/>
          <w:szCs w:val="22"/>
        </w:rPr>
        <w:instrText xml:space="preserve"> REF _Ref524337294 \h </w:instrText>
      </w:r>
      <w:r>
        <w:rPr>
          <w:rFonts w:cs="Arial"/>
          <w:szCs w:val="22"/>
        </w:rPr>
      </w:r>
      <w:r>
        <w:rPr>
          <w:rFonts w:cs="Arial"/>
          <w:szCs w:val="22"/>
        </w:rPr>
        <w:fldChar w:fldCharType="separate"/>
      </w:r>
      <w:r w:rsidR="00342D61">
        <w:t xml:space="preserve">Figure </w:t>
      </w:r>
      <w:r w:rsidR="00342D61">
        <w:rPr>
          <w:noProof/>
        </w:rPr>
        <w:t>1</w:t>
      </w:r>
      <w:r>
        <w:rPr>
          <w:rFonts w:cs="Arial"/>
          <w:szCs w:val="22"/>
        </w:rPr>
        <w:fldChar w:fldCharType="end"/>
      </w:r>
      <w:r w:rsidR="002371BB" w:rsidRPr="008E1B3B">
        <w:rPr>
          <w:rFonts w:cs="Arial"/>
          <w:szCs w:val="22"/>
        </w:rPr>
        <w:t xml:space="preserve"> compares the average length of stay of all patients and overnight patients between jurisdictions</w:t>
      </w:r>
      <w:r w:rsidR="009552F1">
        <w:rPr>
          <w:rFonts w:cs="Arial"/>
          <w:szCs w:val="22"/>
        </w:rPr>
        <w:t xml:space="preserve">. </w:t>
      </w:r>
    </w:p>
    <w:p w:rsidR="00C83237" w:rsidRDefault="00C83237" w:rsidP="007F44CC">
      <w:pPr>
        <w:pStyle w:val="Caption"/>
      </w:pPr>
      <w:bookmarkStart w:id="60" w:name="_Ref524337294"/>
      <w:bookmarkStart w:id="61" w:name="_Toc524359557"/>
      <w:r>
        <w:lastRenderedPageBreak/>
        <w:t xml:space="preserve">Figure </w:t>
      </w:r>
      <w:r w:rsidR="00342D61">
        <w:fldChar w:fldCharType="begin"/>
      </w:r>
      <w:r w:rsidR="00342D61">
        <w:instrText xml:space="preserve"> SEQ Figure \* ARABIC </w:instrText>
      </w:r>
      <w:r w:rsidR="00342D61">
        <w:fldChar w:fldCharType="separate"/>
      </w:r>
      <w:r w:rsidR="00342D61">
        <w:rPr>
          <w:noProof/>
        </w:rPr>
        <w:t>1</w:t>
      </w:r>
      <w:r w:rsidR="00342D61">
        <w:rPr>
          <w:noProof/>
        </w:rPr>
        <w:fldChar w:fldCharType="end"/>
      </w:r>
      <w:bookmarkEnd w:id="60"/>
      <w:r>
        <w:t xml:space="preserve"> </w:t>
      </w:r>
      <w:r w:rsidRPr="000C7537">
        <w:t>Admitted acute average length of stay of all separations and all overnight separations, by jurisdiction</w:t>
      </w:r>
      <w:bookmarkEnd w:id="61"/>
      <w:r w:rsidR="006821EF">
        <w:t>, Round 21</w:t>
      </w:r>
    </w:p>
    <w:p w:rsidR="002371BB" w:rsidRPr="00127C90" w:rsidRDefault="002371BB" w:rsidP="00172AA0">
      <w:pPr>
        <w:jc w:val="center"/>
        <w:rPr>
          <w:rFonts w:cs="Arial"/>
          <w:b/>
          <w:sz w:val="20"/>
          <w:szCs w:val="20"/>
        </w:rPr>
      </w:pPr>
      <w:r>
        <w:rPr>
          <w:rFonts w:cs="Arial"/>
          <w:b/>
          <w:noProof/>
          <w:sz w:val="20"/>
          <w:szCs w:val="20"/>
        </w:rPr>
        <w:drawing>
          <wp:inline distT="0" distB="0" distL="0" distR="0" wp14:anchorId="648805D0" wp14:editId="5153FA5E">
            <wp:extent cx="4285397" cy="2713143"/>
            <wp:effectExtent l="0" t="0" r="1270" b="0"/>
            <wp:docPr id="11" name="Picture 11" descr="This figure is a bar graph of average length stay and average length of stay overnight by jurisdiction as well as lines indicating the national average.  " title="Figure 1 Admitted acute average length of stay of all separations and all overnight separations, by jurisdiction, Roun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89580" cy="2715791"/>
                    </a:xfrm>
                    <a:prstGeom prst="rect">
                      <a:avLst/>
                    </a:prstGeom>
                    <a:noFill/>
                  </pic:spPr>
                </pic:pic>
              </a:graphicData>
            </a:graphic>
          </wp:inline>
        </w:drawing>
      </w:r>
    </w:p>
    <w:p w:rsidR="002371BB" w:rsidRDefault="002371BB" w:rsidP="00566857">
      <w:pPr>
        <w:ind w:left="720"/>
      </w:pPr>
    </w:p>
    <w:p w:rsidR="002371BB" w:rsidRPr="008E1B3B" w:rsidRDefault="002371BB" w:rsidP="002371BB">
      <w:pPr>
        <w:rPr>
          <w:rFonts w:cs="Arial"/>
          <w:szCs w:val="22"/>
        </w:rPr>
      </w:pPr>
      <w:r w:rsidRPr="008E1B3B">
        <w:rPr>
          <w:rFonts w:cs="Arial"/>
          <w:szCs w:val="22"/>
        </w:rPr>
        <w:t>The Northern Territory, which had the highest share of same-day patients (71</w:t>
      </w:r>
      <w:r>
        <w:rPr>
          <w:rFonts w:cs="Arial"/>
          <w:szCs w:val="22"/>
        </w:rPr>
        <w:t xml:space="preserve"> percent</w:t>
      </w:r>
      <w:r w:rsidRPr="008E1B3B">
        <w:rPr>
          <w:rFonts w:cs="Arial"/>
          <w:szCs w:val="22"/>
        </w:rPr>
        <w:t xml:space="preserve">), had the lowest average length of stay (1.97 days). </w:t>
      </w:r>
      <w:r>
        <w:rPr>
          <w:rFonts w:cs="Arial"/>
          <w:szCs w:val="22"/>
        </w:rPr>
        <w:t>Conversely, New South Wales</w:t>
      </w:r>
      <w:r w:rsidR="00E47FAD">
        <w:rPr>
          <w:rFonts w:cs="Arial"/>
          <w:szCs w:val="22"/>
        </w:rPr>
        <w:t>, which</w:t>
      </w:r>
      <w:r>
        <w:rPr>
          <w:rFonts w:cs="Arial"/>
          <w:szCs w:val="22"/>
        </w:rPr>
        <w:t xml:space="preserve"> had the lowest share of same-day patients (48 percent)</w:t>
      </w:r>
      <w:r w:rsidR="00E47FAD">
        <w:rPr>
          <w:rFonts w:cs="Arial"/>
          <w:szCs w:val="22"/>
        </w:rPr>
        <w:t xml:space="preserve">, had </w:t>
      </w:r>
      <w:r>
        <w:rPr>
          <w:rFonts w:cs="Arial"/>
          <w:szCs w:val="22"/>
        </w:rPr>
        <w:t>the highest average length of stay (2.88 days).</w:t>
      </w:r>
    </w:p>
    <w:p w:rsidR="00E521E0" w:rsidRDefault="00E521E0">
      <w:pPr>
        <w:spacing w:before="0" w:after="0" w:line="240" w:lineRule="auto"/>
      </w:pPr>
    </w:p>
    <w:p w:rsidR="003C7472" w:rsidRDefault="003C7472">
      <w:pPr>
        <w:spacing w:before="0" w:after="0" w:line="240" w:lineRule="auto"/>
        <w:rPr>
          <w:rFonts w:ascii="Arial Bold" w:hAnsi="Arial Bold"/>
          <w:b/>
          <w:sz w:val="40"/>
          <w:szCs w:val="44"/>
        </w:rPr>
      </w:pPr>
      <w:bookmarkStart w:id="62" w:name="_Toc524173860"/>
      <w:r>
        <w:br w:type="page"/>
      </w:r>
    </w:p>
    <w:p w:rsidR="005F7F28" w:rsidRDefault="005F7F28">
      <w:pPr>
        <w:pStyle w:val="Heading1"/>
      </w:pPr>
      <w:bookmarkStart w:id="63" w:name="_Toc530055089"/>
      <w:r>
        <w:lastRenderedPageBreak/>
        <w:t xml:space="preserve">Mental </w:t>
      </w:r>
      <w:r w:rsidR="00845638">
        <w:t>h</w:t>
      </w:r>
      <w:r>
        <w:t>ealth</w:t>
      </w:r>
      <w:bookmarkEnd w:id="63"/>
    </w:p>
    <w:p w:rsidR="00891D79" w:rsidRPr="00A4767F" w:rsidRDefault="00436F80" w:rsidP="00575430">
      <w:pPr>
        <w:rPr>
          <w:rFonts w:cs="Arial"/>
          <w:szCs w:val="22"/>
        </w:rPr>
      </w:pPr>
      <w:r>
        <w:rPr>
          <w:rFonts w:cs="Arial"/>
          <w:szCs w:val="22"/>
        </w:rPr>
        <w:t xml:space="preserve">For Round 21 of the NHCDC, IHPA is reporting mental health costs </w:t>
      </w:r>
      <w:r w:rsidR="00663F4C">
        <w:rPr>
          <w:rFonts w:cs="Arial"/>
          <w:szCs w:val="22"/>
        </w:rPr>
        <w:t xml:space="preserve">as a separate product </w:t>
      </w:r>
      <w:r>
        <w:rPr>
          <w:rFonts w:cs="Arial"/>
          <w:szCs w:val="22"/>
        </w:rPr>
        <w:t xml:space="preserve">for the first time. The change </w:t>
      </w:r>
      <w:r w:rsidRPr="00A4767F">
        <w:rPr>
          <w:rFonts w:cs="Arial"/>
          <w:szCs w:val="22"/>
        </w:rPr>
        <w:t xml:space="preserve">reflects the recent introduction of the Australian Mental </w:t>
      </w:r>
      <w:r w:rsidR="00845638">
        <w:rPr>
          <w:rFonts w:cs="Arial"/>
          <w:szCs w:val="22"/>
        </w:rPr>
        <w:t>H</w:t>
      </w:r>
      <w:r w:rsidRPr="00A4767F">
        <w:rPr>
          <w:rFonts w:cs="Arial"/>
          <w:szCs w:val="22"/>
        </w:rPr>
        <w:t>ealth Care Classification (AMHCC).</w:t>
      </w:r>
      <w:r w:rsidR="00891D79" w:rsidRPr="00A4767F">
        <w:rPr>
          <w:rFonts w:cs="Arial"/>
          <w:szCs w:val="22"/>
        </w:rPr>
        <w:t xml:space="preserve"> </w:t>
      </w:r>
      <w:r w:rsidRPr="00A4767F">
        <w:rPr>
          <w:rFonts w:cs="Arial"/>
          <w:szCs w:val="22"/>
        </w:rPr>
        <w:t>In previous rounds</w:t>
      </w:r>
      <w:r w:rsidR="00891D79" w:rsidRPr="00A4767F">
        <w:rPr>
          <w:rFonts w:cs="Arial"/>
          <w:szCs w:val="22"/>
        </w:rPr>
        <w:t xml:space="preserve"> of the NHCDC</w:t>
      </w:r>
      <w:r w:rsidRPr="00A4767F">
        <w:rPr>
          <w:rFonts w:cs="Arial"/>
          <w:szCs w:val="22"/>
        </w:rPr>
        <w:t>, mental health costs were reported as part of the admitted acute activity care type</w:t>
      </w:r>
      <w:r w:rsidR="000E5768">
        <w:rPr>
          <w:rFonts w:cs="Arial"/>
          <w:szCs w:val="22"/>
        </w:rPr>
        <w:t xml:space="preserve">. </w:t>
      </w:r>
    </w:p>
    <w:p w:rsidR="002F1033" w:rsidRPr="00A4767F" w:rsidRDefault="00C6202F" w:rsidP="002F1033">
      <w:pPr>
        <w:rPr>
          <w:szCs w:val="22"/>
        </w:rPr>
      </w:pPr>
      <w:r w:rsidRPr="00A4767F">
        <w:rPr>
          <w:rFonts w:cs="Arial"/>
          <w:szCs w:val="22"/>
        </w:rPr>
        <w:t>Under the AMHCC</w:t>
      </w:r>
      <w:r w:rsidR="00436F80" w:rsidRPr="00A4767F">
        <w:rPr>
          <w:rFonts w:cs="Arial"/>
          <w:szCs w:val="22"/>
        </w:rPr>
        <w:t xml:space="preserve">, </w:t>
      </w:r>
      <w:r w:rsidR="009871E7" w:rsidRPr="00A4767F">
        <w:rPr>
          <w:rFonts w:cs="Arial"/>
          <w:szCs w:val="22"/>
        </w:rPr>
        <w:t>patient events</w:t>
      </w:r>
      <w:r w:rsidR="00436F80" w:rsidRPr="00A4767F">
        <w:rPr>
          <w:rFonts w:cs="Arial"/>
          <w:szCs w:val="22"/>
        </w:rPr>
        <w:t xml:space="preserve"> </w:t>
      </w:r>
      <w:r w:rsidRPr="00A4767F">
        <w:rPr>
          <w:rFonts w:cs="Arial"/>
          <w:szCs w:val="22"/>
        </w:rPr>
        <w:t xml:space="preserve">(episodes or phases) </w:t>
      </w:r>
      <w:r w:rsidR="00845638">
        <w:rPr>
          <w:rFonts w:cs="Arial"/>
          <w:szCs w:val="22"/>
        </w:rPr>
        <w:t>that</w:t>
      </w:r>
      <w:r w:rsidR="00845638" w:rsidRPr="00A4767F">
        <w:rPr>
          <w:rFonts w:cs="Arial"/>
          <w:szCs w:val="22"/>
        </w:rPr>
        <w:t xml:space="preserve"> </w:t>
      </w:r>
      <w:r w:rsidR="009871E7" w:rsidRPr="00A4767F">
        <w:rPr>
          <w:rFonts w:cs="Arial"/>
          <w:szCs w:val="22"/>
        </w:rPr>
        <w:t xml:space="preserve">hospitals </w:t>
      </w:r>
      <w:r w:rsidR="00436F80" w:rsidRPr="00A4767F">
        <w:rPr>
          <w:rFonts w:cs="Arial"/>
          <w:szCs w:val="22"/>
        </w:rPr>
        <w:t xml:space="preserve">report </w:t>
      </w:r>
      <w:r w:rsidR="009871E7" w:rsidRPr="00A4767F">
        <w:rPr>
          <w:rFonts w:cs="Arial"/>
          <w:szCs w:val="22"/>
        </w:rPr>
        <w:t>as ‘mental health admitted acute’</w:t>
      </w:r>
      <w:r w:rsidR="00436F80" w:rsidRPr="00A4767F">
        <w:rPr>
          <w:rFonts w:cs="Arial"/>
          <w:szCs w:val="22"/>
        </w:rPr>
        <w:t xml:space="preserve"> (using patient care type 11</w:t>
      </w:r>
      <w:r w:rsidR="002F1033" w:rsidRPr="00A4767F">
        <w:rPr>
          <w:rFonts w:cs="Arial"/>
          <w:szCs w:val="22"/>
        </w:rPr>
        <w:t xml:space="preserve"> in the activity dataset submitted by Admitted Patient Care</w:t>
      </w:r>
      <w:r w:rsidR="00436F80" w:rsidRPr="00A4767F">
        <w:rPr>
          <w:rFonts w:cs="Arial"/>
          <w:szCs w:val="22"/>
        </w:rPr>
        <w:t xml:space="preserve">) </w:t>
      </w:r>
      <w:r w:rsidRPr="00A4767F">
        <w:rPr>
          <w:rFonts w:cs="Arial"/>
          <w:szCs w:val="22"/>
        </w:rPr>
        <w:t xml:space="preserve">are </w:t>
      </w:r>
      <w:r w:rsidR="00436F80" w:rsidRPr="00A4767F">
        <w:rPr>
          <w:rFonts w:cs="Arial"/>
          <w:szCs w:val="22"/>
        </w:rPr>
        <w:t xml:space="preserve">considered as </w:t>
      </w:r>
      <w:r w:rsidRPr="00A4767F">
        <w:rPr>
          <w:rFonts w:cs="Arial"/>
          <w:szCs w:val="22"/>
        </w:rPr>
        <w:t xml:space="preserve">‘admitted </w:t>
      </w:r>
      <w:r w:rsidR="00436F80" w:rsidRPr="00A4767F">
        <w:rPr>
          <w:rFonts w:cs="Arial"/>
          <w:szCs w:val="22"/>
        </w:rPr>
        <w:t xml:space="preserve">mental health </w:t>
      </w:r>
      <w:r w:rsidRPr="00A4767F">
        <w:rPr>
          <w:rFonts w:cs="Arial"/>
          <w:szCs w:val="22"/>
        </w:rPr>
        <w:t xml:space="preserve">patients’ </w:t>
      </w:r>
      <w:r w:rsidR="009871E7" w:rsidRPr="00A4767F">
        <w:rPr>
          <w:rFonts w:cs="Arial"/>
          <w:szCs w:val="22"/>
        </w:rPr>
        <w:t>rather than admitted acute costs</w:t>
      </w:r>
      <w:r w:rsidR="00436F80" w:rsidRPr="00A4767F">
        <w:rPr>
          <w:rFonts w:cs="Arial"/>
          <w:szCs w:val="22"/>
        </w:rPr>
        <w:t>.</w:t>
      </w:r>
      <w:r w:rsidR="002F1033" w:rsidRPr="00A4767F">
        <w:rPr>
          <w:rFonts w:cs="Arial"/>
          <w:szCs w:val="22"/>
        </w:rPr>
        <w:t xml:space="preserve"> This change </w:t>
      </w:r>
      <w:r w:rsidR="00C15633" w:rsidRPr="00A4767F">
        <w:rPr>
          <w:rFonts w:cs="Arial"/>
          <w:szCs w:val="22"/>
        </w:rPr>
        <w:t xml:space="preserve">in reporting </w:t>
      </w:r>
      <w:r w:rsidR="00845638">
        <w:rPr>
          <w:rFonts w:cs="Arial"/>
          <w:szCs w:val="22"/>
        </w:rPr>
        <w:t>resulted in</w:t>
      </w:r>
      <w:r w:rsidR="002F1033" w:rsidRPr="00A4767F">
        <w:rPr>
          <w:rFonts w:cs="Arial"/>
          <w:szCs w:val="22"/>
        </w:rPr>
        <w:t xml:space="preserve"> a large increase </w:t>
      </w:r>
      <w:r w:rsidR="00CE56F0">
        <w:rPr>
          <w:rFonts w:cs="Arial"/>
          <w:szCs w:val="22"/>
        </w:rPr>
        <w:t xml:space="preserve">(106%) </w:t>
      </w:r>
      <w:r w:rsidR="002F1033" w:rsidRPr="00A4767F">
        <w:rPr>
          <w:rFonts w:cs="Arial"/>
          <w:szCs w:val="22"/>
        </w:rPr>
        <w:t xml:space="preserve">in the volume of mental health </w:t>
      </w:r>
      <w:r w:rsidR="00CE56F0">
        <w:rPr>
          <w:rFonts w:cs="Arial"/>
          <w:szCs w:val="22"/>
        </w:rPr>
        <w:t>expenditure</w:t>
      </w:r>
      <w:r w:rsidR="002F1033" w:rsidRPr="00A4767F">
        <w:rPr>
          <w:rFonts w:cs="Arial"/>
          <w:szCs w:val="22"/>
        </w:rPr>
        <w:t xml:space="preserve"> </w:t>
      </w:r>
      <w:r w:rsidR="00C15633" w:rsidRPr="00A4767F">
        <w:rPr>
          <w:rFonts w:cs="Arial"/>
          <w:szCs w:val="22"/>
        </w:rPr>
        <w:t>between Round 20</w:t>
      </w:r>
      <w:r w:rsidR="00CE56F0">
        <w:rPr>
          <w:rFonts w:cs="Arial"/>
          <w:szCs w:val="22"/>
        </w:rPr>
        <w:t xml:space="preserve"> (from $1.2 billion to $2.5 billion)</w:t>
      </w:r>
      <w:r w:rsidR="00C15633" w:rsidRPr="00A4767F">
        <w:rPr>
          <w:rFonts w:cs="Arial"/>
          <w:szCs w:val="22"/>
        </w:rPr>
        <w:t>.</w:t>
      </w:r>
      <w:r w:rsidR="002F1033" w:rsidRPr="00A4767F">
        <w:rPr>
          <w:rFonts w:cs="Arial"/>
          <w:szCs w:val="22"/>
        </w:rPr>
        <w:t xml:space="preserve"> </w:t>
      </w:r>
    </w:p>
    <w:p w:rsidR="00436F80" w:rsidRPr="00A4767F" w:rsidRDefault="00663F4C" w:rsidP="00575430">
      <w:pPr>
        <w:rPr>
          <w:rFonts w:cs="Arial"/>
          <w:szCs w:val="22"/>
        </w:rPr>
      </w:pPr>
      <w:r>
        <w:rPr>
          <w:rFonts w:cs="Arial"/>
          <w:szCs w:val="22"/>
        </w:rPr>
        <w:t>M</w:t>
      </w:r>
      <w:r w:rsidR="00436F80" w:rsidRPr="00A4767F">
        <w:rPr>
          <w:rFonts w:cs="Arial"/>
          <w:szCs w:val="22"/>
        </w:rPr>
        <w:t>ental health care is provided in both admitted and community settings</w:t>
      </w:r>
      <w:r w:rsidR="000E5768">
        <w:rPr>
          <w:rFonts w:cs="Arial"/>
          <w:szCs w:val="22"/>
        </w:rPr>
        <w:t xml:space="preserve">. </w:t>
      </w:r>
      <w:r w:rsidR="00436F80" w:rsidRPr="00A4767F">
        <w:rPr>
          <w:rFonts w:cs="Arial"/>
          <w:szCs w:val="22"/>
        </w:rPr>
        <w:t>The admitted setting includes consume</w:t>
      </w:r>
      <w:r w:rsidR="00891D79" w:rsidRPr="00A4767F">
        <w:rPr>
          <w:rFonts w:cs="Arial"/>
          <w:szCs w:val="22"/>
        </w:rPr>
        <w:t>r</w:t>
      </w:r>
      <w:r w:rsidR="00436F80" w:rsidRPr="00A4767F">
        <w:rPr>
          <w:rFonts w:cs="Arial"/>
          <w:szCs w:val="22"/>
        </w:rPr>
        <w:t>s who are formally admitted for treatment in a general ward or a designated psychiatric unit in a general or a psychiatric hospital</w:t>
      </w:r>
      <w:r w:rsidR="000E5768">
        <w:rPr>
          <w:rFonts w:cs="Arial"/>
          <w:szCs w:val="22"/>
        </w:rPr>
        <w:t xml:space="preserve">. </w:t>
      </w:r>
      <w:r w:rsidR="00436F80" w:rsidRPr="00A4767F">
        <w:rPr>
          <w:rFonts w:cs="Arial"/>
          <w:szCs w:val="22"/>
        </w:rPr>
        <w:t xml:space="preserve">The community setting includes mental health care services delivered to consumers who are not admitted to an inpatient facility or </w:t>
      </w:r>
      <w:r w:rsidR="00845638">
        <w:rPr>
          <w:rFonts w:cs="Arial"/>
          <w:szCs w:val="22"/>
        </w:rPr>
        <w:t xml:space="preserve">who </w:t>
      </w:r>
      <w:r w:rsidR="00436F80" w:rsidRPr="00A4767F">
        <w:rPr>
          <w:rFonts w:cs="Arial"/>
          <w:szCs w:val="22"/>
        </w:rPr>
        <w:t>reside in a residential mental health care facility.</w:t>
      </w:r>
    </w:p>
    <w:p w:rsidR="00663F4C" w:rsidRPr="00BC2364" w:rsidRDefault="00663F4C" w:rsidP="00663F4C">
      <w:pPr>
        <w:rPr>
          <w:rFonts w:cs="Arial"/>
          <w:szCs w:val="22"/>
        </w:rPr>
      </w:pPr>
      <w:r w:rsidRPr="00A4767F">
        <w:rPr>
          <w:rFonts w:cs="Arial"/>
          <w:szCs w:val="22"/>
        </w:rPr>
        <w:t xml:space="preserve">The AMHCC contains 91 end classes (45 in the admitted setting and 46 in the community setting). A patient’s end class is determined based on a range of variables including the setting (admitted or </w:t>
      </w:r>
      <w:r w:rsidRPr="00BC2364">
        <w:rPr>
          <w:rFonts w:cs="Arial"/>
          <w:szCs w:val="22"/>
        </w:rPr>
        <w:t>community)</w:t>
      </w:r>
      <w:r w:rsidR="00845638">
        <w:rPr>
          <w:rFonts w:cs="Arial"/>
          <w:szCs w:val="22"/>
        </w:rPr>
        <w:t>,</w:t>
      </w:r>
      <w:r w:rsidRPr="00BC2364">
        <w:rPr>
          <w:rFonts w:cs="Arial"/>
          <w:szCs w:val="22"/>
        </w:rPr>
        <w:t xml:space="preserve"> the clinician-assigned mental health phase of care</w:t>
      </w:r>
      <w:r w:rsidR="00845638">
        <w:rPr>
          <w:rFonts w:cs="Arial"/>
          <w:szCs w:val="22"/>
        </w:rPr>
        <w:t>,</w:t>
      </w:r>
      <w:r w:rsidRPr="00BC2364">
        <w:rPr>
          <w:rFonts w:cs="Arial"/>
          <w:szCs w:val="22"/>
        </w:rPr>
        <w:t xml:space="preserve"> age group</w:t>
      </w:r>
      <w:r w:rsidR="00845638">
        <w:rPr>
          <w:rFonts w:cs="Arial"/>
          <w:szCs w:val="22"/>
        </w:rPr>
        <w:t>,</w:t>
      </w:r>
      <w:r w:rsidRPr="00BC2364">
        <w:rPr>
          <w:rFonts w:cs="Arial"/>
          <w:szCs w:val="22"/>
        </w:rPr>
        <w:t xml:space="preserve"> mental health legal status (for admitted patients); the Health of the Nation </w:t>
      </w:r>
      <w:r w:rsidR="00845638">
        <w:rPr>
          <w:rFonts w:cs="Arial"/>
          <w:szCs w:val="22"/>
        </w:rPr>
        <w:t>O</w:t>
      </w:r>
      <w:r w:rsidRPr="00BC2364">
        <w:rPr>
          <w:rFonts w:cs="Arial"/>
          <w:szCs w:val="22"/>
        </w:rPr>
        <w:t>utcomes Scale (</w:t>
      </w:r>
      <w:proofErr w:type="spellStart"/>
      <w:r w:rsidRPr="00BC2364">
        <w:rPr>
          <w:rFonts w:cs="Arial"/>
          <w:szCs w:val="22"/>
        </w:rPr>
        <w:t>HoNOS</w:t>
      </w:r>
      <w:proofErr w:type="spellEnd"/>
      <w:r w:rsidRPr="00BC2364">
        <w:rPr>
          <w:rFonts w:cs="Arial"/>
          <w:szCs w:val="22"/>
        </w:rPr>
        <w:t>) score</w:t>
      </w:r>
      <w:r w:rsidR="00845638">
        <w:rPr>
          <w:rFonts w:cs="Arial"/>
          <w:szCs w:val="22"/>
        </w:rPr>
        <w:t>,</w:t>
      </w:r>
      <w:r w:rsidRPr="00BC2364">
        <w:rPr>
          <w:rFonts w:cs="Arial"/>
          <w:szCs w:val="22"/>
        </w:rPr>
        <w:t xml:space="preserve"> and the Life Skills Profile-16 (LSP16) (for community patients). More information on the structure of the AMHCC is available</w:t>
      </w:r>
      <w:r w:rsidR="0004307D">
        <w:t xml:space="preserve"> at </w:t>
      </w:r>
      <w:hyperlink r:id="rId19" w:history="1">
        <w:r w:rsidR="0004307D" w:rsidRPr="006D3F51">
          <w:rPr>
            <w:rStyle w:val="Hyperlink"/>
          </w:rPr>
          <w:t>www.ihpa.gov.au</w:t>
        </w:r>
      </w:hyperlink>
      <w:r w:rsidRPr="00BC2364">
        <w:rPr>
          <w:rFonts w:cs="Arial"/>
          <w:szCs w:val="22"/>
        </w:rPr>
        <w:t>.</w:t>
      </w:r>
    </w:p>
    <w:p w:rsidR="00663F4C" w:rsidRPr="00BC2364" w:rsidRDefault="00845638" w:rsidP="00663F4C">
      <w:pPr>
        <w:rPr>
          <w:rFonts w:cs="Arial"/>
          <w:szCs w:val="22"/>
        </w:rPr>
      </w:pPr>
      <w:r>
        <w:rPr>
          <w:rFonts w:cs="Arial"/>
          <w:szCs w:val="22"/>
        </w:rPr>
        <w:t>I</w:t>
      </w:r>
      <w:r w:rsidR="005525B6" w:rsidRPr="00BC2364">
        <w:rPr>
          <w:rFonts w:cs="Arial"/>
          <w:szCs w:val="22"/>
        </w:rPr>
        <w:t xml:space="preserve">n </w:t>
      </w:r>
      <w:r w:rsidR="00663F4C" w:rsidRPr="00BC2364">
        <w:rPr>
          <w:rFonts w:cs="Arial"/>
          <w:szCs w:val="22"/>
        </w:rPr>
        <w:t>the Round 21 NHCDC, there were 131,083 admitted setting mental health separations and 106,743 mental health community setting</w:t>
      </w:r>
      <w:r w:rsidR="00663F4C" w:rsidRPr="00BC2364">
        <w:rPr>
          <w:rFonts w:cs="Arial"/>
          <w:i/>
          <w:szCs w:val="22"/>
        </w:rPr>
        <w:t xml:space="preserve"> </w:t>
      </w:r>
      <w:r w:rsidR="00A12B64">
        <w:rPr>
          <w:rFonts w:cs="Arial"/>
          <w:szCs w:val="22"/>
        </w:rPr>
        <w:t>cost items</w:t>
      </w:r>
      <w:r w:rsidR="00663F4C" w:rsidRPr="00BC2364">
        <w:rPr>
          <w:rFonts w:cs="Arial"/>
          <w:szCs w:val="22"/>
        </w:rPr>
        <w:t xml:space="preserve"> reported. </w:t>
      </w:r>
      <w:r w:rsidR="005525B6" w:rsidRPr="00BC2364">
        <w:rPr>
          <w:rFonts w:cs="Arial"/>
          <w:szCs w:val="22"/>
        </w:rPr>
        <w:t>IHPA has gro</w:t>
      </w:r>
      <w:r w:rsidR="00CE56F0" w:rsidRPr="00BC2364">
        <w:rPr>
          <w:rFonts w:cs="Arial"/>
          <w:szCs w:val="22"/>
        </w:rPr>
        <w:t>u</w:t>
      </w:r>
      <w:r w:rsidR="005525B6" w:rsidRPr="00BC2364">
        <w:rPr>
          <w:rFonts w:cs="Arial"/>
          <w:szCs w:val="22"/>
        </w:rPr>
        <w:t xml:space="preserve">ped the care type 11 activity using AR-DRGs. </w:t>
      </w:r>
      <w:r w:rsidR="00AF77A9" w:rsidRPr="00BC2364">
        <w:rPr>
          <w:rFonts w:cs="Arial"/>
          <w:szCs w:val="22"/>
        </w:rPr>
        <w:t>Appendix t</w:t>
      </w:r>
      <w:r w:rsidR="005525B6" w:rsidRPr="00BC2364">
        <w:rPr>
          <w:rFonts w:cs="Arial"/>
          <w:szCs w:val="22"/>
        </w:rPr>
        <w:t xml:space="preserve">able </w:t>
      </w:r>
      <w:r w:rsidR="00062E67" w:rsidRPr="00BC2364">
        <w:rPr>
          <w:rFonts w:cs="Arial"/>
          <w:szCs w:val="22"/>
        </w:rPr>
        <w:t xml:space="preserve">29 </w:t>
      </w:r>
      <w:r w:rsidR="00AF77A9" w:rsidRPr="00BC2364">
        <w:rPr>
          <w:rFonts w:cs="Arial"/>
          <w:szCs w:val="22"/>
        </w:rPr>
        <w:t>presents admitted setting</w:t>
      </w:r>
      <w:r w:rsidR="005525B6" w:rsidRPr="00BC2364">
        <w:rPr>
          <w:rFonts w:cs="Arial"/>
          <w:szCs w:val="22"/>
        </w:rPr>
        <w:t xml:space="preserve"> mental health care activity</w:t>
      </w:r>
      <w:r w:rsidR="00AF77A9" w:rsidRPr="00BC2364">
        <w:rPr>
          <w:rFonts w:cs="Arial"/>
          <w:szCs w:val="22"/>
        </w:rPr>
        <w:t xml:space="preserve"> and costs</w:t>
      </w:r>
      <w:r w:rsidR="005525B6" w:rsidRPr="00BC2364">
        <w:rPr>
          <w:rFonts w:cs="Arial"/>
          <w:szCs w:val="22"/>
        </w:rPr>
        <w:t xml:space="preserve"> using </w:t>
      </w:r>
      <w:r w:rsidR="00AF77A9" w:rsidRPr="00BC2364">
        <w:rPr>
          <w:rFonts w:cs="Arial"/>
          <w:szCs w:val="22"/>
        </w:rPr>
        <w:t xml:space="preserve">the </w:t>
      </w:r>
      <w:r w:rsidR="005525B6" w:rsidRPr="00BC2364">
        <w:rPr>
          <w:rFonts w:cs="Arial"/>
          <w:szCs w:val="22"/>
        </w:rPr>
        <w:t>AR-DRG</w:t>
      </w:r>
      <w:r w:rsidR="00AF77A9" w:rsidRPr="00BC2364">
        <w:rPr>
          <w:rFonts w:cs="Arial"/>
          <w:szCs w:val="22"/>
        </w:rPr>
        <w:t xml:space="preserve"> classification</w:t>
      </w:r>
      <w:r w:rsidR="005525B6" w:rsidRPr="00BC2364">
        <w:rPr>
          <w:rFonts w:cs="Arial"/>
          <w:szCs w:val="22"/>
        </w:rPr>
        <w:t xml:space="preserve">. </w:t>
      </w:r>
      <w:r w:rsidR="00BC2364">
        <w:rPr>
          <w:rFonts w:cs="Arial"/>
          <w:szCs w:val="22"/>
        </w:rPr>
        <w:t>T</w:t>
      </w:r>
      <w:r w:rsidR="005525B6" w:rsidRPr="00BC2364">
        <w:rPr>
          <w:rFonts w:cs="Arial"/>
          <w:szCs w:val="22"/>
        </w:rPr>
        <w:t xml:space="preserve">he total </w:t>
      </w:r>
      <w:r w:rsidR="00AF77A9" w:rsidRPr="00BC2364">
        <w:rPr>
          <w:rFonts w:cs="Arial"/>
          <w:szCs w:val="22"/>
        </w:rPr>
        <w:t>expenditure</w:t>
      </w:r>
      <w:r w:rsidR="00062E67" w:rsidRPr="00BC2364">
        <w:rPr>
          <w:rFonts w:cs="Arial"/>
          <w:szCs w:val="22"/>
        </w:rPr>
        <w:t xml:space="preserve"> </w:t>
      </w:r>
      <w:r w:rsidR="00AF77A9" w:rsidRPr="00BC2364">
        <w:rPr>
          <w:rFonts w:cs="Arial"/>
          <w:szCs w:val="22"/>
        </w:rPr>
        <w:t>submi</w:t>
      </w:r>
      <w:r w:rsidR="00BC2364">
        <w:rPr>
          <w:rFonts w:cs="Arial"/>
          <w:szCs w:val="22"/>
        </w:rPr>
        <w:t xml:space="preserve">tted amounted to $2.1 billion and </w:t>
      </w:r>
      <w:r w:rsidR="00AF77A9" w:rsidRPr="00BC2364">
        <w:rPr>
          <w:rFonts w:cs="Arial"/>
          <w:szCs w:val="22"/>
        </w:rPr>
        <w:t>the average leng</w:t>
      </w:r>
      <w:r w:rsidR="005525B6" w:rsidRPr="00BC2364">
        <w:rPr>
          <w:rFonts w:cs="Arial"/>
          <w:szCs w:val="22"/>
        </w:rPr>
        <w:t>th of stay w</w:t>
      </w:r>
      <w:r w:rsidR="00AF77A9" w:rsidRPr="00BC2364">
        <w:rPr>
          <w:rFonts w:cs="Arial"/>
          <w:szCs w:val="22"/>
        </w:rPr>
        <w:t>as 12.8 days.</w:t>
      </w:r>
    </w:p>
    <w:p w:rsidR="005A2DFD" w:rsidRDefault="002A3926" w:rsidP="002A3926">
      <w:pPr>
        <w:rPr>
          <w:szCs w:val="22"/>
        </w:rPr>
      </w:pPr>
      <w:r w:rsidRPr="00BC2364">
        <w:rPr>
          <w:szCs w:val="22"/>
        </w:rPr>
        <w:t>In Round 21, limited phase level cost and activity data has been linked in the admitted setting and no phase level cost data was reported in the community setting. In total</w:t>
      </w:r>
      <w:r w:rsidRPr="00A4767F">
        <w:rPr>
          <w:szCs w:val="22"/>
        </w:rPr>
        <w:t>, costed phase-level data was provided for 52,922 admitted mental health care phases</w:t>
      </w:r>
      <w:r>
        <w:rPr>
          <w:szCs w:val="22"/>
        </w:rPr>
        <w:t>.</w:t>
      </w:r>
      <w:r w:rsidR="00BC2364">
        <w:rPr>
          <w:szCs w:val="22"/>
        </w:rPr>
        <w:t xml:space="preserve"> </w:t>
      </w:r>
      <w:r w:rsidR="00C87E3F">
        <w:rPr>
          <w:szCs w:val="22"/>
        </w:rPr>
        <w:fldChar w:fldCharType="begin"/>
      </w:r>
      <w:r w:rsidR="00C87E3F">
        <w:rPr>
          <w:szCs w:val="22"/>
        </w:rPr>
        <w:instrText xml:space="preserve"> REF _Ref527370044 \h </w:instrText>
      </w:r>
      <w:r w:rsidR="00C87E3F">
        <w:rPr>
          <w:szCs w:val="22"/>
        </w:rPr>
      </w:r>
      <w:r w:rsidR="00C87E3F">
        <w:rPr>
          <w:szCs w:val="22"/>
        </w:rPr>
        <w:fldChar w:fldCharType="separate"/>
      </w:r>
      <w:r w:rsidR="00342D61">
        <w:t xml:space="preserve">Table </w:t>
      </w:r>
      <w:r w:rsidR="00342D61">
        <w:rPr>
          <w:noProof/>
        </w:rPr>
        <w:t>14</w:t>
      </w:r>
      <w:r w:rsidR="00C87E3F">
        <w:rPr>
          <w:szCs w:val="22"/>
        </w:rPr>
        <w:fldChar w:fldCharType="end"/>
      </w:r>
      <w:r w:rsidR="00BC2364">
        <w:rPr>
          <w:szCs w:val="22"/>
        </w:rPr>
        <w:t xml:space="preserve"> repo</w:t>
      </w:r>
      <w:r w:rsidR="000A25F2">
        <w:rPr>
          <w:szCs w:val="22"/>
        </w:rPr>
        <w:t>r</w:t>
      </w:r>
      <w:r w:rsidR="00BC2364">
        <w:rPr>
          <w:szCs w:val="22"/>
        </w:rPr>
        <w:t>ts the number of phases and average cost per phase by jurisdiction.</w:t>
      </w:r>
    </w:p>
    <w:p w:rsidR="00BC2364" w:rsidRDefault="00BC2364" w:rsidP="007F44CC">
      <w:pPr>
        <w:pStyle w:val="Caption"/>
      </w:pPr>
      <w:bookmarkStart w:id="64" w:name="_Ref527370044"/>
      <w:bookmarkStart w:id="65" w:name="_Toc527385241"/>
      <w:r>
        <w:t xml:space="preserve">Table </w:t>
      </w:r>
      <w:r w:rsidR="00342D61">
        <w:fldChar w:fldCharType="begin"/>
      </w:r>
      <w:r w:rsidR="00342D61">
        <w:instrText xml:space="preserve"> SEQ Table \* ARABIC </w:instrText>
      </w:r>
      <w:r w:rsidR="00342D61">
        <w:fldChar w:fldCharType="separate"/>
      </w:r>
      <w:r w:rsidR="00342D61">
        <w:rPr>
          <w:noProof/>
        </w:rPr>
        <w:t>14</w:t>
      </w:r>
      <w:r w:rsidR="00342D61">
        <w:rPr>
          <w:noProof/>
        </w:rPr>
        <w:fldChar w:fldCharType="end"/>
      </w:r>
      <w:bookmarkEnd w:id="64"/>
      <w:r>
        <w:t xml:space="preserve"> AMHCC phase level </w:t>
      </w:r>
      <w:r w:rsidR="00716D83">
        <w:t xml:space="preserve">cost </w:t>
      </w:r>
      <w:r>
        <w:t>data</w:t>
      </w:r>
      <w:r w:rsidR="00716D83">
        <w:t xml:space="preserve"> reported to NHCDC</w:t>
      </w:r>
      <w:r>
        <w:t xml:space="preserve">, </w:t>
      </w:r>
      <w:r w:rsidR="00716D83">
        <w:t xml:space="preserve">by </w:t>
      </w:r>
      <w:r>
        <w:t>jurisdiction</w:t>
      </w:r>
      <w:r w:rsidR="00716D83">
        <w:t>, Round 21</w:t>
      </w:r>
      <w:bookmarkEnd w:id="65"/>
    </w:p>
    <w:tbl>
      <w:tblPr>
        <w:tblW w:w="3909" w:type="dxa"/>
        <w:jc w:val="center"/>
        <w:tblLook w:val="04A0" w:firstRow="1" w:lastRow="0" w:firstColumn="1" w:lastColumn="0" w:noHBand="0" w:noVBand="1"/>
        <w:tblCaption w:val="Table 14 AMHCC phase level cost data reported to NHCDC, by jurisdiction, Round 21"/>
        <w:tblDescription w:val="This table displays the average cost per phase for mental health, by jurisdiction"/>
      </w:tblPr>
      <w:tblGrid>
        <w:gridCol w:w="1300"/>
        <w:gridCol w:w="960"/>
        <w:gridCol w:w="1649"/>
      </w:tblGrid>
      <w:tr w:rsidR="00BC2364" w:rsidRPr="00BC2364" w:rsidTr="005351D3">
        <w:trPr>
          <w:trHeight w:val="720"/>
          <w:jc w:val="center"/>
        </w:trPr>
        <w:tc>
          <w:tcPr>
            <w:tcW w:w="1300" w:type="dxa"/>
            <w:tcBorders>
              <w:top w:val="single" w:sz="4" w:space="0" w:color="auto"/>
              <w:left w:val="nil"/>
              <w:bottom w:val="single" w:sz="4" w:space="0" w:color="auto"/>
              <w:right w:val="nil"/>
            </w:tcBorders>
            <w:shd w:val="clear" w:color="auto" w:fill="auto"/>
            <w:noWrap/>
            <w:vAlign w:val="center"/>
            <w:hideMark/>
          </w:tcPr>
          <w:p w:rsidR="00BC2364" w:rsidRPr="00BC2364" w:rsidRDefault="00BC2364" w:rsidP="005A2DFD">
            <w:pPr>
              <w:spacing w:before="0" w:after="0" w:line="240" w:lineRule="auto"/>
              <w:rPr>
                <w:rFonts w:cs="Arial"/>
                <w:b/>
                <w:bCs/>
                <w:color w:val="000000"/>
                <w:sz w:val="18"/>
                <w:szCs w:val="18"/>
              </w:rPr>
            </w:pPr>
            <w:r w:rsidRPr="00BC2364">
              <w:rPr>
                <w:rFonts w:cs="Arial"/>
                <w:b/>
                <w:bCs/>
                <w:color w:val="000000"/>
                <w:sz w:val="18"/>
                <w:szCs w:val="18"/>
              </w:rPr>
              <w:t>Jurisdiction</w:t>
            </w:r>
          </w:p>
        </w:tc>
        <w:tc>
          <w:tcPr>
            <w:tcW w:w="960" w:type="dxa"/>
            <w:tcBorders>
              <w:top w:val="single" w:sz="4" w:space="0" w:color="auto"/>
              <w:left w:val="nil"/>
              <w:bottom w:val="single" w:sz="4" w:space="0" w:color="auto"/>
              <w:right w:val="nil"/>
            </w:tcBorders>
            <w:shd w:val="clear" w:color="000000" w:fill="FFFFFF"/>
            <w:vAlign w:val="center"/>
            <w:hideMark/>
          </w:tcPr>
          <w:p w:rsidR="00BC2364" w:rsidRPr="00BC2364" w:rsidRDefault="00BC2364" w:rsidP="005A2DFD">
            <w:pPr>
              <w:spacing w:before="0" w:after="0" w:line="240" w:lineRule="auto"/>
              <w:jc w:val="right"/>
              <w:rPr>
                <w:rFonts w:cs="Arial"/>
                <w:b/>
                <w:color w:val="000000"/>
                <w:sz w:val="18"/>
                <w:szCs w:val="18"/>
              </w:rPr>
            </w:pPr>
            <w:r w:rsidRPr="00BC2364">
              <w:rPr>
                <w:rFonts w:cs="Arial"/>
                <w:b/>
                <w:color w:val="000000"/>
                <w:sz w:val="18"/>
                <w:szCs w:val="18"/>
              </w:rPr>
              <w:t>Phases</w:t>
            </w:r>
          </w:p>
        </w:tc>
        <w:tc>
          <w:tcPr>
            <w:tcW w:w="1649" w:type="dxa"/>
            <w:tcBorders>
              <w:top w:val="single" w:sz="4" w:space="0" w:color="auto"/>
              <w:left w:val="nil"/>
              <w:bottom w:val="single" w:sz="4" w:space="0" w:color="auto"/>
              <w:right w:val="nil"/>
            </w:tcBorders>
            <w:shd w:val="clear" w:color="000000" w:fill="FFFFFF"/>
            <w:vAlign w:val="center"/>
            <w:hideMark/>
          </w:tcPr>
          <w:p w:rsidR="00BC2364" w:rsidRPr="00BC2364" w:rsidRDefault="00BC2364" w:rsidP="00BC2364">
            <w:pPr>
              <w:spacing w:before="0" w:after="0" w:line="240" w:lineRule="auto"/>
              <w:jc w:val="right"/>
              <w:rPr>
                <w:rFonts w:cs="Arial"/>
                <w:b/>
                <w:color w:val="000000"/>
                <w:sz w:val="18"/>
                <w:szCs w:val="18"/>
              </w:rPr>
            </w:pPr>
            <w:r w:rsidRPr="00BC2364">
              <w:rPr>
                <w:rFonts w:cs="Arial"/>
                <w:b/>
                <w:color w:val="000000"/>
                <w:sz w:val="18"/>
                <w:szCs w:val="18"/>
              </w:rPr>
              <w:t>Average cost, per phase</w:t>
            </w:r>
          </w:p>
        </w:tc>
      </w:tr>
      <w:tr w:rsidR="00BC2364" w:rsidRPr="00697B5F" w:rsidTr="005351D3">
        <w:trPr>
          <w:trHeight w:val="300"/>
          <w:jc w:val="center"/>
        </w:trPr>
        <w:tc>
          <w:tcPr>
            <w:tcW w:w="1300" w:type="dxa"/>
            <w:tcBorders>
              <w:top w:val="nil"/>
              <w:left w:val="nil"/>
              <w:bottom w:val="single" w:sz="4" w:space="0" w:color="auto"/>
              <w:right w:val="nil"/>
            </w:tcBorders>
            <w:shd w:val="clear" w:color="000000" w:fill="FFFFFF"/>
            <w:noWrap/>
            <w:vAlign w:val="bottom"/>
            <w:hideMark/>
          </w:tcPr>
          <w:p w:rsidR="00BC2364" w:rsidRPr="00697B5F" w:rsidRDefault="00BC2364" w:rsidP="005A2DFD">
            <w:pPr>
              <w:spacing w:before="0" w:after="0" w:line="240" w:lineRule="auto"/>
              <w:rPr>
                <w:rFonts w:cs="Arial"/>
                <w:color w:val="000000"/>
                <w:sz w:val="18"/>
                <w:szCs w:val="18"/>
              </w:rPr>
            </w:pPr>
            <w:r w:rsidRPr="00697B5F">
              <w:rPr>
                <w:rFonts w:cs="Arial"/>
                <w:color w:val="000000"/>
                <w:sz w:val="18"/>
                <w:szCs w:val="18"/>
              </w:rPr>
              <w:t> </w:t>
            </w:r>
          </w:p>
        </w:tc>
        <w:tc>
          <w:tcPr>
            <w:tcW w:w="960" w:type="dxa"/>
            <w:tcBorders>
              <w:top w:val="nil"/>
              <w:left w:val="nil"/>
              <w:bottom w:val="single" w:sz="4" w:space="0" w:color="auto"/>
              <w:right w:val="nil"/>
            </w:tcBorders>
            <w:shd w:val="clear" w:color="000000" w:fill="FFFFFF"/>
            <w:noWrap/>
            <w:vAlign w:val="bottom"/>
            <w:hideMark/>
          </w:tcPr>
          <w:p w:rsidR="00BC2364" w:rsidRPr="00697B5F" w:rsidRDefault="00BC2364" w:rsidP="00BC2364">
            <w:pPr>
              <w:spacing w:before="0" w:after="0" w:line="240" w:lineRule="auto"/>
              <w:jc w:val="right"/>
              <w:rPr>
                <w:rFonts w:cs="Arial"/>
                <w:color w:val="000000"/>
                <w:sz w:val="18"/>
                <w:szCs w:val="18"/>
              </w:rPr>
            </w:pPr>
          </w:p>
        </w:tc>
        <w:tc>
          <w:tcPr>
            <w:tcW w:w="1649" w:type="dxa"/>
            <w:tcBorders>
              <w:top w:val="nil"/>
              <w:left w:val="nil"/>
              <w:bottom w:val="single" w:sz="4" w:space="0" w:color="auto"/>
              <w:right w:val="nil"/>
            </w:tcBorders>
            <w:shd w:val="clear" w:color="000000" w:fill="FFFFFF"/>
            <w:noWrap/>
            <w:vAlign w:val="bottom"/>
            <w:hideMark/>
          </w:tcPr>
          <w:p w:rsidR="00BC2364" w:rsidRPr="00697B5F" w:rsidRDefault="00BC2364" w:rsidP="005A2DFD">
            <w:pPr>
              <w:spacing w:before="0" w:after="0" w:line="240" w:lineRule="auto"/>
              <w:jc w:val="right"/>
              <w:rPr>
                <w:rFonts w:cs="Arial"/>
                <w:color w:val="000000"/>
                <w:sz w:val="18"/>
                <w:szCs w:val="18"/>
              </w:rPr>
            </w:pPr>
            <w:r w:rsidRPr="00697B5F">
              <w:rPr>
                <w:rFonts w:cs="Arial"/>
                <w:color w:val="000000"/>
                <w:sz w:val="18"/>
                <w:szCs w:val="18"/>
              </w:rPr>
              <w:t>($)</w:t>
            </w:r>
          </w:p>
        </w:tc>
      </w:tr>
      <w:tr w:rsidR="00BC2364" w:rsidRPr="00697B5F" w:rsidTr="005351D3">
        <w:trPr>
          <w:trHeight w:val="300"/>
          <w:jc w:val="center"/>
        </w:trPr>
        <w:tc>
          <w:tcPr>
            <w:tcW w:w="1300" w:type="dxa"/>
            <w:tcBorders>
              <w:top w:val="nil"/>
              <w:left w:val="nil"/>
              <w:bottom w:val="nil"/>
              <w:right w:val="nil"/>
            </w:tcBorders>
            <w:shd w:val="clear" w:color="000000" w:fill="FFFFFF"/>
            <w:noWrap/>
            <w:vAlign w:val="center"/>
            <w:hideMark/>
          </w:tcPr>
          <w:p w:rsidR="00BC2364" w:rsidRPr="00697B5F" w:rsidRDefault="00BC2364" w:rsidP="00BC2364">
            <w:pPr>
              <w:spacing w:before="0" w:after="0" w:line="240" w:lineRule="auto"/>
              <w:rPr>
                <w:rFonts w:cs="Arial"/>
                <w:color w:val="000000"/>
                <w:sz w:val="18"/>
                <w:szCs w:val="18"/>
              </w:rPr>
            </w:pPr>
            <w:r w:rsidRPr="00697B5F">
              <w:rPr>
                <w:rFonts w:cs="Arial"/>
                <w:color w:val="000000"/>
                <w:sz w:val="18"/>
                <w:szCs w:val="18"/>
              </w:rPr>
              <w:t>QLD</w:t>
            </w:r>
          </w:p>
        </w:tc>
        <w:tc>
          <w:tcPr>
            <w:tcW w:w="960" w:type="dxa"/>
            <w:tcBorders>
              <w:top w:val="nil"/>
              <w:left w:val="nil"/>
              <w:bottom w:val="nil"/>
              <w:right w:val="nil"/>
            </w:tcBorders>
            <w:shd w:val="clear" w:color="000000" w:fill="FFFFFF"/>
            <w:noWrap/>
            <w:vAlign w:val="center"/>
          </w:tcPr>
          <w:p w:rsidR="00BC2364" w:rsidRPr="00697B5F" w:rsidRDefault="00BC2364" w:rsidP="00BC2364">
            <w:pPr>
              <w:spacing w:before="0" w:after="0" w:line="240" w:lineRule="auto"/>
              <w:jc w:val="right"/>
              <w:rPr>
                <w:rFonts w:cs="Arial"/>
                <w:color w:val="000000"/>
                <w:sz w:val="18"/>
                <w:szCs w:val="18"/>
              </w:rPr>
            </w:pPr>
            <w:r>
              <w:rPr>
                <w:rFonts w:cs="Arial"/>
                <w:color w:val="000000"/>
                <w:sz w:val="18"/>
                <w:szCs w:val="18"/>
              </w:rPr>
              <w:t>32,706</w:t>
            </w:r>
          </w:p>
        </w:tc>
        <w:tc>
          <w:tcPr>
            <w:tcW w:w="1649" w:type="dxa"/>
            <w:tcBorders>
              <w:top w:val="nil"/>
              <w:left w:val="nil"/>
              <w:bottom w:val="nil"/>
              <w:right w:val="nil"/>
            </w:tcBorders>
            <w:shd w:val="clear" w:color="000000" w:fill="FFFFFF"/>
            <w:noWrap/>
            <w:vAlign w:val="center"/>
          </w:tcPr>
          <w:p w:rsidR="00BC2364" w:rsidRPr="00697B5F" w:rsidRDefault="00BC2364" w:rsidP="00BC2364">
            <w:pPr>
              <w:spacing w:before="0" w:after="0" w:line="240" w:lineRule="auto"/>
              <w:jc w:val="right"/>
              <w:rPr>
                <w:rFonts w:cs="Arial"/>
                <w:color w:val="000000"/>
                <w:sz w:val="18"/>
                <w:szCs w:val="18"/>
              </w:rPr>
            </w:pPr>
            <w:r w:rsidRPr="00BC2364">
              <w:rPr>
                <w:rFonts w:cs="Arial"/>
                <w:color w:val="000000"/>
                <w:sz w:val="18"/>
                <w:szCs w:val="18"/>
              </w:rPr>
              <w:t>13,635</w:t>
            </w:r>
          </w:p>
        </w:tc>
      </w:tr>
      <w:tr w:rsidR="00BC2364" w:rsidRPr="00697B5F" w:rsidTr="005351D3">
        <w:trPr>
          <w:trHeight w:val="300"/>
          <w:jc w:val="center"/>
        </w:trPr>
        <w:tc>
          <w:tcPr>
            <w:tcW w:w="1300" w:type="dxa"/>
            <w:tcBorders>
              <w:top w:val="nil"/>
              <w:left w:val="nil"/>
              <w:bottom w:val="nil"/>
              <w:right w:val="nil"/>
            </w:tcBorders>
            <w:shd w:val="clear" w:color="000000" w:fill="FFFFFF"/>
            <w:noWrap/>
            <w:vAlign w:val="center"/>
            <w:hideMark/>
          </w:tcPr>
          <w:p w:rsidR="00BC2364" w:rsidRPr="00697B5F" w:rsidRDefault="00BC2364" w:rsidP="00BC2364">
            <w:pPr>
              <w:spacing w:before="0" w:after="0" w:line="240" w:lineRule="auto"/>
              <w:rPr>
                <w:rFonts w:cs="Arial"/>
                <w:color w:val="000000"/>
                <w:sz w:val="18"/>
                <w:szCs w:val="18"/>
              </w:rPr>
            </w:pPr>
            <w:r w:rsidRPr="00697B5F">
              <w:rPr>
                <w:rFonts w:cs="Arial"/>
                <w:color w:val="000000"/>
                <w:sz w:val="18"/>
                <w:szCs w:val="18"/>
              </w:rPr>
              <w:t>SA</w:t>
            </w:r>
          </w:p>
        </w:tc>
        <w:tc>
          <w:tcPr>
            <w:tcW w:w="960" w:type="dxa"/>
            <w:tcBorders>
              <w:top w:val="nil"/>
              <w:left w:val="nil"/>
              <w:bottom w:val="nil"/>
              <w:right w:val="nil"/>
            </w:tcBorders>
            <w:shd w:val="clear" w:color="000000" w:fill="FFFFFF"/>
            <w:noWrap/>
            <w:vAlign w:val="center"/>
          </w:tcPr>
          <w:p w:rsidR="00BC2364" w:rsidRPr="00697B5F" w:rsidRDefault="00BC2364" w:rsidP="00BC2364">
            <w:pPr>
              <w:spacing w:before="0" w:after="0" w:line="240" w:lineRule="auto"/>
              <w:jc w:val="right"/>
              <w:rPr>
                <w:rFonts w:cs="Arial"/>
                <w:color w:val="000000"/>
                <w:sz w:val="18"/>
                <w:szCs w:val="18"/>
              </w:rPr>
            </w:pPr>
            <w:r>
              <w:rPr>
                <w:rFonts w:cs="Arial"/>
                <w:color w:val="000000"/>
                <w:sz w:val="18"/>
                <w:szCs w:val="18"/>
              </w:rPr>
              <w:t>14,286</w:t>
            </w:r>
          </w:p>
        </w:tc>
        <w:tc>
          <w:tcPr>
            <w:tcW w:w="1649" w:type="dxa"/>
            <w:tcBorders>
              <w:top w:val="nil"/>
              <w:left w:val="nil"/>
              <w:bottom w:val="nil"/>
              <w:right w:val="nil"/>
            </w:tcBorders>
            <w:shd w:val="clear" w:color="000000" w:fill="FFFFFF"/>
            <w:noWrap/>
            <w:vAlign w:val="center"/>
          </w:tcPr>
          <w:p w:rsidR="00BC2364" w:rsidRPr="00697B5F" w:rsidRDefault="00BC2364" w:rsidP="00BC2364">
            <w:pPr>
              <w:spacing w:before="0" w:after="0" w:line="240" w:lineRule="auto"/>
              <w:jc w:val="right"/>
              <w:rPr>
                <w:rFonts w:cs="Arial"/>
                <w:color w:val="000000"/>
                <w:sz w:val="18"/>
                <w:szCs w:val="18"/>
              </w:rPr>
            </w:pPr>
            <w:r w:rsidRPr="00BC2364">
              <w:rPr>
                <w:rFonts w:cs="Arial"/>
                <w:color w:val="000000"/>
                <w:sz w:val="18"/>
                <w:szCs w:val="18"/>
              </w:rPr>
              <w:t>11,530</w:t>
            </w:r>
          </w:p>
        </w:tc>
      </w:tr>
      <w:tr w:rsidR="00BC2364" w:rsidRPr="00697B5F" w:rsidTr="005351D3">
        <w:trPr>
          <w:trHeight w:val="300"/>
          <w:jc w:val="center"/>
        </w:trPr>
        <w:tc>
          <w:tcPr>
            <w:tcW w:w="1300" w:type="dxa"/>
            <w:tcBorders>
              <w:top w:val="nil"/>
              <w:left w:val="nil"/>
              <w:right w:val="nil"/>
            </w:tcBorders>
            <w:shd w:val="clear" w:color="000000" w:fill="FFFFFF"/>
            <w:noWrap/>
            <w:vAlign w:val="center"/>
            <w:hideMark/>
          </w:tcPr>
          <w:p w:rsidR="00BC2364" w:rsidRPr="00697B5F" w:rsidRDefault="00BC2364" w:rsidP="00BC2364">
            <w:pPr>
              <w:spacing w:before="0" w:after="0" w:line="240" w:lineRule="auto"/>
              <w:rPr>
                <w:rFonts w:cs="Arial"/>
                <w:color w:val="000000"/>
                <w:sz w:val="18"/>
                <w:szCs w:val="18"/>
              </w:rPr>
            </w:pPr>
            <w:r w:rsidRPr="00697B5F">
              <w:rPr>
                <w:rFonts w:cs="Arial"/>
                <w:color w:val="000000"/>
                <w:sz w:val="18"/>
                <w:szCs w:val="18"/>
              </w:rPr>
              <w:t>WA</w:t>
            </w:r>
          </w:p>
        </w:tc>
        <w:tc>
          <w:tcPr>
            <w:tcW w:w="960" w:type="dxa"/>
            <w:tcBorders>
              <w:top w:val="nil"/>
              <w:left w:val="nil"/>
              <w:right w:val="nil"/>
            </w:tcBorders>
            <w:shd w:val="clear" w:color="000000" w:fill="FFFFFF"/>
            <w:noWrap/>
            <w:vAlign w:val="center"/>
          </w:tcPr>
          <w:p w:rsidR="00BC2364" w:rsidRPr="00697B5F" w:rsidRDefault="00BC2364" w:rsidP="00BC2364">
            <w:pPr>
              <w:spacing w:before="0" w:after="0" w:line="240" w:lineRule="auto"/>
              <w:jc w:val="right"/>
              <w:rPr>
                <w:rFonts w:cs="Arial"/>
                <w:color w:val="000000"/>
                <w:sz w:val="18"/>
                <w:szCs w:val="18"/>
              </w:rPr>
            </w:pPr>
            <w:r>
              <w:rPr>
                <w:rFonts w:cs="Arial"/>
                <w:color w:val="000000"/>
                <w:sz w:val="18"/>
                <w:szCs w:val="18"/>
              </w:rPr>
              <w:t>5,898</w:t>
            </w:r>
          </w:p>
        </w:tc>
        <w:tc>
          <w:tcPr>
            <w:tcW w:w="1649" w:type="dxa"/>
            <w:tcBorders>
              <w:top w:val="nil"/>
              <w:left w:val="nil"/>
              <w:right w:val="nil"/>
            </w:tcBorders>
            <w:shd w:val="clear" w:color="000000" w:fill="FFFFFF"/>
            <w:noWrap/>
            <w:vAlign w:val="center"/>
          </w:tcPr>
          <w:p w:rsidR="00BC2364" w:rsidRPr="00697B5F" w:rsidRDefault="00BC2364" w:rsidP="00BC2364">
            <w:pPr>
              <w:spacing w:before="0" w:after="0" w:line="240" w:lineRule="auto"/>
              <w:jc w:val="right"/>
              <w:rPr>
                <w:rFonts w:cs="Arial"/>
                <w:color w:val="000000"/>
                <w:sz w:val="18"/>
                <w:szCs w:val="18"/>
              </w:rPr>
            </w:pPr>
            <w:r w:rsidRPr="00BC2364">
              <w:rPr>
                <w:rFonts w:cs="Arial"/>
                <w:color w:val="000000"/>
                <w:sz w:val="18"/>
                <w:szCs w:val="18"/>
              </w:rPr>
              <w:t>22,594</w:t>
            </w:r>
          </w:p>
        </w:tc>
      </w:tr>
      <w:tr w:rsidR="00BC2364" w:rsidRPr="00697B5F" w:rsidTr="005351D3">
        <w:trPr>
          <w:trHeight w:val="300"/>
          <w:jc w:val="center"/>
        </w:trPr>
        <w:tc>
          <w:tcPr>
            <w:tcW w:w="1300" w:type="dxa"/>
            <w:tcBorders>
              <w:top w:val="nil"/>
              <w:left w:val="nil"/>
              <w:bottom w:val="single" w:sz="4" w:space="0" w:color="auto"/>
              <w:right w:val="nil"/>
            </w:tcBorders>
            <w:shd w:val="clear" w:color="000000" w:fill="FFFFFF"/>
            <w:noWrap/>
            <w:vAlign w:val="center"/>
            <w:hideMark/>
          </w:tcPr>
          <w:p w:rsidR="00BC2364" w:rsidRPr="00697B5F" w:rsidRDefault="00BC2364" w:rsidP="00BC2364">
            <w:pPr>
              <w:spacing w:before="0" w:after="0" w:line="240" w:lineRule="auto"/>
              <w:rPr>
                <w:rFonts w:cs="Arial"/>
                <w:color w:val="000000"/>
                <w:sz w:val="18"/>
                <w:szCs w:val="18"/>
              </w:rPr>
            </w:pPr>
            <w:r w:rsidRPr="00697B5F">
              <w:rPr>
                <w:rFonts w:cs="Arial"/>
                <w:color w:val="000000"/>
                <w:sz w:val="18"/>
                <w:szCs w:val="18"/>
              </w:rPr>
              <w:t>ACT</w:t>
            </w:r>
          </w:p>
        </w:tc>
        <w:tc>
          <w:tcPr>
            <w:tcW w:w="960" w:type="dxa"/>
            <w:tcBorders>
              <w:top w:val="nil"/>
              <w:left w:val="nil"/>
              <w:bottom w:val="single" w:sz="4" w:space="0" w:color="auto"/>
              <w:right w:val="nil"/>
            </w:tcBorders>
            <w:shd w:val="clear" w:color="000000" w:fill="FFFFFF"/>
            <w:noWrap/>
            <w:vAlign w:val="center"/>
          </w:tcPr>
          <w:p w:rsidR="00BC2364" w:rsidRPr="00697B5F" w:rsidRDefault="00BC2364" w:rsidP="00BC2364">
            <w:pPr>
              <w:spacing w:before="0" w:after="0" w:line="240" w:lineRule="auto"/>
              <w:jc w:val="right"/>
              <w:rPr>
                <w:rFonts w:cs="Arial"/>
                <w:color w:val="000000"/>
                <w:sz w:val="18"/>
                <w:szCs w:val="18"/>
              </w:rPr>
            </w:pPr>
            <w:r>
              <w:rPr>
                <w:rFonts w:cs="Arial"/>
                <w:color w:val="000000"/>
                <w:sz w:val="18"/>
                <w:szCs w:val="18"/>
              </w:rPr>
              <w:t>32</w:t>
            </w:r>
          </w:p>
        </w:tc>
        <w:tc>
          <w:tcPr>
            <w:tcW w:w="1649" w:type="dxa"/>
            <w:tcBorders>
              <w:top w:val="nil"/>
              <w:left w:val="nil"/>
              <w:bottom w:val="single" w:sz="4" w:space="0" w:color="auto"/>
              <w:right w:val="nil"/>
            </w:tcBorders>
            <w:shd w:val="clear" w:color="000000" w:fill="FFFFFF"/>
            <w:noWrap/>
            <w:vAlign w:val="center"/>
          </w:tcPr>
          <w:p w:rsidR="00BC2364" w:rsidRPr="00697B5F" w:rsidRDefault="00BC2364" w:rsidP="00BC2364">
            <w:pPr>
              <w:spacing w:before="0" w:after="0" w:line="240" w:lineRule="auto"/>
              <w:jc w:val="right"/>
              <w:rPr>
                <w:rFonts w:cs="Arial"/>
                <w:color w:val="000000"/>
                <w:sz w:val="18"/>
                <w:szCs w:val="18"/>
              </w:rPr>
            </w:pPr>
            <w:r w:rsidRPr="00BC2364">
              <w:rPr>
                <w:rFonts w:cs="Arial"/>
                <w:color w:val="000000"/>
                <w:sz w:val="18"/>
                <w:szCs w:val="18"/>
              </w:rPr>
              <w:t>18,238</w:t>
            </w:r>
          </w:p>
        </w:tc>
      </w:tr>
    </w:tbl>
    <w:p w:rsidR="00E521E0" w:rsidRPr="00C7496A" w:rsidRDefault="00E521E0" w:rsidP="003B4C44">
      <w:pPr>
        <w:pStyle w:val="Heading1"/>
      </w:pPr>
      <w:bookmarkStart w:id="66" w:name="_Toc530055090"/>
      <w:r>
        <w:lastRenderedPageBreak/>
        <w:t>Supplementary material</w:t>
      </w:r>
      <w:bookmarkEnd w:id="62"/>
      <w:bookmarkEnd w:id="66"/>
    </w:p>
    <w:p w:rsidR="00E521E0" w:rsidRDefault="00195004" w:rsidP="00E521E0">
      <w:pPr>
        <w:rPr>
          <w:rFonts w:cs="Arial"/>
          <w:szCs w:val="22"/>
        </w:rPr>
      </w:pPr>
      <w:r>
        <w:rPr>
          <w:rFonts w:cs="Arial"/>
          <w:szCs w:val="22"/>
        </w:rPr>
        <w:t>More information about th</w:t>
      </w:r>
      <w:r w:rsidR="00E521E0">
        <w:rPr>
          <w:rFonts w:cs="Arial"/>
          <w:szCs w:val="22"/>
        </w:rPr>
        <w:t xml:space="preserve">e Round 21 </w:t>
      </w:r>
      <w:r>
        <w:rPr>
          <w:rFonts w:cs="Arial"/>
          <w:szCs w:val="22"/>
        </w:rPr>
        <w:t>NHCDC results is available in the following supplementary material:</w:t>
      </w:r>
    </w:p>
    <w:p w:rsidR="00E521E0" w:rsidRDefault="00C44B10" w:rsidP="002A3926">
      <w:pPr>
        <w:pStyle w:val="ListParagraph"/>
      </w:pPr>
      <w:r>
        <w:rPr>
          <w:b/>
        </w:rPr>
        <w:t xml:space="preserve">Round 21 </w:t>
      </w:r>
      <w:r w:rsidR="005A3868">
        <w:rPr>
          <w:b/>
        </w:rPr>
        <w:t>NHCDC</w:t>
      </w:r>
      <w:r w:rsidR="00E521E0" w:rsidRPr="00E521E0">
        <w:rPr>
          <w:b/>
        </w:rPr>
        <w:t xml:space="preserve"> Report Appendix tables</w:t>
      </w:r>
      <w:r w:rsidR="00E521E0">
        <w:t xml:space="preserve"> – </w:t>
      </w:r>
      <w:r w:rsidR="00B66B9C">
        <w:t>D</w:t>
      </w:r>
      <w:r w:rsidR="00E521E0">
        <w:t xml:space="preserve">etailed </w:t>
      </w:r>
      <w:r w:rsidR="00B66B9C">
        <w:t xml:space="preserve">multi-year NHCDC </w:t>
      </w:r>
      <w:r w:rsidR="00E521E0">
        <w:t>results by activity stream and jurisdiction</w:t>
      </w:r>
      <w:r w:rsidR="00956916">
        <w:t>.</w:t>
      </w:r>
      <w:r w:rsidR="00CB4C9A">
        <w:t xml:space="preserve"> Refer to Appendix A.</w:t>
      </w:r>
    </w:p>
    <w:p w:rsidR="00CB4C9A" w:rsidRDefault="00CB4C9A" w:rsidP="00CB4C9A">
      <w:pPr>
        <w:spacing w:before="0" w:after="0" w:line="240" w:lineRule="auto"/>
      </w:pPr>
    </w:p>
    <w:p w:rsidR="00CB4C9A" w:rsidRPr="00C7496A" w:rsidRDefault="00CB4C9A" w:rsidP="003B4C44">
      <w:pPr>
        <w:pStyle w:val="Heading1"/>
      </w:pPr>
      <w:bookmarkStart w:id="67" w:name="_Toc530055091"/>
      <w:r>
        <w:t>Data Quality Sta</w:t>
      </w:r>
      <w:r w:rsidR="00A45CD6">
        <w:t>tements</w:t>
      </w:r>
      <w:bookmarkEnd w:id="67"/>
    </w:p>
    <w:p w:rsidR="00CB4C9A" w:rsidRDefault="00EF34FD" w:rsidP="00CB4C9A">
      <w:r>
        <w:rPr>
          <w:rFonts w:cs="Arial"/>
          <w:szCs w:val="22"/>
        </w:rPr>
        <w:t>Each jurisdiction provides IHPA with a Data Quality Statement (</w:t>
      </w:r>
      <w:r w:rsidR="00CB4C9A">
        <w:rPr>
          <w:rFonts w:cs="Arial"/>
          <w:szCs w:val="22"/>
        </w:rPr>
        <w:t>Appendix B</w:t>
      </w:r>
      <w:r>
        <w:rPr>
          <w:rFonts w:cs="Arial"/>
          <w:szCs w:val="22"/>
        </w:rPr>
        <w:t xml:space="preserve">) </w:t>
      </w:r>
      <w:r w:rsidR="00C8702F">
        <w:t>to highlight key aspects that may impact on a jurisdiction’s results. This may include variations with respect to costs, practices, participation and coverage of results that have occurred in the Round.</w:t>
      </w:r>
    </w:p>
    <w:p w:rsidR="00EF34FD" w:rsidRDefault="00EF34FD" w:rsidP="00CB4C9A">
      <w:pPr>
        <w:rPr>
          <w:rFonts w:cs="Arial"/>
          <w:szCs w:val="22"/>
        </w:rPr>
      </w:pPr>
      <w:r>
        <w:t xml:space="preserve">These Data Quality Statements should be considered when reading the </w:t>
      </w:r>
      <w:r w:rsidR="005A3868">
        <w:t>NHCDC</w:t>
      </w:r>
      <w:r>
        <w:t xml:space="preserve"> Report and when using data included in the report.</w:t>
      </w:r>
    </w:p>
    <w:p w:rsidR="005D59CB" w:rsidRDefault="005D59CB">
      <w:pPr>
        <w:spacing w:before="0" w:after="0" w:line="240" w:lineRule="auto"/>
      </w:pPr>
      <w:r>
        <w:br w:type="page"/>
      </w:r>
    </w:p>
    <w:p w:rsidR="005D59CB" w:rsidRDefault="005D59CB" w:rsidP="005D59CB">
      <w:pPr>
        <w:rPr>
          <w:rFonts w:cs="Arial"/>
          <w:b/>
          <w:sz w:val="32"/>
          <w:szCs w:val="32"/>
        </w:rPr>
      </w:pPr>
      <w:r>
        <w:rPr>
          <w:rFonts w:cs="Arial"/>
          <w:b/>
          <w:sz w:val="32"/>
          <w:szCs w:val="32"/>
        </w:rPr>
        <w:lastRenderedPageBreak/>
        <w:t xml:space="preserve">Appendix B. Data Quality Statements </w:t>
      </w:r>
    </w:p>
    <w:p w:rsidR="005D59CB" w:rsidRPr="005D59CB" w:rsidRDefault="005D59CB" w:rsidP="005D59CB">
      <w:pPr>
        <w:rPr>
          <w:rFonts w:cs="Arial"/>
          <w:b/>
          <w:sz w:val="32"/>
          <w:szCs w:val="32"/>
        </w:rPr>
      </w:pPr>
      <w:r w:rsidRPr="00993598">
        <w:rPr>
          <w:rFonts w:cs="Arial"/>
          <w:b/>
          <w:sz w:val="28"/>
          <w:szCs w:val="28"/>
        </w:rPr>
        <w:t>ACT</w:t>
      </w:r>
    </w:p>
    <w:p w:rsidR="005D59CB" w:rsidRPr="00CB4C9A" w:rsidRDefault="005D59CB" w:rsidP="005D59CB">
      <w:r>
        <w:rPr>
          <w:rFonts w:eastAsia="Arial" w:cs="Arial"/>
          <w:noProof/>
          <w:szCs w:val="22"/>
        </w:rPr>
        <w:drawing>
          <wp:anchor distT="0" distB="0" distL="114300" distR="114300" simplePos="0" relativeHeight="251683840" behindDoc="0" locked="0" layoutInCell="1" allowOverlap="1" wp14:anchorId="1DB8C104" wp14:editId="53D17A43">
            <wp:simplePos x="0" y="0"/>
            <wp:positionH relativeFrom="column">
              <wp:posOffset>4445</wp:posOffset>
            </wp:positionH>
            <wp:positionV relativeFrom="paragraph">
              <wp:posOffset>-3175</wp:posOffset>
            </wp:positionV>
            <wp:extent cx="5572125" cy="8046085"/>
            <wp:effectExtent l="0" t="0" r="9525"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112" t="559" r="953"/>
                    <a:stretch/>
                  </pic:blipFill>
                  <pic:spPr bwMode="auto">
                    <a:xfrm>
                      <a:off x="0" y="0"/>
                      <a:ext cx="5572125" cy="8046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D59CB" w:rsidRDefault="005D59CB">
      <w:pPr>
        <w:spacing w:before="0" w:after="0" w:line="240" w:lineRule="auto"/>
      </w:pPr>
      <w:r>
        <w:br w:type="page"/>
      </w:r>
    </w:p>
    <w:p w:rsidR="00CB4C9A" w:rsidRPr="00E521E0" w:rsidRDefault="00CB4C9A" w:rsidP="00CB4C9A">
      <w:pPr>
        <w:sectPr w:rsidR="00CB4C9A" w:rsidRPr="00E521E0" w:rsidSect="003C7472">
          <w:headerReference w:type="default" r:id="rId21"/>
          <w:footerReference w:type="default" r:id="rId22"/>
          <w:pgSz w:w="11906" w:h="16838" w:code="9"/>
          <w:pgMar w:top="2041" w:right="1440" w:bottom="1021" w:left="1021" w:header="680" w:footer="510" w:gutter="0"/>
          <w:pgNumType w:start="1"/>
          <w:cols w:space="708"/>
          <w:titlePg/>
          <w:docGrid w:linePitch="360"/>
        </w:sectPr>
      </w:pPr>
    </w:p>
    <w:p w:rsidR="004B6247" w:rsidRPr="00750616" w:rsidRDefault="004B6247" w:rsidP="004B6247">
      <w:pPr>
        <w:pStyle w:val="Heading2"/>
      </w:pPr>
      <w:r>
        <w:rPr>
          <w:noProof/>
        </w:rPr>
        <w:lastRenderedPageBreak/>
        <w:drawing>
          <wp:inline distT="0" distB="0" distL="0" distR="0" wp14:anchorId="264C44F1" wp14:editId="56FD9AE8">
            <wp:extent cx="5997575" cy="8487134"/>
            <wp:effectExtent l="0" t="0" r="317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13958" t="12715" r="33644" b="769"/>
                    <a:stretch/>
                  </pic:blipFill>
                  <pic:spPr bwMode="auto">
                    <a:xfrm>
                      <a:off x="0" y="0"/>
                      <a:ext cx="5997575" cy="8487134"/>
                    </a:xfrm>
                    <a:prstGeom prst="rect">
                      <a:avLst/>
                    </a:prstGeom>
                    <a:ln>
                      <a:noFill/>
                    </a:ln>
                    <a:extLst>
                      <a:ext uri="{53640926-AAD7-44D8-BBD7-CCE9431645EC}">
                        <a14:shadowObscured xmlns:a14="http://schemas.microsoft.com/office/drawing/2010/main"/>
                      </a:ext>
                    </a:extLst>
                  </pic:spPr>
                </pic:pic>
              </a:graphicData>
            </a:graphic>
          </wp:inline>
        </w:drawing>
      </w:r>
      <w:r w:rsidRPr="004B6247">
        <w:lastRenderedPageBreak/>
        <w:t xml:space="preserve"> </w:t>
      </w:r>
      <w:r w:rsidRPr="00750616">
        <w:t>N</w:t>
      </w:r>
      <w:r>
        <w:t xml:space="preserve">ew </w:t>
      </w:r>
      <w:r w:rsidRPr="00750616">
        <w:t>S</w:t>
      </w:r>
      <w:r>
        <w:t xml:space="preserve">outh </w:t>
      </w:r>
      <w:r w:rsidRPr="00750616">
        <w:t>W</w:t>
      </w:r>
      <w:r>
        <w:t>ales</w:t>
      </w:r>
    </w:p>
    <w:p w:rsidR="004B6247" w:rsidRDefault="004B6247">
      <w:pPr>
        <w:spacing w:before="0" w:after="0" w:line="240" w:lineRule="auto"/>
      </w:pPr>
      <w:r>
        <w:rPr>
          <w:noProof/>
        </w:rPr>
        <w:drawing>
          <wp:anchor distT="0" distB="0" distL="114300" distR="114300" simplePos="0" relativeHeight="251684864" behindDoc="0" locked="0" layoutInCell="1" allowOverlap="1" wp14:anchorId="5A2C8973" wp14:editId="79A1F271">
            <wp:simplePos x="0" y="0"/>
            <wp:positionH relativeFrom="column">
              <wp:posOffset>4808</wp:posOffset>
            </wp:positionH>
            <wp:positionV relativeFrom="paragraph">
              <wp:posOffset>27932</wp:posOffset>
            </wp:positionV>
            <wp:extent cx="5818909" cy="8021782"/>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28A0092B-C50C-407E-A947-70E740481C1C}">
                          <a14:useLocalDpi xmlns:a14="http://schemas.microsoft.com/office/drawing/2010/main" val="0"/>
                        </a:ext>
                      </a:extLst>
                    </a:blip>
                    <a:srcRect l="15871" t="17565" r="36036" b="6783"/>
                    <a:stretch/>
                  </pic:blipFill>
                  <pic:spPr bwMode="auto">
                    <a:xfrm>
                      <a:off x="0" y="0"/>
                      <a:ext cx="5820103" cy="802342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rsidR="004B6247" w:rsidRPr="0080683C" w:rsidRDefault="004B6247" w:rsidP="004B6247">
      <w:pPr>
        <w:pStyle w:val="Heading3"/>
        <w:spacing w:before="0" w:after="0"/>
      </w:pPr>
      <w:r w:rsidRPr="0080683C">
        <w:lastRenderedPageBreak/>
        <w:t>Overview</w:t>
      </w:r>
    </w:p>
    <w:p w:rsidR="004B6247" w:rsidRDefault="004B6247" w:rsidP="004B6247">
      <w:pPr>
        <w:spacing w:after="0" w:line="240" w:lineRule="auto"/>
      </w:pPr>
      <w:r w:rsidRPr="0067118E">
        <w:t xml:space="preserve">The NSW Round </w:t>
      </w:r>
      <w:r>
        <w:t xml:space="preserve">21 </w:t>
      </w:r>
      <w:r w:rsidRPr="0067118E">
        <w:t>201</w:t>
      </w:r>
      <w:r>
        <w:t>6-</w:t>
      </w:r>
      <w:r w:rsidRPr="0067118E">
        <w:t>1</w:t>
      </w:r>
      <w:r>
        <w:t>7</w:t>
      </w:r>
      <w:r w:rsidRPr="0067118E">
        <w:t xml:space="preserve"> N</w:t>
      </w:r>
      <w:r>
        <w:t xml:space="preserve">ational </w:t>
      </w:r>
      <w:r w:rsidRPr="0067118E">
        <w:t>H</w:t>
      </w:r>
      <w:r>
        <w:t xml:space="preserve">ospital </w:t>
      </w:r>
      <w:r w:rsidRPr="0067118E">
        <w:t>C</w:t>
      </w:r>
      <w:r>
        <w:t xml:space="preserve">ost </w:t>
      </w:r>
      <w:r w:rsidRPr="0067118E">
        <w:t>D</w:t>
      </w:r>
      <w:r>
        <w:t xml:space="preserve">ata </w:t>
      </w:r>
      <w:r w:rsidRPr="0067118E">
        <w:t>C</w:t>
      </w:r>
      <w:r>
        <w:t>ollection (NHCDC)</w:t>
      </w:r>
      <w:r w:rsidRPr="0067118E">
        <w:t xml:space="preserve"> is based on the NSW </w:t>
      </w:r>
      <w:r>
        <w:t xml:space="preserve">Health </w:t>
      </w:r>
      <w:r w:rsidRPr="0067118E">
        <w:t>District and Network Return (DNR)</w:t>
      </w:r>
      <w:r>
        <w:t xml:space="preserve">. </w:t>
      </w:r>
      <w:r w:rsidRPr="0067118E">
        <w:t xml:space="preserve">Guidelines for preparing, quality checking and submitting the DNR are published in the NSW </w:t>
      </w:r>
      <w:r>
        <w:t xml:space="preserve">Health </w:t>
      </w:r>
      <w:r w:rsidRPr="0067118E">
        <w:t>Cost Accounting Guidelines (CA</w:t>
      </w:r>
      <w:r>
        <w:t xml:space="preserve">G), which aligns to Version </w:t>
      </w:r>
      <w:r w:rsidRPr="0067118E">
        <w:t>3.1 of the Australian Hospital Patient Costing Standards</w:t>
      </w:r>
      <w:r>
        <w:t xml:space="preserve"> (AHPCS)</w:t>
      </w:r>
      <w:r w:rsidRPr="0067118E">
        <w:t>.</w:t>
      </w:r>
      <w:r>
        <w:t xml:space="preserve"> Version 4.0 of the AHPCS will be implemented throughout 2018-19.</w:t>
      </w:r>
    </w:p>
    <w:p w:rsidR="004B6247" w:rsidRPr="0067118E" w:rsidRDefault="004B6247" w:rsidP="004B6247">
      <w:pPr>
        <w:spacing w:after="0" w:line="240" w:lineRule="auto"/>
      </w:pPr>
    </w:p>
    <w:p w:rsidR="004B6247" w:rsidRDefault="004B6247" w:rsidP="004B6247">
      <w:pPr>
        <w:spacing w:after="0" w:line="240" w:lineRule="auto"/>
      </w:pPr>
      <w:r w:rsidRPr="0067118E">
        <w:t xml:space="preserve">The DNR is prepared and submitted by each of the 15 Local Health Districts and </w:t>
      </w:r>
      <w:r>
        <w:t>three Specialty</w:t>
      </w:r>
      <w:r w:rsidRPr="0067118E">
        <w:t xml:space="preserve"> Health Networks</w:t>
      </w:r>
      <w:r>
        <w:t xml:space="preserve"> (Districts/Networks). </w:t>
      </w:r>
      <w:r w:rsidRPr="0067118E">
        <w:t xml:space="preserve">In NSW, financial results are </w:t>
      </w:r>
      <w:r>
        <w:t>published and audited</w:t>
      </w:r>
      <w:r w:rsidRPr="0067118E">
        <w:t xml:space="preserve"> at the </w:t>
      </w:r>
      <w:r>
        <w:t>District/Network</w:t>
      </w:r>
      <w:r w:rsidRPr="0067118E">
        <w:t xml:space="preserve"> level and not at hospital level.</w:t>
      </w:r>
    </w:p>
    <w:p w:rsidR="004B6247" w:rsidRPr="0067118E" w:rsidRDefault="004B6247" w:rsidP="004B6247">
      <w:pPr>
        <w:spacing w:after="0" w:line="240" w:lineRule="auto"/>
      </w:pPr>
    </w:p>
    <w:p w:rsidR="004B6247" w:rsidRDefault="004B6247" w:rsidP="004B6247">
      <w:pPr>
        <w:spacing w:after="0" w:line="240" w:lineRule="auto"/>
      </w:pPr>
      <w:r w:rsidRPr="0067118E">
        <w:t xml:space="preserve">The DNR includes all products for all </w:t>
      </w:r>
      <w:r>
        <w:t>Districts/Networks</w:t>
      </w:r>
      <w:r w:rsidRPr="0067118E">
        <w:t xml:space="preserve"> and reconcile</w:t>
      </w:r>
      <w:r>
        <w:t>s</w:t>
      </w:r>
      <w:r w:rsidRPr="0067118E">
        <w:t xml:space="preserve"> to the published financial results. DNR</w:t>
      </w:r>
      <w:r>
        <w:t>s</w:t>
      </w:r>
      <w:r w:rsidRPr="0067118E">
        <w:t xml:space="preserve"> are consolidated and formatte</w:t>
      </w:r>
      <w:r>
        <w:t xml:space="preserve">d to comply with the NHCDC data </w:t>
      </w:r>
      <w:r w:rsidRPr="0067118E">
        <w:t xml:space="preserve">set specifications. </w:t>
      </w:r>
      <w:r>
        <w:t xml:space="preserve">To comply with Independent Hospital Pricing Authority (IHPA) </w:t>
      </w:r>
      <w:r w:rsidRPr="007D7616">
        <w:t xml:space="preserve">requirements, work in progress (WIP) </w:t>
      </w:r>
      <w:proofErr w:type="gramStart"/>
      <w:r w:rsidRPr="007D7616">
        <w:t>expense from previous Rounds</w:t>
      </w:r>
      <w:r>
        <w:t xml:space="preserve"> are</w:t>
      </w:r>
      <w:proofErr w:type="gramEnd"/>
      <w:r>
        <w:t xml:space="preserve"> included</w:t>
      </w:r>
      <w:r w:rsidRPr="007D7616">
        <w:t xml:space="preserve">. </w:t>
      </w:r>
    </w:p>
    <w:p w:rsidR="004B6247" w:rsidRPr="0067118E" w:rsidRDefault="004B6247" w:rsidP="004B6247">
      <w:pPr>
        <w:spacing w:after="0" w:line="240" w:lineRule="auto"/>
      </w:pPr>
    </w:p>
    <w:p w:rsidR="004B6247" w:rsidRDefault="004B6247" w:rsidP="004B6247">
      <w:pPr>
        <w:spacing w:after="0" w:line="240" w:lineRule="auto"/>
      </w:pPr>
      <w:r w:rsidRPr="0067118E">
        <w:t>The DNR is a single submission used to satisfy reporting requirements for the NHCDC, Public Hospital Establishment</w:t>
      </w:r>
      <w:r>
        <w:t>s</w:t>
      </w:r>
      <w:r w:rsidRPr="0067118E">
        <w:t xml:space="preserve"> Collection, Mental Health Establishment National Minimum Dataset and Health Expenditure submissions</w:t>
      </w:r>
      <w:r>
        <w:t xml:space="preserve">. </w:t>
      </w:r>
      <w:r w:rsidRPr="0067118E">
        <w:t>This facilitates reconciliation across all reporting requirements.</w:t>
      </w:r>
    </w:p>
    <w:p w:rsidR="004B6247" w:rsidRPr="0067118E" w:rsidRDefault="004B6247" w:rsidP="004B6247">
      <w:pPr>
        <w:spacing w:after="0" w:line="240" w:lineRule="auto"/>
      </w:pPr>
    </w:p>
    <w:p w:rsidR="004B6247" w:rsidRPr="0080683C" w:rsidRDefault="004B6247" w:rsidP="004B6247">
      <w:pPr>
        <w:pStyle w:val="Heading3"/>
        <w:spacing w:before="0" w:after="0"/>
      </w:pPr>
      <w:r w:rsidRPr="0080683C">
        <w:t>Coverage</w:t>
      </w:r>
    </w:p>
    <w:p w:rsidR="004B6247" w:rsidRDefault="004B6247" w:rsidP="004B6247">
      <w:pPr>
        <w:spacing w:after="0" w:line="240" w:lineRule="auto"/>
      </w:pPr>
      <w:r w:rsidRPr="0067118E">
        <w:t xml:space="preserve">NSW submitted patient level data </w:t>
      </w:r>
      <w:r>
        <w:t>for all hospitals considered in-</w:t>
      </w:r>
      <w:r w:rsidRPr="0067118E">
        <w:t>scope for</w:t>
      </w:r>
      <w:r>
        <w:t xml:space="preserve"> activity based funding (ABF) </w:t>
      </w:r>
      <w:r w:rsidRPr="0067118E">
        <w:t>for 201</w:t>
      </w:r>
      <w:r>
        <w:t>6-</w:t>
      </w:r>
      <w:r w:rsidRPr="0067118E">
        <w:t>1</w:t>
      </w:r>
      <w:r>
        <w:t>7;</w:t>
      </w:r>
      <w:r w:rsidRPr="0067118E">
        <w:t xml:space="preserve"> a total of 9</w:t>
      </w:r>
      <w:r>
        <w:t>5</w:t>
      </w:r>
      <w:r w:rsidRPr="0067118E">
        <w:t xml:space="preserve"> hospitals.</w:t>
      </w:r>
    </w:p>
    <w:p w:rsidR="004B6247" w:rsidRDefault="004B6247" w:rsidP="004B6247">
      <w:pPr>
        <w:spacing w:after="0" w:line="240" w:lineRule="auto"/>
      </w:pPr>
    </w:p>
    <w:p w:rsidR="004B6247" w:rsidRDefault="004B6247" w:rsidP="004B6247">
      <w:pPr>
        <w:spacing w:after="0" w:line="240" w:lineRule="auto"/>
      </w:pPr>
      <w:r w:rsidRPr="00C10EC2">
        <w:t>Only patient level</w:t>
      </w:r>
      <w:r>
        <w:t xml:space="preserve"> data is submitted for NSW. No aggregate non-a</w:t>
      </w:r>
      <w:r w:rsidRPr="00C10EC2">
        <w:t xml:space="preserve">dmitted </w:t>
      </w:r>
      <w:r>
        <w:t xml:space="preserve">patient or teaching and training (TT) </w:t>
      </w:r>
      <w:r w:rsidRPr="00C10EC2">
        <w:t>products are submitted for the NHCDC.</w:t>
      </w:r>
    </w:p>
    <w:p w:rsidR="004B6247" w:rsidRPr="0067118E" w:rsidRDefault="004B6247" w:rsidP="004B6247">
      <w:pPr>
        <w:spacing w:after="0" w:line="240" w:lineRule="auto"/>
      </w:pPr>
    </w:p>
    <w:p w:rsidR="004B6247" w:rsidRDefault="004B6247" w:rsidP="004B6247">
      <w:pPr>
        <w:spacing w:after="0" w:line="240" w:lineRule="auto"/>
      </w:pPr>
      <w:r w:rsidRPr="00DD728A">
        <w:t>Only General Fund expense is allocated at the patient level in the DNR. Restricted Asset Fund expenditure is included but not allocated at patient level in the DNR. Custodial Fund expenditure is not included in the DNR.</w:t>
      </w:r>
    </w:p>
    <w:p w:rsidR="004B6247" w:rsidRPr="0067118E" w:rsidRDefault="004B6247" w:rsidP="004B6247">
      <w:pPr>
        <w:spacing w:after="0" w:line="240" w:lineRule="auto"/>
      </w:pPr>
    </w:p>
    <w:p w:rsidR="004B6247" w:rsidRPr="0080683C" w:rsidRDefault="004B6247" w:rsidP="004B6247">
      <w:pPr>
        <w:pStyle w:val="Heading3"/>
        <w:spacing w:before="0" w:after="0"/>
      </w:pPr>
      <w:r>
        <w:t>Data q</w:t>
      </w:r>
      <w:r w:rsidRPr="0080683C">
        <w:t>uality</w:t>
      </w:r>
    </w:p>
    <w:p w:rsidR="004B6247" w:rsidRDefault="004B6247" w:rsidP="004B6247">
      <w:pPr>
        <w:spacing w:after="0" w:line="240" w:lineRule="auto"/>
        <w:rPr>
          <w:rFonts w:cs="Arial"/>
        </w:rPr>
      </w:pPr>
      <w:r w:rsidRPr="00856F74">
        <w:rPr>
          <w:rFonts w:cs="Arial"/>
        </w:rPr>
        <w:t>Data quality processes for Round 2</w:t>
      </w:r>
      <w:r>
        <w:rPr>
          <w:rFonts w:cs="Arial"/>
        </w:rPr>
        <w:t>1</w:t>
      </w:r>
      <w:r w:rsidRPr="00856F74">
        <w:rPr>
          <w:rFonts w:cs="Arial"/>
        </w:rPr>
        <w:t xml:space="preserve"> were further developed </w:t>
      </w:r>
      <w:r>
        <w:rPr>
          <w:rFonts w:cs="Arial"/>
        </w:rPr>
        <w:t xml:space="preserve">from </w:t>
      </w:r>
      <w:r w:rsidRPr="00856F74">
        <w:rPr>
          <w:rFonts w:cs="Arial"/>
        </w:rPr>
        <w:t xml:space="preserve">Round </w:t>
      </w:r>
      <w:r>
        <w:rPr>
          <w:rFonts w:cs="Arial"/>
        </w:rPr>
        <w:t>20</w:t>
      </w:r>
      <w:r w:rsidRPr="00856F74">
        <w:rPr>
          <w:rFonts w:cs="Arial"/>
        </w:rPr>
        <w:t xml:space="preserve"> initiatives</w:t>
      </w:r>
      <w:r>
        <w:rPr>
          <w:rFonts w:cs="Arial"/>
        </w:rPr>
        <w:t>. A web-</w:t>
      </w:r>
      <w:r w:rsidRPr="00856F74">
        <w:rPr>
          <w:rFonts w:cs="Arial"/>
        </w:rPr>
        <w:t>based tool</w:t>
      </w:r>
      <w:r>
        <w:rPr>
          <w:rFonts w:cs="Arial"/>
        </w:rPr>
        <w:t xml:space="preserve">; </w:t>
      </w:r>
      <w:r w:rsidRPr="00856F74">
        <w:rPr>
          <w:rFonts w:cs="Arial"/>
        </w:rPr>
        <w:t xml:space="preserve">the Reasonableness and Quality </w:t>
      </w:r>
      <w:r>
        <w:rPr>
          <w:rFonts w:cs="Arial"/>
        </w:rPr>
        <w:t>Application (</w:t>
      </w:r>
      <w:r w:rsidRPr="00856F74">
        <w:rPr>
          <w:rFonts w:cs="Arial"/>
        </w:rPr>
        <w:t>RQ App</w:t>
      </w:r>
      <w:r>
        <w:rPr>
          <w:rFonts w:cs="Arial"/>
        </w:rPr>
        <w:t>)</w:t>
      </w:r>
      <w:r w:rsidRPr="00856F74">
        <w:rPr>
          <w:rFonts w:cs="Arial"/>
        </w:rPr>
        <w:t xml:space="preserve"> is utilised during the DNR draft submission period to enable Districts</w:t>
      </w:r>
      <w:r>
        <w:rPr>
          <w:rFonts w:cs="Arial"/>
        </w:rPr>
        <w:t>/</w:t>
      </w:r>
      <w:r w:rsidRPr="00856F74">
        <w:rPr>
          <w:rFonts w:cs="Arial"/>
        </w:rPr>
        <w:t xml:space="preserve">Networks to access aggregate results and patient level data quality checks. Each quality check is scored and this scoring is based on either </w:t>
      </w:r>
      <w:r>
        <w:rPr>
          <w:rFonts w:cs="Arial"/>
        </w:rPr>
        <w:t>p</w:t>
      </w:r>
      <w:r w:rsidRPr="00856F74">
        <w:rPr>
          <w:rFonts w:cs="Arial"/>
        </w:rPr>
        <w:t>ass/</w:t>
      </w:r>
      <w:r>
        <w:rPr>
          <w:rFonts w:cs="Arial"/>
        </w:rPr>
        <w:t>f</w:t>
      </w:r>
      <w:r w:rsidRPr="00856F74">
        <w:rPr>
          <w:rFonts w:cs="Arial"/>
        </w:rPr>
        <w:t xml:space="preserve">ail logic or a sliding percentage scale. The </w:t>
      </w:r>
      <w:r>
        <w:rPr>
          <w:rFonts w:cs="Arial"/>
        </w:rPr>
        <w:t>p</w:t>
      </w:r>
      <w:r w:rsidRPr="00856F74">
        <w:rPr>
          <w:rFonts w:cs="Arial"/>
        </w:rPr>
        <w:t>ass/</w:t>
      </w:r>
      <w:r>
        <w:rPr>
          <w:rFonts w:cs="Arial"/>
        </w:rPr>
        <w:t>f</w:t>
      </w:r>
      <w:r w:rsidRPr="00856F74">
        <w:rPr>
          <w:rFonts w:cs="Arial"/>
        </w:rPr>
        <w:t xml:space="preserve">ail logic is applied to quality checks to ensure </w:t>
      </w:r>
      <w:r>
        <w:rPr>
          <w:rFonts w:cs="Arial"/>
        </w:rPr>
        <w:t xml:space="preserve">errors that should not occur in the data </w:t>
      </w:r>
      <w:r w:rsidRPr="00856F74">
        <w:rPr>
          <w:rFonts w:cs="Arial"/>
        </w:rPr>
        <w:t>are identified.</w:t>
      </w:r>
    </w:p>
    <w:p w:rsidR="004B6247" w:rsidRDefault="004B6247" w:rsidP="004B6247">
      <w:pPr>
        <w:spacing w:after="0" w:line="240" w:lineRule="auto"/>
        <w:rPr>
          <w:rFonts w:cs="Arial"/>
        </w:rPr>
      </w:pPr>
    </w:p>
    <w:p w:rsidR="004B6247" w:rsidRDefault="004B6247" w:rsidP="004B6247">
      <w:pPr>
        <w:spacing w:after="0" w:line="240" w:lineRule="auto"/>
      </w:pPr>
      <w:r w:rsidRPr="00856F74">
        <w:rPr>
          <w:rFonts w:cs="Arial"/>
        </w:rPr>
        <w:t xml:space="preserve">The DNR draft submission period enables Districts and Networks to </w:t>
      </w:r>
      <w:r>
        <w:rPr>
          <w:rFonts w:cs="Arial"/>
        </w:rPr>
        <w:t xml:space="preserve">utilise the RQ App and </w:t>
      </w:r>
      <w:r w:rsidRPr="00856F74">
        <w:rPr>
          <w:rFonts w:cs="Arial"/>
        </w:rPr>
        <w:t>assess the reasonab</w:t>
      </w:r>
      <w:r>
        <w:rPr>
          <w:rFonts w:cs="Arial"/>
        </w:rPr>
        <w:t>leness</w:t>
      </w:r>
      <w:r w:rsidRPr="00856F74">
        <w:rPr>
          <w:rFonts w:cs="Arial"/>
        </w:rPr>
        <w:t xml:space="preserve"> of aggregate cost results when compared with peer hospitals.</w:t>
      </w:r>
      <w:r>
        <w:rPr>
          <w:rFonts w:cs="Arial"/>
        </w:rPr>
        <w:t xml:space="preserve"> The </w:t>
      </w:r>
      <w:r>
        <w:rPr>
          <w:rFonts w:cs="Arial"/>
        </w:rPr>
        <w:lastRenderedPageBreak/>
        <w:t>DNR can be resubmitted throughout the draft submission period should the quality reviews require amendments and resubmission.</w:t>
      </w:r>
    </w:p>
    <w:p w:rsidR="004B6247" w:rsidRDefault="004B6247" w:rsidP="004B6247">
      <w:pPr>
        <w:spacing w:after="0" w:line="240" w:lineRule="auto"/>
      </w:pPr>
    </w:p>
    <w:p w:rsidR="004B6247" w:rsidRDefault="004B6247" w:rsidP="004B6247">
      <w:pPr>
        <w:spacing w:after="0" w:line="240" w:lineRule="auto"/>
      </w:pPr>
      <w:r>
        <w:t>Some of the RQ App</w:t>
      </w:r>
      <w:r w:rsidRPr="0067118E">
        <w:t xml:space="preserve"> data </w:t>
      </w:r>
      <w:r>
        <w:t xml:space="preserve">quality </w:t>
      </w:r>
      <w:r w:rsidRPr="0067118E">
        <w:t xml:space="preserve">checks were informed by the IHPA National Efficient Price Determination Technical Specifications </w:t>
      </w:r>
      <w:r>
        <w:t xml:space="preserve">and </w:t>
      </w:r>
      <w:r w:rsidRPr="0067118E">
        <w:t xml:space="preserve">Round </w:t>
      </w:r>
      <w:r>
        <w:t>20 NHCDC quality a</w:t>
      </w:r>
      <w:r w:rsidRPr="0067118E">
        <w:t>ssurance checks</w:t>
      </w:r>
      <w:r>
        <w:t>.</w:t>
      </w:r>
    </w:p>
    <w:p w:rsidR="004B6247" w:rsidRDefault="004B6247" w:rsidP="004B6247">
      <w:pPr>
        <w:spacing w:after="0" w:line="240" w:lineRule="auto"/>
      </w:pPr>
    </w:p>
    <w:p w:rsidR="004B6247" w:rsidRDefault="004B6247" w:rsidP="004B6247">
      <w:pPr>
        <w:spacing w:after="0" w:line="240" w:lineRule="auto"/>
      </w:pPr>
      <w:r w:rsidRPr="0067118E">
        <w:t>During the draft submission period</w:t>
      </w:r>
      <w:r>
        <w:t xml:space="preserve"> </w:t>
      </w:r>
      <w:r w:rsidRPr="0067118E">
        <w:t xml:space="preserve">teleconferences were held separately with each </w:t>
      </w:r>
      <w:r>
        <w:t>District/Network</w:t>
      </w:r>
      <w:r w:rsidRPr="0067118E">
        <w:t xml:space="preserve"> </w:t>
      </w:r>
      <w:r>
        <w:t xml:space="preserve">Chief Executive </w:t>
      </w:r>
      <w:r w:rsidRPr="0067118E">
        <w:t>to review the draft submission</w:t>
      </w:r>
      <w:r>
        <w:t>, h</w:t>
      </w:r>
      <w:r w:rsidRPr="0067118E">
        <w:t>ighlight any material movements in average cost</w:t>
      </w:r>
      <w:r>
        <w:t>,</w:t>
      </w:r>
      <w:r w:rsidRPr="0067118E">
        <w:t xml:space="preserve"> or data quality issues requiring further investigation or remediation</w:t>
      </w:r>
      <w:r>
        <w:t xml:space="preserve">. </w:t>
      </w:r>
      <w:r w:rsidRPr="0067118E">
        <w:t xml:space="preserve">These teleconferences greatly assisted in the timely analysis of Round </w:t>
      </w:r>
      <w:r>
        <w:t>21</w:t>
      </w:r>
      <w:r w:rsidRPr="0067118E">
        <w:t xml:space="preserve"> cost results.</w:t>
      </w:r>
    </w:p>
    <w:p w:rsidR="004B6247" w:rsidRPr="0067118E" w:rsidRDefault="004B6247" w:rsidP="004B6247">
      <w:pPr>
        <w:spacing w:after="0" w:line="240" w:lineRule="auto"/>
      </w:pPr>
    </w:p>
    <w:p w:rsidR="004B6247" w:rsidRPr="0080683C" w:rsidRDefault="004B6247" w:rsidP="004B6247">
      <w:pPr>
        <w:pStyle w:val="Heading3"/>
        <w:spacing w:before="0" w:after="0"/>
      </w:pPr>
      <w:r>
        <w:t>DNR audit p</w:t>
      </w:r>
      <w:r w:rsidRPr="0080683C">
        <w:t>rogram</w:t>
      </w:r>
    </w:p>
    <w:p w:rsidR="004B6247" w:rsidRDefault="004B6247" w:rsidP="004B6247">
      <w:pPr>
        <w:spacing w:after="0" w:line="240" w:lineRule="auto"/>
      </w:pPr>
      <w:r>
        <w:t xml:space="preserve">A </w:t>
      </w:r>
      <w:r w:rsidRPr="0067118E">
        <w:t xml:space="preserve">mandatory audit program was </w:t>
      </w:r>
      <w:r>
        <w:t>further refined</w:t>
      </w:r>
      <w:r w:rsidRPr="0067118E">
        <w:t xml:space="preserve"> for the 201</w:t>
      </w:r>
      <w:r>
        <w:t>6-</w:t>
      </w:r>
      <w:r w:rsidRPr="0067118E">
        <w:t>1</w:t>
      </w:r>
      <w:r>
        <w:t>7</w:t>
      </w:r>
      <w:r w:rsidRPr="0067118E">
        <w:t xml:space="preserve"> DNR</w:t>
      </w:r>
      <w:r>
        <w:t xml:space="preserve"> with a few minor changes. Risk ratings were also applied to a number of key tests. </w:t>
      </w:r>
    </w:p>
    <w:p w:rsidR="004B6247" w:rsidRDefault="004B6247" w:rsidP="004B6247">
      <w:pPr>
        <w:spacing w:after="0" w:line="240" w:lineRule="auto"/>
      </w:pPr>
    </w:p>
    <w:p w:rsidR="004B6247" w:rsidRDefault="004B6247" w:rsidP="004B6247">
      <w:pPr>
        <w:spacing w:after="0" w:line="240" w:lineRule="auto"/>
      </w:pPr>
      <w:r w:rsidRPr="0067118E">
        <w:t xml:space="preserve">Completion of this audit program is part of </w:t>
      </w:r>
      <w:r>
        <w:t xml:space="preserve">a robust governance framework encompassing costing to </w:t>
      </w:r>
      <w:r w:rsidRPr="001E3CE8">
        <w:t>improve the accuracy and reliability of data used to make ABF decisions</w:t>
      </w:r>
      <w:r>
        <w:t xml:space="preserve">. The completion of the audit program is included in the </w:t>
      </w:r>
      <w:r w:rsidRPr="0067118E">
        <w:t xml:space="preserve">‘Conditions of Subsidy’ and </w:t>
      </w:r>
      <w:r>
        <w:t>District/Network</w:t>
      </w:r>
      <w:r w:rsidRPr="0067118E">
        <w:t xml:space="preserve"> Service Agreement with the Secretary, NSW Health.</w:t>
      </w:r>
    </w:p>
    <w:p w:rsidR="004B6247" w:rsidRPr="0067118E" w:rsidRDefault="004B6247" w:rsidP="004B6247">
      <w:pPr>
        <w:spacing w:after="0" w:line="240" w:lineRule="auto"/>
      </w:pPr>
    </w:p>
    <w:p w:rsidR="004B6247" w:rsidRDefault="004B6247" w:rsidP="004B6247">
      <w:pPr>
        <w:spacing w:after="0" w:line="240" w:lineRule="auto"/>
      </w:pPr>
      <w:r>
        <w:t>District/Network</w:t>
      </w:r>
      <w:r w:rsidRPr="0067118E">
        <w:t xml:space="preserve"> DNR </w:t>
      </w:r>
      <w:r>
        <w:t>a</w:t>
      </w:r>
      <w:r w:rsidRPr="0067118E">
        <w:t xml:space="preserve">udit </w:t>
      </w:r>
      <w:r>
        <w:t>r</w:t>
      </w:r>
      <w:r w:rsidRPr="0067118E">
        <w:t>eports were submitted to local Audit and Risk Board Sub</w:t>
      </w:r>
      <w:r>
        <w:t>-C</w:t>
      </w:r>
      <w:r w:rsidRPr="0067118E">
        <w:t>ommi</w:t>
      </w:r>
      <w:r>
        <w:t>ttees. District and Network</w:t>
      </w:r>
      <w:r w:rsidRPr="0067118E">
        <w:t xml:space="preserve"> Chief Executi</w:t>
      </w:r>
      <w:r>
        <w:t>ves were required to submit an attestation c</w:t>
      </w:r>
      <w:r w:rsidRPr="0067118E">
        <w:t>ertificate to the Secretary</w:t>
      </w:r>
      <w:r>
        <w:t>,</w:t>
      </w:r>
      <w:r w:rsidRPr="0067118E">
        <w:t xml:space="preserve"> NSW Hea</w:t>
      </w:r>
      <w:r>
        <w:t>lth upon completion of the DNR a</w:t>
      </w:r>
      <w:r w:rsidRPr="0067118E">
        <w:t xml:space="preserve">udit </w:t>
      </w:r>
      <w:r>
        <w:t>p</w:t>
      </w:r>
      <w:r w:rsidRPr="0067118E">
        <w:t>rogram</w:t>
      </w:r>
      <w:r>
        <w:t>. A peer review is also undertaken.</w:t>
      </w:r>
    </w:p>
    <w:p w:rsidR="004B6247" w:rsidRPr="0067118E" w:rsidRDefault="004B6247" w:rsidP="004B6247">
      <w:pPr>
        <w:spacing w:after="0" w:line="240" w:lineRule="auto"/>
      </w:pPr>
    </w:p>
    <w:p w:rsidR="004B6247" w:rsidRPr="0080683C" w:rsidRDefault="004B6247" w:rsidP="004B6247">
      <w:pPr>
        <w:pStyle w:val="Heading3"/>
        <w:spacing w:before="0" w:after="0"/>
      </w:pPr>
      <w:r>
        <w:t>Technical i</w:t>
      </w:r>
      <w:r w:rsidRPr="0080683C">
        <w:t>ssues</w:t>
      </w:r>
    </w:p>
    <w:p w:rsidR="004B6247" w:rsidRDefault="004B6247" w:rsidP="004B6247">
      <w:pPr>
        <w:spacing w:after="0" w:line="240" w:lineRule="auto"/>
      </w:pPr>
      <w:r>
        <w:t>Professional indemnity costs – t</w:t>
      </w:r>
      <w:r w:rsidRPr="0076660A">
        <w:t xml:space="preserve">his expense is held centrally by NSW Health and is not distributed to </w:t>
      </w:r>
      <w:r>
        <w:t>Districts/Networks</w:t>
      </w:r>
      <w:r w:rsidRPr="0076660A">
        <w:t xml:space="preserve">. It is therefore not reported in the financial statements. To ensure compliance with AHPCS SCP 2.003 Expenditure in Scope, this expense is distributed to </w:t>
      </w:r>
      <w:r>
        <w:t>Districts/Networks</w:t>
      </w:r>
      <w:r w:rsidRPr="0067118E">
        <w:t xml:space="preserve"> </w:t>
      </w:r>
      <w:r w:rsidRPr="0076660A">
        <w:t xml:space="preserve">and added to the general ledger loaded into PPM2. This adjustment is noted in the </w:t>
      </w:r>
      <w:r>
        <w:t>District/Network</w:t>
      </w:r>
      <w:r w:rsidRPr="0067118E">
        <w:t xml:space="preserve"> </w:t>
      </w:r>
      <w:r w:rsidRPr="0076660A">
        <w:t>reconciliation scheduled that is submitted as part of the DNR.</w:t>
      </w:r>
    </w:p>
    <w:p w:rsidR="004B6247" w:rsidRPr="0067118E" w:rsidRDefault="004B6247" w:rsidP="004B6247">
      <w:pPr>
        <w:spacing w:after="0" w:line="240" w:lineRule="auto"/>
      </w:pPr>
    </w:p>
    <w:p w:rsidR="004B6247" w:rsidRDefault="004B6247" w:rsidP="004B6247">
      <w:pPr>
        <w:spacing w:after="0" w:line="240" w:lineRule="auto"/>
      </w:pPr>
      <w:r>
        <w:t xml:space="preserve">S100 drug costs – </w:t>
      </w:r>
      <w:r w:rsidRPr="0076660A">
        <w:t xml:space="preserve">expense associated with S100 drugs </w:t>
      </w:r>
      <w:r>
        <w:t>is</w:t>
      </w:r>
      <w:r w:rsidRPr="0076660A">
        <w:t xml:space="preserve"> not linked and included to the relevant non-admitted patient level service event. The NSW C</w:t>
      </w:r>
      <w:r>
        <w:t xml:space="preserve">ost </w:t>
      </w:r>
      <w:r w:rsidRPr="0076660A">
        <w:t>A</w:t>
      </w:r>
      <w:r>
        <w:t xml:space="preserve">ccounting </w:t>
      </w:r>
      <w:r w:rsidRPr="0076660A">
        <w:t>G</w:t>
      </w:r>
      <w:r>
        <w:t xml:space="preserve">uidelines </w:t>
      </w:r>
      <w:r w:rsidRPr="0076660A">
        <w:t>standard requires all S100 drug c</w:t>
      </w:r>
      <w:r>
        <w:t>osts to be reported separately.</w:t>
      </w:r>
    </w:p>
    <w:p w:rsidR="004B6247" w:rsidRDefault="004B6247" w:rsidP="004B6247">
      <w:pPr>
        <w:spacing w:after="0" w:line="240" w:lineRule="auto"/>
      </w:pPr>
    </w:p>
    <w:p w:rsidR="004B6247" w:rsidRDefault="004B6247" w:rsidP="004B6247">
      <w:pPr>
        <w:spacing w:after="0" w:line="240" w:lineRule="auto"/>
      </w:pPr>
      <w:r>
        <w:t>Work in progress (</w:t>
      </w:r>
      <w:r w:rsidRPr="0076660A">
        <w:t>WIP</w:t>
      </w:r>
      <w:r>
        <w:t>)</w:t>
      </w:r>
      <w:r w:rsidRPr="0076660A">
        <w:t xml:space="preserve"> – </w:t>
      </w:r>
      <w:r>
        <w:t>WIP</w:t>
      </w:r>
      <w:r w:rsidRPr="0076660A">
        <w:t xml:space="preserve"> encounters were included in Round 2</w:t>
      </w:r>
      <w:r>
        <w:t>1</w:t>
      </w:r>
      <w:r w:rsidRPr="0076660A">
        <w:t xml:space="preserve"> where the admission year was either Round 1</w:t>
      </w:r>
      <w:r>
        <w:t>7, 18, 19</w:t>
      </w:r>
      <w:r w:rsidRPr="0076660A">
        <w:t xml:space="preserve"> or </w:t>
      </w:r>
      <w:r>
        <w:t>20</w:t>
      </w:r>
      <w:r w:rsidRPr="0076660A">
        <w:t>. Round 1</w:t>
      </w:r>
      <w:r>
        <w:t>7, 18, 19</w:t>
      </w:r>
      <w:r w:rsidRPr="0076660A">
        <w:t xml:space="preserve"> or </w:t>
      </w:r>
      <w:r>
        <w:t xml:space="preserve">20 </w:t>
      </w:r>
      <w:r w:rsidRPr="0076660A">
        <w:t xml:space="preserve">cost components of the encounter </w:t>
      </w:r>
      <w:r>
        <w:t>were included</w:t>
      </w:r>
      <w:r w:rsidRPr="0076660A">
        <w:t>.</w:t>
      </w:r>
    </w:p>
    <w:p w:rsidR="004B6247" w:rsidRPr="0076660A" w:rsidRDefault="004B6247" w:rsidP="004B6247">
      <w:pPr>
        <w:spacing w:after="0" w:line="240" w:lineRule="auto"/>
      </w:pPr>
    </w:p>
    <w:p w:rsidR="004B6247" w:rsidRDefault="004B6247" w:rsidP="004B6247">
      <w:pPr>
        <w:spacing w:after="0" w:line="240" w:lineRule="auto"/>
      </w:pPr>
      <w:r>
        <w:t xml:space="preserve">Critical care - </w:t>
      </w:r>
      <w:r w:rsidRPr="0076660A">
        <w:t xml:space="preserve">cost allocation reflects appropriate nursing ratios such as 1:2 for ICU/HDU patients. In some instances where a patient only has HDU hours, the cost centre will map to </w:t>
      </w:r>
      <w:r>
        <w:lastRenderedPageBreak/>
        <w:t>c</w:t>
      </w:r>
      <w:r w:rsidRPr="0076660A">
        <w:t xml:space="preserve">ritical </w:t>
      </w:r>
      <w:r>
        <w:t>c</w:t>
      </w:r>
      <w:r w:rsidRPr="0076660A">
        <w:t xml:space="preserve">are, but there will be no ICU hours. Additionally, only facilities with Level 3 ICUs will map their cost centre to </w:t>
      </w:r>
      <w:r>
        <w:t>c</w:t>
      </w:r>
      <w:r w:rsidRPr="0076660A">
        <w:t xml:space="preserve">ritical </w:t>
      </w:r>
      <w:r>
        <w:t>c</w:t>
      </w:r>
      <w:r w:rsidRPr="0076660A">
        <w:t>are, even though locally they may use the ICU bed type.</w:t>
      </w:r>
    </w:p>
    <w:p w:rsidR="004B6247" w:rsidRPr="0076660A" w:rsidRDefault="004B6247" w:rsidP="004B6247">
      <w:pPr>
        <w:spacing w:after="0" w:line="240" w:lineRule="auto"/>
      </w:pPr>
    </w:p>
    <w:p w:rsidR="004B6247" w:rsidRDefault="004B6247" w:rsidP="004B6247">
      <w:pPr>
        <w:spacing w:after="0" w:line="240" w:lineRule="auto"/>
      </w:pPr>
      <w:r>
        <w:t>Medical cost a</w:t>
      </w:r>
      <w:r w:rsidRPr="0076660A">
        <w:t>llocation – Visiting Medical Officer expense is not allocated to priv</w:t>
      </w:r>
      <w:r>
        <w:t>ate patients in the DNR. Staff s</w:t>
      </w:r>
      <w:r w:rsidRPr="0076660A">
        <w:t>pecialist costs are allocated to both public and private patients with no adjustments.</w:t>
      </w:r>
    </w:p>
    <w:p w:rsidR="004B6247" w:rsidRPr="0076660A" w:rsidRDefault="004B6247" w:rsidP="004B6247">
      <w:pPr>
        <w:spacing w:after="0" w:line="240" w:lineRule="auto"/>
      </w:pPr>
    </w:p>
    <w:p w:rsidR="004B6247" w:rsidRDefault="004B6247" w:rsidP="004B6247">
      <w:pPr>
        <w:spacing w:after="0" w:line="240" w:lineRule="auto"/>
      </w:pPr>
      <w:r>
        <w:t>Hosted s</w:t>
      </w:r>
      <w:r w:rsidRPr="0076660A">
        <w:t xml:space="preserve">ervices – a number of </w:t>
      </w:r>
      <w:r>
        <w:t>Districts/Networks</w:t>
      </w:r>
      <w:r w:rsidRPr="0076660A">
        <w:t xml:space="preserve"> have hosted service arrangements in place. T</w:t>
      </w:r>
      <w:r>
        <w:t>hese are for services such as information technology. Wh</w:t>
      </w:r>
      <w:r w:rsidRPr="0076660A">
        <w:t xml:space="preserve">ere appropriate the expense associated with these services is adjusted for both the </w:t>
      </w:r>
      <w:r>
        <w:t>h</w:t>
      </w:r>
      <w:r w:rsidRPr="0076660A">
        <w:t xml:space="preserve">ost </w:t>
      </w:r>
      <w:r>
        <w:t>District/Network and the h</w:t>
      </w:r>
      <w:r w:rsidRPr="0076660A">
        <w:t xml:space="preserve">osted </w:t>
      </w:r>
      <w:r>
        <w:t>District/Network</w:t>
      </w:r>
      <w:r w:rsidRPr="0076660A">
        <w:t xml:space="preserve">. This adjustment is noted in the </w:t>
      </w:r>
      <w:r>
        <w:t>District/Network</w:t>
      </w:r>
      <w:r w:rsidRPr="0076660A">
        <w:t xml:space="preserve"> reconciliation schedule that is submitted as part of the DNR.</w:t>
      </w:r>
    </w:p>
    <w:p w:rsidR="004B6247" w:rsidRDefault="004B6247" w:rsidP="004B6247">
      <w:pPr>
        <w:spacing w:after="0" w:line="240" w:lineRule="auto"/>
      </w:pPr>
    </w:p>
    <w:p w:rsidR="004B6247" w:rsidRDefault="004B6247" w:rsidP="004B6247">
      <w:pPr>
        <w:pStyle w:val="BodyText"/>
        <w:spacing w:before="0" w:after="0" w:line="240" w:lineRule="auto"/>
      </w:pPr>
      <w:r>
        <w:t>The precision of linking encounters is ongoing through the NSW Costing Standards User Group with improved costing at episode level.</w:t>
      </w:r>
    </w:p>
    <w:p w:rsidR="004B6247" w:rsidRPr="001645B0" w:rsidRDefault="004B6247" w:rsidP="004B6247">
      <w:pPr>
        <w:pStyle w:val="BodyText"/>
        <w:spacing w:before="0" w:after="0" w:line="240" w:lineRule="auto"/>
      </w:pPr>
    </w:p>
    <w:p w:rsidR="004B6247" w:rsidRDefault="004B6247" w:rsidP="004B6247">
      <w:pPr>
        <w:spacing w:after="0" w:line="240" w:lineRule="auto"/>
        <w:rPr>
          <w:b/>
          <w:sz w:val="24"/>
          <w:szCs w:val="28"/>
        </w:rPr>
      </w:pPr>
      <w:r w:rsidRPr="001645B0">
        <w:rPr>
          <w:b/>
          <w:sz w:val="24"/>
          <w:szCs w:val="28"/>
        </w:rPr>
        <w:t>Cost methodology changes</w:t>
      </w:r>
      <w:r>
        <w:rPr>
          <w:b/>
          <w:sz w:val="24"/>
          <w:szCs w:val="28"/>
        </w:rPr>
        <w:t xml:space="preserve"> </w:t>
      </w:r>
    </w:p>
    <w:p w:rsidR="004B6247" w:rsidRDefault="004B6247" w:rsidP="004B6247">
      <w:pPr>
        <w:pStyle w:val="BodyText"/>
        <w:spacing w:before="0" w:after="0" w:line="240" w:lineRule="auto"/>
      </w:pPr>
      <w:r w:rsidRPr="00856F74">
        <w:rPr>
          <w:rFonts w:cs="Arial"/>
        </w:rPr>
        <w:t>A State</w:t>
      </w:r>
      <w:r>
        <w:rPr>
          <w:rFonts w:cs="Arial"/>
        </w:rPr>
        <w:t>-wide extract was developed for n</w:t>
      </w:r>
      <w:r w:rsidRPr="00856F74">
        <w:rPr>
          <w:rFonts w:cs="Arial"/>
        </w:rPr>
        <w:t>on-</w:t>
      </w:r>
      <w:r>
        <w:rPr>
          <w:rFonts w:cs="Arial"/>
        </w:rPr>
        <w:t>e</w:t>
      </w:r>
      <w:r w:rsidRPr="00856F74">
        <w:rPr>
          <w:rFonts w:cs="Arial"/>
        </w:rPr>
        <w:t xml:space="preserve">mergency </w:t>
      </w:r>
      <w:r>
        <w:rPr>
          <w:rFonts w:cs="Arial"/>
        </w:rPr>
        <w:t>p</w:t>
      </w:r>
      <w:r w:rsidRPr="00856F74">
        <w:rPr>
          <w:rFonts w:cs="Arial"/>
        </w:rPr>
        <w:t xml:space="preserve">atient </w:t>
      </w:r>
      <w:r>
        <w:t>t</w:t>
      </w:r>
      <w:r w:rsidRPr="00856F74">
        <w:t xml:space="preserve">ransport services for Round 20 and </w:t>
      </w:r>
      <w:r>
        <w:t xml:space="preserve">further improved in Round 21. </w:t>
      </w:r>
      <w:r w:rsidRPr="00856F74">
        <w:t>R</w:t>
      </w:r>
      <w:r>
        <w:t>elative value units</w:t>
      </w:r>
      <w:r w:rsidRPr="00856F74">
        <w:t xml:space="preserve"> </w:t>
      </w:r>
      <w:r>
        <w:t xml:space="preserve">(RVUs) </w:t>
      </w:r>
      <w:r w:rsidRPr="00856F74">
        <w:t>used for the cost allocation methodology for metropolitan Districts</w:t>
      </w:r>
      <w:r>
        <w:t>/</w:t>
      </w:r>
      <w:r w:rsidRPr="00856F74">
        <w:t>Networks was revised to reflect the actual number of kilometres travelled.</w:t>
      </w:r>
    </w:p>
    <w:p w:rsidR="004B6247" w:rsidRPr="00856F74" w:rsidRDefault="004B6247" w:rsidP="004B6247">
      <w:pPr>
        <w:pStyle w:val="BodyText"/>
        <w:spacing w:before="0" w:after="0" w:line="240" w:lineRule="auto"/>
      </w:pPr>
    </w:p>
    <w:p w:rsidR="004B6247" w:rsidRDefault="004B6247" w:rsidP="004B6247">
      <w:pPr>
        <w:pStyle w:val="BodyText"/>
        <w:spacing w:before="0" w:after="0" w:line="240" w:lineRule="auto"/>
        <w:rPr>
          <w:rFonts w:cs="Arial"/>
        </w:rPr>
      </w:pPr>
      <w:r w:rsidRPr="00856F74">
        <w:rPr>
          <w:rFonts w:cs="Arial"/>
        </w:rPr>
        <w:t>M</w:t>
      </w:r>
      <w:r>
        <w:rPr>
          <w:rFonts w:cs="Arial"/>
        </w:rPr>
        <w:t>ental health</w:t>
      </w:r>
      <w:r w:rsidRPr="00856F74">
        <w:rPr>
          <w:rFonts w:cs="Arial"/>
        </w:rPr>
        <w:t xml:space="preserve"> </w:t>
      </w:r>
      <w:r>
        <w:rPr>
          <w:rFonts w:cs="Arial"/>
        </w:rPr>
        <w:t>inpatient</w:t>
      </w:r>
      <w:r w:rsidRPr="00856F74">
        <w:rPr>
          <w:rFonts w:cs="Arial"/>
        </w:rPr>
        <w:t xml:space="preserve"> nursing RVUs </w:t>
      </w:r>
      <w:r>
        <w:rPr>
          <w:rFonts w:cs="Arial"/>
        </w:rPr>
        <w:t>were reviewed</w:t>
      </w:r>
      <w:r w:rsidRPr="00856F74">
        <w:rPr>
          <w:rFonts w:cs="Arial"/>
        </w:rPr>
        <w:t xml:space="preserve"> in consultation with mental health clinicians. These </w:t>
      </w:r>
      <w:r>
        <w:rPr>
          <w:rFonts w:cs="Arial"/>
        </w:rPr>
        <w:t xml:space="preserve">revised </w:t>
      </w:r>
      <w:r w:rsidRPr="00856F74">
        <w:rPr>
          <w:rFonts w:cs="Arial"/>
        </w:rPr>
        <w:t>RVUs were applied in Round 2</w:t>
      </w:r>
      <w:r>
        <w:rPr>
          <w:rFonts w:cs="Arial"/>
        </w:rPr>
        <w:t>1 costing of mental health data.</w:t>
      </w:r>
    </w:p>
    <w:p w:rsidR="004B6247" w:rsidRDefault="004B6247" w:rsidP="004B6247">
      <w:pPr>
        <w:pStyle w:val="BodyText"/>
        <w:spacing w:before="0" w:after="0" w:line="240" w:lineRule="auto"/>
        <w:rPr>
          <w:rFonts w:cs="Arial"/>
        </w:rPr>
      </w:pPr>
    </w:p>
    <w:p w:rsidR="004B6247" w:rsidRPr="0029709D" w:rsidRDefault="004B6247" w:rsidP="004B6247">
      <w:pPr>
        <w:spacing w:after="0" w:line="240" w:lineRule="auto"/>
      </w:pPr>
      <w:r>
        <w:t xml:space="preserve">Australian Mental Health Care Classification phase of care level data was costed for the first time in NSW in 2016-17. There </w:t>
      </w:r>
      <w:proofErr w:type="gramStart"/>
      <w:r>
        <w:t>were</w:t>
      </w:r>
      <w:proofErr w:type="gramEnd"/>
      <w:r>
        <w:t xml:space="preserve"> some data quality issues experienced due to the implementation of a new classification system which should resolve over time. NSW intends to submit phase of care level costed data for 2016-17. </w:t>
      </w:r>
    </w:p>
    <w:p w:rsidR="004B6247" w:rsidRDefault="004B6247">
      <w:pPr>
        <w:spacing w:before="0" w:after="0" w:line="240" w:lineRule="auto"/>
        <w:rPr>
          <w:rFonts w:eastAsia="Arial" w:cs="Arial"/>
          <w:szCs w:val="22"/>
          <w:lang w:eastAsia="en-US"/>
        </w:rPr>
      </w:pPr>
      <w:r>
        <w:rPr>
          <w:rFonts w:eastAsia="Arial" w:cs="Arial"/>
          <w:szCs w:val="22"/>
          <w:lang w:eastAsia="en-US"/>
        </w:rPr>
        <w:br w:type="page"/>
      </w:r>
    </w:p>
    <w:p w:rsidR="004B6247" w:rsidRDefault="004B6247" w:rsidP="004B6247">
      <w:pPr>
        <w:rPr>
          <w:rFonts w:cs="Arial"/>
          <w:b/>
          <w:sz w:val="28"/>
          <w:szCs w:val="28"/>
        </w:rPr>
      </w:pPr>
      <w:r>
        <w:rPr>
          <w:rFonts w:cs="Arial"/>
          <w:b/>
          <w:sz w:val="28"/>
          <w:szCs w:val="28"/>
        </w:rPr>
        <w:lastRenderedPageBreak/>
        <w:t>Northern Territory</w:t>
      </w:r>
    </w:p>
    <w:p w:rsidR="002069AD" w:rsidRDefault="004B6247" w:rsidP="004B6247">
      <w:pPr>
        <w:rPr>
          <w:rFonts w:cs="Arial"/>
          <w:b/>
          <w:sz w:val="28"/>
          <w:szCs w:val="28"/>
        </w:rPr>
      </w:pPr>
      <w:r>
        <w:rPr>
          <w:rFonts w:eastAsia="Arial" w:cs="Arial"/>
          <w:noProof/>
          <w:szCs w:val="22"/>
        </w:rPr>
        <w:drawing>
          <wp:anchor distT="0" distB="0" distL="114300" distR="114300" simplePos="0" relativeHeight="251685888" behindDoc="0" locked="0" layoutInCell="1" allowOverlap="1" wp14:anchorId="54DEC7F2" wp14:editId="01A9622A">
            <wp:simplePos x="0" y="0"/>
            <wp:positionH relativeFrom="column">
              <wp:posOffset>-78682</wp:posOffset>
            </wp:positionH>
            <wp:positionV relativeFrom="paragraph">
              <wp:posOffset>97707</wp:posOffset>
            </wp:positionV>
            <wp:extent cx="5652654" cy="8001629"/>
            <wp:effectExtent l="0" t="0" r="5715"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52654" cy="800162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Arial" w:cs="Arial"/>
          <w:szCs w:val="22"/>
          <w:lang w:eastAsia="en-US"/>
        </w:rPr>
        <w:br w:type="page"/>
      </w:r>
    </w:p>
    <w:p w:rsidR="002069AD" w:rsidRDefault="002069AD" w:rsidP="004B6247">
      <w:pPr>
        <w:rPr>
          <w:rFonts w:cs="Arial"/>
          <w:b/>
          <w:sz w:val="28"/>
          <w:szCs w:val="28"/>
        </w:rPr>
      </w:pPr>
      <w:r>
        <w:rPr>
          <w:rFonts w:cs="Arial"/>
          <w:b/>
          <w:sz w:val="28"/>
          <w:szCs w:val="28"/>
        </w:rPr>
        <w:lastRenderedPageBreak/>
        <w:t>Queensland</w:t>
      </w:r>
    </w:p>
    <w:p w:rsidR="002069AD" w:rsidRDefault="002069AD" w:rsidP="004B6247">
      <w:pPr>
        <w:rPr>
          <w:rFonts w:cs="Arial"/>
          <w:b/>
          <w:sz w:val="28"/>
          <w:szCs w:val="28"/>
        </w:rPr>
      </w:pPr>
      <w:r>
        <w:rPr>
          <w:noProof/>
        </w:rPr>
        <w:drawing>
          <wp:anchor distT="0" distB="0" distL="114300" distR="114300" simplePos="0" relativeHeight="251687936" behindDoc="0" locked="0" layoutInCell="1" allowOverlap="1" wp14:anchorId="5A27912A" wp14:editId="3AF8E308">
            <wp:simplePos x="0" y="0"/>
            <wp:positionH relativeFrom="column">
              <wp:posOffset>-635</wp:posOffset>
            </wp:positionH>
            <wp:positionV relativeFrom="paragraph">
              <wp:posOffset>4445</wp:posOffset>
            </wp:positionV>
            <wp:extent cx="5595470" cy="7924800"/>
            <wp:effectExtent l="0" t="0" r="5715"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extLst>
                        <a:ext uri="{28A0092B-C50C-407E-A947-70E740481C1C}">
                          <a14:useLocalDpi xmlns:a14="http://schemas.microsoft.com/office/drawing/2010/main" val="0"/>
                        </a:ext>
                      </a:extLst>
                    </a:blip>
                    <a:srcRect l="18430" t="17052" r="34295" b="4824"/>
                    <a:stretch/>
                  </pic:blipFill>
                  <pic:spPr bwMode="auto">
                    <a:xfrm>
                      <a:off x="0" y="0"/>
                      <a:ext cx="5595470" cy="7924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069AD" w:rsidRDefault="002069AD">
      <w:pPr>
        <w:spacing w:before="0" w:after="0" w:line="240" w:lineRule="auto"/>
        <w:rPr>
          <w:rFonts w:cs="Arial"/>
          <w:b/>
          <w:sz w:val="28"/>
          <w:szCs w:val="28"/>
        </w:rPr>
      </w:pPr>
      <w:r>
        <w:rPr>
          <w:rFonts w:cs="Arial"/>
          <w:b/>
          <w:sz w:val="28"/>
          <w:szCs w:val="28"/>
        </w:rPr>
        <w:br w:type="page"/>
      </w:r>
    </w:p>
    <w:p w:rsidR="001231DF" w:rsidRPr="007B079A" w:rsidRDefault="001231DF" w:rsidP="001231DF">
      <w:pPr>
        <w:rPr>
          <w:b/>
          <w:color w:val="000000" w:themeColor="text1"/>
          <w:sz w:val="40"/>
        </w:rPr>
      </w:pPr>
      <w:r w:rsidRPr="007B079A">
        <w:rPr>
          <w:b/>
          <w:color w:val="000000" w:themeColor="text1"/>
          <w:sz w:val="40"/>
        </w:rPr>
        <w:lastRenderedPageBreak/>
        <w:t>NHCDC R21 Data Quality Statement</w:t>
      </w:r>
    </w:p>
    <w:p w:rsidR="001231DF" w:rsidRPr="001231DF" w:rsidRDefault="001231DF" w:rsidP="001231DF">
      <w:pPr>
        <w:rPr>
          <w:b/>
          <w:color w:val="000000" w:themeColor="text1"/>
          <w:sz w:val="24"/>
        </w:rPr>
      </w:pPr>
      <w:r w:rsidRPr="001231DF">
        <w:rPr>
          <w:b/>
          <w:color w:val="000000" w:themeColor="text1"/>
          <w:sz w:val="24"/>
        </w:rPr>
        <w:t>Healthcare Purchasing and Funding Branch</w:t>
      </w:r>
    </w:p>
    <w:p w:rsidR="001231DF" w:rsidRPr="008E3E70" w:rsidRDefault="001231DF" w:rsidP="001231DF">
      <w:pPr>
        <w:pStyle w:val="Heading1"/>
        <w:ind w:left="567" w:hanging="567"/>
        <w:jc w:val="both"/>
        <w:rPr>
          <w:color w:val="002060"/>
          <w:sz w:val="32"/>
        </w:rPr>
      </w:pPr>
      <w:r w:rsidRPr="008E3E70">
        <w:rPr>
          <w:color w:val="002060"/>
          <w:sz w:val="32"/>
        </w:rPr>
        <w:t>National Hospital Cost D</w:t>
      </w:r>
      <w:r>
        <w:rPr>
          <w:color w:val="002060"/>
          <w:sz w:val="32"/>
        </w:rPr>
        <w:t xml:space="preserve">ata Collection (NHCDC) Round 21 </w:t>
      </w:r>
      <w:r w:rsidRPr="008E3E70">
        <w:rPr>
          <w:color w:val="002060"/>
          <w:sz w:val="32"/>
        </w:rPr>
        <w:t>(R21) Data Quality Statement</w:t>
      </w:r>
    </w:p>
    <w:p w:rsidR="001231DF" w:rsidRPr="00F25288" w:rsidRDefault="001231DF" w:rsidP="001231DF">
      <w:pPr>
        <w:pStyle w:val="BodyText"/>
      </w:pPr>
      <w:r w:rsidRPr="00F25288">
        <w:t xml:space="preserve">The National Hospital Cost Data Collection (NHCDC) is the primary data collection used to develop the National Efficient Price (NEP). To ensure accurate information is submitted to the NHCDC and subsequently available for the NEP determination, there are robust validation and quality assurance processes conducted. </w:t>
      </w:r>
    </w:p>
    <w:p w:rsidR="001231DF" w:rsidRPr="00F25288" w:rsidRDefault="001231DF" w:rsidP="001231DF">
      <w:pPr>
        <w:pStyle w:val="BodyText"/>
      </w:pPr>
      <w:r w:rsidRPr="00F25288">
        <w:t>Guidelines for preparing cost data are published in the Queensland Clinical Costing Guidelines (QCCG). It is a supplementary document to the Australian Hospital Patient Costing Standards (AHPCS) and is a guide to the Hospital and Health Services’ (HHS) costing teams in the application of the AHPCS within the technical environment of the costing systems us</w:t>
      </w:r>
      <w:r>
        <w:t xml:space="preserve">ed within Queensland Health. </w:t>
      </w:r>
    </w:p>
    <w:p w:rsidR="001231DF" w:rsidRPr="00F25288" w:rsidRDefault="001231DF" w:rsidP="001231DF">
      <w:pPr>
        <w:pStyle w:val="BodyText"/>
      </w:pPr>
      <w:r w:rsidRPr="00F25288">
        <w:t xml:space="preserve">Costing data are prepared for 16 Hospital and Health Services (HHS’s) and the Mater Public Hospitals (Brisbane). Once costing is finalised by the HHS </w:t>
      </w:r>
      <w:proofErr w:type="gramStart"/>
      <w:r w:rsidRPr="00F25288">
        <w:t>a reconciliation</w:t>
      </w:r>
      <w:proofErr w:type="gramEnd"/>
      <w:r w:rsidRPr="00F25288">
        <w:t xml:space="preserve"> is undertaken and the data transformed into the NHCDC specification format. All data are validated, by the Department of Health and the HHS prior to submission to the Independent Hospital Pricing Authority (IHPA). </w:t>
      </w:r>
    </w:p>
    <w:p w:rsidR="001231DF" w:rsidRPr="00F25288" w:rsidRDefault="001231DF" w:rsidP="001231DF">
      <w:pPr>
        <w:pStyle w:val="BodyText"/>
      </w:pPr>
      <w:r w:rsidRPr="00F25288">
        <w:t>The following data quality statement describes changes in the scope of the collection, costing processes and issues that have been identified in the NHCDC R21 (2016-2017) data for Queensland.</w:t>
      </w:r>
    </w:p>
    <w:p w:rsidR="001231DF" w:rsidRPr="001231DF" w:rsidRDefault="001231DF" w:rsidP="001231DF">
      <w:pPr>
        <w:pStyle w:val="Heading1"/>
        <w:keepLines w:val="0"/>
        <w:spacing w:before="280" w:after="140"/>
        <w:contextualSpacing w:val="0"/>
        <w:rPr>
          <w:rFonts w:ascii="Arial" w:hAnsi="Arial"/>
          <w:color w:val="0F9AA1"/>
          <w:sz w:val="28"/>
          <w:szCs w:val="36"/>
        </w:rPr>
      </w:pPr>
      <w:r w:rsidRPr="001231DF">
        <w:rPr>
          <w:rFonts w:ascii="Arial" w:hAnsi="Arial"/>
          <w:color w:val="0F9AA1"/>
          <w:sz w:val="28"/>
          <w:szCs w:val="36"/>
        </w:rPr>
        <w:t>Data Submission</w:t>
      </w:r>
    </w:p>
    <w:p w:rsidR="001231DF" w:rsidRDefault="001231DF" w:rsidP="001231DF">
      <w:pPr>
        <w:pStyle w:val="BodyText"/>
      </w:pPr>
      <w:r>
        <w:t xml:space="preserve">Of the 434 facilities which have been costed at patient or service level data in the 2016-2017 fiscal year (including a number of facilities that are out of scope for the NHCDC such as nursing homes for which cost data are held by the Department of Health), 195 were submitted as part of the NHCDC in Round 21. The excluded facilities accounted for 9% per cent of costs and are all out of scope for the NEP determination. </w:t>
      </w:r>
    </w:p>
    <w:p w:rsidR="001231DF" w:rsidRPr="001231DF" w:rsidRDefault="001231DF" w:rsidP="001231DF">
      <w:pPr>
        <w:pStyle w:val="Heading1"/>
        <w:keepLines w:val="0"/>
        <w:spacing w:before="280" w:after="140"/>
        <w:contextualSpacing w:val="0"/>
        <w:rPr>
          <w:rFonts w:ascii="Arial" w:hAnsi="Arial"/>
          <w:color w:val="0F9AA1"/>
          <w:sz w:val="28"/>
          <w:szCs w:val="36"/>
        </w:rPr>
      </w:pPr>
      <w:r w:rsidRPr="001231DF">
        <w:rPr>
          <w:rFonts w:ascii="Arial" w:hAnsi="Arial"/>
          <w:color w:val="0F9AA1"/>
          <w:sz w:val="28"/>
          <w:szCs w:val="36"/>
        </w:rPr>
        <w:t>Changes in Reported Facilities</w:t>
      </w:r>
    </w:p>
    <w:p w:rsidR="001231DF" w:rsidRDefault="001231DF" w:rsidP="001231DF">
      <w:pPr>
        <w:pStyle w:val="BodyText"/>
      </w:pPr>
      <w:r>
        <w:t>There are a significant number of facilities (88) being reported to NHCDC for the first time in this Round, the majority of which are community mental health facilities.  These new facilities arise because the cost data can now be matched to the mental health activity data collection and submitted as part of the Community Mental Health – Specialised product type.  Previously, these costs were included in the Tier 2 outpatient clinic (40.34 - Specialist Mental Health) but could not be submitted as they did not link to an outpatient activity record.  There were 4 facilities not reported this year, these were 4 rural and remote primary health centres.</w:t>
      </w:r>
    </w:p>
    <w:p w:rsidR="001231DF" w:rsidRPr="001231DF" w:rsidRDefault="001231DF" w:rsidP="001231DF">
      <w:pPr>
        <w:pStyle w:val="Heading1"/>
        <w:keepLines w:val="0"/>
        <w:spacing w:before="280" w:after="140"/>
        <w:contextualSpacing w:val="0"/>
        <w:rPr>
          <w:rFonts w:ascii="Arial" w:hAnsi="Arial"/>
          <w:color w:val="0F9AA1"/>
          <w:sz w:val="28"/>
          <w:szCs w:val="36"/>
        </w:rPr>
      </w:pPr>
      <w:r w:rsidRPr="001231DF">
        <w:rPr>
          <w:rFonts w:ascii="Arial" w:hAnsi="Arial"/>
          <w:color w:val="0F9AA1"/>
          <w:sz w:val="28"/>
          <w:szCs w:val="36"/>
        </w:rPr>
        <w:t>Specialised Mental Health</w:t>
      </w:r>
    </w:p>
    <w:p w:rsidR="001231DF" w:rsidRDefault="001231DF" w:rsidP="001231DF">
      <w:pPr>
        <w:pStyle w:val="BodyText"/>
      </w:pPr>
      <w:r>
        <w:t>This is the first year the specialized mental health activity data have been available for linking to the cost data.  Previously, these costs were included in the Tier 2 non-admitted clinic (40.34 - Specialist Mental Health) but could not be submitted to NHCDC as they did not link to a non-</w:t>
      </w:r>
      <w:r>
        <w:lastRenderedPageBreak/>
        <w:t>admitted activity record.  This year they are submitted as part of the Community Mental Health – Specialised product type.</w:t>
      </w:r>
    </w:p>
    <w:p w:rsidR="001231DF" w:rsidRDefault="001231DF" w:rsidP="001231DF">
      <w:pPr>
        <w:pStyle w:val="BodyText"/>
      </w:pPr>
    </w:p>
    <w:p w:rsidR="001231DF" w:rsidRDefault="001231DF" w:rsidP="001231DF">
      <w:pPr>
        <w:pStyle w:val="BodyText"/>
      </w:pPr>
      <w:r>
        <w:t>A matching process was undertaken to link the cost data to the activity data.  Matching is complicated by a difference in the level of granularity between the two datasets.  The cost data are at the service event level and the activity data are at the occasion of service level. The cost data were disaggregated from the service event level to the occasion of service level to link to an activity record to enable submission to IHPA.</w:t>
      </w:r>
    </w:p>
    <w:p w:rsidR="001231DF" w:rsidRPr="001231DF" w:rsidRDefault="001231DF" w:rsidP="001231DF">
      <w:pPr>
        <w:pStyle w:val="Heading1"/>
        <w:keepLines w:val="0"/>
        <w:spacing w:before="280" w:after="140"/>
        <w:contextualSpacing w:val="0"/>
        <w:rPr>
          <w:rFonts w:ascii="Arial" w:hAnsi="Arial"/>
          <w:color w:val="0F9AA1"/>
          <w:sz w:val="28"/>
          <w:szCs w:val="36"/>
        </w:rPr>
      </w:pPr>
      <w:r w:rsidRPr="001231DF">
        <w:rPr>
          <w:rFonts w:ascii="Arial" w:hAnsi="Arial"/>
          <w:color w:val="0F9AA1"/>
          <w:sz w:val="28"/>
          <w:szCs w:val="36"/>
        </w:rPr>
        <w:t>Outpatient Rollup</w:t>
      </w:r>
    </w:p>
    <w:p w:rsidR="001231DF" w:rsidRDefault="001231DF" w:rsidP="001231DF">
      <w:pPr>
        <w:pStyle w:val="BodyText"/>
      </w:pPr>
      <w:r>
        <w:t>In earlier rounds, the linkage rate between the cost data and non-admitted activity data has been low which has impacted the amount of non-admitted data Queensland has been able to submit to IHPA for NHCDC.  The reason for this is due to the difference in granularity between the cost data and the activity data sets. The general counting rules for ABF purposes involving multiple health care providers stipulate that irrespective of whether the patient was seen jointly or separately seen by multiple providers, only one non-admitted patient service event may be counted for a patient at a clinic on a given calendar day.  In costing these encounters they are reported as separate records, due to the variation in the specialty and time of the events, however, to be consistent with the ABF counting rules the cost data are rolled up in this year’s submission.</w:t>
      </w:r>
    </w:p>
    <w:p w:rsidR="001231DF" w:rsidRPr="001231DF" w:rsidRDefault="001231DF" w:rsidP="001231DF">
      <w:pPr>
        <w:pStyle w:val="Heading1"/>
        <w:keepLines w:val="0"/>
        <w:spacing w:before="280" w:after="140"/>
        <w:contextualSpacing w:val="0"/>
        <w:rPr>
          <w:rFonts w:ascii="Arial" w:hAnsi="Arial"/>
          <w:color w:val="0F9AA1"/>
          <w:sz w:val="28"/>
          <w:szCs w:val="36"/>
        </w:rPr>
      </w:pPr>
      <w:r w:rsidRPr="001231DF">
        <w:rPr>
          <w:rFonts w:ascii="Arial" w:hAnsi="Arial"/>
          <w:color w:val="0F9AA1"/>
          <w:sz w:val="28"/>
          <w:szCs w:val="36"/>
        </w:rPr>
        <w:t>Unlinked Diagnostic data</w:t>
      </w:r>
    </w:p>
    <w:p w:rsidR="001231DF" w:rsidRDefault="001231DF" w:rsidP="001231DF">
      <w:pPr>
        <w:pStyle w:val="BodyText"/>
      </w:pPr>
      <w:r>
        <w:t>Pathology, Imaging and Pharmacy data that were not able to be matched or linked through the data matching process are excluded from the NHCDC.  For Round 21, there were approximately 347,000 unlinked utilisation records which account for $172 million of cost, $156 million at ABF sites. The increase rate of unlinked diagnostics is in some way attributed to the introduction of new non-admitted patient management system as well as the treatment of patients across the public and private hospital sector, for example in the case of the new Sunshine Coast University Hospital ($21 million).</w:t>
      </w:r>
    </w:p>
    <w:p w:rsidR="001231DF" w:rsidRDefault="001231DF" w:rsidP="001231DF">
      <w:pPr>
        <w:pStyle w:val="BodyText"/>
      </w:pPr>
    </w:p>
    <w:tbl>
      <w:tblPr>
        <w:tblW w:w="6516" w:type="dxa"/>
        <w:tblInd w:w="4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9"/>
        <w:gridCol w:w="1943"/>
        <w:gridCol w:w="1559"/>
        <w:gridCol w:w="1985"/>
      </w:tblGrid>
      <w:tr w:rsidR="001231DF" w:rsidRPr="002B2702" w:rsidTr="007E6D44">
        <w:tc>
          <w:tcPr>
            <w:tcW w:w="1029" w:type="dxa"/>
            <w:vMerge w:val="restart"/>
            <w:shd w:val="clear" w:color="auto" w:fill="auto"/>
          </w:tcPr>
          <w:p w:rsidR="001231DF" w:rsidRPr="00BF4C1F" w:rsidRDefault="001231DF" w:rsidP="007E6D44">
            <w:pPr>
              <w:jc w:val="center"/>
              <w:rPr>
                <w:rFonts w:ascii="Calibri" w:eastAsia="Calibri" w:hAnsi="Calibri"/>
                <w:b/>
                <w:szCs w:val="22"/>
                <w:lang w:eastAsia="en-US"/>
              </w:rPr>
            </w:pPr>
            <w:r w:rsidRPr="00BF4C1F">
              <w:rPr>
                <w:rFonts w:ascii="Calibri" w:eastAsia="Calibri" w:hAnsi="Calibri"/>
                <w:b/>
                <w:szCs w:val="22"/>
                <w:lang w:eastAsia="en-US"/>
              </w:rPr>
              <w:t>ABF Facility</w:t>
            </w:r>
          </w:p>
        </w:tc>
        <w:tc>
          <w:tcPr>
            <w:tcW w:w="1943" w:type="dxa"/>
            <w:shd w:val="clear" w:color="auto" w:fill="auto"/>
          </w:tcPr>
          <w:p w:rsidR="001231DF" w:rsidRPr="00BF4C1F" w:rsidRDefault="001231DF" w:rsidP="007E6D44">
            <w:pPr>
              <w:jc w:val="center"/>
              <w:rPr>
                <w:rFonts w:ascii="Calibri" w:eastAsia="Calibri" w:hAnsi="Calibri"/>
                <w:b/>
                <w:szCs w:val="22"/>
                <w:lang w:eastAsia="en-US"/>
              </w:rPr>
            </w:pPr>
            <w:r>
              <w:rPr>
                <w:rFonts w:ascii="Calibri" w:eastAsia="Calibri" w:hAnsi="Calibri"/>
                <w:b/>
                <w:szCs w:val="22"/>
                <w:lang w:eastAsia="en-US"/>
              </w:rPr>
              <w:t>Round 20</w:t>
            </w:r>
          </w:p>
        </w:tc>
        <w:tc>
          <w:tcPr>
            <w:tcW w:w="1559" w:type="dxa"/>
            <w:shd w:val="clear" w:color="auto" w:fill="auto"/>
          </w:tcPr>
          <w:p w:rsidR="001231DF" w:rsidRPr="00BF4C1F" w:rsidRDefault="001231DF" w:rsidP="007E6D44">
            <w:pPr>
              <w:jc w:val="center"/>
              <w:rPr>
                <w:rFonts w:ascii="Calibri" w:eastAsia="Calibri" w:hAnsi="Calibri"/>
                <w:b/>
                <w:szCs w:val="22"/>
                <w:lang w:eastAsia="en-US"/>
              </w:rPr>
            </w:pPr>
            <w:r>
              <w:rPr>
                <w:rFonts w:ascii="Calibri" w:eastAsia="Calibri" w:hAnsi="Calibri"/>
                <w:b/>
                <w:szCs w:val="22"/>
                <w:lang w:eastAsia="en-US"/>
              </w:rPr>
              <w:t>Round 21</w:t>
            </w:r>
          </w:p>
        </w:tc>
        <w:tc>
          <w:tcPr>
            <w:tcW w:w="1985" w:type="dxa"/>
            <w:shd w:val="clear" w:color="auto" w:fill="auto"/>
          </w:tcPr>
          <w:p w:rsidR="001231DF" w:rsidRPr="00BF4C1F" w:rsidRDefault="001231DF" w:rsidP="007E6D44">
            <w:pPr>
              <w:jc w:val="center"/>
              <w:rPr>
                <w:rFonts w:ascii="Calibri" w:eastAsia="Calibri" w:hAnsi="Calibri"/>
                <w:b/>
                <w:szCs w:val="22"/>
                <w:lang w:eastAsia="en-US"/>
              </w:rPr>
            </w:pPr>
            <w:r>
              <w:rPr>
                <w:rFonts w:ascii="Calibri" w:eastAsia="Calibri" w:hAnsi="Calibri"/>
                <w:b/>
                <w:szCs w:val="22"/>
                <w:lang w:eastAsia="en-US"/>
              </w:rPr>
              <w:t>Change</w:t>
            </w:r>
          </w:p>
        </w:tc>
      </w:tr>
      <w:tr w:rsidR="001231DF" w:rsidRPr="002B2702" w:rsidTr="007E6D44">
        <w:tc>
          <w:tcPr>
            <w:tcW w:w="1029" w:type="dxa"/>
            <w:vMerge/>
            <w:shd w:val="clear" w:color="auto" w:fill="auto"/>
          </w:tcPr>
          <w:p w:rsidR="001231DF" w:rsidRPr="00BF4C1F" w:rsidRDefault="001231DF" w:rsidP="007E6D44">
            <w:pPr>
              <w:rPr>
                <w:rFonts w:ascii="Calibri" w:eastAsia="Calibri" w:hAnsi="Calibri"/>
                <w:szCs w:val="22"/>
                <w:lang w:eastAsia="en-US"/>
              </w:rPr>
            </w:pPr>
          </w:p>
        </w:tc>
        <w:tc>
          <w:tcPr>
            <w:tcW w:w="1943" w:type="dxa"/>
            <w:shd w:val="clear" w:color="auto" w:fill="auto"/>
          </w:tcPr>
          <w:p w:rsidR="001231DF" w:rsidRPr="00BF4C1F" w:rsidRDefault="001231DF" w:rsidP="007E6D44">
            <w:pPr>
              <w:jc w:val="right"/>
              <w:rPr>
                <w:rFonts w:ascii="Calibri" w:eastAsia="Calibri" w:hAnsi="Calibri"/>
                <w:szCs w:val="22"/>
                <w:lang w:eastAsia="en-US"/>
              </w:rPr>
            </w:pPr>
            <w:r>
              <w:rPr>
                <w:rFonts w:ascii="Calibri" w:eastAsia="Calibri" w:hAnsi="Calibri"/>
                <w:szCs w:val="22"/>
                <w:lang w:eastAsia="en-US"/>
              </w:rPr>
              <w:t>$112,044,522</w:t>
            </w:r>
          </w:p>
        </w:tc>
        <w:tc>
          <w:tcPr>
            <w:tcW w:w="1559" w:type="dxa"/>
            <w:shd w:val="clear" w:color="auto" w:fill="auto"/>
          </w:tcPr>
          <w:p w:rsidR="001231DF" w:rsidRPr="00BF4C1F" w:rsidRDefault="001231DF" w:rsidP="007E6D44">
            <w:pPr>
              <w:jc w:val="right"/>
              <w:rPr>
                <w:rFonts w:ascii="Calibri" w:eastAsia="Calibri" w:hAnsi="Calibri"/>
                <w:szCs w:val="22"/>
                <w:lang w:eastAsia="en-US"/>
              </w:rPr>
            </w:pPr>
            <w:r>
              <w:rPr>
                <w:rFonts w:ascii="Calibri" w:eastAsia="Calibri" w:hAnsi="Calibri"/>
                <w:szCs w:val="22"/>
                <w:lang w:eastAsia="en-US"/>
              </w:rPr>
              <w:t>$</w:t>
            </w:r>
            <w:r w:rsidRPr="00BF4C1F">
              <w:rPr>
                <w:rFonts w:ascii="Calibri" w:eastAsia="Calibri" w:hAnsi="Calibri"/>
                <w:szCs w:val="22"/>
                <w:lang w:eastAsia="en-US"/>
              </w:rPr>
              <w:t>156,789,245</w:t>
            </w:r>
          </w:p>
        </w:tc>
        <w:tc>
          <w:tcPr>
            <w:tcW w:w="1985" w:type="dxa"/>
            <w:shd w:val="clear" w:color="auto" w:fill="auto"/>
          </w:tcPr>
          <w:p w:rsidR="001231DF" w:rsidRPr="00BF4C1F" w:rsidRDefault="001231DF" w:rsidP="007E6D44">
            <w:pPr>
              <w:jc w:val="right"/>
              <w:rPr>
                <w:rFonts w:ascii="Calibri" w:eastAsia="Calibri" w:hAnsi="Calibri"/>
                <w:szCs w:val="22"/>
                <w:lang w:eastAsia="en-US"/>
              </w:rPr>
            </w:pPr>
            <w:r>
              <w:rPr>
                <w:rFonts w:ascii="Calibri" w:eastAsia="Calibri" w:hAnsi="Calibri"/>
                <w:szCs w:val="22"/>
                <w:lang w:eastAsia="en-US"/>
              </w:rPr>
              <w:t>$44,389,246</w:t>
            </w:r>
          </w:p>
        </w:tc>
      </w:tr>
    </w:tbl>
    <w:p w:rsidR="001231DF" w:rsidRDefault="001231DF" w:rsidP="001231DF">
      <w:pPr>
        <w:pStyle w:val="BodyText"/>
      </w:pPr>
    </w:p>
    <w:p w:rsidR="001231DF" w:rsidRDefault="001231DF" w:rsidP="001231DF">
      <w:pPr>
        <w:pStyle w:val="BodyText"/>
      </w:pPr>
      <w:r>
        <w:t>This should be taken into consideration when comparing the costs of diagnostic clinics between Rounds.</w:t>
      </w:r>
    </w:p>
    <w:p w:rsidR="001231DF" w:rsidRPr="001231DF" w:rsidRDefault="001231DF" w:rsidP="001231DF">
      <w:pPr>
        <w:pStyle w:val="Heading1"/>
        <w:keepLines w:val="0"/>
        <w:spacing w:before="280" w:after="140"/>
        <w:contextualSpacing w:val="0"/>
        <w:rPr>
          <w:rFonts w:ascii="Arial" w:hAnsi="Arial"/>
          <w:color w:val="0F9AA1"/>
          <w:sz w:val="28"/>
          <w:szCs w:val="36"/>
        </w:rPr>
      </w:pPr>
      <w:r w:rsidRPr="001231DF">
        <w:rPr>
          <w:rFonts w:ascii="Arial" w:hAnsi="Arial"/>
          <w:color w:val="0F9AA1"/>
          <w:sz w:val="28"/>
          <w:szCs w:val="36"/>
        </w:rPr>
        <w:t>Teaching, Training and Research</w:t>
      </w:r>
    </w:p>
    <w:p w:rsidR="001231DF" w:rsidRDefault="001231DF" w:rsidP="001231DF">
      <w:pPr>
        <w:pStyle w:val="BodyText"/>
      </w:pPr>
      <w:r>
        <w:t xml:space="preserve">The majority of facilities are allocating direct teaching and training costs to patients. This is achieved through directly mapping to a suite of patient level products such as the patient’s “admission”, “outpatient clinic attendance” or “emergency department attendance”, or using the indirect allocation structure to other direct patient care departments.  Several smaller facilities are allocating direct teaching and training to system-generated patients </w:t>
      </w:r>
      <w:proofErr w:type="gramStart"/>
      <w:r>
        <w:t>which</w:t>
      </w:r>
      <w:proofErr w:type="gramEnd"/>
      <w:r>
        <w:t xml:space="preserve"> are excluded from the </w:t>
      </w:r>
      <w:r>
        <w:lastRenderedPageBreak/>
        <w:t>NHCDC. For all facilities, embedded teaching and training costs are not separately identified and any teaching or training that occurs in the course of patient care is included in patient costing.</w:t>
      </w:r>
    </w:p>
    <w:p w:rsidR="001231DF" w:rsidRPr="001231DF" w:rsidRDefault="001231DF" w:rsidP="001231DF">
      <w:pPr>
        <w:pStyle w:val="Heading1"/>
        <w:keepLines w:val="0"/>
        <w:spacing w:before="280" w:after="140"/>
        <w:contextualSpacing w:val="0"/>
        <w:rPr>
          <w:rFonts w:ascii="Arial" w:hAnsi="Arial"/>
          <w:color w:val="0F9AA1"/>
          <w:sz w:val="28"/>
          <w:szCs w:val="36"/>
        </w:rPr>
      </w:pPr>
      <w:r w:rsidRPr="001231DF">
        <w:rPr>
          <w:rFonts w:ascii="Arial" w:hAnsi="Arial"/>
          <w:color w:val="0F9AA1"/>
          <w:sz w:val="28"/>
          <w:szCs w:val="36"/>
        </w:rPr>
        <w:t>Patient Travel</w:t>
      </w:r>
    </w:p>
    <w:p w:rsidR="001231DF" w:rsidRDefault="001231DF" w:rsidP="001231DF">
      <w:pPr>
        <w:pStyle w:val="BodyText"/>
      </w:pPr>
      <w:r>
        <w:t>Patient travel costs in Queensland are significant but are not fully reflected in the NHCDC submission.  This is mainly due to the absence of feeder system data as the cost may reside with the ‘sender’ hospital and not with the facility in which the patient was treated. Furthermore, the costs have not been separately identified in R21 and are bundled in goods and services.  Of the $192 million recorded as patient travel in the initial NHCDC extract, the majority ($125 million) are allocated to system-generated patients and excluded.  Only approximately $62 million is included in the patient level submission (which is bundled in with the $884 million of goods and services).</w:t>
      </w:r>
    </w:p>
    <w:p w:rsidR="001231DF" w:rsidRDefault="001231DF" w:rsidP="001231DF">
      <w:pPr>
        <w:pStyle w:val="BodyText"/>
      </w:pPr>
      <w:r>
        <w:t>A number of HHS’s have commenced the identification of patient transport/transfer costs attach where previously they were treated as virtual products.  This accounted for approximately $20M of costs in the initial costing system extract and it is expected this will increase in future as more HHS’s link to the patient inter-hospital transport/transfer feeder data.</w:t>
      </w:r>
    </w:p>
    <w:p w:rsidR="001231DF" w:rsidRPr="001231DF" w:rsidRDefault="001231DF" w:rsidP="001231DF">
      <w:pPr>
        <w:pStyle w:val="Heading1"/>
        <w:keepLines w:val="0"/>
        <w:spacing w:before="280" w:after="140"/>
        <w:contextualSpacing w:val="0"/>
        <w:rPr>
          <w:rFonts w:ascii="Arial" w:hAnsi="Arial"/>
          <w:color w:val="0F9AA1"/>
          <w:sz w:val="28"/>
          <w:szCs w:val="36"/>
        </w:rPr>
      </w:pPr>
      <w:r w:rsidRPr="001231DF">
        <w:rPr>
          <w:rFonts w:ascii="Arial" w:hAnsi="Arial"/>
          <w:color w:val="0F9AA1"/>
          <w:sz w:val="28"/>
          <w:szCs w:val="36"/>
        </w:rPr>
        <w:t>Blood products</w:t>
      </w:r>
    </w:p>
    <w:p w:rsidR="001231DF" w:rsidRDefault="001231DF" w:rsidP="001231DF">
      <w:pPr>
        <w:pStyle w:val="BodyText"/>
      </w:pPr>
      <w:r>
        <w:t>Blood product costs continue to be included at patient level in the NHCDC. In 2016-17 approximately $40.5 million has been included in the submission, compared with $42.6 million in the prior year.</w:t>
      </w:r>
    </w:p>
    <w:p w:rsidR="001231DF" w:rsidRPr="001231DF" w:rsidRDefault="001231DF" w:rsidP="001231DF">
      <w:pPr>
        <w:pStyle w:val="Heading1"/>
        <w:keepLines w:val="0"/>
        <w:spacing w:before="280" w:after="140"/>
        <w:contextualSpacing w:val="0"/>
        <w:rPr>
          <w:rFonts w:ascii="Arial" w:hAnsi="Arial"/>
          <w:color w:val="0F9AA1"/>
          <w:sz w:val="28"/>
          <w:szCs w:val="36"/>
        </w:rPr>
      </w:pPr>
      <w:r w:rsidRPr="001231DF">
        <w:rPr>
          <w:rFonts w:ascii="Arial" w:hAnsi="Arial"/>
          <w:color w:val="0F9AA1"/>
          <w:sz w:val="28"/>
          <w:szCs w:val="36"/>
        </w:rPr>
        <w:t>Costing Systems</w:t>
      </w:r>
    </w:p>
    <w:p w:rsidR="001231DF" w:rsidRDefault="001231DF" w:rsidP="001231DF">
      <w:pPr>
        <w:pStyle w:val="BodyText"/>
      </w:pPr>
      <w:r>
        <w:t>Queensland defines within the HHS Service Agreements the standard costing submission specifications, which is also published on the States Corporate Reference Directory Services.</w:t>
      </w:r>
    </w:p>
    <w:p w:rsidR="001231DF" w:rsidRPr="001231DF" w:rsidRDefault="001231DF" w:rsidP="001231DF">
      <w:pPr>
        <w:pStyle w:val="Heading1"/>
        <w:keepLines w:val="0"/>
        <w:spacing w:before="280" w:after="140"/>
        <w:contextualSpacing w:val="0"/>
        <w:rPr>
          <w:rFonts w:ascii="Arial" w:hAnsi="Arial"/>
          <w:color w:val="0F9AA1"/>
          <w:sz w:val="28"/>
          <w:szCs w:val="36"/>
        </w:rPr>
      </w:pPr>
      <w:r w:rsidRPr="001231DF">
        <w:rPr>
          <w:rFonts w:ascii="Arial" w:hAnsi="Arial"/>
          <w:color w:val="0F9AA1"/>
          <w:sz w:val="28"/>
          <w:szCs w:val="36"/>
        </w:rPr>
        <w:t>New Feeder Systems for Clinical Costing</w:t>
      </w:r>
    </w:p>
    <w:p w:rsidR="001231DF" w:rsidRDefault="001231DF" w:rsidP="001231DF">
      <w:pPr>
        <w:pStyle w:val="BodyText"/>
      </w:pPr>
      <w:r>
        <w:t xml:space="preserve">Queensland Hospital and Health Services (HHS) continually monitor the implementation of new clinical data collection systems to assess whether they can be utilised for clinical costing, and they also work collaboratively with data managers to improve existing systems to attain minimum requirements for costing.  As part of the digital hospitals program, several new products being rolled out across Queensland: </w:t>
      </w:r>
    </w:p>
    <w:p w:rsidR="001231DF" w:rsidRDefault="001231DF" w:rsidP="001231DF">
      <w:pPr>
        <w:pStyle w:val="BodyText"/>
      </w:pPr>
    </w:p>
    <w:p w:rsidR="001231DF" w:rsidRDefault="001231DF" w:rsidP="001231DF">
      <w:pPr>
        <w:pStyle w:val="BodyText"/>
      </w:pPr>
      <w:r>
        <w:t>•</w:t>
      </w:r>
      <w:r>
        <w:tab/>
        <w:t xml:space="preserve">FirstNet – Emergency Department information system </w:t>
      </w:r>
    </w:p>
    <w:p w:rsidR="001231DF" w:rsidRDefault="001231DF" w:rsidP="001231DF">
      <w:pPr>
        <w:pStyle w:val="BodyText"/>
      </w:pPr>
      <w:r>
        <w:t>•</w:t>
      </w:r>
      <w:r>
        <w:tab/>
      </w:r>
      <w:proofErr w:type="spellStart"/>
      <w:r>
        <w:t>SurgiNet</w:t>
      </w:r>
      <w:proofErr w:type="spellEnd"/>
      <w:r>
        <w:t xml:space="preserve"> – Perioperative and anaesthesia information system </w:t>
      </w:r>
    </w:p>
    <w:p w:rsidR="001231DF" w:rsidRDefault="001231DF" w:rsidP="001231DF">
      <w:pPr>
        <w:pStyle w:val="BodyText"/>
      </w:pPr>
      <w:r>
        <w:t>•</w:t>
      </w:r>
      <w:r>
        <w:tab/>
        <w:t xml:space="preserve">Enterprise Scheduling Manager (ESM) – Non-admitted appointment scheduling system </w:t>
      </w:r>
    </w:p>
    <w:p w:rsidR="001231DF" w:rsidRDefault="001231DF" w:rsidP="001231DF">
      <w:pPr>
        <w:pStyle w:val="BodyText"/>
      </w:pPr>
    </w:p>
    <w:p w:rsidR="001231DF" w:rsidRDefault="001231DF" w:rsidP="001231DF">
      <w:pPr>
        <w:pStyle w:val="BodyText"/>
      </w:pPr>
      <w:r>
        <w:t>HHSs are working with the integration teams and vendor to further refine and improve the clinical costing results as these are phased into production.</w:t>
      </w:r>
    </w:p>
    <w:p w:rsidR="001231DF" w:rsidRPr="001231DF" w:rsidRDefault="001231DF" w:rsidP="001231DF">
      <w:pPr>
        <w:pStyle w:val="Heading1"/>
        <w:keepLines w:val="0"/>
        <w:spacing w:before="280" w:after="140"/>
        <w:contextualSpacing w:val="0"/>
        <w:rPr>
          <w:rFonts w:ascii="Arial" w:hAnsi="Arial"/>
          <w:color w:val="0F9AA1"/>
          <w:sz w:val="28"/>
          <w:szCs w:val="36"/>
        </w:rPr>
      </w:pPr>
      <w:r w:rsidRPr="001231DF">
        <w:rPr>
          <w:rFonts w:ascii="Arial" w:hAnsi="Arial"/>
          <w:color w:val="0F9AA1"/>
          <w:sz w:val="28"/>
          <w:szCs w:val="36"/>
        </w:rPr>
        <w:lastRenderedPageBreak/>
        <w:t>Other Issues</w:t>
      </w:r>
    </w:p>
    <w:p w:rsidR="001231DF" w:rsidRDefault="001231DF" w:rsidP="001231DF">
      <w:pPr>
        <w:pStyle w:val="BodyText"/>
      </w:pPr>
      <w:r>
        <w:t>The following issues in Round 21 do not have a significant impact on overall cost outcome (s) but are noted here for completeness:</w:t>
      </w:r>
    </w:p>
    <w:p w:rsidR="001231DF" w:rsidRDefault="001231DF" w:rsidP="001231DF">
      <w:pPr>
        <w:pStyle w:val="BodyText"/>
      </w:pPr>
    </w:p>
    <w:p w:rsidR="001231DF" w:rsidRDefault="001231DF" w:rsidP="007B079A">
      <w:pPr>
        <w:pStyle w:val="ListBullet"/>
        <w:numPr>
          <w:ilvl w:val="0"/>
          <w:numId w:val="19"/>
        </w:numPr>
        <w:spacing w:line="240" w:lineRule="auto"/>
      </w:pPr>
      <w:r>
        <w:t>The initial extracts from the costing system before the NHCDC transformation included 10,357,639 records of which there were only 89 encounters with zero cost; this comprises less than 0.000859 per cent of records.</w:t>
      </w:r>
    </w:p>
    <w:p w:rsidR="001231DF" w:rsidRPr="001231DF" w:rsidRDefault="001231DF">
      <w:pPr>
        <w:spacing w:before="0" w:after="0" w:line="240" w:lineRule="auto"/>
        <w:rPr>
          <w:rFonts w:cs="Arial"/>
          <w:b/>
          <w:color w:val="000000" w:themeColor="text1"/>
          <w:sz w:val="28"/>
          <w:szCs w:val="28"/>
        </w:rPr>
      </w:pPr>
      <w:r w:rsidRPr="001231DF">
        <w:rPr>
          <w:rFonts w:cs="Arial"/>
          <w:b/>
          <w:noProof/>
          <w:color w:val="000000" w:themeColor="text1"/>
          <w:sz w:val="28"/>
          <w:szCs w:val="28"/>
        </w:rPr>
        <mc:AlternateContent>
          <mc:Choice Requires="wps">
            <w:drawing>
              <wp:anchor distT="45720" distB="45720" distL="114300" distR="114300" simplePos="0" relativeHeight="251697152" behindDoc="0" locked="0" layoutInCell="1" allowOverlap="1" wp14:anchorId="0730BDA9" wp14:editId="73E8C020">
                <wp:simplePos x="0" y="0"/>
                <wp:positionH relativeFrom="column">
                  <wp:posOffset>384810</wp:posOffset>
                </wp:positionH>
                <wp:positionV relativeFrom="paragraph">
                  <wp:posOffset>554990</wp:posOffset>
                </wp:positionV>
                <wp:extent cx="5758815" cy="476250"/>
                <wp:effectExtent l="1270" t="0" r="2540" b="3175"/>
                <wp:wrapSquare wrapText="bothSides"/>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8815" cy="476250"/>
                        </a:xfrm>
                        <a:prstGeom prst="rect">
                          <a:avLst/>
                        </a:prstGeom>
                        <a:noFill/>
                        <a:ln>
                          <a:noFill/>
                        </a:ln>
                        <a:extLst>
                          <a:ext uri="{909E8E84-426E-40DD-AFC4-6F175D3DCCD1}">
                            <a14:hiddenFill xmlns:a14="http://schemas.microsoft.com/office/drawing/2010/main">
                              <a:solidFill>
                                <a:srgbClr val="FFFFFF">
                                  <a:alpha val="0"/>
                                </a:srgb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6D44" w:rsidRPr="00BA11F2" w:rsidRDefault="007E6D44">
                            <w:pPr>
                              <w:rPr>
                                <w:b/>
                                <w:color w:val="FFFFFF"/>
                                <w:sz w:val="48"/>
                              </w:rPr>
                            </w:pPr>
                            <w:r w:rsidRPr="00BA11F2">
                              <w:rPr>
                                <w:b/>
                                <w:color w:val="FFFFFF"/>
                                <w:sz w:val="48"/>
                              </w:rPr>
                              <w:t>NHCDC R21 Data Quality Statement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0" o:spid="_x0000_s1027" type="#_x0000_t202" style="position:absolute;margin-left:30.3pt;margin-top:43.7pt;width:453.45pt;height:37.5pt;z-index:25169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" filled="f" stroked="f">
                <v:fill opacity="0"/>
                <v:textbox>
                  <w:txbxContent>
                    <w:p w:rsidR="007E6D44" w:rsidRPr="00BA11F2" w:rsidRDefault="007E6D44">
                      <w:pPr>
                        <w:rPr>
                          <w:b/>
                          <w:color w:val="FFFFFF"/>
                          <w:sz w:val="48"/>
                        </w:rPr>
                      </w:pPr>
                      <w:r w:rsidRPr="00BA11F2">
                        <w:rPr>
                          <w:b/>
                          <w:color w:val="FFFFFF"/>
                          <w:sz w:val="48"/>
                        </w:rPr>
                        <w:t>NHCDC R21 Data Quality Statement</w:t>
                      </w:r>
                    </w:p>
                  </w:txbxContent>
                </v:textbox>
                <w10:wrap type="square"/>
              </v:shape>
            </w:pict>
          </mc:Fallback>
        </mc:AlternateContent>
      </w:r>
      <w:r w:rsidRPr="001231DF">
        <w:rPr>
          <w:rFonts w:cs="Arial"/>
          <w:b/>
          <w:noProof/>
          <w:color w:val="000000" w:themeColor="text1"/>
          <w:sz w:val="28"/>
          <w:szCs w:val="28"/>
        </w:rPr>
        <mc:AlternateContent>
          <mc:Choice Requires="wps">
            <w:drawing>
              <wp:anchor distT="45720" distB="45720" distL="114300" distR="114300" simplePos="0" relativeHeight="251696128" behindDoc="0" locked="0" layoutInCell="1" allowOverlap="1" wp14:anchorId="400B95B8" wp14:editId="177B915B">
                <wp:simplePos x="0" y="0"/>
                <wp:positionH relativeFrom="column">
                  <wp:posOffset>384810</wp:posOffset>
                </wp:positionH>
                <wp:positionV relativeFrom="paragraph">
                  <wp:posOffset>554990</wp:posOffset>
                </wp:positionV>
                <wp:extent cx="5758815" cy="476250"/>
                <wp:effectExtent l="1270" t="0" r="2540" b="3175"/>
                <wp:wrapSquare wrapText="bothSides"/>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8815" cy="476250"/>
                        </a:xfrm>
                        <a:prstGeom prst="rect">
                          <a:avLst/>
                        </a:prstGeom>
                        <a:noFill/>
                        <a:ln>
                          <a:noFill/>
                        </a:ln>
                        <a:extLst>
                          <a:ext uri="{909E8E84-426E-40DD-AFC4-6F175D3DCCD1}">
                            <a14:hiddenFill xmlns:a14="http://schemas.microsoft.com/office/drawing/2010/main">
                              <a:solidFill>
                                <a:srgbClr val="FFFFFF">
                                  <a:alpha val="0"/>
                                </a:srgb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6D44" w:rsidRPr="00BA11F2" w:rsidRDefault="007E6D44">
                            <w:pPr>
                              <w:rPr>
                                <w:b/>
                                <w:color w:val="FFFFFF"/>
                                <w:sz w:val="48"/>
                              </w:rPr>
                            </w:pPr>
                            <w:r w:rsidRPr="00BA11F2">
                              <w:rPr>
                                <w:b/>
                                <w:color w:val="FFFFFF"/>
                                <w:sz w:val="48"/>
                              </w:rPr>
                              <w:t>NHCDC R21 Data Quality Statement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9" o:spid="_x0000_s1028" type="#_x0000_t202" style="position:absolute;margin-left:30.3pt;margin-top:43.7pt;width:453.45pt;height:37.5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" filled="f" stroked="f">
                <v:fill opacity="0"/>
                <v:textbox>
                  <w:txbxContent>
                    <w:p w:rsidR="007E6D44" w:rsidRPr="00BA11F2" w:rsidRDefault="007E6D44">
                      <w:pPr>
                        <w:rPr>
                          <w:b/>
                          <w:color w:val="FFFFFF"/>
                          <w:sz w:val="48"/>
                        </w:rPr>
                      </w:pPr>
                      <w:r w:rsidRPr="00BA11F2">
                        <w:rPr>
                          <w:b/>
                          <w:color w:val="FFFFFF"/>
                          <w:sz w:val="48"/>
                        </w:rPr>
                        <w:t>NHCDC R21 Data Quality Statement</w:t>
                      </w:r>
                    </w:p>
                  </w:txbxContent>
                </v:textbox>
                <w10:wrap type="square"/>
              </v:shape>
            </w:pict>
          </mc:Fallback>
        </mc:AlternateContent>
      </w:r>
    </w:p>
    <w:p w:rsidR="000F0714" w:rsidRPr="001231DF" w:rsidRDefault="000F0714">
      <w:pPr>
        <w:spacing w:before="0" w:after="0" w:line="240" w:lineRule="auto"/>
        <w:rPr>
          <w:rFonts w:cs="Arial"/>
          <w:b/>
          <w:color w:val="000000" w:themeColor="text1"/>
          <w:sz w:val="28"/>
          <w:szCs w:val="28"/>
        </w:rPr>
      </w:pPr>
      <w:r w:rsidRPr="001231DF">
        <w:rPr>
          <w:rFonts w:cs="Arial"/>
          <w:b/>
          <w:color w:val="000000" w:themeColor="text1"/>
          <w:sz w:val="28"/>
          <w:szCs w:val="28"/>
        </w:rPr>
        <w:br w:type="page"/>
      </w:r>
    </w:p>
    <w:p w:rsidR="000F0714" w:rsidRDefault="000F0714" w:rsidP="002069AD">
      <w:pPr>
        <w:rPr>
          <w:rFonts w:cs="Arial"/>
          <w:b/>
          <w:sz w:val="28"/>
          <w:szCs w:val="28"/>
        </w:rPr>
      </w:pPr>
    </w:p>
    <w:p w:rsidR="002069AD" w:rsidRDefault="002069AD" w:rsidP="002069AD">
      <w:pPr>
        <w:rPr>
          <w:rFonts w:cs="Arial"/>
          <w:b/>
          <w:sz w:val="28"/>
          <w:szCs w:val="28"/>
        </w:rPr>
      </w:pPr>
      <w:r>
        <w:rPr>
          <w:rFonts w:cs="Arial"/>
          <w:b/>
          <w:sz w:val="28"/>
          <w:szCs w:val="28"/>
        </w:rPr>
        <w:t>South Australia</w:t>
      </w:r>
    </w:p>
    <w:p w:rsidR="00F747FA" w:rsidRDefault="0062568F">
      <w:pPr>
        <w:spacing w:before="0" w:after="0" w:line="240" w:lineRule="auto"/>
        <w:rPr>
          <w:rFonts w:cs="Arial"/>
          <w:b/>
          <w:sz w:val="28"/>
          <w:szCs w:val="28"/>
        </w:rPr>
      </w:pPr>
      <w:r>
        <w:rPr>
          <w:rFonts w:cs="Arial"/>
          <w:b/>
          <w:noProof/>
          <w:sz w:val="28"/>
          <w:szCs w:val="28"/>
        </w:rPr>
        <w:drawing>
          <wp:inline distT="0" distB="0" distL="0" distR="0">
            <wp:extent cx="5997575" cy="7403663"/>
            <wp:effectExtent l="0" t="0" r="3175" b="698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97575" cy="7403663"/>
                    </a:xfrm>
                    <a:prstGeom prst="rect">
                      <a:avLst/>
                    </a:prstGeom>
                    <a:noFill/>
                    <a:ln>
                      <a:noFill/>
                    </a:ln>
                  </pic:spPr>
                </pic:pic>
              </a:graphicData>
            </a:graphic>
          </wp:inline>
        </w:drawing>
      </w:r>
      <w:r w:rsidR="00F747FA">
        <w:rPr>
          <w:rFonts w:cs="Arial"/>
          <w:b/>
          <w:sz w:val="28"/>
          <w:szCs w:val="28"/>
        </w:rPr>
        <w:br w:type="page"/>
      </w:r>
    </w:p>
    <w:p w:rsidR="00F747FA" w:rsidRDefault="0062568F" w:rsidP="0062568F">
      <w:pPr>
        <w:spacing w:before="0" w:after="0" w:line="240" w:lineRule="auto"/>
        <w:jc w:val="center"/>
        <w:rPr>
          <w:rFonts w:cs="Arial"/>
          <w:b/>
          <w:sz w:val="28"/>
          <w:szCs w:val="28"/>
        </w:rPr>
      </w:pPr>
      <w:r>
        <w:rPr>
          <w:rFonts w:cs="Arial"/>
          <w:b/>
          <w:noProof/>
          <w:sz w:val="28"/>
          <w:szCs w:val="28"/>
        </w:rPr>
        <w:lastRenderedPageBreak/>
        <w:drawing>
          <wp:inline distT="0" distB="0" distL="0" distR="0">
            <wp:extent cx="5362575" cy="789622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62575" cy="7896225"/>
                    </a:xfrm>
                    <a:prstGeom prst="rect">
                      <a:avLst/>
                    </a:prstGeom>
                    <a:noFill/>
                    <a:ln>
                      <a:noFill/>
                    </a:ln>
                  </pic:spPr>
                </pic:pic>
              </a:graphicData>
            </a:graphic>
          </wp:inline>
        </w:drawing>
      </w:r>
    </w:p>
    <w:p w:rsidR="00F747FA" w:rsidRDefault="00F747FA">
      <w:pPr>
        <w:spacing w:before="0" w:after="0" w:line="240" w:lineRule="auto"/>
        <w:rPr>
          <w:rFonts w:cs="Arial"/>
          <w:b/>
          <w:sz w:val="28"/>
          <w:szCs w:val="28"/>
        </w:rPr>
      </w:pPr>
    </w:p>
    <w:p w:rsidR="0062568F" w:rsidRDefault="0062568F">
      <w:pPr>
        <w:spacing w:before="0" w:after="0" w:line="240" w:lineRule="auto"/>
        <w:rPr>
          <w:rFonts w:cs="Arial"/>
          <w:b/>
          <w:noProof/>
          <w:sz w:val="28"/>
          <w:szCs w:val="28"/>
        </w:rPr>
      </w:pPr>
      <w:r>
        <w:rPr>
          <w:rFonts w:cs="Arial"/>
          <w:b/>
          <w:noProof/>
          <w:sz w:val="28"/>
          <w:szCs w:val="28"/>
        </w:rPr>
        <w:lastRenderedPageBreak/>
        <w:drawing>
          <wp:inline distT="0" distB="0" distL="0" distR="0">
            <wp:extent cx="5400675" cy="306705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00675" cy="3067050"/>
                    </a:xfrm>
                    <a:prstGeom prst="rect">
                      <a:avLst/>
                    </a:prstGeom>
                    <a:noFill/>
                    <a:ln>
                      <a:noFill/>
                    </a:ln>
                  </pic:spPr>
                </pic:pic>
              </a:graphicData>
            </a:graphic>
          </wp:inline>
        </w:drawing>
      </w:r>
    </w:p>
    <w:p w:rsidR="00F747FA" w:rsidRDefault="00F747FA">
      <w:pPr>
        <w:spacing w:before="0" w:after="0" w:line="240" w:lineRule="auto"/>
        <w:rPr>
          <w:rFonts w:cs="Arial"/>
          <w:b/>
          <w:noProof/>
          <w:sz w:val="28"/>
          <w:szCs w:val="28"/>
        </w:rPr>
      </w:pPr>
      <w:r>
        <w:rPr>
          <w:rFonts w:cs="Arial"/>
          <w:b/>
          <w:noProof/>
          <w:sz w:val="28"/>
          <w:szCs w:val="28"/>
        </w:rPr>
        <w:br w:type="page"/>
      </w:r>
    </w:p>
    <w:p w:rsidR="00F747FA" w:rsidRDefault="00F747FA" w:rsidP="002069AD">
      <w:pPr>
        <w:rPr>
          <w:rFonts w:cs="Arial"/>
          <w:b/>
          <w:sz w:val="28"/>
          <w:szCs w:val="28"/>
        </w:rPr>
      </w:pPr>
      <w:r>
        <w:rPr>
          <w:noProof/>
        </w:rPr>
        <w:lastRenderedPageBreak/>
        <w:drawing>
          <wp:anchor distT="0" distB="0" distL="114300" distR="114300" simplePos="0" relativeHeight="251688960" behindDoc="0" locked="0" layoutInCell="1" allowOverlap="1" wp14:anchorId="218D124E" wp14:editId="3C03F588">
            <wp:simplePos x="0" y="0"/>
            <wp:positionH relativeFrom="column">
              <wp:posOffset>-125095</wp:posOffset>
            </wp:positionH>
            <wp:positionV relativeFrom="paragraph">
              <wp:posOffset>14605</wp:posOffset>
            </wp:positionV>
            <wp:extent cx="5987415" cy="8324850"/>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extLst>
                        <a:ext uri="{28A0092B-C50C-407E-A947-70E740481C1C}">
                          <a14:useLocalDpi xmlns:a14="http://schemas.microsoft.com/office/drawing/2010/main" val="0"/>
                        </a:ext>
                      </a:extLst>
                    </a:blip>
                    <a:srcRect l="13622" t="12341" r="33013" b="1084"/>
                    <a:stretch/>
                  </pic:blipFill>
                  <pic:spPr bwMode="auto">
                    <a:xfrm>
                      <a:off x="0" y="0"/>
                      <a:ext cx="5987415" cy="8324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747FA" w:rsidRDefault="00F747FA" w:rsidP="002069AD">
      <w:pPr>
        <w:rPr>
          <w:rFonts w:cs="Arial"/>
          <w:b/>
          <w:sz w:val="28"/>
          <w:szCs w:val="28"/>
        </w:rPr>
      </w:pPr>
    </w:p>
    <w:p w:rsidR="00F747FA" w:rsidRDefault="00F747FA" w:rsidP="002069AD">
      <w:pPr>
        <w:rPr>
          <w:rFonts w:cs="Arial"/>
          <w:b/>
          <w:sz w:val="28"/>
          <w:szCs w:val="28"/>
        </w:rPr>
      </w:pPr>
    </w:p>
    <w:p w:rsidR="002069AD" w:rsidRDefault="002069AD">
      <w:pPr>
        <w:spacing w:before="0" w:after="0" w:line="240" w:lineRule="auto"/>
        <w:rPr>
          <w:rFonts w:cs="Arial"/>
          <w:b/>
          <w:sz w:val="28"/>
          <w:szCs w:val="28"/>
        </w:rPr>
      </w:pPr>
    </w:p>
    <w:p w:rsidR="00F747FA" w:rsidRDefault="00F747FA" w:rsidP="004B6247">
      <w:pPr>
        <w:rPr>
          <w:rFonts w:cs="Arial"/>
          <w:b/>
          <w:sz w:val="28"/>
          <w:szCs w:val="28"/>
        </w:rPr>
      </w:pPr>
    </w:p>
    <w:p w:rsidR="004B6247" w:rsidRDefault="004B6247">
      <w:pPr>
        <w:spacing w:before="0" w:after="0" w:line="240" w:lineRule="auto"/>
        <w:rPr>
          <w:rFonts w:eastAsia="Arial" w:cs="Arial"/>
          <w:szCs w:val="22"/>
          <w:lang w:eastAsia="en-US"/>
        </w:rPr>
      </w:pPr>
    </w:p>
    <w:p w:rsidR="004B6247" w:rsidRDefault="004B6247">
      <w:pPr>
        <w:spacing w:before="0" w:after="0" w:line="240" w:lineRule="auto"/>
        <w:rPr>
          <w:rFonts w:eastAsia="Arial" w:cs="Arial"/>
          <w:szCs w:val="22"/>
          <w:lang w:eastAsia="en-US"/>
        </w:rPr>
      </w:pPr>
    </w:p>
    <w:p w:rsidR="004B6247" w:rsidRDefault="004B6247">
      <w:pPr>
        <w:spacing w:before="0" w:after="0" w:line="240" w:lineRule="auto"/>
        <w:rPr>
          <w:rFonts w:eastAsia="Arial" w:cs="Arial"/>
          <w:szCs w:val="22"/>
          <w:lang w:eastAsia="en-US"/>
        </w:rPr>
      </w:pPr>
    </w:p>
    <w:p w:rsidR="004B6247" w:rsidRDefault="004B6247">
      <w:pPr>
        <w:spacing w:before="0" w:after="0" w:line="240" w:lineRule="auto"/>
        <w:rPr>
          <w:rFonts w:eastAsia="Arial" w:cs="Arial"/>
          <w:szCs w:val="22"/>
          <w:lang w:eastAsia="en-US"/>
        </w:rPr>
      </w:pPr>
    </w:p>
    <w:p w:rsidR="0084535F" w:rsidRDefault="0084535F">
      <w:pPr>
        <w:spacing w:before="0" w:after="0" w:line="240" w:lineRule="auto"/>
        <w:rPr>
          <w:rFonts w:eastAsia="Arial" w:cs="Arial"/>
          <w:szCs w:val="22"/>
          <w:lang w:eastAsia="en-US"/>
        </w:rPr>
      </w:pPr>
    </w:p>
    <w:p w:rsidR="0084535F" w:rsidRDefault="0084535F">
      <w:pPr>
        <w:spacing w:before="0" w:after="0" w:line="240" w:lineRule="auto"/>
        <w:rPr>
          <w:rFonts w:eastAsia="Arial" w:cs="Arial"/>
          <w:szCs w:val="22"/>
          <w:lang w:eastAsia="en-US"/>
        </w:rPr>
      </w:pPr>
    </w:p>
    <w:p w:rsidR="0084535F" w:rsidRDefault="0084535F">
      <w:pPr>
        <w:spacing w:before="0" w:after="0" w:line="240" w:lineRule="auto"/>
        <w:rPr>
          <w:rFonts w:eastAsia="Arial" w:cs="Arial"/>
          <w:szCs w:val="22"/>
          <w:lang w:eastAsia="en-US"/>
        </w:rPr>
      </w:pPr>
      <w:r>
        <w:rPr>
          <w:rFonts w:eastAsia="Arial" w:cs="Arial"/>
          <w:szCs w:val="22"/>
          <w:lang w:eastAsia="en-US"/>
        </w:rPr>
        <w:br w:type="page"/>
      </w:r>
    </w:p>
    <w:p w:rsidR="0084535F" w:rsidRDefault="00507186" w:rsidP="0084535F">
      <w:pPr>
        <w:rPr>
          <w:rFonts w:cs="Arial"/>
          <w:b/>
          <w:sz w:val="28"/>
          <w:szCs w:val="28"/>
        </w:rPr>
      </w:pPr>
      <w:r>
        <w:rPr>
          <w:rFonts w:eastAsia="Arial" w:cs="Arial"/>
          <w:noProof/>
          <w:szCs w:val="22"/>
        </w:rPr>
        <w:lastRenderedPageBreak/>
        <w:drawing>
          <wp:anchor distT="0" distB="0" distL="114300" distR="114300" simplePos="0" relativeHeight="251689984" behindDoc="0" locked="0" layoutInCell="1" allowOverlap="1" wp14:anchorId="5C85638D" wp14:editId="0448F85C">
            <wp:simplePos x="0" y="0"/>
            <wp:positionH relativeFrom="column">
              <wp:posOffset>-1905</wp:posOffset>
            </wp:positionH>
            <wp:positionV relativeFrom="paragraph">
              <wp:posOffset>216535</wp:posOffset>
            </wp:positionV>
            <wp:extent cx="5836285" cy="8258175"/>
            <wp:effectExtent l="0" t="0" r="0" b="952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36285" cy="8258175"/>
                    </a:xfrm>
                    <a:prstGeom prst="rect">
                      <a:avLst/>
                    </a:prstGeom>
                    <a:noFill/>
                    <a:ln>
                      <a:noFill/>
                    </a:ln>
                  </pic:spPr>
                </pic:pic>
              </a:graphicData>
            </a:graphic>
            <wp14:sizeRelH relativeFrom="page">
              <wp14:pctWidth>0</wp14:pctWidth>
            </wp14:sizeRelH>
            <wp14:sizeRelV relativeFrom="page">
              <wp14:pctHeight>0</wp14:pctHeight>
            </wp14:sizeRelV>
          </wp:anchor>
        </w:drawing>
      </w:r>
      <w:r w:rsidR="0084535F">
        <w:rPr>
          <w:rFonts w:cs="Arial"/>
          <w:b/>
          <w:sz w:val="28"/>
          <w:szCs w:val="28"/>
        </w:rPr>
        <w:t>Tasmania</w:t>
      </w:r>
    </w:p>
    <w:p w:rsidR="0084535F" w:rsidRDefault="0084535F" w:rsidP="0084535F">
      <w:pPr>
        <w:rPr>
          <w:rFonts w:cs="Arial"/>
          <w:b/>
          <w:sz w:val="28"/>
          <w:szCs w:val="28"/>
        </w:rPr>
      </w:pPr>
    </w:p>
    <w:p w:rsidR="00507186" w:rsidRDefault="004B6247" w:rsidP="00507186">
      <w:pPr>
        <w:rPr>
          <w:rFonts w:cs="Arial"/>
          <w:b/>
          <w:sz w:val="28"/>
          <w:szCs w:val="28"/>
        </w:rPr>
      </w:pPr>
      <w:r>
        <w:rPr>
          <w:rFonts w:eastAsia="Arial" w:cs="Arial"/>
          <w:szCs w:val="22"/>
          <w:lang w:eastAsia="en-US"/>
        </w:rPr>
        <w:br w:type="page"/>
      </w:r>
      <w:r w:rsidR="00507186">
        <w:rPr>
          <w:rFonts w:cs="Arial"/>
          <w:b/>
          <w:sz w:val="28"/>
          <w:szCs w:val="28"/>
        </w:rPr>
        <w:lastRenderedPageBreak/>
        <w:t>Victoria</w:t>
      </w:r>
    </w:p>
    <w:p w:rsidR="00507186" w:rsidRDefault="00507186" w:rsidP="00507186">
      <w:pPr>
        <w:pStyle w:val="Title"/>
      </w:pPr>
      <w:r>
        <w:rPr>
          <w:b w:val="0"/>
          <w:noProof/>
          <w:sz w:val="28"/>
          <w:szCs w:val="28"/>
        </w:rPr>
        <w:drawing>
          <wp:anchor distT="0" distB="0" distL="114300" distR="114300" simplePos="0" relativeHeight="251691008" behindDoc="0" locked="0" layoutInCell="1" allowOverlap="1" wp14:anchorId="04A741EE" wp14:editId="1F9908F3">
            <wp:simplePos x="0" y="0"/>
            <wp:positionH relativeFrom="column">
              <wp:posOffset>251</wp:posOffset>
            </wp:positionH>
            <wp:positionV relativeFrom="paragraph">
              <wp:posOffset>-66882</wp:posOffset>
            </wp:positionV>
            <wp:extent cx="5869172" cy="829634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879175" cy="831048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rsidR="00507186" w:rsidRDefault="00507186" w:rsidP="00507186">
      <w:pPr>
        <w:rPr>
          <w:rFonts w:cs="Arial"/>
          <w:b/>
          <w:sz w:val="28"/>
          <w:szCs w:val="28"/>
        </w:rPr>
      </w:pPr>
      <w:r>
        <w:rPr>
          <w:rFonts w:cs="Arial"/>
          <w:b/>
          <w:noProof/>
          <w:sz w:val="28"/>
          <w:szCs w:val="28"/>
        </w:rPr>
        <w:lastRenderedPageBreak/>
        <w:drawing>
          <wp:anchor distT="0" distB="0" distL="114300" distR="114300" simplePos="0" relativeHeight="251692032" behindDoc="0" locked="0" layoutInCell="1" allowOverlap="1" wp14:anchorId="1410DED8" wp14:editId="6641B34C">
            <wp:simplePos x="0" y="0"/>
            <wp:positionH relativeFrom="column">
              <wp:posOffset>3810</wp:posOffset>
            </wp:positionH>
            <wp:positionV relativeFrom="paragraph">
              <wp:posOffset>-381635</wp:posOffset>
            </wp:positionV>
            <wp:extent cx="5997575" cy="8477250"/>
            <wp:effectExtent l="0" t="0" r="3175"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97575" cy="8477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07186" w:rsidRDefault="00507186">
      <w:pPr>
        <w:spacing w:before="0" w:after="0" w:line="240" w:lineRule="auto"/>
        <w:rPr>
          <w:rFonts w:eastAsia="Arial" w:cs="Arial"/>
          <w:szCs w:val="22"/>
          <w:lang w:eastAsia="en-US"/>
        </w:rPr>
      </w:pPr>
    </w:p>
    <w:p w:rsidR="00507186" w:rsidRDefault="00507186">
      <w:pPr>
        <w:spacing w:before="0" w:after="0" w:line="240" w:lineRule="auto"/>
        <w:rPr>
          <w:rFonts w:eastAsia="Arial" w:cs="Arial"/>
          <w:szCs w:val="22"/>
          <w:lang w:eastAsia="en-US"/>
        </w:rPr>
      </w:pPr>
    </w:p>
    <w:p w:rsidR="00507186" w:rsidRDefault="00507186">
      <w:pPr>
        <w:spacing w:before="0" w:after="0" w:line="240" w:lineRule="auto"/>
        <w:rPr>
          <w:rFonts w:eastAsia="Arial" w:cs="Arial"/>
          <w:szCs w:val="22"/>
          <w:lang w:eastAsia="en-US"/>
        </w:rPr>
      </w:pPr>
    </w:p>
    <w:p w:rsidR="00507186" w:rsidRDefault="00507186">
      <w:pPr>
        <w:spacing w:before="0" w:after="0" w:line="240" w:lineRule="auto"/>
        <w:rPr>
          <w:rFonts w:eastAsia="Arial" w:cs="Arial"/>
          <w:szCs w:val="22"/>
          <w:lang w:eastAsia="en-US"/>
        </w:rPr>
      </w:pPr>
    </w:p>
    <w:p w:rsidR="00507186" w:rsidRDefault="00507186">
      <w:pPr>
        <w:spacing w:before="0" w:after="0" w:line="240" w:lineRule="auto"/>
        <w:rPr>
          <w:rFonts w:eastAsia="Arial" w:cs="Arial"/>
          <w:szCs w:val="22"/>
          <w:lang w:eastAsia="en-US"/>
        </w:rPr>
      </w:pPr>
    </w:p>
    <w:p w:rsidR="004B6247" w:rsidRDefault="004B6247">
      <w:pPr>
        <w:spacing w:before="0" w:after="0" w:line="240" w:lineRule="auto"/>
        <w:rPr>
          <w:rFonts w:eastAsia="Arial" w:cs="Arial"/>
          <w:szCs w:val="22"/>
          <w:lang w:eastAsia="en-US"/>
        </w:rPr>
      </w:pPr>
      <w:r>
        <w:rPr>
          <w:rFonts w:eastAsia="Arial" w:cs="Arial"/>
          <w:szCs w:val="22"/>
          <w:lang w:eastAsia="en-US"/>
        </w:rPr>
        <w:br w:type="page"/>
      </w:r>
    </w:p>
    <w:p w:rsidR="00507186" w:rsidRDefault="00507186">
      <w:pPr>
        <w:spacing w:before="0" w:after="0" w:line="240" w:lineRule="auto"/>
      </w:pPr>
      <w:r>
        <w:rPr>
          <w:rFonts w:cs="Arial"/>
          <w:b/>
          <w:noProof/>
          <w:sz w:val="28"/>
          <w:szCs w:val="28"/>
        </w:rPr>
        <w:lastRenderedPageBreak/>
        <w:drawing>
          <wp:inline distT="0" distB="0" distL="0" distR="0" wp14:anchorId="17AC5FC2" wp14:editId="4AE24774">
            <wp:extent cx="5997575" cy="8477250"/>
            <wp:effectExtent l="0" t="0" r="317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97575" cy="8477250"/>
                    </a:xfrm>
                    <a:prstGeom prst="rect">
                      <a:avLst/>
                    </a:prstGeom>
                    <a:noFill/>
                    <a:ln>
                      <a:noFill/>
                    </a:ln>
                  </pic:spPr>
                </pic:pic>
              </a:graphicData>
            </a:graphic>
          </wp:inline>
        </w:drawing>
      </w:r>
    </w:p>
    <w:p w:rsidR="00507186" w:rsidRDefault="00507186" w:rsidP="00507186">
      <w:pPr>
        <w:rPr>
          <w:rFonts w:cs="Arial"/>
          <w:b/>
          <w:sz w:val="28"/>
          <w:szCs w:val="28"/>
        </w:rPr>
      </w:pPr>
      <w:r>
        <w:rPr>
          <w:rFonts w:cs="Arial"/>
          <w:b/>
          <w:sz w:val="28"/>
          <w:szCs w:val="28"/>
        </w:rPr>
        <w:lastRenderedPageBreak/>
        <w:t>Western Australia</w:t>
      </w:r>
    </w:p>
    <w:p w:rsidR="00E8452A" w:rsidRDefault="00E8452A" w:rsidP="00507186">
      <w:pPr>
        <w:rPr>
          <w:rFonts w:cs="Arial"/>
          <w:b/>
          <w:sz w:val="28"/>
          <w:szCs w:val="28"/>
        </w:rPr>
      </w:pPr>
      <w:r>
        <w:rPr>
          <w:rFonts w:cs="Arial"/>
          <w:b/>
          <w:noProof/>
          <w:sz w:val="28"/>
          <w:szCs w:val="28"/>
        </w:rPr>
        <w:drawing>
          <wp:anchor distT="0" distB="0" distL="114300" distR="114300" simplePos="0" relativeHeight="251694080" behindDoc="0" locked="0" layoutInCell="1" allowOverlap="1" wp14:anchorId="5BD19FCE" wp14:editId="13EC7695">
            <wp:simplePos x="0" y="0"/>
            <wp:positionH relativeFrom="column">
              <wp:posOffset>-97543</wp:posOffset>
            </wp:positionH>
            <wp:positionV relativeFrom="paragraph">
              <wp:posOffset>0</wp:posOffset>
            </wp:positionV>
            <wp:extent cx="5835015" cy="830834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35015" cy="83083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07186" w:rsidRDefault="00507186">
      <w:pPr>
        <w:spacing w:before="0" w:after="0" w:line="240" w:lineRule="auto"/>
      </w:pPr>
    </w:p>
    <w:p w:rsidR="00E8452A" w:rsidRDefault="00507186">
      <w:pPr>
        <w:spacing w:before="0" w:after="0" w:line="240" w:lineRule="auto"/>
      </w:pPr>
      <w:r>
        <w:br w:type="page"/>
      </w:r>
      <w:r w:rsidR="00E8452A">
        <w:rPr>
          <w:noProof/>
        </w:rPr>
        <w:lastRenderedPageBreak/>
        <w:drawing>
          <wp:anchor distT="0" distB="0" distL="114300" distR="114300" simplePos="0" relativeHeight="251695104" behindDoc="0" locked="0" layoutInCell="1" allowOverlap="1" wp14:anchorId="2CAE9538" wp14:editId="409F4CFA">
            <wp:simplePos x="0" y="0"/>
            <wp:positionH relativeFrom="column">
              <wp:posOffset>-1948</wp:posOffset>
            </wp:positionH>
            <wp:positionV relativeFrom="paragraph">
              <wp:posOffset>236395</wp:posOffset>
            </wp:positionV>
            <wp:extent cx="5675586" cy="4217289"/>
            <wp:effectExtent l="0" t="0" r="1905"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75135" cy="4216954"/>
                    </a:xfrm>
                    <a:prstGeom prst="rect">
                      <a:avLst/>
                    </a:prstGeom>
                    <a:noFill/>
                    <a:ln>
                      <a:noFill/>
                    </a:ln>
                  </pic:spPr>
                </pic:pic>
              </a:graphicData>
            </a:graphic>
            <wp14:sizeRelH relativeFrom="page">
              <wp14:pctWidth>0</wp14:pctWidth>
            </wp14:sizeRelH>
            <wp14:sizeRelV relativeFrom="page">
              <wp14:pctHeight>0</wp14:pctHeight>
            </wp14:sizeRelV>
          </wp:anchor>
        </w:drawing>
      </w:r>
      <w:r w:rsidR="00E8452A">
        <w:br w:type="page"/>
      </w:r>
      <w:r w:rsidR="00533FA0">
        <w:rPr>
          <w:noProof/>
        </w:rPr>
        <w:lastRenderedPageBreak/>
        <w:drawing>
          <wp:inline distT="0" distB="0" distL="0" distR="0" wp14:anchorId="487F3C3E" wp14:editId="5436FF59">
            <wp:extent cx="5997575" cy="6138448"/>
            <wp:effectExtent l="0" t="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97575" cy="6138448"/>
                    </a:xfrm>
                    <a:prstGeom prst="rect">
                      <a:avLst/>
                    </a:prstGeom>
                    <a:noFill/>
                    <a:ln>
                      <a:noFill/>
                    </a:ln>
                  </pic:spPr>
                </pic:pic>
              </a:graphicData>
            </a:graphic>
          </wp:inline>
        </w:drawing>
      </w:r>
      <w:r w:rsidR="00E8452A">
        <w:br w:type="page"/>
      </w:r>
    </w:p>
    <w:p w:rsidR="00E8452A" w:rsidRDefault="00E8452A">
      <w:pPr>
        <w:spacing w:before="0" w:after="0" w:line="240" w:lineRule="auto"/>
      </w:pPr>
    </w:p>
    <w:p w:rsidR="00507186" w:rsidRDefault="00507186">
      <w:pPr>
        <w:spacing w:before="0" w:after="0" w:line="240" w:lineRule="auto"/>
      </w:pPr>
    </w:p>
    <w:p w:rsidR="00562759" w:rsidRDefault="00FE7211" w:rsidP="00350852">
      <w:r>
        <w:rPr>
          <w:noProof/>
        </w:rPr>
        <mc:AlternateContent>
          <mc:Choice Requires="wps">
            <w:drawing>
              <wp:anchor distT="0" distB="0" distL="114300" distR="114300" simplePos="0" relativeHeight="251682816" behindDoc="0" locked="0" layoutInCell="1" allowOverlap="1" wp14:anchorId="0015A716" wp14:editId="59B7999C">
                <wp:simplePos x="0" y="0"/>
                <wp:positionH relativeFrom="column">
                  <wp:posOffset>152400</wp:posOffset>
                </wp:positionH>
                <wp:positionV relativeFrom="margin">
                  <wp:posOffset>7630160</wp:posOffset>
                </wp:positionV>
                <wp:extent cx="1943280" cy="1257480"/>
                <wp:effectExtent l="0" t="0" r="12700" b="12700"/>
                <wp:wrapSquare wrapText="bothSides"/>
                <wp:docPr id="2" name="Text Box 2"/>
                <wp:cNvGraphicFramePr/>
                <a:graphic xmlns:a="http://schemas.openxmlformats.org/drawingml/2006/main">
                  <a:graphicData uri="http://schemas.microsoft.com/office/word/2010/wordprocessingShape">
                    <wps:wsp>
                      <wps:cNvSpPr txBox="1"/>
                      <wps:spPr>
                        <a:xfrm>
                          <a:off x="0" y="0"/>
                          <a:ext cx="1943280" cy="12574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7E6D44" w:rsidRPr="0078371E" w:rsidRDefault="007E6D44" w:rsidP="00FE7211">
                            <w:pPr>
                              <w:pStyle w:val="Address"/>
                              <w:rPr>
                                <w:color w:val="auto"/>
                              </w:rPr>
                            </w:pPr>
                            <w:r w:rsidRPr="0078371E">
                              <w:rPr>
                                <w:color w:val="auto"/>
                              </w:rPr>
                              <w:t>Independent Hospital Pricing Authority</w:t>
                            </w:r>
                          </w:p>
                          <w:p w:rsidR="007E6D44" w:rsidRPr="0078371E" w:rsidRDefault="007E6D44" w:rsidP="00FE7211">
                            <w:pPr>
                              <w:pStyle w:val="Address"/>
                              <w:rPr>
                                <w:color w:val="004200" w:themeColor="accent1"/>
                              </w:rPr>
                            </w:pPr>
                            <w:r w:rsidRPr="0078371E">
                              <w:rPr>
                                <w:color w:val="004200" w:themeColor="accent1"/>
                              </w:rPr>
                              <w:t> </w:t>
                            </w:r>
                          </w:p>
                          <w:p w:rsidR="007E6D44" w:rsidRPr="0078371E" w:rsidRDefault="007E6D44" w:rsidP="00FE7211">
                            <w:pPr>
                              <w:pStyle w:val="Address"/>
                              <w:rPr>
                                <w:color w:val="004200" w:themeColor="accent1"/>
                              </w:rPr>
                            </w:pPr>
                            <w:r w:rsidRPr="0078371E">
                              <w:rPr>
                                <w:color w:val="004200" w:themeColor="accent1"/>
                              </w:rPr>
                              <w:t>Level 6, 1 Oxford Street</w:t>
                            </w:r>
                          </w:p>
                          <w:p w:rsidR="007E6D44" w:rsidRPr="0078371E" w:rsidRDefault="007E6D44" w:rsidP="00FE7211">
                            <w:pPr>
                              <w:pStyle w:val="Address"/>
                              <w:rPr>
                                <w:color w:val="004200" w:themeColor="accent1"/>
                              </w:rPr>
                            </w:pPr>
                            <w:r w:rsidRPr="0078371E">
                              <w:rPr>
                                <w:color w:val="004200" w:themeColor="accent1"/>
                              </w:rPr>
                              <w:t>Sydney NSW 2000</w:t>
                            </w:r>
                          </w:p>
                          <w:p w:rsidR="007E6D44" w:rsidRPr="0078371E" w:rsidRDefault="007E6D44" w:rsidP="00FE7211">
                            <w:pPr>
                              <w:pStyle w:val="Address"/>
                              <w:rPr>
                                <w:color w:val="004200" w:themeColor="accent1"/>
                              </w:rPr>
                            </w:pPr>
                          </w:p>
                          <w:p w:rsidR="007E6D44" w:rsidRPr="0078371E" w:rsidRDefault="007E6D44" w:rsidP="00FE7211">
                            <w:pPr>
                              <w:pStyle w:val="Address"/>
                              <w:rPr>
                                <w:color w:val="004200" w:themeColor="accent1"/>
                              </w:rPr>
                            </w:pPr>
                            <w:r w:rsidRPr="0078371E">
                              <w:rPr>
                                <w:color w:val="auto"/>
                              </w:rPr>
                              <w:t>Phone</w:t>
                            </w:r>
                            <w:r w:rsidRPr="0078371E">
                              <w:rPr>
                                <w:color w:val="004200" w:themeColor="accent1"/>
                              </w:rPr>
                              <w:t xml:space="preserve"> 02 8215 1100</w:t>
                            </w:r>
                          </w:p>
                          <w:p w:rsidR="007E6D44" w:rsidRPr="0078371E" w:rsidRDefault="007E6D44" w:rsidP="00FE7211">
                            <w:pPr>
                              <w:pStyle w:val="Address"/>
                              <w:rPr>
                                <w:color w:val="004200" w:themeColor="accent1"/>
                              </w:rPr>
                            </w:pPr>
                            <w:r w:rsidRPr="0078371E">
                              <w:rPr>
                                <w:color w:val="auto"/>
                              </w:rPr>
                              <w:t>Email</w:t>
                            </w:r>
                            <w:r w:rsidRPr="0078371E">
                              <w:rPr>
                                <w:color w:val="004200" w:themeColor="accent1"/>
                              </w:rPr>
                              <w:t xml:space="preserve"> enquiries.ihpa@ihpa.gov.au</w:t>
                            </w:r>
                          </w:p>
                          <w:p w:rsidR="007E6D44" w:rsidRPr="0078371E" w:rsidRDefault="007E6D44" w:rsidP="00FE7211">
                            <w:pPr>
                              <w:pStyle w:val="Address"/>
                              <w:rPr>
                                <w:color w:val="004200" w:themeColor="accent1"/>
                              </w:rPr>
                            </w:pPr>
                            <w:r w:rsidRPr="0078371E">
                              <w:rPr>
                                <w:color w:val="auto"/>
                              </w:rPr>
                              <w:t>Twitter</w:t>
                            </w:r>
                            <w:r w:rsidRPr="0078371E">
                              <w:rPr>
                                <w:color w:val="004200" w:themeColor="accent1"/>
                              </w:rPr>
                              <w:t xml:space="preserve"> @</w:t>
                            </w:r>
                            <w:proofErr w:type="spellStart"/>
                            <w:r w:rsidRPr="0078371E">
                              <w:rPr>
                                <w:color w:val="004200" w:themeColor="accent1"/>
                              </w:rPr>
                              <w:t>IHPAnews</w:t>
                            </w:r>
                            <w:proofErr w:type="spellEnd"/>
                          </w:p>
                          <w:p w:rsidR="007E6D44" w:rsidRPr="0078371E" w:rsidRDefault="007E6D44" w:rsidP="00FE7211">
                            <w:pPr>
                              <w:pStyle w:val="Address"/>
                              <w:rPr>
                                <w:color w:val="004200" w:themeColor="accent1"/>
                              </w:rPr>
                            </w:pPr>
                          </w:p>
                          <w:p w:rsidR="007E6D44" w:rsidRPr="0078371E" w:rsidRDefault="007E6D44" w:rsidP="00FE7211">
                            <w:pPr>
                              <w:pStyle w:val="Address"/>
                              <w:rPr>
                                <w:color w:val="auto"/>
                              </w:rPr>
                            </w:pPr>
                            <w:r w:rsidRPr="0078371E">
                              <w:rPr>
                                <w:color w:val="auto"/>
                              </w:rPr>
                              <w:t>www.ihpa.gov.au</w:t>
                            </w:r>
                          </w:p>
                          <w:p w:rsidR="007E6D44" w:rsidRPr="0078371E" w:rsidRDefault="007E6D44" w:rsidP="00FE7211">
                            <w:pPr>
                              <w:pStyle w:val="Address"/>
                              <w:rPr>
                                <w:color w:val="004200" w:themeColor="accent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12pt;margin-top:600.8pt;width:153pt;height:99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" filled="f" stroked="f">
                <v:textbox inset="0,0,0,0">
                  <w:txbxContent>
                    <w:p w:rsidR="007E6D44" w:rsidRPr="0078371E" w:rsidRDefault="007E6D44" w:rsidP="00FE7211">
                      <w:pPr>
                        <w:pStyle w:val="Address"/>
                        <w:rPr>
                          <w:color w:val="auto"/>
                        </w:rPr>
                      </w:pPr>
                      <w:r w:rsidRPr="0078371E">
                        <w:rPr>
                          <w:color w:val="auto"/>
                        </w:rPr>
                        <w:t>Independent Hospital Pricing Authority</w:t>
                      </w:r>
                    </w:p>
                    <w:p w:rsidR="007E6D44" w:rsidRPr="0078371E" w:rsidRDefault="007E6D44" w:rsidP="00FE7211">
                      <w:pPr>
                        <w:pStyle w:val="Address"/>
                        <w:rPr>
                          <w:color w:val="004200" w:themeColor="accent1"/>
                        </w:rPr>
                      </w:pPr>
                      <w:r w:rsidRPr="0078371E">
                        <w:rPr>
                          <w:color w:val="004200" w:themeColor="accent1"/>
                        </w:rPr>
                        <w:t> </w:t>
                      </w:r>
                    </w:p>
                    <w:p w:rsidR="007E6D44" w:rsidRPr="0078371E" w:rsidRDefault="007E6D44" w:rsidP="00FE7211">
                      <w:pPr>
                        <w:pStyle w:val="Address"/>
                        <w:rPr>
                          <w:color w:val="004200" w:themeColor="accent1"/>
                        </w:rPr>
                      </w:pPr>
                      <w:r w:rsidRPr="0078371E">
                        <w:rPr>
                          <w:color w:val="004200" w:themeColor="accent1"/>
                        </w:rPr>
                        <w:t>Level 6, 1 Oxford Street</w:t>
                      </w:r>
                    </w:p>
                    <w:p w:rsidR="007E6D44" w:rsidRPr="0078371E" w:rsidRDefault="007E6D44" w:rsidP="00FE7211">
                      <w:pPr>
                        <w:pStyle w:val="Address"/>
                        <w:rPr>
                          <w:color w:val="004200" w:themeColor="accent1"/>
                        </w:rPr>
                      </w:pPr>
                      <w:r w:rsidRPr="0078371E">
                        <w:rPr>
                          <w:color w:val="004200" w:themeColor="accent1"/>
                        </w:rPr>
                        <w:t>Sydney NSW 2000</w:t>
                      </w:r>
                    </w:p>
                    <w:p w:rsidR="007E6D44" w:rsidRPr="0078371E" w:rsidRDefault="007E6D44" w:rsidP="00FE7211">
                      <w:pPr>
                        <w:pStyle w:val="Address"/>
                        <w:rPr>
                          <w:color w:val="004200" w:themeColor="accent1"/>
                        </w:rPr>
                      </w:pPr>
                    </w:p>
                    <w:p w:rsidR="007E6D44" w:rsidRPr="0078371E" w:rsidRDefault="007E6D44" w:rsidP="00FE7211">
                      <w:pPr>
                        <w:pStyle w:val="Address"/>
                        <w:rPr>
                          <w:color w:val="004200" w:themeColor="accent1"/>
                        </w:rPr>
                      </w:pPr>
                      <w:r w:rsidRPr="0078371E">
                        <w:rPr>
                          <w:color w:val="auto"/>
                        </w:rPr>
                        <w:t>Phone</w:t>
                      </w:r>
                      <w:r w:rsidRPr="0078371E">
                        <w:rPr>
                          <w:color w:val="004200" w:themeColor="accent1"/>
                        </w:rPr>
                        <w:t xml:space="preserve"> 02 8215 1100</w:t>
                      </w:r>
                    </w:p>
                    <w:p w:rsidR="007E6D44" w:rsidRPr="0078371E" w:rsidRDefault="007E6D44" w:rsidP="00FE7211">
                      <w:pPr>
                        <w:pStyle w:val="Address"/>
                        <w:rPr>
                          <w:color w:val="004200" w:themeColor="accent1"/>
                        </w:rPr>
                      </w:pPr>
                      <w:r w:rsidRPr="0078371E">
                        <w:rPr>
                          <w:color w:val="auto"/>
                        </w:rPr>
                        <w:t>Email</w:t>
                      </w:r>
                      <w:r w:rsidRPr="0078371E">
                        <w:rPr>
                          <w:color w:val="004200" w:themeColor="accent1"/>
                        </w:rPr>
                        <w:t xml:space="preserve"> enquiries.ihpa@ihpa.gov.au</w:t>
                      </w:r>
                    </w:p>
                    <w:p w:rsidR="007E6D44" w:rsidRPr="0078371E" w:rsidRDefault="007E6D44" w:rsidP="00FE7211">
                      <w:pPr>
                        <w:pStyle w:val="Address"/>
                        <w:rPr>
                          <w:color w:val="004200" w:themeColor="accent1"/>
                        </w:rPr>
                      </w:pPr>
                      <w:r w:rsidRPr="0078371E">
                        <w:rPr>
                          <w:color w:val="auto"/>
                        </w:rPr>
                        <w:t>Twitter</w:t>
                      </w:r>
                      <w:r w:rsidRPr="0078371E">
                        <w:rPr>
                          <w:color w:val="004200" w:themeColor="accent1"/>
                        </w:rPr>
                        <w:t xml:space="preserve"> @</w:t>
                      </w:r>
                      <w:proofErr w:type="spellStart"/>
                      <w:r w:rsidRPr="0078371E">
                        <w:rPr>
                          <w:color w:val="004200" w:themeColor="accent1"/>
                        </w:rPr>
                        <w:t>IHPAnews</w:t>
                      </w:r>
                      <w:proofErr w:type="spellEnd"/>
                    </w:p>
                    <w:p w:rsidR="007E6D44" w:rsidRPr="0078371E" w:rsidRDefault="007E6D44" w:rsidP="00FE7211">
                      <w:pPr>
                        <w:pStyle w:val="Address"/>
                        <w:rPr>
                          <w:color w:val="004200" w:themeColor="accent1"/>
                        </w:rPr>
                      </w:pPr>
                    </w:p>
                    <w:p w:rsidR="007E6D44" w:rsidRPr="0078371E" w:rsidRDefault="007E6D44" w:rsidP="00FE7211">
                      <w:pPr>
                        <w:pStyle w:val="Address"/>
                        <w:rPr>
                          <w:color w:val="auto"/>
                        </w:rPr>
                      </w:pPr>
                      <w:r w:rsidRPr="0078371E">
                        <w:rPr>
                          <w:color w:val="auto"/>
                        </w:rPr>
                        <w:t>www.ihpa.gov.au</w:t>
                      </w:r>
                    </w:p>
                    <w:p w:rsidR="007E6D44" w:rsidRPr="0078371E" w:rsidRDefault="007E6D44" w:rsidP="00FE7211">
                      <w:pPr>
                        <w:pStyle w:val="Address"/>
                        <w:rPr>
                          <w:color w:val="004200" w:themeColor="accent1"/>
                        </w:rPr>
                      </w:pPr>
                    </w:p>
                  </w:txbxContent>
                </v:textbox>
                <w10:wrap type="square" anchory="margin"/>
              </v:shape>
            </w:pict>
          </mc:Fallback>
        </mc:AlternateContent>
      </w:r>
      <w:r w:rsidR="00043CF6">
        <w:rPr>
          <w:noProof/>
        </w:rPr>
        <w:drawing>
          <wp:anchor distT="0" distB="0" distL="114300" distR="114300" simplePos="0" relativeHeight="251678720" behindDoc="1" locked="1" layoutInCell="0" allowOverlap="1" wp14:anchorId="738CCC5D" wp14:editId="7B88F954">
            <wp:simplePos x="0" y="0"/>
            <wp:positionH relativeFrom="page">
              <wp:posOffset>-106045</wp:posOffset>
            </wp:positionH>
            <wp:positionV relativeFrom="page">
              <wp:posOffset>-68580</wp:posOffset>
            </wp:positionV>
            <wp:extent cx="7654925" cy="10828020"/>
            <wp:effectExtent l="0" t="0" r="3175" b="0"/>
            <wp:wrapNone/>
            <wp:docPr id="1" name="Picture 1" descr="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HPA17-3093_IHPA_Templates_Back-Cover_01.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654925" cy="10828020"/>
                    </a:xfrm>
                    <a:prstGeom prst="rect">
                      <a:avLst/>
                    </a:prstGeom>
                  </pic:spPr>
                </pic:pic>
              </a:graphicData>
            </a:graphic>
            <wp14:sizeRelH relativeFrom="margin">
              <wp14:pctWidth>0</wp14:pctWidth>
            </wp14:sizeRelH>
            <wp14:sizeRelV relativeFrom="margin">
              <wp14:pctHeight>0</wp14:pctHeight>
            </wp14:sizeRelV>
          </wp:anchor>
        </w:drawing>
      </w:r>
    </w:p>
    <w:sectPr w:rsidR="00562759" w:rsidSect="0062568F">
      <w:pgSz w:w="11906" w:h="16838" w:code="9"/>
      <w:pgMar w:top="2041" w:right="1440" w:bottom="1021" w:left="1021" w:header="680" w:footer="51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E6D44" w:rsidRDefault="007E6D44">
      <w:r>
        <w:separator/>
      </w:r>
    </w:p>
  </w:endnote>
  <w:endnote w:type="continuationSeparator" w:id="0">
    <w:p w:rsidR="007E6D44" w:rsidRDefault="007E6D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Arial Bold">
    <w:panose1 w:val="020B0704020202020204"/>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2230277"/>
      <w:docPartObj>
        <w:docPartGallery w:val="Page Numbers (Bottom of Page)"/>
        <w:docPartUnique/>
      </w:docPartObj>
    </w:sdtPr>
    <w:sdtEndPr>
      <w:rPr>
        <w:noProof/>
        <w:sz w:val="20"/>
        <w:szCs w:val="20"/>
      </w:rPr>
    </w:sdtEndPr>
    <w:sdtContent>
      <w:p w:rsidR="007E6D44" w:rsidRDefault="007E6D44">
        <w:pPr>
          <w:pStyle w:val="Footer"/>
          <w:jc w:val="right"/>
        </w:pPr>
        <w:r w:rsidRPr="003C7472">
          <w:rPr>
            <w:sz w:val="20"/>
            <w:szCs w:val="20"/>
          </w:rPr>
          <w:fldChar w:fldCharType="begin"/>
        </w:r>
        <w:r w:rsidRPr="003C7472">
          <w:rPr>
            <w:sz w:val="20"/>
            <w:szCs w:val="20"/>
          </w:rPr>
          <w:instrText xml:space="preserve"> PAGE   \* MERGEFORMAT </w:instrText>
        </w:r>
        <w:r w:rsidRPr="003C7472">
          <w:rPr>
            <w:sz w:val="20"/>
            <w:szCs w:val="20"/>
          </w:rPr>
          <w:fldChar w:fldCharType="separate"/>
        </w:r>
        <w:r w:rsidR="00342D61">
          <w:rPr>
            <w:noProof/>
            <w:sz w:val="20"/>
            <w:szCs w:val="20"/>
          </w:rPr>
          <w:t>2</w:t>
        </w:r>
        <w:r w:rsidRPr="003C7472">
          <w:rPr>
            <w:noProof/>
            <w:sz w:val="20"/>
            <w:szCs w:val="20"/>
          </w:rPr>
          <w:fldChar w:fldCharType="end"/>
        </w:r>
      </w:p>
    </w:sdtContent>
  </w:sdt>
  <w:p w:rsidR="007E6D44" w:rsidRDefault="007E6D4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E6D44" w:rsidRDefault="007E6D44">
      <w:r>
        <w:separator/>
      </w:r>
    </w:p>
  </w:footnote>
  <w:footnote w:type="continuationSeparator" w:id="0">
    <w:p w:rsidR="007E6D44" w:rsidRDefault="007E6D44">
      <w:r>
        <w:continuationSeparator/>
      </w:r>
    </w:p>
  </w:footnote>
  <w:footnote w:id="1">
    <w:p w:rsidR="007E6D44" w:rsidRDefault="007E6D44">
      <w:pPr>
        <w:pStyle w:val="FootnoteText"/>
      </w:pPr>
      <w:r>
        <w:rPr>
          <w:rStyle w:val="FootnoteReference"/>
        </w:rPr>
        <w:footnoteRef/>
      </w:r>
      <w:r>
        <w:t xml:space="preserve"> The Teaching Training and Research activity stream is not presented in this report as the </w:t>
      </w:r>
      <w:r w:rsidRPr="009F0F3A">
        <w:rPr>
          <w:rFonts w:cs="Arial"/>
          <w:color w:val="000000"/>
          <w:szCs w:val="18"/>
        </w:rPr>
        <w:t>Australian Teaching and Training Class</w:t>
      </w:r>
      <w:r>
        <w:rPr>
          <w:rFonts w:cs="Arial"/>
          <w:color w:val="000000"/>
          <w:szCs w:val="18"/>
        </w:rPr>
        <w:t>ification was only released in July 2018</w:t>
      </w:r>
      <w:r>
        <w:t>.</w:t>
      </w:r>
    </w:p>
  </w:footnote>
  <w:footnote w:id="2">
    <w:p w:rsidR="007E6D44" w:rsidRDefault="007E6D44" w:rsidP="002A3926">
      <w:pPr>
        <w:pStyle w:val="FootnoteText"/>
      </w:pPr>
      <w:r>
        <w:rPr>
          <w:rStyle w:val="FootnoteReference"/>
        </w:rPr>
        <w:footnoteRef/>
      </w:r>
      <w:r>
        <w:t xml:space="preserve"> 1) Admitted acute, 2) Emergency department 3) non-admitted, 4) sub-acute, 5) mental health, 6) other expenditure.</w:t>
      </w:r>
    </w:p>
  </w:footnote>
  <w:footnote w:id="3">
    <w:p w:rsidR="007E6D44" w:rsidRDefault="007E6D44" w:rsidP="002A3926">
      <w:pPr>
        <w:pStyle w:val="FootnoteText"/>
      </w:pPr>
      <w:r>
        <w:rPr>
          <w:rStyle w:val="FootnoteReference"/>
        </w:rPr>
        <w:footnoteRef/>
      </w:r>
      <w:r>
        <w:t xml:space="preserve"> Australian Revised –Diagnosis Related Groups Version 9.0</w:t>
      </w:r>
    </w:p>
  </w:footnote>
  <w:footnote w:id="4">
    <w:p w:rsidR="007E6D44" w:rsidRDefault="007E6D44" w:rsidP="002A3926">
      <w:pPr>
        <w:pStyle w:val="FootnoteText"/>
      </w:pPr>
      <w:r>
        <w:rPr>
          <w:rStyle w:val="FootnoteReference"/>
        </w:rPr>
        <w:footnoteRef/>
      </w:r>
      <w:r>
        <w:t xml:space="preserve"> DRG: F23Z</w:t>
      </w:r>
    </w:p>
  </w:footnote>
  <w:footnote w:id="5">
    <w:p w:rsidR="007E6D44" w:rsidRDefault="007E6D44" w:rsidP="002A3926">
      <w:pPr>
        <w:pStyle w:val="FootnoteText"/>
      </w:pPr>
      <w:r>
        <w:rPr>
          <w:rStyle w:val="FootnoteReference"/>
        </w:rPr>
        <w:footnoteRef/>
      </w:r>
      <w:r>
        <w:t xml:space="preserve"> This is also referred to as the cost weight. Cost Weights are included for all acute admitted care separation types in the Appendix Tables.</w:t>
      </w:r>
    </w:p>
  </w:footnote>
  <w:footnote w:id="6">
    <w:p w:rsidR="007E6D44" w:rsidRDefault="007E6D44" w:rsidP="002A3926">
      <w:pPr>
        <w:pStyle w:val="FootnoteText"/>
      </w:pPr>
      <w:r>
        <w:rPr>
          <w:rStyle w:val="FootnoteReference"/>
        </w:rPr>
        <w:footnoteRef/>
      </w:r>
      <w:r>
        <w:t xml:space="preserve"> DRG: G48B</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6D44" w:rsidRPr="00CC2138" w:rsidRDefault="007E6D44" w:rsidP="00496370">
    <w:pPr>
      <w:pStyle w:val="Versionanddate"/>
    </w:pPr>
    <w:r w:rsidRPr="006F7C01">
      <w:rPr>
        <w:rStyle w:val="BookTitle"/>
        <w:noProof/>
      </w:rPr>
      <w:drawing>
        <wp:anchor distT="0" distB="0" distL="114300" distR="114300" simplePos="0" relativeHeight="251659264" behindDoc="1" locked="0" layoutInCell="0" allowOverlap="1" wp14:anchorId="33EBBCF7" wp14:editId="75BD151C">
          <wp:simplePos x="0" y="0"/>
          <wp:positionH relativeFrom="page">
            <wp:posOffset>0</wp:posOffset>
          </wp:positionH>
          <wp:positionV relativeFrom="page">
            <wp:posOffset>1179</wp:posOffset>
          </wp:positionV>
          <wp:extent cx="6080400" cy="918140"/>
          <wp:effectExtent l="0" t="0" r="0" b="0"/>
          <wp:wrapNone/>
          <wp:docPr id="21" name="Picture 21" descr="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er1.png"/>
                  <pic:cNvPicPr/>
                </pic:nvPicPr>
                <pic:blipFill>
                  <a:blip r:embed="rId1">
                    <a:extLst>
                      <a:ext uri="{28A0092B-C50C-407E-A947-70E740481C1C}">
                        <a14:useLocalDpi xmlns:a14="http://schemas.microsoft.com/office/drawing/2010/main" val="0"/>
                      </a:ext>
                    </a:extLst>
                  </a:blip>
                  <a:stretch>
                    <a:fillRect/>
                  </a:stretch>
                </pic:blipFill>
                <pic:spPr>
                  <a:xfrm>
                    <a:off x="0" y="0"/>
                    <a:ext cx="6080400" cy="918140"/>
                  </a:xfrm>
                  <a:prstGeom prst="rect">
                    <a:avLst/>
                  </a:prstGeom>
                </pic:spPr>
              </pic:pic>
            </a:graphicData>
          </a:graphic>
          <wp14:sizeRelH relativeFrom="margin">
            <wp14:pctWidth>0</wp14:pctWidth>
          </wp14:sizeRelH>
          <wp14:sizeRelV relativeFrom="margin">
            <wp14:pctHeight>0</wp14:pctHeight>
          </wp14:sizeRelV>
        </wp:anchor>
      </w:drawing>
    </w:r>
    <w:r>
      <w:rPr>
        <w:rStyle w:val="BookTitle"/>
      </w:rPr>
      <w:t>National Hospital Cost Data</w:t>
    </w:r>
    <w:r w:rsidRPr="006F7C01">
      <w:rPr>
        <w:rStyle w:val="BookTitle"/>
      </w:rPr>
      <w:t xml:space="preserve"> </w:t>
    </w:r>
    <w:r>
      <w:rPr>
        <w:rStyle w:val="BookTitle"/>
      </w:rPr>
      <w:t xml:space="preserve">Collection </w:t>
    </w:r>
    <w:r w:rsidRPr="006F7C01">
      <w:rPr>
        <w:rStyle w:val="BookTitle"/>
      </w:rPr>
      <w:t>Report</w:t>
    </w:r>
    <w:r>
      <w:rPr>
        <w:rStyle w:val="BookTitle"/>
      </w:rPr>
      <w:t xml:space="preserve">: </w:t>
    </w:r>
    <w:r>
      <w:rPr>
        <w:rStyle w:val="BookTitle"/>
      </w:rPr>
      <w:br/>
      <w:t>Public Sector, Round 21 (Financial Year 2016-17)</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2F486AFA"/>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B46034F4"/>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A1920708"/>
    <w:lvl w:ilvl="0">
      <w:start w:val="1"/>
      <w:numFmt w:val="decimal"/>
      <w:pStyle w:val="ListNumber3"/>
      <w:lvlText w:val="%1."/>
      <w:lvlJc w:val="left"/>
      <w:pPr>
        <w:tabs>
          <w:tab w:val="num" w:pos="926"/>
        </w:tabs>
        <w:ind w:left="926" w:hanging="360"/>
      </w:pPr>
    </w:lvl>
  </w:abstractNum>
  <w:abstractNum w:abstractNumId="3">
    <w:nsid w:val="FFFFFF7F"/>
    <w:multiLevelType w:val="singleLevel"/>
    <w:tmpl w:val="957421D6"/>
    <w:lvl w:ilvl="0">
      <w:start w:val="1"/>
      <w:numFmt w:val="decimal"/>
      <w:pStyle w:val="ListNumber2"/>
      <w:lvlText w:val="%1."/>
      <w:lvlJc w:val="left"/>
      <w:pPr>
        <w:tabs>
          <w:tab w:val="num" w:pos="643"/>
        </w:tabs>
        <w:ind w:left="643" w:hanging="360"/>
      </w:pPr>
    </w:lvl>
  </w:abstractNum>
  <w:abstractNum w:abstractNumId="4">
    <w:nsid w:val="FFFFFF80"/>
    <w:multiLevelType w:val="singleLevel"/>
    <w:tmpl w:val="4D7E7348"/>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197035DE"/>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0342499E"/>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30DA97A2"/>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64D01C78"/>
    <w:lvl w:ilvl="0">
      <w:start w:val="1"/>
      <w:numFmt w:val="decimal"/>
      <w:pStyle w:val="ListNumber"/>
      <w:lvlText w:val="%1."/>
      <w:lvlJc w:val="left"/>
      <w:pPr>
        <w:tabs>
          <w:tab w:val="num" w:pos="360"/>
        </w:tabs>
        <w:ind w:left="360" w:hanging="360"/>
      </w:pPr>
    </w:lvl>
  </w:abstractNum>
  <w:abstractNum w:abstractNumId="9">
    <w:nsid w:val="FFFFFF89"/>
    <w:multiLevelType w:val="singleLevel"/>
    <w:tmpl w:val="8CE6C05E"/>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A9C350C"/>
    <w:multiLevelType w:val="hybridMultilevel"/>
    <w:tmpl w:val="1C8C82AA"/>
    <w:lvl w:ilvl="0" w:tplc="0C090001">
      <w:start w:val="1"/>
      <w:numFmt w:val="bullet"/>
      <w:lvlText w:val=""/>
      <w:lvlJc w:val="left"/>
      <w:pPr>
        <w:ind w:left="1620" w:hanging="360"/>
      </w:pPr>
      <w:rPr>
        <w:rFonts w:ascii="Symbol" w:hAnsi="Symbol" w:hint="default"/>
      </w:rPr>
    </w:lvl>
    <w:lvl w:ilvl="1" w:tplc="3B14C70E">
      <w:numFmt w:val="bullet"/>
      <w:lvlText w:val="·"/>
      <w:lvlJc w:val="left"/>
      <w:pPr>
        <w:ind w:left="2490" w:hanging="510"/>
      </w:pPr>
      <w:rPr>
        <w:rFonts w:ascii="Arial" w:eastAsia="Times New Roman" w:hAnsi="Arial" w:cs="Arial" w:hint="default"/>
        <w:color w:val="58595B"/>
      </w:rPr>
    </w:lvl>
    <w:lvl w:ilvl="2" w:tplc="0C090005" w:tentative="1">
      <w:start w:val="1"/>
      <w:numFmt w:val="bullet"/>
      <w:lvlText w:val=""/>
      <w:lvlJc w:val="left"/>
      <w:pPr>
        <w:ind w:left="3060" w:hanging="360"/>
      </w:pPr>
      <w:rPr>
        <w:rFonts w:ascii="Wingdings" w:hAnsi="Wingdings" w:hint="default"/>
      </w:rPr>
    </w:lvl>
    <w:lvl w:ilvl="3" w:tplc="0C090001" w:tentative="1">
      <w:start w:val="1"/>
      <w:numFmt w:val="bullet"/>
      <w:lvlText w:val=""/>
      <w:lvlJc w:val="left"/>
      <w:pPr>
        <w:ind w:left="3780" w:hanging="360"/>
      </w:pPr>
      <w:rPr>
        <w:rFonts w:ascii="Symbol" w:hAnsi="Symbol" w:hint="default"/>
      </w:rPr>
    </w:lvl>
    <w:lvl w:ilvl="4" w:tplc="0C090003" w:tentative="1">
      <w:start w:val="1"/>
      <w:numFmt w:val="bullet"/>
      <w:lvlText w:val="o"/>
      <w:lvlJc w:val="left"/>
      <w:pPr>
        <w:ind w:left="4500" w:hanging="360"/>
      </w:pPr>
      <w:rPr>
        <w:rFonts w:ascii="Courier New" w:hAnsi="Courier New" w:cs="Courier New" w:hint="default"/>
      </w:rPr>
    </w:lvl>
    <w:lvl w:ilvl="5" w:tplc="0C090005" w:tentative="1">
      <w:start w:val="1"/>
      <w:numFmt w:val="bullet"/>
      <w:lvlText w:val=""/>
      <w:lvlJc w:val="left"/>
      <w:pPr>
        <w:ind w:left="5220" w:hanging="360"/>
      </w:pPr>
      <w:rPr>
        <w:rFonts w:ascii="Wingdings" w:hAnsi="Wingdings" w:hint="default"/>
      </w:rPr>
    </w:lvl>
    <w:lvl w:ilvl="6" w:tplc="0C090001" w:tentative="1">
      <w:start w:val="1"/>
      <w:numFmt w:val="bullet"/>
      <w:lvlText w:val=""/>
      <w:lvlJc w:val="left"/>
      <w:pPr>
        <w:ind w:left="5940" w:hanging="360"/>
      </w:pPr>
      <w:rPr>
        <w:rFonts w:ascii="Symbol" w:hAnsi="Symbol" w:hint="default"/>
      </w:rPr>
    </w:lvl>
    <w:lvl w:ilvl="7" w:tplc="0C090003" w:tentative="1">
      <w:start w:val="1"/>
      <w:numFmt w:val="bullet"/>
      <w:lvlText w:val="o"/>
      <w:lvlJc w:val="left"/>
      <w:pPr>
        <w:ind w:left="6660" w:hanging="360"/>
      </w:pPr>
      <w:rPr>
        <w:rFonts w:ascii="Courier New" w:hAnsi="Courier New" w:cs="Courier New" w:hint="default"/>
      </w:rPr>
    </w:lvl>
    <w:lvl w:ilvl="8" w:tplc="0C090005" w:tentative="1">
      <w:start w:val="1"/>
      <w:numFmt w:val="bullet"/>
      <w:lvlText w:val=""/>
      <w:lvlJc w:val="left"/>
      <w:pPr>
        <w:ind w:left="7380" w:hanging="360"/>
      </w:pPr>
      <w:rPr>
        <w:rFonts w:ascii="Wingdings" w:hAnsi="Wingdings" w:hint="default"/>
      </w:rPr>
    </w:lvl>
  </w:abstractNum>
  <w:abstractNum w:abstractNumId="11">
    <w:nsid w:val="105C5267"/>
    <w:multiLevelType w:val="hybridMultilevel"/>
    <w:tmpl w:val="1E060B50"/>
    <w:lvl w:ilvl="0" w:tplc="0C090001">
      <w:start w:val="1"/>
      <w:numFmt w:val="bullet"/>
      <w:lvlText w:val=""/>
      <w:lvlJc w:val="left"/>
      <w:pPr>
        <w:ind w:left="1620" w:hanging="360"/>
      </w:pPr>
      <w:rPr>
        <w:rFonts w:ascii="Symbol" w:hAnsi="Symbol" w:hint="default"/>
      </w:rPr>
    </w:lvl>
    <w:lvl w:ilvl="1" w:tplc="0C090003" w:tentative="1">
      <w:start w:val="1"/>
      <w:numFmt w:val="bullet"/>
      <w:lvlText w:val="o"/>
      <w:lvlJc w:val="left"/>
      <w:pPr>
        <w:ind w:left="2340" w:hanging="360"/>
      </w:pPr>
      <w:rPr>
        <w:rFonts w:ascii="Courier New" w:hAnsi="Courier New" w:cs="Courier New" w:hint="default"/>
      </w:rPr>
    </w:lvl>
    <w:lvl w:ilvl="2" w:tplc="0C090005" w:tentative="1">
      <w:start w:val="1"/>
      <w:numFmt w:val="bullet"/>
      <w:lvlText w:val=""/>
      <w:lvlJc w:val="left"/>
      <w:pPr>
        <w:ind w:left="3060" w:hanging="360"/>
      </w:pPr>
      <w:rPr>
        <w:rFonts w:ascii="Wingdings" w:hAnsi="Wingdings" w:hint="default"/>
      </w:rPr>
    </w:lvl>
    <w:lvl w:ilvl="3" w:tplc="0C090001" w:tentative="1">
      <w:start w:val="1"/>
      <w:numFmt w:val="bullet"/>
      <w:lvlText w:val=""/>
      <w:lvlJc w:val="left"/>
      <w:pPr>
        <w:ind w:left="3780" w:hanging="360"/>
      </w:pPr>
      <w:rPr>
        <w:rFonts w:ascii="Symbol" w:hAnsi="Symbol" w:hint="default"/>
      </w:rPr>
    </w:lvl>
    <w:lvl w:ilvl="4" w:tplc="0C090003" w:tentative="1">
      <w:start w:val="1"/>
      <w:numFmt w:val="bullet"/>
      <w:lvlText w:val="o"/>
      <w:lvlJc w:val="left"/>
      <w:pPr>
        <w:ind w:left="4500" w:hanging="360"/>
      </w:pPr>
      <w:rPr>
        <w:rFonts w:ascii="Courier New" w:hAnsi="Courier New" w:cs="Courier New" w:hint="default"/>
      </w:rPr>
    </w:lvl>
    <w:lvl w:ilvl="5" w:tplc="0C090005" w:tentative="1">
      <w:start w:val="1"/>
      <w:numFmt w:val="bullet"/>
      <w:lvlText w:val=""/>
      <w:lvlJc w:val="left"/>
      <w:pPr>
        <w:ind w:left="5220" w:hanging="360"/>
      </w:pPr>
      <w:rPr>
        <w:rFonts w:ascii="Wingdings" w:hAnsi="Wingdings" w:hint="default"/>
      </w:rPr>
    </w:lvl>
    <w:lvl w:ilvl="6" w:tplc="0C090001" w:tentative="1">
      <w:start w:val="1"/>
      <w:numFmt w:val="bullet"/>
      <w:lvlText w:val=""/>
      <w:lvlJc w:val="left"/>
      <w:pPr>
        <w:ind w:left="5940" w:hanging="360"/>
      </w:pPr>
      <w:rPr>
        <w:rFonts w:ascii="Symbol" w:hAnsi="Symbol" w:hint="default"/>
      </w:rPr>
    </w:lvl>
    <w:lvl w:ilvl="7" w:tplc="0C090003" w:tentative="1">
      <w:start w:val="1"/>
      <w:numFmt w:val="bullet"/>
      <w:lvlText w:val="o"/>
      <w:lvlJc w:val="left"/>
      <w:pPr>
        <w:ind w:left="6660" w:hanging="360"/>
      </w:pPr>
      <w:rPr>
        <w:rFonts w:ascii="Courier New" w:hAnsi="Courier New" w:cs="Courier New" w:hint="default"/>
      </w:rPr>
    </w:lvl>
    <w:lvl w:ilvl="8" w:tplc="0C090005" w:tentative="1">
      <w:start w:val="1"/>
      <w:numFmt w:val="bullet"/>
      <w:lvlText w:val=""/>
      <w:lvlJc w:val="left"/>
      <w:pPr>
        <w:ind w:left="7380" w:hanging="360"/>
      </w:pPr>
      <w:rPr>
        <w:rFonts w:ascii="Wingdings" w:hAnsi="Wingdings" w:hint="default"/>
      </w:rPr>
    </w:lvl>
  </w:abstractNum>
  <w:abstractNum w:abstractNumId="12">
    <w:nsid w:val="38F25B39"/>
    <w:multiLevelType w:val="multilevel"/>
    <w:tmpl w:val="496C39FC"/>
    <w:lvl w:ilvl="0">
      <w:start w:val="1"/>
      <w:numFmt w:val="decimal"/>
      <w:pStyle w:val="TableListNumber"/>
      <w:lvlText w:val="%1."/>
      <w:lvlJc w:val="left"/>
      <w:pPr>
        <w:tabs>
          <w:tab w:val="num" w:pos="284"/>
        </w:tabs>
        <w:ind w:left="284" w:hanging="284"/>
      </w:pPr>
      <w:rPr>
        <w:rFonts w:ascii="Arial" w:hAnsi="Arial" w:hint="default"/>
        <w:b w:val="0"/>
        <w:i w:val="0"/>
        <w:caps w:val="0"/>
        <w:strike w:val="0"/>
        <w:dstrike w:val="0"/>
        <w:outline w:val="0"/>
        <w:shadow w:val="0"/>
        <w:emboss w:val="0"/>
        <w:imprint w:val="0"/>
        <w:vanish w:val="0"/>
        <w:color w:val="000000"/>
        <w:sz w:val="20"/>
        <w:vertAlign w:val="baseline"/>
      </w:rPr>
    </w:lvl>
    <w:lvl w:ilvl="1">
      <w:start w:val="1"/>
      <w:numFmt w:val="lowerLetter"/>
      <w:lvlText w:val="%2)"/>
      <w:lvlJc w:val="left"/>
      <w:pPr>
        <w:tabs>
          <w:tab w:val="num" w:pos="567"/>
        </w:tabs>
        <w:ind w:left="567" w:hanging="283"/>
      </w:pPr>
      <w:rPr>
        <w:rFonts w:ascii="Arial" w:hAnsi="Arial" w:hint="default"/>
        <w:b w:val="0"/>
        <w:i w:val="0"/>
        <w:caps w:val="0"/>
        <w:strike w:val="0"/>
        <w:dstrike w:val="0"/>
        <w:outline w:val="0"/>
        <w:shadow w:val="0"/>
        <w:emboss w:val="0"/>
        <w:imprint w:val="0"/>
        <w:vanish w:val="0"/>
        <w:color w:val="000000"/>
        <w:sz w:val="20"/>
        <w:vertAlign w:val="baseline"/>
      </w:rPr>
    </w:lvl>
    <w:lvl w:ilvl="2">
      <w:start w:val="1"/>
      <w:numFmt w:val="none"/>
      <w:suff w:val="nothing"/>
      <w:lvlText w:val=""/>
      <w:lvlJc w:val="left"/>
      <w:pPr>
        <w:ind w:left="0" w:firstLine="0"/>
      </w:pPr>
      <w:rPr>
        <w:rFonts w:ascii="Gill Sans MT" w:hAnsi="Gill Sans MT" w:hint="default"/>
        <w:b w:val="0"/>
        <w:i w:val="0"/>
        <w:caps w:val="0"/>
        <w:strike w:val="0"/>
        <w:dstrike w:val="0"/>
        <w:outline w:val="0"/>
        <w:shadow w:val="0"/>
        <w:emboss w:val="0"/>
        <w:imprint w:val="0"/>
        <w:vanish w:val="0"/>
        <w:color w:val="000000"/>
        <w:sz w:val="20"/>
        <w:vertAlign w:val="baseline"/>
      </w:rPr>
    </w:lvl>
    <w:lvl w:ilvl="3">
      <w:start w:val="1"/>
      <w:numFmt w:val="none"/>
      <w:suff w:val="nothing"/>
      <w:lvlText w:val=""/>
      <w:lvlJc w:val="left"/>
      <w:pPr>
        <w:ind w:left="0" w:firstLine="0"/>
      </w:pPr>
      <w:rPr>
        <w:rFonts w:ascii="Gill Sans MT" w:hAnsi="Gill Sans MT" w:hint="default"/>
        <w:b w:val="0"/>
        <w:i w:val="0"/>
        <w:color w:val="000000"/>
        <w:sz w:val="20"/>
      </w:rPr>
    </w:lvl>
    <w:lvl w:ilvl="4">
      <w:start w:val="1"/>
      <w:numFmt w:val="none"/>
      <w:suff w:val="nothing"/>
      <w:lvlText w:val=""/>
      <w:lvlJc w:val="left"/>
      <w:pPr>
        <w:ind w:left="0" w:firstLine="0"/>
      </w:pPr>
      <w:rPr>
        <w:rFonts w:hint="default"/>
        <w:b w:val="0"/>
        <w:i w:val="0"/>
        <w:sz w:val="20"/>
      </w:rPr>
    </w:lvl>
    <w:lvl w:ilvl="5">
      <w:start w:val="1"/>
      <w:numFmt w:val="none"/>
      <w:suff w:val="nothing"/>
      <w:lvlText w:val=""/>
      <w:lvlJc w:val="left"/>
      <w:pPr>
        <w:ind w:left="417" w:hanging="360"/>
      </w:pPr>
      <w:rPr>
        <w:rFonts w:hint="default"/>
        <w:color w:val="auto"/>
      </w:rPr>
    </w:lvl>
    <w:lvl w:ilvl="6">
      <w:start w:val="1"/>
      <w:numFmt w:val="none"/>
      <w:suff w:val="nothing"/>
      <w:lvlText w:val=""/>
      <w:lvlJc w:val="left"/>
      <w:pPr>
        <w:ind w:left="777" w:hanging="360"/>
      </w:pPr>
      <w:rPr>
        <w:rFonts w:hint="default"/>
        <w:color w:val="auto"/>
      </w:rPr>
    </w:lvl>
    <w:lvl w:ilvl="7">
      <w:start w:val="1"/>
      <w:numFmt w:val="none"/>
      <w:suff w:val="nothing"/>
      <w:lvlText w:val=""/>
      <w:lvlJc w:val="left"/>
      <w:pPr>
        <w:ind w:left="1137" w:hanging="360"/>
      </w:pPr>
      <w:rPr>
        <w:rFonts w:hint="default"/>
        <w:color w:val="003366"/>
        <w:sz w:val="20"/>
      </w:rPr>
    </w:lvl>
    <w:lvl w:ilvl="8">
      <w:start w:val="1"/>
      <w:numFmt w:val="none"/>
      <w:suff w:val="nothing"/>
      <w:lvlText w:val=""/>
      <w:lvlJc w:val="left"/>
      <w:pPr>
        <w:ind w:left="1497" w:hanging="360"/>
      </w:pPr>
      <w:rPr>
        <w:rFonts w:hint="default"/>
        <w:color w:val="ED7F00"/>
      </w:rPr>
    </w:lvl>
  </w:abstractNum>
  <w:abstractNum w:abstractNumId="13">
    <w:nsid w:val="3CC80308"/>
    <w:multiLevelType w:val="hybridMultilevel"/>
    <w:tmpl w:val="9518477E"/>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DBC273C">
      <w:start w:val="3"/>
      <w:numFmt w:val="bullet"/>
      <w:lvlText w:val="-"/>
      <w:lvlJc w:val="left"/>
      <w:pPr>
        <w:ind w:left="2520" w:hanging="360"/>
      </w:pPr>
      <w:rPr>
        <w:rFonts w:ascii="Arial" w:eastAsia="Times New Roman" w:hAnsi="Arial" w:cs="Arial"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4">
    <w:nsid w:val="436A7891"/>
    <w:multiLevelType w:val="hybridMultilevel"/>
    <w:tmpl w:val="C0C27DF6"/>
    <w:lvl w:ilvl="0" w:tplc="BEC875C0">
      <w:start w:val="1"/>
      <w:numFmt w:val="decimal"/>
      <w:pStyle w:val="FigureHeading"/>
      <w:lvlText w:val="Figure %1."/>
      <w:lvlJc w:val="left"/>
      <w:pPr>
        <w:ind w:left="720" w:hanging="360"/>
      </w:pPr>
      <w:rPr>
        <w:rFonts w:ascii="Arial Bold" w:hAnsi="Arial Bold" w:hint="default"/>
        <w:b/>
        <w:i w:val="0"/>
        <w:color w:val="008542" w:themeColor="accent2"/>
        <w:sz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nsid w:val="44790C6A"/>
    <w:multiLevelType w:val="hybridMultilevel"/>
    <w:tmpl w:val="C5421546"/>
    <w:lvl w:ilvl="0" w:tplc="89D2A03E">
      <w:start w:val="1"/>
      <w:numFmt w:val="decimal"/>
      <w:lvlText w:val="%1."/>
      <w:lvlJc w:val="left"/>
      <w:pPr>
        <w:ind w:left="72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nsid w:val="4C74450C"/>
    <w:multiLevelType w:val="hybridMultilevel"/>
    <w:tmpl w:val="3F4A843A"/>
    <w:lvl w:ilvl="0" w:tplc="0C090001">
      <w:start w:val="1"/>
      <w:numFmt w:val="bullet"/>
      <w:lvlText w:val=""/>
      <w:lvlJc w:val="left"/>
      <w:pPr>
        <w:ind w:left="1620" w:hanging="360"/>
      </w:pPr>
      <w:rPr>
        <w:rFonts w:ascii="Symbol" w:hAnsi="Symbol" w:hint="default"/>
      </w:rPr>
    </w:lvl>
    <w:lvl w:ilvl="1" w:tplc="0C090003" w:tentative="1">
      <w:start w:val="1"/>
      <w:numFmt w:val="bullet"/>
      <w:lvlText w:val="o"/>
      <w:lvlJc w:val="left"/>
      <w:pPr>
        <w:ind w:left="2340" w:hanging="360"/>
      </w:pPr>
      <w:rPr>
        <w:rFonts w:ascii="Courier New" w:hAnsi="Courier New" w:cs="Courier New" w:hint="default"/>
      </w:rPr>
    </w:lvl>
    <w:lvl w:ilvl="2" w:tplc="0C090005" w:tentative="1">
      <w:start w:val="1"/>
      <w:numFmt w:val="bullet"/>
      <w:lvlText w:val=""/>
      <w:lvlJc w:val="left"/>
      <w:pPr>
        <w:ind w:left="3060" w:hanging="360"/>
      </w:pPr>
      <w:rPr>
        <w:rFonts w:ascii="Wingdings" w:hAnsi="Wingdings" w:hint="default"/>
      </w:rPr>
    </w:lvl>
    <w:lvl w:ilvl="3" w:tplc="0C090001" w:tentative="1">
      <w:start w:val="1"/>
      <w:numFmt w:val="bullet"/>
      <w:lvlText w:val=""/>
      <w:lvlJc w:val="left"/>
      <w:pPr>
        <w:ind w:left="3780" w:hanging="360"/>
      </w:pPr>
      <w:rPr>
        <w:rFonts w:ascii="Symbol" w:hAnsi="Symbol" w:hint="default"/>
      </w:rPr>
    </w:lvl>
    <w:lvl w:ilvl="4" w:tplc="0C090003" w:tentative="1">
      <w:start w:val="1"/>
      <w:numFmt w:val="bullet"/>
      <w:lvlText w:val="o"/>
      <w:lvlJc w:val="left"/>
      <w:pPr>
        <w:ind w:left="4500" w:hanging="360"/>
      </w:pPr>
      <w:rPr>
        <w:rFonts w:ascii="Courier New" w:hAnsi="Courier New" w:cs="Courier New" w:hint="default"/>
      </w:rPr>
    </w:lvl>
    <w:lvl w:ilvl="5" w:tplc="0C090005" w:tentative="1">
      <w:start w:val="1"/>
      <w:numFmt w:val="bullet"/>
      <w:lvlText w:val=""/>
      <w:lvlJc w:val="left"/>
      <w:pPr>
        <w:ind w:left="5220" w:hanging="360"/>
      </w:pPr>
      <w:rPr>
        <w:rFonts w:ascii="Wingdings" w:hAnsi="Wingdings" w:hint="default"/>
      </w:rPr>
    </w:lvl>
    <w:lvl w:ilvl="6" w:tplc="0C090001" w:tentative="1">
      <w:start w:val="1"/>
      <w:numFmt w:val="bullet"/>
      <w:lvlText w:val=""/>
      <w:lvlJc w:val="left"/>
      <w:pPr>
        <w:ind w:left="5940" w:hanging="360"/>
      </w:pPr>
      <w:rPr>
        <w:rFonts w:ascii="Symbol" w:hAnsi="Symbol" w:hint="default"/>
      </w:rPr>
    </w:lvl>
    <w:lvl w:ilvl="7" w:tplc="0C090003" w:tentative="1">
      <w:start w:val="1"/>
      <w:numFmt w:val="bullet"/>
      <w:lvlText w:val="o"/>
      <w:lvlJc w:val="left"/>
      <w:pPr>
        <w:ind w:left="6660" w:hanging="360"/>
      </w:pPr>
      <w:rPr>
        <w:rFonts w:ascii="Courier New" w:hAnsi="Courier New" w:cs="Courier New" w:hint="default"/>
      </w:rPr>
    </w:lvl>
    <w:lvl w:ilvl="8" w:tplc="0C090005" w:tentative="1">
      <w:start w:val="1"/>
      <w:numFmt w:val="bullet"/>
      <w:lvlText w:val=""/>
      <w:lvlJc w:val="left"/>
      <w:pPr>
        <w:ind w:left="7380" w:hanging="360"/>
      </w:pPr>
      <w:rPr>
        <w:rFonts w:ascii="Wingdings" w:hAnsi="Wingdings" w:hint="default"/>
      </w:rPr>
    </w:lvl>
  </w:abstractNum>
  <w:abstractNum w:abstractNumId="17">
    <w:nsid w:val="554D43B6"/>
    <w:multiLevelType w:val="hybridMultilevel"/>
    <w:tmpl w:val="2F80AB2E"/>
    <w:lvl w:ilvl="0" w:tplc="86304562">
      <w:start w:val="1"/>
      <w:numFmt w:val="bullet"/>
      <w:pStyle w:val="ListParagraph"/>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626C21AA"/>
    <w:multiLevelType w:val="multilevel"/>
    <w:tmpl w:val="7E6C9832"/>
    <w:lvl w:ilvl="0">
      <w:start w:val="1"/>
      <w:numFmt w:val="bullet"/>
      <w:lvlText w:val=""/>
      <w:lvlJc w:val="left"/>
      <w:pPr>
        <w:tabs>
          <w:tab w:val="num" w:pos="567"/>
        </w:tabs>
        <w:ind w:left="567" w:hanging="567"/>
      </w:pPr>
      <w:rPr>
        <w:rFonts w:ascii="Wingdings" w:hAnsi="Wingdings" w:hint="default"/>
        <w:b w:val="0"/>
        <w:i w:val="0"/>
        <w:color w:val="000000"/>
        <w:sz w:val="22"/>
      </w:rPr>
    </w:lvl>
    <w:lvl w:ilvl="1">
      <w:start w:val="1"/>
      <w:numFmt w:val="bullet"/>
      <w:lvlText w:val=""/>
      <w:lvlJc w:val="left"/>
      <w:pPr>
        <w:tabs>
          <w:tab w:val="num" w:pos="1134"/>
        </w:tabs>
        <w:ind w:left="1134" w:hanging="567"/>
      </w:pPr>
      <w:rPr>
        <w:rFonts w:ascii="Wingdings" w:hAnsi="Wingdings" w:hint="default"/>
        <w:b w:val="0"/>
        <w:i w:val="0"/>
        <w:color w:val="000000"/>
        <w:sz w:val="22"/>
      </w:rPr>
    </w:lvl>
    <w:lvl w:ilvl="2">
      <w:start w:val="1"/>
      <w:numFmt w:val="bullet"/>
      <w:lvlText w:val=""/>
      <w:lvlJc w:val="left"/>
      <w:pPr>
        <w:tabs>
          <w:tab w:val="num" w:pos="1701"/>
        </w:tabs>
        <w:ind w:left="1701" w:hanging="567"/>
      </w:pPr>
      <w:rPr>
        <w:rFonts w:ascii="Wingdings" w:hAnsi="Wingdings" w:hint="default"/>
        <w:color w:val="000000"/>
        <w:sz w:val="22"/>
      </w:rPr>
    </w:lvl>
    <w:lvl w:ilvl="3">
      <w:start w:val="1"/>
      <w:numFmt w:val="bullet"/>
      <w:lvlText w:val=""/>
      <w:lvlJc w:val="left"/>
      <w:pPr>
        <w:tabs>
          <w:tab w:val="num" w:pos="2268"/>
        </w:tabs>
        <w:ind w:left="2268" w:hanging="567"/>
      </w:pPr>
      <w:rPr>
        <w:rFonts w:ascii="Wingdings" w:hAnsi="Wingdings" w:hint="default"/>
        <w:b w:val="0"/>
        <w:i w:val="0"/>
        <w:color w:val="auto"/>
        <w:sz w:val="22"/>
      </w:rPr>
    </w:lvl>
    <w:lvl w:ilvl="4">
      <w:start w:val="1"/>
      <w:numFmt w:val="bullet"/>
      <w:lvlText w:val=""/>
      <w:lvlJc w:val="left"/>
      <w:pPr>
        <w:tabs>
          <w:tab w:val="num" w:pos="2835"/>
        </w:tabs>
        <w:ind w:left="2835" w:hanging="567"/>
      </w:pPr>
      <w:rPr>
        <w:rFonts w:ascii="Wingdings" w:hAnsi="Wingdings" w:hint="default"/>
        <w:color w:val="auto"/>
      </w:rPr>
    </w:lvl>
    <w:lvl w:ilvl="5">
      <w:start w:val="1"/>
      <w:numFmt w:val="bullet"/>
      <w:lvlText w:val=""/>
      <w:lvlJc w:val="left"/>
      <w:pPr>
        <w:tabs>
          <w:tab w:val="num" w:pos="3402"/>
        </w:tabs>
        <w:ind w:left="3402" w:hanging="567"/>
      </w:pPr>
      <w:rPr>
        <w:rFonts w:ascii="Wingdings" w:hAnsi="Wingdings" w:hint="default"/>
        <w:color w:val="auto"/>
      </w:rPr>
    </w:lvl>
    <w:lvl w:ilvl="6">
      <w:start w:val="1"/>
      <w:numFmt w:val="none"/>
      <w:suff w:val="nothing"/>
      <w:lvlText w:val=""/>
      <w:lvlJc w:val="left"/>
      <w:pPr>
        <w:ind w:left="-567" w:firstLine="0"/>
      </w:pPr>
      <w:rPr>
        <w:rFonts w:hint="default"/>
        <w:color w:val="auto"/>
      </w:rPr>
    </w:lvl>
    <w:lvl w:ilvl="7">
      <w:start w:val="1"/>
      <w:numFmt w:val="none"/>
      <w:suff w:val="nothing"/>
      <w:lvlText w:val=""/>
      <w:lvlJc w:val="left"/>
      <w:pPr>
        <w:ind w:left="-567" w:firstLine="0"/>
      </w:pPr>
      <w:rPr>
        <w:rFonts w:hint="default"/>
        <w:color w:val="003366"/>
        <w:sz w:val="20"/>
      </w:rPr>
    </w:lvl>
    <w:lvl w:ilvl="8">
      <w:start w:val="1"/>
      <w:numFmt w:val="none"/>
      <w:suff w:val="nothing"/>
      <w:lvlText w:val=""/>
      <w:lvlJc w:val="left"/>
      <w:pPr>
        <w:ind w:left="-567" w:firstLine="0"/>
      </w:pPr>
      <w:rPr>
        <w:rFonts w:hint="default"/>
        <w:color w:val="ED7F00"/>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4"/>
  </w:num>
  <w:num w:numId="12">
    <w:abstractNumId w:val="13"/>
  </w:num>
  <w:num w:numId="13">
    <w:abstractNumId w:val="15"/>
  </w:num>
  <w:num w:numId="14">
    <w:abstractNumId w:val="17"/>
  </w:num>
  <w:num w:numId="15">
    <w:abstractNumId w:val="16"/>
  </w:num>
  <w:num w:numId="16">
    <w:abstractNumId w:val="11"/>
  </w:num>
  <w:num w:numId="17">
    <w:abstractNumId w:val="10"/>
  </w:num>
  <w:num w:numId="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8"/>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attachedTemplate r:id="rId1"/>
  <w:stylePaneFormatFilter w:val="3804" w:allStyles="0" w:customStyles="0" w:latentStyles="1" w:stylesInUse="0" w:headingStyles="0" w:numberingStyles="0" w:tableStyles="0" w:directFormattingOnRuns="0" w:directFormattingOnParagraphs="0" w:directFormattingOnNumbering="0" w:directFormattingOnTables="1" w:clearFormatting="1" w:top3HeadingStyles="1" w:visibleStyles="0" w:alternateStyleNames="0"/>
  <w:stylePaneSortMethod w:val="0000"/>
  <w:defaultTabStop w:val="720"/>
  <w:characterSpacingControl w:val="doNotCompress"/>
  <w:hdrShapeDefaults>
    <o:shapedefaults v:ext="edit" spidmax="532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193C"/>
    <w:rsid w:val="00000FE9"/>
    <w:rsid w:val="0000327B"/>
    <w:rsid w:val="00005785"/>
    <w:rsid w:val="00006876"/>
    <w:rsid w:val="000071EA"/>
    <w:rsid w:val="000079AD"/>
    <w:rsid w:val="00007D1F"/>
    <w:rsid w:val="00010D84"/>
    <w:rsid w:val="00010F15"/>
    <w:rsid w:val="00011CC6"/>
    <w:rsid w:val="00011CE3"/>
    <w:rsid w:val="00020C02"/>
    <w:rsid w:val="00022E9C"/>
    <w:rsid w:val="00022FFD"/>
    <w:rsid w:val="00024EF0"/>
    <w:rsid w:val="00025631"/>
    <w:rsid w:val="00027B26"/>
    <w:rsid w:val="0003038D"/>
    <w:rsid w:val="00030705"/>
    <w:rsid w:val="00032861"/>
    <w:rsid w:val="000329AE"/>
    <w:rsid w:val="00032B77"/>
    <w:rsid w:val="00032E57"/>
    <w:rsid w:val="00033C8D"/>
    <w:rsid w:val="00034877"/>
    <w:rsid w:val="00034AAF"/>
    <w:rsid w:val="00042285"/>
    <w:rsid w:val="0004307D"/>
    <w:rsid w:val="00043256"/>
    <w:rsid w:val="00043CF6"/>
    <w:rsid w:val="0004587B"/>
    <w:rsid w:val="00045A89"/>
    <w:rsid w:val="00045B7C"/>
    <w:rsid w:val="00046F8E"/>
    <w:rsid w:val="00047524"/>
    <w:rsid w:val="0005040E"/>
    <w:rsid w:val="0005087D"/>
    <w:rsid w:val="00050F9E"/>
    <w:rsid w:val="00053097"/>
    <w:rsid w:val="000547EF"/>
    <w:rsid w:val="00056004"/>
    <w:rsid w:val="0006075A"/>
    <w:rsid w:val="00061C84"/>
    <w:rsid w:val="00062484"/>
    <w:rsid w:val="00062E67"/>
    <w:rsid w:val="00063129"/>
    <w:rsid w:val="00064EE9"/>
    <w:rsid w:val="00065022"/>
    <w:rsid w:val="00065252"/>
    <w:rsid w:val="00065A5E"/>
    <w:rsid w:val="00070681"/>
    <w:rsid w:val="00070897"/>
    <w:rsid w:val="0007448B"/>
    <w:rsid w:val="00080A09"/>
    <w:rsid w:val="00081CEB"/>
    <w:rsid w:val="000827B6"/>
    <w:rsid w:val="00082D54"/>
    <w:rsid w:val="00083082"/>
    <w:rsid w:val="000844B4"/>
    <w:rsid w:val="00087B2C"/>
    <w:rsid w:val="00087DBD"/>
    <w:rsid w:val="000902C8"/>
    <w:rsid w:val="00090718"/>
    <w:rsid w:val="000919CE"/>
    <w:rsid w:val="00091B4E"/>
    <w:rsid w:val="00091CD7"/>
    <w:rsid w:val="00093DD5"/>
    <w:rsid w:val="000972A4"/>
    <w:rsid w:val="000A03DD"/>
    <w:rsid w:val="000A111B"/>
    <w:rsid w:val="000A1A09"/>
    <w:rsid w:val="000A25F2"/>
    <w:rsid w:val="000A426E"/>
    <w:rsid w:val="000A47A8"/>
    <w:rsid w:val="000A73FB"/>
    <w:rsid w:val="000B0939"/>
    <w:rsid w:val="000B218A"/>
    <w:rsid w:val="000C014D"/>
    <w:rsid w:val="000C29B4"/>
    <w:rsid w:val="000C5CD8"/>
    <w:rsid w:val="000C7A69"/>
    <w:rsid w:val="000D1158"/>
    <w:rsid w:val="000D3144"/>
    <w:rsid w:val="000D4703"/>
    <w:rsid w:val="000D4EA4"/>
    <w:rsid w:val="000E12D4"/>
    <w:rsid w:val="000E39EF"/>
    <w:rsid w:val="000E4F9D"/>
    <w:rsid w:val="000E5768"/>
    <w:rsid w:val="000E620E"/>
    <w:rsid w:val="000F0714"/>
    <w:rsid w:val="000F0BD6"/>
    <w:rsid w:val="000F2063"/>
    <w:rsid w:val="000F3D28"/>
    <w:rsid w:val="000F63C4"/>
    <w:rsid w:val="00100200"/>
    <w:rsid w:val="0010263D"/>
    <w:rsid w:val="00102824"/>
    <w:rsid w:val="0010300A"/>
    <w:rsid w:val="00107A0A"/>
    <w:rsid w:val="001121C3"/>
    <w:rsid w:val="00112976"/>
    <w:rsid w:val="001131F0"/>
    <w:rsid w:val="001139C7"/>
    <w:rsid w:val="00114EBC"/>
    <w:rsid w:val="00115F35"/>
    <w:rsid w:val="001220C4"/>
    <w:rsid w:val="001231DF"/>
    <w:rsid w:val="0012427E"/>
    <w:rsid w:val="001247E0"/>
    <w:rsid w:val="00126750"/>
    <w:rsid w:val="001271A1"/>
    <w:rsid w:val="00131C0F"/>
    <w:rsid w:val="001325BF"/>
    <w:rsid w:val="00132F0D"/>
    <w:rsid w:val="00133713"/>
    <w:rsid w:val="00135B7E"/>
    <w:rsid w:val="00135FE5"/>
    <w:rsid w:val="00140FC9"/>
    <w:rsid w:val="001413C5"/>
    <w:rsid w:val="0014231B"/>
    <w:rsid w:val="00142956"/>
    <w:rsid w:val="00142D10"/>
    <w:rsid w:val="00144868"/>
    <w:rsid w:val="001452BC"/>
    <w:rsid w:val="00150D2A"/>
    <w:rsid w:val="00150E25"/>
    <w:rsid w:val="00150EA9"/>
    <w:rsid w:val="00151650"/>
    <w:rsid w:val="00152BF6"/>
    <w:rsid w:val="001544F6"/>
    <w:rsid w:val="00154E04"/>
    <w:rsid w:val="00155B98"/>
    <w:rsid w:val="00157001"/>
    <w:rsid w:val="00157709"/>
    <w:rsid w:val="00160E91"/>
    <w:rsid w:val="00164477"/>
    <w:rsid w:val="00164C34"/>
    <w:rsid w:val="00165626"/>
    <w:rsid w:val="00167CF4"/>
    <w:rsid w:val="0017018F"/>
    <w:rsid w:val="001704C8"/>
    <w:rsid w:val="0017147C"/>
    <w:rsid w:val="0017194E"/>
    <w:rsid w:val="00171EFA"/>
    <w:rsid w:val="0017249B"/>
    <w:rsid w:val="001727A4"/>
    <w:rsid w:val="00172AA0"/>
    <w:rsid w:val="00173AF8"/>
    <w:rsid w:val="00174E91"/>
    <w:rsid w:val="00177EC4"/>
    <w:rsid w:val="00181533"/>
    <w:rsid w:val="001824C8"/>
    <w:rsid w:val="00182698"/>
    <w:rsid w:val="001843D8"/>
    <w:rsid w:val="0018446F"/>
    <w:rsid w:val="0018525C"/>
    <w:rsid w:val="001864FD"/>
    <w:rsid w:val="001943DD"/>
    <w:rsid w:val="00195004"/>
    <w:rsid w:val="001959B1"/>
    <w:rsid w:val="00196BAC"/>
    <w:rsid w:val="001A09FE"/>
    <w:rsid w:val="001A13F6"/>
    <w:rsid w:val="001A2D78"/>
    <w:rsid w:val="001A7249"/>
    <w:rsid w:val="001B27A1"/>
    <w:rsid w:val="001B385A"/>
    <w:rsid w:val="001B3904"/>
    <w:rsid w:val="001B3AEC"/>
    <w:rsid w:val="001B3E8D"/>
    <w:rsid w:val="001B5259"/>
    <w:rsid w:val="001B598B"/>
    <w:rsid w:val="001B60D4"/>
    <w:rsid w:val="001B6F28"/>
    <w:rsid w:val="001B70F3"/>
    <w:rsid w:val="001B7DDF"/>
    <w:rsid w:val="001C28D2"/>
    <w:rsid w:val="001C2D5A"/>
    <w:rsid w:val="001C3539"/>
    <w:rsid w:val="001C3BE6"/>
    <w:rsid w:val="001C4999"/>
    <w:rsid w:val="001C4F4F"/>
    <w:rsid w:val="001C52C9"/>
    <w:rsid w:val="001C6BA1"/>
    <w:rsid w:val="001D141C"/>
    <w:rsid w:val="001D2904"/>
    <w:rsid w:val="001D652D"/>
    <w:rsid w:val="001D693F"/>
    <w:rsid w:val="001D6F9E"/>
    <w:rsid w:val="001E38FB"/>
    <w:rsid w:val="001E52C2"/>
    <w:rsid w:val="001F0BE1"/>
    <w:rsid w:val="001F101A"/>
    <w:rsid w:val="001F24EF"/>
    <w:rsid w:val="001F56C7"/>
    <w:rsid w:val="001F69BD"/>
    <w:rsid w:val="00203039"/>
    <w:rsid w:val="00204B17"/>
    <w:rsid w:val="002069AD"/>
    <w:rsid w:val="002069D2"/>
    <w:rsid w:val="00210360"/>
    <w:rsid w:val="002116D5"/>
    <w:rsid w:val="00211DA2"/>
    <w:rsid w:val="00213693"/>
    <w:rsid w:val="00215CCB"/>
    <w:rsid w:val="0021695F"/>
    <w:rsid w:val="00216CF5"/>
    <w:rsid w:val="0022037B"/>
    <w:rsid w:val="00222C8D"/>
    <w:rsid w:val="002256A8"/>
    <w:rsid w:val="00230799"/>
    <w:rsid w:val="00230E6B"/>
    <w:rsid w:val="00232B97"/>
    <w:rsid w:val="00234C13"/>
    <w:rsid w:val="0023523A"/>
    <w:rsid w:val="002371BB"/>
    <w:rsid w:val="0023757C"/>
    <w:rsid w:val="00237C47"/>
    <w:rsid w:val="002402E4"/>
    <w:rsid w:val="00240C6C"/>
    <w:rsid w:val="002421A0"/>
    <w:rsid w:val="00242B98"/>
    <w:rsid w:val="002445A1"/>
    <w:rsid w:val="00244CB0"/>
    <w:rsid w:val="00246FE6"/>
    <w:rsid w:val="002470E3"/>
    <w:rsid w:val="002510C9"/>
    <w:rsid w:val="0025207D"/>
    <w:rsid w:val="0025279E"/>
    <w:rsid w:val="0025304E"/>
    <w:rsid w:val="00254DE9"/>
    <w:rsid w:val="00255A18"/>
    <w:rsid w:val="002615D3"/>
    <w:rsid w:val="00264805"/>
    <w:rsid w:val="002650F6"/>
    <w:rsid w:val="002672F1"/>
    <w:rsid w:val="002679AE"/>
    <w:rsid w:val="00271414"/>
    <w:rsid w:val="00271922"/>
    <w:rsid w:val="00273412"/>
    <w:rsid w:val="0027373F"/>
    <w:rsid w:val="00274ACF"/>
    <w:rsid w:val="002773FA"/>
    <w:rsid w:val="00280C95"/>
    <w:rsid w:val="0028159B"/>
    <w:rsid w:val="00282671"/>
    <w:rsid w:val="00282861"/>
    <w:rsid w:val="002843E2"/>
    <w:rsid w:val="00284841"/>
    <w:rsid w:val="002868E4"/>
    <w:rsid w:val="00287BAA"/>
    <w:rsid w:val="00293489"/>
    <w:rsid w:val="00296F5E"/>
    <w:rsid w:val="002A30F0"/>
    <w:rsid w:val="002A3926"/>
    <w:rsid w:val="002A6DF5"/>
    <w:rsid w:val="002B0FD2"/>
    <w:rsid w:val="002B2FD3"/>
    <w:rsid w:val="002B5F53"/>
    <w:rsid w:val="002B6406"/>
    <w:rsid w:val="002B6809"/>
    <w:rsid w:val="002B7F9D"/>
    <w:rsid w:val="002C01E1"/>
    <w:rsid w:val="002C4231"/>
    <w:rsid w:val="002C7080"/>
    <w:rsid w:val="002D00B0"/>
    <w:rsid w:val="002D2364"/>
    <w:rsid w:val="002D2E16"/>
    <w:rsid w:val="002D761D"/>
    <w:rsid w:val="002E45F0"/>
    <w:rsid w:val="002E68CC"/>
    <w:rsid w:val="002E7778"/>
    <w:rsid w:val="002F1033"/>
    <w:rsid w:val="002F5D37"/>
    <w:rsid w:val="002F6E5E"/>
    <w:rsid w:val="00300E43"/>
    <w:rsid w:val="00304B3E"/>
    <w:rsid w:val="00304D97"/>
    <w:rsid w:val="003059E1"/>
    <w:rsid w:val="003067B8"/>
    <w:rsid w:val="00311704"/>
    <w:rsid w:val="0031180A"/>
    <w:rsid w:val="00313127"/>
    <w:rsid w:val="00313304"/>
    <w:rsid w:val="003155F4"/>
    <w:rsid w:val="00320309"/>
    <w:rsid w:val="00321D1E"/>
    <w:rsid w:val="003224ED"/>
    <w:rsid w:val="0032530E"/>
    <w:rsid w:val="00325A61"/>
    <w:rsid w:val="00326976"/>
    <w:rsid w:val="003311D7"/>
    <w:rsid w:val="003327F6"/>
    <w:rsid w:val="00332B8B"/>
    <w:rsid w:val="0033521E"/>
    <w:rsid w:val="00335AB1"/>
    <w:rsid w:val="003369BE"/>
    <w:rsid w:val="00337CA2"/>
    <w:rsid w:val="003404A4"/>
    <w:rsid w:val="00342D61"/>
    <w:rsid w:val="003459F7"/>
    <w:rsid w:val="00347104"/>
    <w:rsid w:val="00350852"/>
    <w:rsid w:val="0035096E"/>
    <w:rsid w:val="0035219F"/>
    <w:rsid w:val="00355D01"/>
    <w:rsid w:val="00360B81"/>
    <w:rsid w:val="0036204F"/>
    <w:rsid w:val="00365646"/>
    <w:rsid w:val="00366283"/>
    <w:rsid w:val="0036777E"/>
    <w:rsid w:val="003701FA"/>
    <w:rsid w:val="00371627"/>
    <w:rsid w:val="00372A26"/>
    <w:rsid w:val="0037484C"/>
    <w:rsid w:val="00374852"/>
    <w:rsid w:val="003749CD"/>
    <w:rsid w:val="00374A6C"/>
    <w:rsid w:val="00381899"/>
    <w:rsid w:val="00382718"/>
    <w:rsid w:val="00382B3B"/>
    <w:rsid w:val="003833F5"/>
    <w:rsid w:val="00384BA2"/>
    <w:rsid w:val="00385ED2"/>
    <w:rsid w:val="00391F86"/>
    <w:rsid w:val="003923FB"/>
    <w:rsid w:val="00393F00"/>
    <w:rsid w:val="003945C0"/>
    <w:rsid w:val="00396580"/>
    <w:rsid w:val="003A25A7"/>
    <w:rsid w:val="003A46E7"/>
    <w:rsid w:val="003B1C60"/>
    <w:rsid w:val="003B4C44"/>
    <w:rsid w:val="003B535C"/>
    <w:rsid w:val="003B7E77"/>
    <w:rsid w:val="003C2120"/>
    <w:rsid w:val="003C33A2"/>
    <w:rsid w:val="003C4266"/>
    <w:rsid w:val="003C57CF"/>
    <w:rsid w:val="003C7472"/>
    <w:rsid w:val="003D030E"/>
    <w:rsid w:val="003D040D"/>
    <w:rsid w:val="003D1F49"/>
    <w:rsid w:val="003D2061"/>
    <w:rsid w:val="003E1FE3"/>
    <w:rsid w:val="003E32A7"/>
    <w:rsid w:val="003E6438"/>
    <w:rsid w:val="003E6B07"/>
    <w:rsid w:val="003E75F6"/>
    <w:rsid w:val="003F1A33"/>
    <w:rsid w:val="003F3072"/>
    <w:rsid w:val="003F463F"/>
    <w:rsid w:val="004024E4"/>
    <w:rsid w:val="0040321B"/>
    <w:rsid w:val="00406289"/>
    <w:rsid w:val="00406578"/>
    <w:rsid w:val="004074EF"/>
    <w:rsid w:val="004102C3"/>
    <w:rsid w:val="00410A0E"/>
    <w:rsid w:val="0041307C"/>
    <w:rsid w:val="00413699"/>
    <w:rsid w:val="0041379A"/>
    <w:rsid w:val="004167B4"/>
    <w:rsid w:val="004167BC"/>
    <w:rsid w:val="00417163"/>
    <w:rsid w:val="00420044"/>
    <w:rsid w:val="0042032D"/>
    <w:rsid w:val="004225DC"/>
    <w:rsid w:val="00423A41"/>
    <w:rsid w:val="00425FBA"/>
    <w:rsid w:val="00430D7E"/>
    <w:rsid w:val="00432332"/>
    <w:rsid w:val="00432368"/>
    <w:rsid w:val="00433B04"/>
    <w:rsid w:val="0043574B"/>
    <w:rsid w:val="00436F80"/>
    <w:rsid w:val="00437578"/>
    <w:rsid w:val="0043784D"/>
    <w:rsid w:val="00440256"/>
    <w:rsid w:val="00440E22"/>
    <w:rsid w:val="004451CC"/>
    <w:rsid w:val="0044547D"/>
    <w:rsid w:val="00446F93"/>
    <w:rsid w:val="00451A74"/>
    <w:rsid w:val="00453777"/>
    <w:rsid w:val="00454B9B"/>
    <w:rsid w:val="00454F68"/>
    <w:rsid w:val="004552AB"/>
    <w:rsid w:val="0045622C"/>
    <w:rsid w:val="00460320"/>
    <w:rsid w:val="00464FB1"/>
    <w:rsid w:val="00465398"/>
    <w:rsid w:val="00467185"/>
    <w:rsid w:val="00467736"/>
    <w:rsid w:val="0047050C"/>
    <w:rsid w:val="004730D8"/>
    <w:rsid w:val="00473AE9"/>
    <w:rsid w:val="004750DB"/>
    <w:rsid w:val="00480F21"/>
    <w:rsid w:val="0048108E"/>
    <w:rsid w:val="00484441"/>
    <w:rsid w:val="0048537F"/>
    <w:rsid w:val="004874E5"/>
    <w:rsid w:val="00487885"/>
    <w:rsid w:val="00490A65"/>
    <w:rsid w:val="0049116C"/>
    <w:rsid w:val="004930C9"/>
    <w:rsid w:val="004938DB"/>
    <w:rsid w:val="00493F62"/>
    <w:rsid w:val="00494832"/>
    <w:rsid w:val="004957C2"/>
    <w:rsid w:val="00495AF1"/>
    <w:rsid w:val="00495D86"/>
    <w:rsid w:val="00496370"/>
    <w:rsid w:val="00496DC7"/>
    <w:rsid w:val="00497A89"/>
    <w:rsid w:val="004A1BE7"/>
    <w:rsid w:val="004A20E6"/>
    <w:rsid w:val="004A4CED"/>
    <w:rsid w:val="004A6BE6"/>
    <w:rsid w:val="004B02F5"/>
    <w:rsid w:val="004B0828"/>
    <w:rsid w:val="004B3042"/>
    <w:rsid w:val="004B3304"/>
    <w:rsid w:val="004B3DF1"/>
    <w:rsid w:val="004B4858"/>
    <w:rsid w:val="004B4BC0"/>
    <w:rsid w:val="004B5555"/>
    <w:rsid w:val="004B6247"/>
    <w:rsid w:val="004C0484"/>
    <w:rsid w:val="004C4AF8"/>
    <w:rsid w:val="004C5B64"/>
    <w:rsid w:val="004C777E"/>
    <w:rsid w:val="004D16A4"/>
    <w:rsid w:val="004D3C19"/>
    <w:rsid w:val="004D3C7F"/>
    <w:rsid w:val="004E2B48"/>
    <w:rsid w:val="004E38EA"/>
    <w:rsid w:val="004E49B9"/>
    <w:rsid w:val="004E49D2"/>
    <w:rsid w:val="004E6682"/>
    <w:rsid w:val="004E6D8A"/>
    <w:rsid w:val="004E7816"/>
    <w:rsid w:val="004F13E4"/>
    <w:rsid w:val="004F15EF"/>
    <w:rsid w:val="004F22FE"/>
    <w:rsid w:val="004F6C1F"/>
    <w:rsid w:val="004F774D"/>
    <w:rsid w:val="005013B0"/>
    <w:rsid w:val="005015E4"/>
    <w:rsid w:val="005017A6"/>
    <w:rsid w:val="00502314"/>
    <w:rsid w:val="0050291D"/>
    <w:rsid w:val="005064CD"/>
    <w:rsid w:val="00506748"/>
    <w:rsid w:val="00506C00"/>
    <w:rsid w:val="0050701A"/>
    <w:rsid w:val="00507186"/>
    <w:rsid w:val="00511016"/>
    <w:rsid w:val="00513A6F"/>
    <w:rsid w:val="005159B3"/>
    <w:rsid w:val="00522C03"/>
    <w:rsid w:val="00525EA4"/>
    <w:rsid w:val="0052791F"/>
    <w:rsid w:val="0053195F"/>
    <w:rsid w:val="00532CFF"/>
    <w:rsid w:val="00533FA0"/>
    <w:rsid w:val="005344EF"/>
    <w:rsid w:val="005351D3"/>
    <w:rsid w:val="00536880"/>
    <w:rsid w:val="0053742D"/>
    <w:rsid w:val="00540AD0"/>
    <w:rsid w:val="00540C41"/>
    <w:rsid w:val="00540FDA"/>
    <w:rsid w:val="00541DA7"/>
    <w:rsid w:val="00541EE2"/>
    <w:rsid w:val="00543A76"/>
    <w:rsid w:val="005523D1"/>
    <w:rsid w:val="005525B6"/>
    <w:rsid w:val="00554851"/>
    <w:rsid w:val="00554A8F"/>
    <w:rsid w:val="0055532E"/>
    <w:rsid w:val="00555BC3"/>
    <w:rsid w:val="00557C8E"/>
    <w:rsid w:val="005600A8"/>
    <w:rsid w:val="00561B2B"/>
    <w:rsid w:val="00562759"/>
    <w:rsid w:val="0056357E"/>
    <w:rsid w:val="00564952"/>
    <w:rsid w:val="0056645F"/>
    <w:rsid w:val="00566857"/>
    <w:rsid w:val="00571AB1"/>
    <w:rsid w:val="00572362"/>
    <w:rsid w:val="0057292C"/>
    <w:rsid w:val="00575430"/>
    <w:rsid w:val="00577E1C"/>
    <w:rsid w:val="00577ED4"/>
    <w:rsid w:val="00580DB1"/>
    <w:rsid w:val="005814AC"/>
    <w:rsid w:val="00584676"/>
    <w:rsid w:val="005854B7"/>
    <w:rsid w:val="00587AB1"/>
    <w:rsid w:val="0059070B"/>
    <w:rsid w:val="0059283C"/>
    <w:rsid w:val="005937B0"/>
    <w:rsid w:val="005942A2"/>
    <w:rsid w:val="00597F15"/>
    <w:rsid w:val="005A0D95"/>
    <w:rsid w:val="005A224B"/>
    <w:rsid w:val="005A2DFD"/>
    <w:rsid w:val="005A3868"/>
    <w:rsid w:val="005A77A6"/>
    <w:rsid w:val="005B1225"/>
    <w:rsid w:val="005B17D8"/>
    <w:rsid w:val="005B1D82"/>
    <w:rsid w:val="005B2126"/>
    <w:rsid w:val="005B4077"/>
    <w:rsid w:val="005B4D35"/>
    <w:rsid w:val="005C107F"/>
    <w:rsid w:val="005C28B0"/>
    <w:rsid w:val="005C2F01"/>
    <w:rsid w:val="005C5F3C"/>
    <w:rsid w:val="005D01BE"/>
    <w:rsid w:val="005D1177"/>
    <w:rsid w:val="005D1D13"/>
    <w:rsid w:val="005D3133"/>
    <w:rsid w:val="005D4434"/>
    <w:rsid w:val="005D5460"/>
    <w:rsid w:val="005D59CB"/>
    <w:rsid w:val="005D6A31"/>
    <w:rsid w:val="005E08CD"/>
    <w:rsid w:val="005E37E8"/>
    <w:rsid w:val="005E6AD0"/>
    <w:rsid w:val="005E74C5"/>
    <w:rsid w:val="005F219D"/>
    <w:rsid w:val="005F2437"/>
    <w:rsid w:val="005F318A"/>
    <w:rsid w:val="005F5157"/>
    <w:rsid w:val="005F7710"/>
    <w:rsid w:val="005F7F28"/>
    <w:rsid w:val="006004F7"/>
    <w:rsid w:val="00603261"/>
    <w:rsid w:val="00607597"/>
    <w:rsid w:val="00610F93"/>
    <w:rsid w:val="00611371"/>
    <w:rsid w:val="006127CC"/>
    <w:rsid w:val="00614102"/>
    <w:rsid w:val="006243C6"/>
    <w:rsid w:val="00624DF8"/>
    <w:rsid w:val="0062568F"/>
    <w:rsid w:val="00626DD3"/>
    <w:rsid w:val="006273BC"/>
    <w:rsid w:val="00632009"/>
    <w:rsid w:val="00633CF1"/>
    <w:rsid w:val="00635A6C"/>
    <w:rsid w:val="00636E6C"/>
    <w:rsid w:val="00637091"/>
    <w:rsid w:val="00642839"/>
    <w:rsid w:val="0064481C"/>
    <w:rsid w:val="006457F8"/>
    <w:rsid w:val="00645CCB"/>
    <w:rsid w:val="0064700E"/>
    <w:rsid w:val="006478CB"/>
    <w:rsid w:val="00650B88"/>
    <w:rsid w:val="00652C58"/>
    <w:rsid w:val="006530EF"/>
    <w:rsid w:val="006554DD"/>
    <w:rsid w:val="00657AB5"/>
    <w:rsid w:val="00660951"/>
    <w:rsid w:val="00663419"/>
    <w:rsid w:val="006636E2"/>
    <w:rsid w:val="00663F4C"/>
    <w:rsid w:val="00666273"/>
    <w:rsid w:val="00667FA9"/>
    <w:rsid w:val="0067233D"/>
    <w:rsid w:val="00672B2E"/>
    <w:rsid w:val="006745AE"/>
    <w:rsid w:val="00676870"/>
    <w:rsid w:val="00676AF3"/>
    <w:rsid w:val="00676D89"/>
    <w:rsid w:val="00677895"/>
    <w:rsid w:val="00677BEF"/>
    <w:rsid w:val="006814A3"/>
    <w:rsid w:val="006821EF"/>
    <w:rsid w:val="00682AFC"/>
    <w:rsid w:val="00683344"/>
    <w:rsid w:val="006845BC"/>
    <w:rsid w:val="00684FC9"/>
    <w:rsid w:val="00685F41"/>
    <w:rsid w:val="0069072B"/>
    <w:rsid w:val="0069174B"/>
    <w:rsid w:val="00693340"/>
    <w:rsid w:val="00696464"/>
    <w:rsid w:val="00697B5F"/>
    <w:rsid w:val="006A04C7"/>
    <w:rsid w:val="006A07B4"/>
    <w:rsid w:val="006A2D3F"/>
    <w:rsid w:val="006A3D5F"/>
    <w:rsid w:val="006A5459"/>
    <w:rsid w:val="006B05E3"/>
    <w:rsid w:val="006B09BC"/>
    <w:rsid w:val="006B27E8"/>
    <w:rsid w:val="006B4210"/>
    <w:rsid w:val="006B6D5D"/>
    <w:rsid w:val="006B6E55"/>
    <w:rsid w:val="006B7B5A"/>
    <w:rsid w:val="006C0801"/>
    <w:rsid w:val="006C0C2C"/>
    <w:rsid w:val="006C1EAA"/>
    <w:rsid w:val="006C216F"/>
    <w:rsid w:val="006C45D4"/>
    <w:rsid w:val="006D011C"/>
    <w:rsid w:val="006D0649"/>
    <w:rsid w:val="006D2042"/>
    <w:rsid w:val="006D66E3"/>
    <w:rsid w:val="006D7314"/>
    <w:rsid w:val="006D7855"/>
    <w:rsid w:val="006E010C"/>
    <w:rsid w:val="006E1003"/>
    <w:rsid w:val="006E16BF"/>
    <w:rsid w:val="006E18F0"/>
    <w:rsid w:val="006E193C"/>
    <w:rsid w:val="006E38AF"/>
    <w:rsid w:val="006E4F93"/>
    <w:rsid w:val="006F0FA9"/>
    <w:rsid w:val="006F1174"/>
    <w:rsid w:val="006F2747"/>
    <w:rsid w:val="006F3747"/>
    <w:rsid w:val="006F4572"/>
    <w:rsid w:val="006F7C01"/>
    <w:rsid w:val="00700135"/>
    <w:rsid w:val="00702F6A"/>
    <w:rsid w:val="00703ECF"/>
    <w:rsid w:val="00704815"/>
    <w:rsid w:val="00704E3A"/>
    <w:rsid w:val="00705180"/>
    <w:rsid w:val="00705EA3"/>
    <w:rsid w:val="00711605"/>
    <w:rsid w:val="00711DF6"/>
    <w:rsid w:val="00716D83"/>
    <w:rsid w:val="00716FBC"/>
    <w:rsid w:val="00717090"/>
    <w:rsid w:val="007202E8"/>
    <w:rsid w:val="00720739"/>
    <w:rsid w:val="0072253E"/>
    <w:rsid w:val="0072391C"/>
    <w:rsid w:val="00723E1F"/>
    <w:rsid w:val="0072443D"/>
    <w:rsid w:val="007247E5"/>
    <w:rsid w:val="007248B7"/>
    <w:rsid w:val="007254CA"/>
    <w:rsid w:val="00726263"/>
    <w:rsid w:val="00730CF8"/>
    <w:rsid w:val="00731A90"/>
    <w:rsid w:val="00732608"/>
    <w:rsid w:val="00733251"/>
    <w:rsid w:val="00736DCA"/>
    <w:rsid w:val="0074054B"/>
    <w:rsid w:val="00741CEF"/>
    <w:rsid w:val="00745C47"/>
    <w:rsid w:val="0075003D"/>
    <w:rsid w:val="00751D97"/>
    <w:rsid w:val="00752C55"/>
    <w:rsid w:val="00755435"/>
    <w:rsid w:val="007562D4"/>
    <w:rsid w:val="007573FA"/>
    <w:rsid w:val="00760802"/>
    <w:rsid w:val="00760C74"/>
    <w:rsid w:val="00761DBF"/>
    <w:rsid w:val="00761FCF"/>
    <w:rsid w:val="007620BE"/>
    <w:rsid w:val="00762A03"/>
    <w:rsid w:val="00765503"/>
    <w:rsid w:val="00766890"/>
    <w:rsid w:val="0076778D"/>
    <w:rsid w:val="00767B7E"/>
    <w:rsid w:val="00771D7D"/>
    <w:rsid w:val="00772597"/>
    <w:rsid w:val="007745B7"/>
    <w:rsid w:val="00774B27"/>
    <w:rsid w:val="007750C8"/>
    <w:rsid w:val="00776538"/>
    <w:rsid w:val="007802BE"/>
    <w:rsid w:val="00780EEF"/>
    <w:rsid w:val="0078134C"/>
    <w:rsid w:val="00781C47"/>
    <w:rsid w:val="0078236C"/>
    <w:rsid w:val="007837C7"/>
    <w:rsid w:val="00784B44"/>
    <w:rsid w:val="0078524A"/>
    <w:rsid w:val="00785465"/>
    <w:rsid w:val="00787656"/>
    <w:rsid w:val="00791767"/>
    <w:rsid w:val="0079268A"/>
    <w:rsid w:val="00794859"/>
    <w:rsid w:val="00797C88"/>
    <w:rsid w:val="007A1013"/>
    <w:rsid w:val="007A4CA9"/>
    <w:rsid w:val="007A5C31"/>
    <w:rsid w:val="007A7D19"/>
    <w:rsid w:val="007A7EC2"/>
    <w:rsid w:val="007B042D"/>
    <w:rsid w:val="007B05BB"/>
    <w:rsid w:val="007B079A"/>
    <w:rsid w:val="007B17D0"/>
    <w:rsid w:val="007B6E0A"/>
    <w:rsid w:val="007B764C"/>
    <w:rsid w:val="007C118A"/>
    <w:rsid w:val="007C1B8B"/>
    <w:rsid w:val="007C25B6"/>
    <w:rsid w:val="007C28D4"/>
    <w:rsid w:val="007C636F"/>
    <w:rsid w:val="007D39EB"/>
    <w:rsid w:val="007D3CDD"/>
    <w:rsid w:val="007E26DC"/>
    <w:rsid w:val="007E6D44"/>
    <w:rsid w:val="007E74E1"/>
    <w:rsid w:val="007E77A8"/>
    <w:rsid w:val="007F44CC"/>
    <w:rsid w:val="007F491C"/>
    <w:rsid w:val="00800FA2"/>
    <w:rsid w:val="00803BF8"/>
    <w:rsid w:val="008061C9"/>
    <w:rsid w:val="008066D8"/>
    <w:rsid w:val="00807238"/>
    <w:rsid w:val="0081001E"/>
    <w:rsid w:val="00810851"/>
    <w:rsid w:val="00811A18"/>
    <w:rsid w:val="00813711"/>
    <w:rsid w:val="00817359"/>
    <w:rsid w:val="00820671"/>
    <w:rsid w:val="00821E64"/>
    <w:rsid w:val="008263C2"/>
    <w:rsid w:val="00827666"/>
    <w:rsid w:val="00827B4E"/>
    <w:rsid w:val="008307DB"/>
    <w:rsid w:val="00833398"/>
    <w:rsid w:val="00835D9D"/>
    <w:rsid w:val="00835FC9"/>
    <w:rsid w:val="008368F8"/>
    <w:rsid w:val="008370E3"/>
    <w:rsid w:val="008418FA"/>
    <w:rsid w:val="00842959"/>
    <w:rsid w:val="00843390"/>
    <w:rsid w:val="0084535F"/>
    <w:rsid w:val="00845638"/>
    <w:rsid w:val="00847F04"/>
    <w:rsid w:val="008504C3"/>
    <w:rsid w:val="0085161F"/>
    <w:rsid w:val="0085235A"/>
    <w:rsid w:val="00854138"/>
    <w:rsid w:val="00854410"/>
    <w:rsid w:val="0085443E"/>
    <w:rsid w:val="008544DF"/>
    <w:rsid w:val="008601F0"/>
    <w:rsid w:val="00860AAD"/>
    <w:rsid w:val="00860DC6"/>
    <w:rsid w:val="008615CA"/>
    <w:rsid w:val="00861AA6"/>
    <w:rsid w:val="008708F3"/>
    <w:rsid w:val="00871354"/>
    <w:rsid w:val="008721D4"/>
    <w:rsid w:val="00873611"/>
    <w:rsid w:val="00873C8F"/>
    <w:rsid w:val="00874FB3"/>
    <w:rsid w:val="00876EB4"/>
    <w:rsid w:val="00880BE3"/>
    <w:rsid w:val="00881359"/>
    <w:rsid w:val="00882093"/>
    <w:rsid w:val="00882588"/>
    <w:rsid w:val="008835F5"/>
    <w:rsid w:val="00883B97"/>
    <w:rsid w:val="00884327"/>
    <w:rsid w:val="00884ADE"/>
    <w:rsid w:val="008856CF"/>
    <w:rsid w:val="00885864"/>
    <w:rsid w:val="00890A1D"/>
    <w:rsid w:val="00890AAA"/>
    <w:rsid w:val="00891D79"/>
    <w:rsid w:val="0089383B"/>
    <w:rsid w:val="00893C48"/>
    <w:rsid w:val="0089534B"/>
    <w:rsid w:val="0089616F"/>
    <w:rsid w:val="0089638D"/>
    <w:rsid w:val="008A0232"/>
    <w:rsid w:val="008B0470"/>
    <w:rsid w:val="008B06C5"/>
    <w:rsid w:val="008B164E"/>
    <w:rsid w:val="008B2E78"/>
    <w:rsid w:val="008B3DCF"/>
    <w:rsid w:val="008B502A"/>
    <w:rsid w:val="008B57D8"/>
    <w:rsid w:val="008B7A65"/>
    <w:rsid w:val="008C0576"/>
    <w:rsid w:val="008C0B97"/>
    <w:rsid w:val="008C1219"/>
    <w:rsid w:val="008C123E"/>
    <w:rsid w:val="008C137D"/>
    <w:rsid w:val="008C2111"/>
    <w:rsid w:val="008C22DD"/>
    <w:rsid w:val="008C3809"/>
    <w:rsid w:val="008C3ED0"/>
    <w:rsid w:val="008C5E94"/>
    <w:rsid w:val="008C65D7"/>
    <w:rsid w:val="008D196A"/>
    <w:rsid w:val="008D4C7B"/>
    <w:rsid w:val="008D75AC"/>
    <w:rsid w:val="008E3EF2"/>
    <w:rsid w:val="008E51C9"/>
    <w:rsid w:val="008E5BEB"/>
    <w:rsid w:val="008E6306"/>
    <w:rsid w:val="008F580D"/>
    <w:rsid w:val="008F68F7"/>
    <w:rsid w:val="009005A6"/>
    <w:rsid w:val="009006CF"/>
    <w:rsid w:val="00900C71"/>
    <w:rsid w:val="009024C4"/>
    <w:rsid w:val="00902A1C"/>
    <w:rsid w:val="009037B6"/>
    <w:rsid w:val="009044D0"/>
    <w:rsid w:val="009052C2"/>
    <w:rsid w:val="00906CBE"/>
    <w:rsid w:val="00910024"/>
    <w:rsid w:val="00910384"/>
    <w:rsid w:val="0091643D"/>
    <w:rsid w:val="00916E33"/>
    <w:rsid w:val="0092093B"/>
    <w:rsid w:val="00925FD2"/>
    <w:rsid w:val="00930669"/>
    <w:rsid w:val="00932C33"/>
    <w:rsid w:val="00934227"/>
    <w:rsid w:val="009427A1"/>
    <w:rsid w:val="00942FFE"/>
    <w:rsid w:val="00944C96"/>
    <w:rsid w:val="009551E0"/>
    <w:rsid w:val="009552F1"/>
    <w:rsid w:val="0095654E"/>
    <w:rsid w:val="00956916"/>
    <w:rsid w:val="00956F3C"/>
    <w:rsid w:val="00963729"/>
    <w:rsid w:val="00971C34"/>
    <w:rsid w:val="00972488"/>
    <w:rsid w:val="009726D0"/>
    <w:rsid w:val="0097421D"/>
    <w:rsid w:val="00976117"/>
    <w:rsid w:val="00976A23"/>
    <w:rsid w:val="009800BC"/>
    <w:rsid w:val="00980B2C"/>
    <w:rsid w:val="009816F6"/>
    <w:rsid w:val="00985220"/>
    <w:rsid w:val="0098702F"/>
    <w:rsid w:val="009871E7"/>
    <w:rsid w:val="009900F0"/>
    <w:rsid w:val="00990B9B"/>
    <w:rsid w:val="00991769"/>
    <w:rsid w:val="00993236"/>
    <w:rsid w:val="00993D8C"/>
    <w:rsid w:val="00994E3D"/>
    <w:rsid w:val="00995D05"/>
    <w:rsid w:val="009A297E"/>
    <w:rsid w:val="009A6127"/>
    <w:rsid w:val="009A6311"/>
    <w:rsid w:val="009A6AD6"/>
    <w:rsid w:val="009B0CC1"/>
    <w:rsid w:val="009B1009"/>
    <w:rsid w:val="009B12B8"/>
    <w:rsid w:val="009B2462"/>
    <w:rsid w:val="009B70D9"/>
    <w:rsid w:val="009B713C"/>
    <w:rsid w:val="009C06B7"/>
    <w:rsid w:val="009C0F18"/>
    <w:rsid w:val="009C12C6"/>
    <w:rsid w:val="009C2555"/>
    <w:rsid w:val="009C47B3"/>
    <w:rsid w:val="009C7778"/>
    <w:rsid w:val="009D06AE"/>
    <w:rsid w:val="009D09E2"/>
    <w:rsid w:val="009D1E42"/>
    <w:rsid w:val="009D56A5"/>
    <w:rsid w:val="009D61F8"/>
    <w:rsid w:val="009D7148"/>
    <w:rsid w:val="009E02FD"/>
    <w:rsid w:val="009E0699"/>
    <w:rsid w:val="009E12A1"/>
    <w:rsid w:val="009E2E0B"/>
    <w:rsid w:val="009E4455"/>
    <w:rsid w:val="009E487D"/>
    <w:rsid w:val="009E4C74"/>
    <w:rsid w:val="009E62B6"/>
    <w:rsid w:val="009E651B"/>
    <w:rsid w:val="009E67D1"/>
    <w:rsid w:val="009F0F3A"/>
    <w:rsid w:val="009F35DA"/>
    <w:rsid w:val="009F3E5D"/>
    <w:rsid w:val="009F43D0"/>
    <w:rsid w:val="009F4455"/>
    <w:rsid w:val="00A00568"/>
    <w:rsid w:val="00A00884"/>
    <w:rsid w:val="00A00CD9"/>
    <w:rsid w:val="00A02F62"/>
    <w:rsid w:val="00A02FA3"/>
    <w:rsid w:val="00A030C3"/>
    <w:rsid w:val="00A04803"/>
    <w:rsid w:val="00A06451"/>
    <w:rsid w:val="00A07808"/>
    <w:rsid w:val="00A10147"/>
    <w:rsid w:val="00A10157"/>
    <w:rsid w:val="00A10B59"/>
    <w:rsid w:val="00A11331"/>
    <w:rsid w:val="00A12B64"/>
    <w:rsid w:val="00A131E6"/>
    <w:rsid w:val="00A13843"/>
    <w:rsid w:val="00A146A5"/>
    <w:rsid w:val="00A17466"/>
    <w:rsid w:val="00A17C30"/>
    <w:rsid w:val="00A204B3"/>
    <w:rsid w:val="00A20576"/>
    <w:rsid w:val="00A21106"/>
    <w:rsid w:val="00A21593"/>
    <w:rsid w:val="00A221F7"/>
    <w:rsid w:val="00A22C21"/>
    <w:rsid w:val="00A2604E"/>
    <w:rsid w:val="00A31CCE"/>
    <w:rsid w:val="00A33C95"/>
    <w:rsid w:val="00A34FF3"/>
    <w:rsid w:val="00A35351"/>
    <w:rsid w:val="00A361C7"/>
    <w:rsid w:val="00A36723"/>
    <w:rsid w:val="00A45CD6"/>
    <w:rsid w:val="00A46DF5"/>
    <w:rsid w:val="00A4767F"/>
    <w:rsid w:val="00A5021C"/>
    <w:rsid w:val="00A5149A"/>
    <w:rsid w:val="00A53650"/>
    <w:rsid w:val="00A53E51"/>
    <w:rsid w:val="00A57183"/>
    <w:rsid w:val="00A6019C"/>
    <w:rsid w:val="00A60693"/>
    <w:rsid w:val="00A6196D"/>
    <w:rsid w:val="00A619C0"/>
    <w:rsid w:val="00A61ADF"/>
    <w:rsid w:val="00A624CB"/>
    <w:rsid w:val="00A62AC0"/>
    <w:rsid w:val="00A76BD2"/>
    <w:rsid w:val="00A8267D"/>
    <w:rsid w:val="00A82E14"/>
    <w:rsid w:val="00A83A30"/>
    <w:rsid w:val="00A8688E"/>
    <w:rsid w:val="00A8722B"/>
    <w:rsid w:val="00A901E9"/>
    <w:rsid w:val="00A917B6"/>
    <w:rsid w:val="00A91831"/>
    <w:rsid w:val="00A91B3B"/>
    <w:rsid w:val="00A92BBB"/>
    <w:rsid w:val="00A93B4F"/>
    <w:rsid w:val="00A94F7A"/>
    <w:rsid w:val="00A95D3B"/>
    <w:rsid w:val="00A97256"/>
    <w:rsid w:val="00A97341"/>
    <w:rsid w:val="00AA0081"/>
    <w:rsid w:val="00AA3044"/>
    <w:rsid w:val="00AA3BE5"/>
    <w:rsid w:val="00AA4E4D"/>
    <w:rsid w:val="00AB09ED"/>
    <w:rsid w:val="00AB3DC0"/>
    <w:rsid w:val="00AB4CBB"/>
    <w:rsid w:val="00AB76BA"/>
    <w:rsid w:val="00AC00AE"/>
    <w:rsid w:val="00AC125E"/>
    <w:rsid w:val="00AC13B3"/>
    <w:rsid w:val="00AC45DF"/>
    <w:rsid w:val="00AC474D"/>
    <w:rsid w:val="00AC4DFD"/>
    <w:rsid w:val="00AC5663"/>
    <w:rsid w:val="00AC58FD"/>
    <w:rsid w:val="00AC7A75"/>
    <w:rsid w:val="00AD0F6D"/>
    <w:rsid w:val="00AD1166"/>
    <w:rsid w:val="00AD19D2"/>
    <w:rsid w:val="00AD1A96"/>
    <w:rsid w:val="00AD2522"/>
    <w:rsid w:val="00AD3042"/>
    <w:rsid w:val="00AD793A"/>
    <w:rsid w:val="00AE0120"/>
    <w:rsid w:val="00AE103E"/>
    <w:rsid w:val="00AE3038"/>
    <w:rsid w:val="00AE3B41"/>
    <w:rsid w:val="00AE3D4A"/>
    <w:rsid w:val="00AE5956"/>
    <w:rsid w:val="00AE619F"/>
    <w:rsid w:val="00AE7A88"/>
    <w:rsid w:val="00AF20F5"/>
    <w:rsid w:val="00AF2A56"/>
    <w:rsid w:val="00AF63AB"/>
    <w:rsid w:val="00AF77A9"/>
    <w:rsid w:val="00B00D0A"/>
    <w:rsid w:val="00B00E69"/>
    <w:rsid w:val="00B01784"/>
    <w:rsid w:val="00B0388B"/>
    <w:rsid w:val="00B03BEE"/>
    <w:rsid w:val="00B0517E"/>
    <w:rsid w:val="00B11314"/>
    <w:rsid w:val="00B113E3"/>
    <w:rsid w:val="00B1156A"/>
    <w:rsid w:val="00B138E3"/>
    <w:rsid w:val="00B13FB5"/>
    <w:rsid w:val="00B14363"/>
    <w:rsid w:val="00B15ED0"/>
    <w:rsid w:val="00B178FA"/>
    <w:rsid w:val="00B17D8E"/>
    <w:rsid w:val="00B207C3"/>
    <w:rsid w:val="00B23267"/>
    <w:rsid w:val="00B23906"/>
    <w:rsid w:val="00B257BF"/>
    <w:rsid w:val="00B27149"/>
    <w:rsid w:val="00B32449"/>
    <w:rsid w:val="00B34771"/>
    <w:rsid w:val="00B35B4D"/>
    <w:rsid w:val="00B362F0"/>
    <w:rsid w:val="00B36652"/>
    <w:rsid w:val="00B373D1"/>
    <w:rsid w:val="00B425AB"/>
    <w:rsid w:val="00B47090"/>
    <w:rsid w:val="00B532D1"/>
    <w:rsid w:val="00B5546E"/>
    <w:rsid w:val="00B61E3E"/>
    <w:rsid w:val="00B6232F"/>
    <w:rsid w:val="00B63EFD"/>
    <w:rsid w:val="00B6521B"/>
    <w:rsid w:val="00B66B9C"/>
    <w:rsid w:val="00B67A79"/>
    <w:rsid w:val="00B72D62"/>
    <w:rsid w:val="00B74365"/>
    <w:rsid w:val="00B767AF"/>
    <w:rsid w:val="00B76CCD"/>
    <w:rsid w:val="00B80511"/>
    <w:rsid w:val="00B80798"/>
    <w:rsid w:val="00B80876"/>
    <w:rsid w:val="00B82C3C"/>
    <w:rsid w:val="00B82DE6"/>
    <w:rsid w:val="00B831CD"/>
    <w:rsid w:val="00B83C46"/>
    <w:rsid w:val="00B842DF"/>
    <w:rsid w:val="00B85329"/>
    <w:rsid w:val="00B853B9"/>
    <w:rsid w:val="00B90BCB"/>
    <w:rsid w:val="00B91B9D"/>
    <w:rsid w:val="00B94E7C"/>
    <w:rsid w:val="00BA2521"/>
    <w:rsid w:val="00BA5E20"/>
    <w:rsid w:val="00BA607C"/>
    <w:rsid w:val="00BA6734"/>
    <w:rsid w:val="00BA7B3F"/>
    <w:rsid w:val="00BB35EA"/>
    <w:rsid w:val="00BB3E2A"/>
    <w:rsid w:val="00BB57EF"/>
    <w:rsid w:val="00BB7121"/>
    <w:rsid w:val="00BB7BE2"/>
    <w:rsid w:val="00BC0479"/>
    <w:rsid w:val="00BC1032"/>
    <w:rsid w:val="00BC14B6"/>
    <w:rsid w:val="00BC1651"/>
    <w:rsid w:val="00BC16B4"/>
    <w:rsid w:val="00BC16F5"/>
    <w:rsid w:val="00BC18FF"/>
    <w:rsid w:val="00BC2364"/>
    <w:rsid w:val="00BC287D"/>
    <w:rsid w:val="00BC2A38"/>
    <w:rsid w:val="00BC3040"/>
    <w:rsid w:val="00BC46EB"/>
    <w:rsid w:val="00BC59A4"/>
    <w:rsid w:val="00BC643B"/>
    <w:rsid w:val="00BD32E5"/>
    <w:rsid w:val="00BD36C4"/>
    <w:rsid w:val="00BE1095"/>
    <w:rsid w:val="00BE150A"/>
    <w:rsid w:val="00BE2951"/>
    <w:rsid w:val="00BE42CC"/>
    <w:rsid w:val="00BE4E7B"/>
    <w:rsid w:val="00BE6304"/>
    <w:rsid w:val="00BE6767"/>
    <w:rsid w:val="00BE6A35"/>
    <w:rsid w:val="00BE6E0B"/>
    <w:rsid w:val="00BE78EC"/>
    <w:rsid w:val="00BF1437"/>
    <w:rsid w:val="00BF46EE"/>
    <w:rsid w:val="00BF7A1E"/>
    <w:rsid w:val="00C0613C"/>
    <w:rsid w:val="00C10D05"/>
    <w:rsid w:val="00C14FBA"/>
    <w:rsid w:val="00C15633"/>
    <w:rsid w:val="00C15D9E"/>
    <w:rsid w:val="00C15EA1"/>
    <w:rsid w:val="00C17A8E"/>
    <w:rsid w:val="00C24F70"/>
    <w:rsid w:val="00C25DC2"/>
    <w:rsid w:val="00C321E8"/>
    <w:rsid w:val="00C33479"/>
    <w:rsid w:val="00C37F00"/>
    <w:rsid w:val="00C40ED2"/>
    <w:rsid w:val="00C41F10"/>
    <w:rsid w:val="00C432DD"/>
    <w:rsid w:val="00C4423A"/>
    <w:rsid w:val="00C44B10"/>
    <w:rsid w:val="00C44EE3"/>
    <w:rsid w:val="00C501FE"/>
    <w:rsid w:val="00C52E47"/>
    <w:rsid w:val="00C5784B"/>
    <w:rsid w:val="00C6202F"/>
    <w:rsid w:val="00C624F9"/>
    <w:rsid w:val="00C6286B"/>
    <w:rsid w:val="00C639FF"/>
    <w:rsid w:val="00C6442A"/>
    <w:rsid w:val="00C64D15"/>
    <w:rsid w:val="00C66088"/>
    <w:rsid w:val="00C67C4C"/>
    <w:rsid w:val="00C71A2F"/>
    <w:rsid w:val="00C72BFB"/>
    <w:rsid w:val="00C72F5E"/>
    <w:rsid w:val="00C7496A"/>
    <w:rsid w:val="00C74B5D"/>
    <w:rsid w:val="00C74E17"/>
    <w:rsid w:val="00C74F74"/>
    <w:rsid w:val="00C7554B"/>
    <w:rsid w:val="00C80951"/>
    <w:rsid w:val="00C8205E"/>
    <w:rsid w:val="00C82EB5"/>
    <w:rsid w:val="00C83237"/>
    <w:rsid w:val="00C83B72"/>
    <w:rsid w:val="00C85A5B"/>
    <w:rsid w:val="00C8702F"/>
    <w:rsid w:val="00C87966"/>
    <w:rsid w:val="00C87E3F"/>
    <w:rsid w:val="00C902DE"/>
    <w:rsid w:val="00C90508"/>
    <w:rsid w:val="00C916AE"/>
    <w:rsid w:val="00C93AAA"/>
    <w:rsid w:val="00C95FCD"/>
    <w:rsid w:val="00C97188"/>
    <w:rsid w:val="00CA0639"/>
    <w:rsid w:val="00CA11D0"/>
    <w:rsid w:val="00CA1E0D"/>
    <w:rsid w:val="00CA2E02"/>
    <w:rsid w:val="00CA583A"/>
    <w:rsid w:val="00CA5EC6"/>
    <w:rsid w:val="00CA68BA"/>
    <w:rsid w:val="00CA7DA4"/>
    <w:rsid w:val="00CB1819"/>
    <w:rsid w:val="00CB4C9A"/>
    <w:rsid w:val="00CB5744"/>
    <w:rsid w:val="00CB7022"/>
    <w:rsid w:val="00CB7BC5"/>
    <w:rsid w:val="00CC03AF"/>
    <w:rsid w:val="00CC2138"/>
    <w:rsid w:val="00CC468A"/>
    <w:rsid w:val="00CC499C"/>
    <w:rsid w:val="00CC586D"/>
    <w:rsid w:val="00CC7DBC"/>
    <w:rsid w:val="00CD1BA3"/>
    <w:rsid w:val="00CD1D23"/>
    <w:rsid w:val="00CD20F9"/>
    <w:rsid w:val="00CD3612"/>
    <w:rsid w:val="00CD3E69"/>
    <w:rsid w:val="00CD6B7D"/>
    <w:rsid w:val="00CD7D29"/>
    <w:rsid w:val="00CE060D"/>
    <w:rsid w:val="00CE0847"/>
    <w:rsid w:val="00CE0B6C"/>
    <w:rsid w:val="00CE11D0"/>
    <w:rsid w:val="00CE2937"/>
    <w:rsid w:val="00CE4708"/>
    <w:rsid w:val="00CE4C50"/>
    <w:rsid w:val="00CE56F0"/>
    <w:rsid w:val="00CE6858"/>
    <w:rsid w:val="00CE7450"/>
    <w:rsid w:val="00CE770C"/>
    <w:rsid w:val="00CF28DD"/>
    <w:rsid w:val="00CF50BE"/>
    <w:rsid w:val="00CF7625"/>
    <w:rsid w:val="00D0506A"/>
    <w:rsid w:val="00D1289C"/>
    <w:rsid w:val="00D1666F"/>
    <w:rsid w:val="00D17140"/>
    <w:rsid w:val="00D2071A"/>
    <w:rsid w:val="00D30F73"/>
    <w:rsid w:val="00D30F97"/>
    <w:rsid w:val="00D313A0"/>
    <w:rsid w:val="00D36FE0"/>
    <w:rsid w:val="00D40799"/>
    <w:rsid w:val="00D40D9F"/>
    <w:rsid w:val="00D40F7D"/>
    <w:rsid w:val="00D41A06"/>
    <w:rsid w:val="00D42ABF"/>
    <w:rsid w:val="00D42F40"/>
    <w:rsid w:val="00D45B67"/>
    <w:rsid w:val="00D4636C"/>
    <w:rsid w:val="00D46496"/>
    <w:rsid w:val="00D47D76"/>
    <w:rsid w:val="00D5034A"/>
    <w:rsid w:val="00D51F49"/>
    <w:rsid w:val="00D530EB"/>
    <w:rsid w:val="00D54AFA"/>
    <w:rsid w:val="00D55EE8"/>
    <w:rsid w:val="00D562CB"/>
    <w:rsid w:val="00D569D1"/>
    <w:rsid w:val="00D56AD8"/>
    <w:rsid w:val="00D56C05"/>
    <w:rsid w:val="00D56C25"/>
    <w:rsid w:val="00D5785A"/>
    <w:rsid w:val="00D61508"/>
    <w:rsid w:val="00D6375F"/>
    <w:rsid w:val="00D64C48"/>
    <w:rsid w:val="00D6680B"/>
    <w:rsid w:val="00D6686F"/>
    <w:rsid w:val="00D72F4F"/>
    <w:rsid w:val="00D731C4"/>
    <w:rsid w:val="00D73275"/>
    <w:rsid w:val="00D74EB4"/>
    <w:rsid w:val="00D801FC"/>
    <w:rsid w:val="00D85BE0"/>
    <w:rsid w:val="00D87FD7"/>
    <w:rsid w:val="00D91466"/>
    <w:rsid w:val="00D915ED"/>
    <w:rsid w:val="00D92249"/>
    <w:rsid w:val="00D92300"/>
    <w:rsid w:val="00D947C6"/>
    <w:rsid w:val="00D94AFC"/>
    <w:rsid w:val="00D950E6"/>
    <w:rsid w:val="00D97047"/>
    <w:rsid w:val="00DA3619"/>
    <w:rsid w:val="00DA5387"/>
    <w:rsid w:val="00DB0B88"/>
    <w:rsid w:val="00DB1652"/>
    <w:rsid w:val="00DB5584"/>
    <w:rsid w:val="00DB58A6"/>
    <w:rsid w:val="00DB6B99"/>
    <w:rsid w:val="00DC001A"/>
    <w:rsid w:val="00DD4E1D"/>
    <w:rsid w:val="00DD4F44"/>
    <w:rsid w:val="00DD686C"/>
    <w:rsid w:val="00DE15FA"/>
    <w:rsid w:val="00DE2AC3"/>
    <w:rsid w:val="00DE2E40"/>
    <w:rsid w:val="00DE3598"/>
    <w:rsid w:val="00DE3FBD"/>
    <w:rsid w:val="00DE43F5"/>
    <w:rsid w:val="00DE65FB"/>
    <w:rsid w:val="00DE7677"/>
    <w:rsid w:val="00DF3943"/>
    <w:rsid w:val="00DF420A"/>
    <w:rsid w:val="00E022E5"/>
    <w:rsid w:val="00E02472"/>
    <w:rsid w:val="00E041F0"/>
    <w:rsid w:val="00E109B4"/>
    <w:rsid w:val="00E128D8"/>
    <w:rsid w:val="00E130C3"/>
    <w:rsid w:val="00E16A70"/>
    <w:rsid w:val="00E17EDF"/>
    <w:rsid w:val="00E2082D"/>
    <w:rsid w:val="00E2157C"/>
    <w:rsid w:val="00E221E2"/>
    <w:rsid w:val="00E23ABA"/>
    <w:rsid w:val="00E24303"/>
    <w:rsid w:val="00E27A16"/>
    <w:rsid w:val="00E32398"/>
    <w:rsid w:val="00E35ED6"/>
    <w:rsid w:val="00E36A92"/>
    <w:rsid w:val="00E40F7B"/>
    <w:rsid w:val="00E46D60"/>
    <w:rsid w:val="00E47C33"/>
    <w:rsid w:val="00E47F58"/>
    <w:rsid w:val="00E47FAD"/>
    <w:rsid w:val="00E521E0"/>
    <w:rsid w:val="00E54BFC"/>
    <w:rsid w:val="00E56D9D"/>
    <w:rsid w:val="00E6005E"/>
    <w:rsid w:val="00E60E2E"/>
    <w:rsid w:val="00E71A2D"/>
    <w:rsid w:val="00E74A73"/>
    <w:rsid w:val="00E7547E"/>
    <w:rsid w:val="00E759B0"/>
    <w:rsid w:val="00E77330"/>
    <w:rsid w:val="00E81277"/>
    <w:rsid w:val="00E81B0C"/>
    <w:rsid w:val="00E823C1"/>
    <w:rsid w:val="00E82DB7"/>
    <w:rsid w:val="00E8452A"/>
    <w:rsid w:val="00E8579C"/>
    <w:rsid w:val="00E865FE"/>
    <w:rsid w:val="00E91408"/>
    <w:rsid w:val="00E91759"/>
    <w:rsid w:val="00E923E4"/>
    <w:rsid w:val="00E9654B"/>
    <w:rsid w:val="00EA18DB"/>
    <w:rsid w:val="00EA2FBA"/>
    <w:rsid w:val="00EA4DC5"/>
    <w:rsid w:val="00EA66DF"/>
    <w:rsid w:val="00EA6ADC"/>
    <w:rsid w:val="00EB13A7"/>
    <w:rsid w:val="00EB147B"/>
    <w:rsid w:val="00EB14DF"/>
    <w:rsid w:val="00EB1A4D"/>
    <w:rsid w:val="00EB3A07"/>
    <w:rsid w:val="00EB5539"/>
    <w:rsid w:val="00EC3F31"/>
    <w:rsid w:val="00EC4650"/>
    <w:rsid w:val="00EC52E7"/>
    <w:rsid w:val="00EC6CC5"/>
    <w:rsid w:val="00ED3698"/>
    <w:rsid w:val="00ED4631"/>
    <w:rsid w:val="00ED4794"/>
    <w:rsid w:val="00EE265C"/>
    <w:rsid w:val="00EE5C63"/>
    <w:rsid w:val="00EF34FD"/>
    <w:rsid w:val="00EF53C3"/>
    <w:rsid w:val="00F0095C"/>
    <w:rsid w:val="00F01129"/>
    <w:rsid w:val="00F01CCA"/>
    <w:rsid w:val="00F01F2C"/>
    <w:rsid w:val="00F02104"/>
    <w:rsid w:val="00F04455"/>
    <w:rsid w:val="00F06C17"/>
    <w:rsid w:val="00F1632B"/>
    <w:rsid w:val="00F17682"/>
    <w:rsid w:val="00F21539"/>
    <w:rsid w:val="00F23A7E"/>
    <w:rsid w:val="00F24E92"/>
    <w:rsid w:val="00F334CB"/>
    <w:rsid w:val="00F3495A"/>
    <w:rsid w:val="00F34A91"/>
    <w:rsid w:val="00F34E2C"/>
    <w:rsid w:val="00F370BC"/>
    <w:rsid w:val="00F37143"/>
    <w:rsid w:val="00F50562"/>
    <w:rsid w:val="00F50A92"/>
    <w:rsid w:val="00F50D01"/>
    <w:rsid w:val="00F5381E"/>
    <w:rsid w:val="00F56BC1"/>
    <w:rsid w:val="00F618C4"/>
    <w:rsid w:val="00F65774"/>
    <w:rsid w:val="00F65A34"/>
    <w:rsid w:val="00F65F4C"/>
    <w:rsid w:val="00F6732A"/>
    <w:rsid w:val="00F71A60"/>
    <w:rsid w:val="00F725DA"/>
    <w:rsid w:val="00F7358F"/>
    <w:rsid w:val="00F747FA"/>
    <w:rsid w:val="00F7536E"/>
    <w:rsid w:val="00F755D3"/>
    <w:rsid w:val="00F75652"/>
    <w:rsid w:val="00F768F0"/>
    <w:rsid w:val="00F77E3A"/>
    <w:rsid w:val="00F8168B"/>
    <w:rsid w:val="00F81CF2"/>
    <w:rsid w:val="00F81F93"/>
    <w:rsid w:val="00F857D1"/>
    <w:rsid w:val="00F91DCC"/>
    <w:rsid w:val="00F92EDB"/>
    <w:rsid w:val="00F9323F"/>
    <w:rsid w:val="00F938BE"/>
    <w:rsid w:val="00F943FE"/>
    <w:rsid w:val="00F95814"/>
    <w:rsid w:val="00F95CE9"/>
    <w:rsid w:val="00F97100"/>
    <w:rsid w:val="00FA01D9"/>
    <w:rsid w:val="00FA3EF1"/>
    <w:rsid w:val="00FA406F"/>
    <w:rsid w:val="00FA6BDC"/>
    <w:rsid w:val="00FB0401"/>
    <w:rsid w:val="00FB5FE9"/>
    <w:rsid w:val="00FB728F"/>
    <w:rsid w:val="00FC1DFB"/>
    <w:rsid w:val="00FC1EF2"/>
    <w:rsid w:val="00FC3108"/>
    <w:rsid w:val="00FC3343"/>
    <w:rsid w:val="00FC33BA"/>
    <w:rsid w:val="00FC35AB"/>
    <w:rsid w:val="00FC6134"/>
    <w:rsid w:val="00FC654D"/>
    <w:rsid w:val="00FC6F70"/>
    <w:rsid w:val="00FD0555"/>
    <w:rsid w:val="00FD4F4C"/>
    <w:rsid w:val="00FD52B0"/>
    <w:rsid w:val="00FD5961"/>
    <w:rsid w:val="00FE3EFA"/>
    <w:rsid w:val="00FE5C56"/>
    <w:rsid w:val="00FE5E20"/>
    <w:rsid w:val="00FE7211"/>
    <w:rsid w:val="00FE7AAC"/>
    <w:rsid w:val="00FE7B06"/>
    <w:rsid w:val="00FE7E98"/>
    <w:rsid w:val="00FF06BC"/>
    <w:rsid w:val="00FF20AC"/>
    <w:rsid w:val="00FF3801"/>
    <w:rsid w:val="00FF3A27"/>
    <w:rsid w:val="00FF3B27"/>
    <w:rsid w:val="00FF4FF4"/>
    <w:rsid w:val="00FF5CF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32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A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iPriority="2" w:unhideWhenUsed="0" w:qFormat="1"/>
    <w:lsdException w:name="heading 3" w:semiHidden="0" w:uiPriority="2" w:unhideWhenUsed="0" w:qFormat="1"/>
    <w:lsdException w:name="heading 4" w:semiHidden="0" w:unhideWhenUsed="0"/>
    <w:lsdException w:name="heading 5" w:semiHidden="0" w:unhideWhenUsed="0"/>
    <w:lsdException w:name="toc 1" w:uiPriority="39" w:qFormat="1"/>
    <w:lsdException w:name="toc 2" w:uiPriority="39" w:qFormat="1"/>
    <w:lsdException w:name="toc 3" w:uiPriority="39" w:qFormat="1"/>
    <w:lsdException w:name="footer" w:uiPriority="99"/>
    <w:lsdException w:name="table of figures" w:uiPriority="99"/>
    <w:lsdException w:name="List Bullet" w:qFormat="1"/>
    <w:lsdException w:name="List Number" w:semiHidden="0" w:uiPriority="3" w:unhideWhenUsed="0"/>
    <w:lsdException w:name="List 4" w:unhideWhenUsed="0"/>
    <w:lsdException w:name="List 5" w:unhideWhenUsed="0"/>
    <w:lsdException w:name="List Bullet 2" w:uiPriority="3"/>
    <w:lsdException w:name="List Bullet 3" w:uiPriority="3"/>
    <w:lsdException w:name="List Bullet 4" w:uiPriority="3"/>
    <w:lsdException w:name="List Bullet 5" w:uiPriority="3"/>
    <w:lsdException w:name="List Number 2" w:uiPriority="3"/>
    <w:lsdException w:name="List Number 3" w:uiPriority="3"/>
    <w:lsdException w:name="List Number 4" w:uiPriority="3"/>
    <w:lsdException w:name="List Number 5" w:uiPriority="3"/>
    <w:lsdException w:name="Title" w:semiHidden="0" w:unhideWhenUsed="0"/>
    <w:lsdException w:name="Body Text" w:qFormat="1"/>
    <w:lsdException w:name="Subtitle" w:semiHidden="0" w:unhideWhenUsed="0"/>
    <w:lsdException w:name="Salutation" w:unhideWhenUsed="0"/>
    <w:lsdException w:name="Date" w:unhideWhenUsed="0"/>
    <w:lsdException w:name="Body Text First Indent" w:unhideWhenUsed="0"/>
    <w:lsdException w:name="Hyperlink" w:uiPriority="99"/>
    <w:lsdException w:name="Strong" w:semiHidden="0" w:unhideWhenUsed="0" w:qFormat="1"/>
    <w:lsdException w:name="Emphasis" w:semiHidden="0" w:uiPriority="20" w:unhideWhenUsed="0" w:qFormat="1"/>
    <w:lsdException w:name="Normal (Web)" w:uiPriority="99"/>
    <w:lsdException w:name="Normal Table" w:semiHidden="0" w:unhideWhenUsed="0"/>
    <w:lsdException w:name="Table Web 2" w:semiHidden="0" w:unhideWhenUsed="0"/>
    <w:lsdException w:name="Table Grid" w:semiHidden="0" w:unhideWhenUsed="0"/>
    <w:lsdException w:name="Table Theme"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uiPriority w:val="1"/>
    <w:qFormat/>
    <w:rsid w:val="00B15ED0"/>
    <w:pPr>
      <w:spacing w:before="120" w:after="120" w:line="260" w:lineRule="atLeast"/>
    </w:pPr>
    <w:rPr>
      <w:rFonts w:ascii="Arial" w:hAnsi="Arial"/>
      <w:sz w:val="22"/>
      <w:szCs w:val="24"/>
    </w:rPr>
  </w:style>
  <w:style w:type="paragraph" w:styleId="Heading1">
    <w:name w:val="heading 1"/>
    <w:basedOn w:val="Normal"/>
    <w:next w:val="Normal"/>
    <w:link w:val="Heading1Char"/>
    <w:autoRedefine/>
    <w:qFormat/>
    <w:rsid w:val="003B4C44"/>
    <w:pPr>
      <w:keepNext/>
      <w:keepLines/>
      <w:spacing w:before="240" w:after="240" w:line="240" w:lineRule="auto"/>
      <w:contextualSpacing/>
      <w:outlineLvl w:val="0"/>
    </w:pPr>
    <w:rPr>
      <w:rFonts w:ascii="Arial Bold" w:hAnsi="Arial Bold"/>
      <w:b/>
      <w:sz w:val="40"/>
      <w:szCs w:val="44"/>
    </w:rPr>
  </w:style>
  <w:style w:type="paragraph" w:styleId="Heading2">
    <w:name w:val="heading 2"/>
    <w:basedOn w:val="Heading1"/>
    <w:next w:val="Normal"/>
    <w:link w:val="Heading2Char"/>
    <w:autoRedefine/>
    <w:uiPriority w:val="2"/>
    <w:qFormat/>
    <w:rsid w:val="002868E4"/>
    <w:pPr>
      <w:numPr>
        <w:ilvl w:val="1"/>
      </w:numPr>
      <w:spacing w:before="360"/>
      <w:ind w:left="567" w:hanging="567"/>
      <w:outlineLvl w:val="1"/>
    </w:pPr>
    <w:rPr>
      <w:rFonts w:asciiTheme="majorHAnsi" w:hAnsiTheme="majorHAnsi"/>
      <w:sz w:val="32"/>
      <w:szCs w:val="32"/>
    </w:rPr>
  </w:style>
  <w:style w:type="paragraph" w:styleId="Heading3">
    <w:name w:val="heading 3"/>
    <w:basedOn w:val="Normal"/>
    <w:next w:val="Normal"/>
    <w:autoRedefine/>
    <w:uiPriority w:val="2"/>
    <w:qFormat/>
    <w:rsid w:val="00350852"/>
    <w:pPr>
      <w:keepNext/>
      <w:keepLines/>
      <w:spacing w:before="240" w:line="240" w:lineRule="auto"/>
      <w:contextualSpacing/>
      <w:outlineLvl w:val="2"/>
    </w:pPr>
    <w:rPr>
      <w:rFonts w:asciiTheme="majorHAnsi" w:hAnsiTheme="majorHAnsi"/>
      <w:b/>
      <w:color w:val="004200" w:themeColor="accent1"/>
      <w:sz w:val="24"/>
      <w:szCs w:val="28"/>
    </w:rPr>
  </w:style>
  <w:style w:type="paragraph" w:styleId="Heading4">
    <w:name w:val="heading 4"/>
    <w:basedOn w:val="Normal"/>
    <w:next w:val="Normal"/>
    <w:autoRedefine/>
    <w:uiPriority w:val="2"/>
    <w:rsid w:val="00EB13A7"/>
    <w:pPr>
      <w:keepNext/>
      <w:keepLines/>
      <w:spacing w:before="240"/>
      <w:contextualSpacing/>
      <w:outlineLvl w:val="3"/>
    </w:pPr>
    <w:rPr>
      <w:color w:val="636466" w:themeColor="accent4"/>
    </w:rPr>
  </w:style>
  <w:style w:type="paragraph" w:styleId="Heading5">
    <w:name w:val="heading 5"/>
    <w:basedOn w:val="Normal"/>
    <w:next w:val="Normal"/>
    <w:link w:val="Heading5Char"/>
    <w:autoRedefine/>
    <w:semiHidden/>
    <w:rsid w:val="002672F1"/>
    <w:pPr>
      <w:keepNext/>
      <w:spacing w:before="240"/>
      <w:contextualSpacing/>
      <w:outlineLvl w:val="4"/>
    </w:pPr>
    <w:rPr>
      <w:b/>
      <w:szCs w:val="22"/>
    </w:rPr>
  </w:style>
  <w:style w:type="paragraph" w:styleId="Heading6">
    <w:name w:val="heading 6"/>
    <w:basedOn w:val="Normal"/>
    <w:next w:val="Normal"/>
    <w:link w:val="Heading6Char"/>
    <w:autoRedefine/>
    <w:semiHidden/>
    <w:rsid w:val="002672F1"/>
    <w:pPr>
      <w:keepNext/>
      <w:spacing w:before="240"/>
      <w:contextualSpacing/>
      <w:outlineLvl w:val="5"/>
    </w:pPr>
    <w:rPr>
      <w:b/>
      <w:sz w:val="20"/>
      <w:szCs w:val="22"/>
    </w:rPr>
  </w:style>
  <w:style w:type="paragraph" w:styleId="Heading7">
    <w:name w:val="heading 7"/>
    <w:basedOn w:val="Normal"/>
    <w:next w:val="Normal"/>
    <w:link w:val="Heading7Char"/>
    <w:autoRedefine/>
    <w:semiHidden/>
    <w:unhideWhenUsed/>
    <w:rsid w:val="00465398"/>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autoRedefine/>
    <w:semiHidden/>
    <w:unhideWhenUsed/>
    <w:rsid w:val="00465398"/>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autoRedefine/>
    <w:semiHidden/>
    <w:unhideWhenUsed/>
    <w:rsid w:val="00465398"/>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autoRedefine/>
    <w:uiPriority w:val="99"/>
    <w:rsid w:val="00847F04"/>
    <w:pPr>
      <w:tabs>
        <w:tab w:val="right" w:pos="10319"/>
      </w:tabs>
      <w:spacing w:before="0" w:after="0" w:line="240" w:lineRule="auto"/>
    </w:pPr>
    <w:rPr>
      <w:b/>
      <w:sz w:val="96"/>
      <w:szCs w:val="96"/>
    </w:rPr>
  </w:style>
  <w:style w:type="paragraph" w:styleId="Title">
    <w:name w:val="Title"/>
    <w:basedOn w:val="Normal"/>
    <w:next w:val="Subtitle"/>
    <w:autoRedefine/>
    <w:rsid w:val="00043CF6"/>
    <w:pPr>
      <w:spacing w:before="480" w:after="360" w:line="204" w:lineRule="auto"/>
      <w:contextualSpacing/>
      <w:outlineLvl w:val="0"/>
    </w:pPr>
    <w:rPr>
      <w:rFonts w:ascii="Arial Bold" w:hAnsi="Arial Bold" w:cs="Arial"/>
      <w:b/>
      <w:bCs/>
      <w:color w:val="004200" w:themeColor="accent1"/>
      <w:kern w:val="28"/>
      <w:sz w:val="84"/>
      <w:szCs w:val="32"/>
    </w:rPr>
  </w:style>
  <w:style w:type="paragraph" w:styleId="ListBullet">
    <w:name w:val="List Bullet"/>
    <w:basedOn w:val="Normal"/>
    <w:autoRedefine/>
    <w:qFormat/>
    <w:rsid w:val="00D91466"/>
    <w:pPr>
      <w:numPr>
        <w:numId w:val="1"/>
      </w:numPr>
      <w:spacing w:before="60" w:after="60"/>
    </w:pPr>
  </w:style>
  <w:style w:type="paragraph" w:styleId="Footer">
    <w:name w:val="footer"/>
    <w:basedOn w:val="Header"/>
    <w:link w:val="FooterChar"/>
    <w:autoRedefine/>
    <w:uiPriority w:val="99"/>
    <w:rsid w:val="00733251"/>
    <w:pPr>
      <w:tabs>
        <w:tab w:val="right" w:pos="9639"/>
      </w:tabs>
    </w:pPr>
  </w:style>
  <w:style w:type="paragraph" w:styleId="Index1">
    <w:name w:val="index 1"/>
    <w:basedOn w:val="Normal"/>
    <w:next w:val="Normal"/>
    <w:autoRedefine/>
    <w:semiHidden/>
    <w:unhideWhenUsed/>
    <w:rsid w:val="00465398"/>
    <w:pPr>
      <w:spacing w:before="0" w:after="0" w:line="240" w:lineRule="auto"/>
      <w:ind w:left="220" w:hanging="220"/>
    </w:pPr>
  </w:style>
  <w:style w:type="character" w:customStyle="1" w:styleId="Heading5Char">
    <w:name w:val="Heading 5 Char"/>
    <w:basedOn w:val="DefaultParagraphFont"/>
    <w:link w:val="Heading5"/>
    <w:semiHidden/>
    <w:rsid w:val="001D2904"/>
    <w:rPr>
      <w:rFonts w:ascii="Arial" w:hAnsi="Arial"/>
      <w:b/>
      <w:sz w:val="22"/>
      <w:szCs w:val="22"/>
    </w:rPr>
  </w:style>
  <w:style w:type="table" w:styleId="TableGrid">
    <w:name w:val="Table Grid"/>
    <w:basedOn w:val="TableNormal"/>
    <w:rsid w:val="0014295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autoRedefine/>
    <w:rsid w:val="002A3926"/>
    <w:pPr>
      <w:spacing w:before="0" w:after="0" w:line="240" w:lineRule="auto"/>
      <w:ind w:left="142" w:hanging="142"/>
    </w:pPr>
    <w:rPr>
      <w:sz w:val="18"/>
      <w:szCs w:val="20"/>
    </w:rPr>
  </w:style>
  <w:style w:type="character" w:customStyle="1" w:styleId="FootnoteTextChar">
    <w:name w:val="Footnote Text Char"/>
    <w:basedOn w:val="DefaultParagraphFont"/>
    <w:link w:val="FootnoteText"/>
    <w:rsid w:val="002A3926"/>
    <w:rPr>
      <w:rFonts w:ascii="Arial" w:hAnsi="Arial"/>
      <w:sz w:val="18"/>
    </w:rPr>
  </w:style>
  <w:style w:type="character" w:styleId="FootnoteReference">
    <w:name w:val="footnote reference"/>
    <w:basedOn w:val="DefaultParagraphFont"/>
    <w:rsid w:val="00843390"/>
    <w:rPr>
      <w:vertAlign w:val="superscript"/>
    </w:rPr>
  </w:style>
  <w:style w:type="paragraph" w:styleId="ListParagraph">
    <w:name w:val="List Paragraph"/>
    <w:basedOn w:val="Normal"/>
    <w:link w:val="ListParagraphChar"/>
    <w:autoRedefine/>
    <w:uiPriority w:val="34"/>
    <w:qFormat/>
    <w:rsid w:val="002A3926"/>
    <w:pPr>
      <w:numPr>
        <w:numId w:val="14"/>
      </w:numPr>
    </w:pPr>
    <w:rPr>
      <w:rFonts w:cs="Arial"/>
    </w:rPr>
  </w:style>
  <w:style w:type="character" w:customStyle="1" w:styleId="Heading2Char">
    <w:name w:val="Heading 2 Char"/>
    <w:basedOn w:val="DefaultParagraphFont"/>
    <w:link w:val="Heading2"/>
    <w:uiPriority w:val="2"/>
    <w:rsid w:val="002868E4"/>
    <w:rPr>
      <w:rFonts w:asciiTheme="majorHAnsi" w:hAnsiTheme="majorHAnsi"/>
      <w:b/>
      <w:sz w:val="32"/>
      <w:szCs w:val="32"/>
    </w:rPr>
  </w:style>
  <w:style w:type="paragraph" w:styleId="TOC1">
    <w:name w:val="toc 1"/>
    <w:basedOn w:val="Normal"/>
    <w:next w:val="Normal"/>
    <w:autoRedefine/>
    <w:uiPriority w:val="39"/>
    <w:qFormat/>
    <w:rsid w:val="00135B7E"/>
    <w:pPr>
      <w:spacing w:after="0"/>
    </w:pPr>
    <w:rPr>
      <w:rFonts w:asciiTheme="minorHAnsi" w:hAnsiTheme="minorHAnsi" w:cstheme="minorHAnsi"/>
      <w:b/>
      <w:bCs/>
      <w:i/>
      <w:iCs/>
      <w:sz w:val="24"/>
    </w:rPr>
  </w:style>
  <w:style w:type="paragraph" w:styleId="TOC2">
    <w:name w:val="toc 2"/>
    <w:basedOn w:val="Normal"/>
    <w:next w:val="Normal"/>
    <w:autoRedefine/>
    <w:uiPriority w:val="39"/>
    <w:qFormat/>
    <w:rsid w:val="00135B7E"/>
    <w:pPr>
      <w:spacing w:after="0"/>
      <w:ind w:left="220"/>
    </w:pPr>
    <w:rPr>
      <w:rFonts w:asciiTheme="minorHAnsi" w:hAnsiTheme="minorHAnsi" w:cstheme="minorHAnsi"/>
      <w:b/>
      <w:bCs/>
      <w:szCs w:val="22"/>
    </w:rPr>
  </w:style>
  <w:style w:type="paragraph" w:customStyle="1" w:styleId="TableText">
    <w:name w:val="Table Text"/>
    <w:basedOn w:val="Normal"/>
    <w:autoRedefine/>
    <w:uiPriority w:val="99"/>
    <w:qFormat/>
    <w:rsid w:val="009005A6"/>
    <w:pPr>
      <w:spacing w:before="80" w:after="80" w:line="240" w:lineRule="atLeast"/>
    </w:pPr>
    <w:rPr>
      <w:sz w:val="20"/>
    </w:rPr>
  </w:style>
  <w:style w:type="character" w:styleId="Emphasis">
    <w:name w:val="Emphasis"/>
    <w:basedOn w:val="DefaultParagraphFont"/>
    <w:uiPriority w:val="20"/>
    <w:qFormat/>
    <w:rsid w:val="00D92300"/>
    <w:rPr>
      <w:i/>
      <w:iCs/>
    </w:rPr>
  </w:style>
  <w:style w:type="character" w:customStyle="1" w:styleId="Heading6Char">
    <w:name w:val="Heading 6 Char"/>
    <w:basedOn w:val="DefaultParagraphFont"/>
    <w:link w:val="Heading6"/>
    <w:semiHidden/>
    <w:rsid w:val="001D2904"/>
    <w:rPr>
      <w:rFonts w:ascii="Arial" w:hAnsi="Arial"/>
      <w:b/>
      <w:szCs w:val="22"/>
    </w:rPr>
  </w:style>
  <w:style w:type="table" w:customStyle="1" w:styleId="DefaultTable">
    <w:name w:val="Default Table"/>
    <w:basedOn w:val="TableNormal"/>
    <w:uiPriority w:val="99"/>
    <w:rsid w:val="00733251"/>
    <w:tblPr>
      <w:tblStyleRowBandSize w:val="1"/>
      <w:tblInd w:w="85" w:type="dxa"/>
      <w:tblBorders>
        <w:bottom w:val="single" w:sz="4" w:space="0" w:color="auto"/>
        <w:insideV w:val="single" w:sz="4" w:space="0" w:color="auto"/>
      </w:tblBorders>
      <w:tblCellMar>
        <w:left w:w="85" w:type="dxa"/>
        <w:right w:w="85" w:type="dxa"/>
      </w:tblCellMar>
    </w:tblPr>
    <w:trPr>
      <w:cantSplit/>
    </w:trPr>
    <w:tblStylePr w:type="firstRow">
      <w:pPr>
        <w:jc w:val="left"/>
      </w:pPr>
      <w:rPr>
        <w:b/>
        <w:color w:val="008542" w:themeColor="accent2"/>
      </w:rPr>
      <w:tblPr/>
      <w:trPr>
        <w:tblHeader/>
      </w:trPr>
      <w:tcPr>
        <w:vAlign w:val="bottom"/>
      </w:tcPr>
    </w:tblStylePr>
    <w:tblStylePr w:type="firstCol">
      <w:rPr>
        <w:b/>
      </w:rPr>
      <w:tblPr/>
      <w:tcPr>
        <w:tcBorders>
          <w:top w:val="nil"/>
          <w:left w:val="nil"/>
          <w:bottom w:val="single" w:sz="4" w:space="0" w:color="auto"/>
          <w:right w:val="nil"/>
          <w:insideH w:val="nil"/>
          <w:insideV w:val="nil"/>
          <w:tl2br w:val="nil"/>
          <w:tr2bl w:val="nil"/>
        </w:tcBorders>
      </w:tcPr>
    </w:tblStylePr>
    <w:tblStylePr w:type="band1Horz">
      <w:tblPr/>
      <w:tcPr>
        <w:shd w:val="clear" w:color="auto" w:fill="E6E7E9"/>
      </w:tcPr>
    </w:tblStylePr>
  </w:style>
  <w:style w:type="paragraph" w:styleId="TOCHeading">
    <w:name w:val="TOC Heading"/>
    <w:basedOn w:val="Heading1"/>
    <w:next w:val="Normal"/>
    <w:autoRedefine/>
    <w:uiPriority w:val="39"/>
    <w:qFormat/>
    <w:rsid w:val="00AE3B41"/>
    <w:pPr>
      <w:spacing w:after="120"/>
      <w:outlineLvl w:val="9"/>
    </w:pPr>
    <w:rPr>
      <w:rFonts w:eastAsiaTheme="majorEastAsia" w:cstheme="majorBidi"/>
      <w:bCs/>
      <w:szCs w:val="28"/>
    </w:rPr>
  </w:style>
  <w:style w:type="paragraph" w:customStyle="1" w:styleId="SourceNotesText">
    <w:name w:val="Source/Notes Text"/>
    <w:basedOn w:val="Normal"/>
    <w:autoRedefine/>
    <w:uiPriority w:val="9"/>
    <w:qFormat/>
    <w:rsid w:val="007802BE"/>
    <w:pPr>
      <w:spacing w:line="240" w:lineRule="auto"/>
    </w:pPr>
    <w:rPr>
      <w:sz w:val="18"/>
      <w:szCs w:val="16"/>
    </w:rPr>
  </w:style>
  <w:style w:type="character" w:styleId="Strong">
    <w:name w:val="Strong"/>
    <w:basedOn w:val="DefaultParagraphFont"/>
    <w:qFormat/>
    <w:rsid w:val="00D45B67"/>
    <w:rPr>
      <w:b/>
      <w:bCs/>
    </w:rPr>
  </w:style>
  <w:style w:type="paragraph" w:customStyle="1" w:styleId="Intro">
    <w:name w:val="Intro"/>
    <w:basedOn w:val="Normal"/>
    <w:autoRedefine/>
    <w:uiPriority w:val="2"/>
    <w:qFormat/>
    <w:rsid w:val="00465398"/>
    <w:rPr>
      <w:color w:val="008542" w:themeColor="accent2"/>
      <w:szCs w:val="30"/>
    </w:rPr>
  </w:style>
  <w:style w:type="paragraph" w:styleId="BalloonText">
    <w:name w:val="Balloon Text"/>
    <w:basedOn w:val="Normal"/>
    <w:link w:val="BalloonTextChar"/>
    <w:autoRedefine/>
    <w:semiHidden/>
    <w:rsid w:val="001B5259"/>
    <w:rPr>
      <w:rFonts w:ascii="Tahoma" w:hAnsi="Tahoma" w:cs="Tahoma"/>
      <w:sz w:val="16"/>
      <w:szCs w:val="16"/>
    </w:rPr>
  </w:style>
  <w:style w:type="character" w:customStyle="1" w:styleId="BalloonTextChar">
    <w:name w:val="Balloon Text Char"/>
    <w:basedOn w:val="DefaultParagraphFont"/>
    <w:link w:val="BalloonText"/>
    <w:semiHidden/>
    <w:rsid w:val="001D2904"/>
    <w:rPr>
      <w:rFonts w:ascii="Tahoma" w:hAnsi="Tahoma" w:cs="Tahoma"/>
      <w:sz w:val="16"/>
      <w:szCs w:val="16"/>
    </w:rPr>
  </w:style>
  <w:style w:type="paragraph" w:styleId="NoSpacing">
    <w:name w:val="No Spacing"/>
    <w:autoRedefine/>
    <w:qFormat/>
    <w:rsid w:val="00406578"/>
    <w:rPr>
      <w:rFonts w:ascii="Arial" w:hAnsi="Arial"/>
      <w:sz w:val="22"/>
      <w:szCs w:val="24"/>
    </w:rPr>
  </w:style>
  <w:style w:type="paragraph" w:styleId="EndnoteText">
    <w:name w:val="endnote text"/>
    <w:basedOn w:val="Normal"/>
    <w:link w:val="EndnoteTextChar"/>
    <w:autoRedefine/>
    <w:semiHidden/>
    <w:rsid w:val="00EE265C"/>
    <w:rPr>
      <w:sz w:val="20"/>
      <w:szCs w:val="20"/>
    </w:rPr>
  </w:style>
  <w:style w:type="character" w:customStyle="1" w:styleId="EndnoteTextChar">
    <w:name w:val="Endnote Text Char"/>
    <w:basedOn w:val="DefaultParagraphFont"/>
    <w:link w:val="EndnoteText"/>
    <w:semiHidden/>
    <w:rsid w:val="001D2904"/>
    <w:rPr>
      <w:rFonts w:ascii="Arial" w:hAnsi="Arial"/>
    </w:rPr>
  </w:style>
  <w:style w:type="character" w:styleId="EndnoteReference">
    <w:name w:val="endnote reference"/>
    <w:basedOn w:val="DefaultParagraphFont"/>
    <w:semiHidden/>
    <w:rsid w:val="00EE265C"/>
    <w:rPr>
      <w:vertAlign w:val="superscript"/>
    </w:rPr>
  </w:style>
  <w:style w:type="character" w:styleId="FollowedHyperlink">
    <w:name w:val="FollowedHyperlink"/>
    <w:basedOn w:val="DefaultParagraphFont"/>
    <w:semiHidden/>
    <w:rsid w:val="000E39EF"/>
    <w:rPr>
      <w:color w:val="000000" w:themeColor="followedHyperlink"/>
      <w:u w:val="single"/>
    </w:rPr>
  </w:style>
  <w:style w:type="paragraph" w:styleId="Subtitle">
    <w:name w:val="Subtitle"/>
    <w:basedOn w:val="Normal"/>
    <w:link w:val="SubtitleChar"/>
    <w:autoRedefine/>
    <w:rsid w:val="00043CF6"/>
    <w:pPr>
      <w:numPr>
        <w:ilvl w:val="1"/>
      </w:numPr>
      <w:spacing w:before="480" w:after="360"/>
      <w:contextualSpacing/>
    </w:pPr>
    <w:rPr>
      <w:rFonts w:asciiTheme="majorHAnsi" w:eastAsiaTheme="majorEastAsia" w:hAnsiTheme="majorHAnsi" w:cstheme="majorBidi"/>
      <w:b/>
      <w:iCs/>
      <w:color w:val="004200" w:themeColor="accent1"/>
      <w:sz w:val="40"/>
    </w:rPr>
  </w:style>
  <w:style w:type="character" w:customStyle="1" w:styleId="SubtitleChar">
    <w:name w:val="Subtitle Char"/>
    <w:basedOn w:val="DefaultParagraphFont"/>
    <w:link w:val="Subtitle"/>
    <w:rsid w:val="00043CF6"/>
    <w:rPr>
      <w:rFonts w:asciiTheme="majorHAnsi" w:eastAsiaTheme="majorEastAsia" w:hAnsiTheme="majorHAnsi" w:cstheme="majorBidi"/>
      <w:b/>
      <w:iCs/>
      <w:color w:val="004200" w:themeColor="accent1"/>
      <w:sz w:val="40"/>
      <w:szCs w:val="24"/>
    </w:rPr>
  </w:style>
  <w:style w:type="paragraph" w:customStyle="1" w:styleId="TableHeading">
    <w:name w:val="Table Heading"/>
    <w:basedOn w:val="Normal"/>
    <w:next w:val="TableText"/>
    <w:autoRedefine/>
    <w:uiPriority w:val="99"/>
    <w:rsid w:val="00835FC9"/>
    <w:pPr>
      <w:keepNext/>
      <w:keepLines/>
      <w:spacing w:before="360"/>
      <w:contextualSpacing/>
    </w:pPr>
    <w:rPr>
      <w:b/>
      <w:szCs w:val="20"/>
    </w:rPr>
  </w:style>
  <w:style w:type="paragraph" w:customStyle="1" w:styleId="FigureHeading">
    <w:name w:val="Figure Heading"/>
    <w:basedOn w:val="Normal"/>
    <w:next w:val="Normal"/>
    <w:autoRedefine/>
    <w:uiPriority w:val="99"/>
    <w:qFormat/>
    <w:rsid w:val="00E74A73"/>
    <w:pPr>
      <w:keepNext/>
      <w:keepLines/>
      <w:numPr>
        <w:numId w:val="11"/>
      </w:numPr>
      <w:tabs>
        <w:tab w:val="left" w:pos="907"/>
      </w:tabs>
      <w:ind w:left="907" w:hanging="907"/>
      <w:contextualSpacing/>
    </w:pPr>
  </w:style>
  <w:style w:type="paragraph" w:customStyle="1" w:styleId="FinancialsH1">
    <w:name w:val="Financials H1"/>
    <w:basedOn w:val="Heading1"/>
    <w:next w:val="Normal"/>
    <w:autoRedefine/>
    <w:uiPriority w:val="1"/>
    <w:semiHidden/>
    <w:rsid w:val="00CC2138"/>
    <w:pPr>
      <w:spacing w:after="360"/>
    </w:pPr>
    <w:rPr>
      <w:color w:val="008542" w:themeColor="accent2"/>
      <w:sz w:val="44"/>
    </w:rPr>
  </w:style>
  <w:style w:type="paragraph" w:customStyle="1" w:styleId="FinancialsH2">
    <w:name w:val="Financials H2"/>
    <w:basedOn w:val="Heading2"/>
    <w:next w:val="Normal"/>
    <w:autoRedefine/>
    <w:uiPriority w:val="1"/>
    <w:semiHidden/>
    <w:rsid w:val="00FC654D"/>
    <w:pPr>
      <w:spacing w:after="0"/>
    </w:pPr>
    <w:rPr>
      <w:rFonts w:ascii="Arial Bold" w:hAnsi="Arial Bold"/>
      <w:caps/>
      <w:sz w:val="24"/>
      <w:szCs w:val="24"/>
    </w:rPr>
  </w:style>
  <w:style w:type="paragraph" w:customStyle="1" w:styleId="FinancialsH3">
    <w:name w:val="Financials H3"/>
    <w:basedOn w:val="Heading3"/>
    <w:autoRedefine/>
    <w:uiPriority w:val="1"/>
    <w:semiHidden/>
    <w:rsid w:val="00CC2138"/>
    <w:rPr>
      <w:szCs w:val="22"/>
      <w:lang w:val="en-GB"/>
    </w:rPr>
  </w:style>
  <w:style w:type="paragraph" w:customStyle="1" w:styleId="FinancialsH4">
    <w:name w:val="Financials H4"/>
    <w:basedOn w:val="Heading4"/>
    <w:autoRedefine/>
    <w:uiPriority w:val="1"/>
    <w:semiHidden/>
    <w:rsid w:val="00A00568"/>
    <w:pPr>
      <w:spacing w:before="120"/>
    </w:pPr>
    <w:rPr>
      <w:rFonts w:ascii="Arial Bold" w:hAnsi="Arial Bold"/>
      <w:lang w:val="en-GB"/>
    </w:rPr>
  </w:style>
  <w:style w:type="paragraph" w:customStyle="1" w:styleId="FinancialsH5">
    <w:name w:val="Financials H5"/>
    <w:basedOn w:val="Heading5"/>
    <w:autoRedefine/>
    <w:uiPriority w:val="1"/>
    <w:semiHidden/>
    <w:rsid w:val="00A00568"/>
    <w:pPr>
      <w:spacing w:before="120"/>
    </w:pPr>
    <w:rPr>
      <w:bCs/>
      <w:lang w:val="en-GB"/>
    </w:rPr>
  </w:style>
  <w:style w:type="paragraph" w:customStyle="1" w:styleId="FinancialsTableH2">
    <w:name w:val="Financials Table H2"/>
    <w:basedOn w:val="TableText"/>
    <w:autoRedefine/>
    <w:uiPriority w:val="1"/>
    <w:semiHidden/>
    <w:rsid w:val="00660951"/>
    <w:pPr>
      <w:spacing w:before="120" w:after="40" w:line="240" w:lineRule="auto"/>
    </w:pPr>
    <w:rPr>
      <w:b/>
      <w:color w:val="008542" w:themeColor="accent2"/>
    </w:rPr>
  </w:style>
  <w:style w:type="paragraph" w:customStyle="1" w:styleId="FinancialsTableText">
    <w:name w:val="Financials Table Text"/>
    <w:basedOn w:val="TableText"/>
    <w:autoRedefine/>
    <w:uiPriority w:val="1"/>
    <w:semiHidden/>
    <w:rsid w:val="00660951"/>
    <w:pPr>
      <w:spacing w:before="40" w:after="40" w:line="240" w:lineRule="auto"/>
    </w:pPr>
  </w:style>
  <w:style w:type="paragraph" w:customStyle="1" w:styleId="FinancialsTableTextIndented">
    <w:name w:val="Financials Table Text Indented"/>
    <w:basedOn w:val="TableText"/>
    <w:autoRedefine/>
    <w:uiPriority w:val="1"/>
    <w:semiHidden/>
    <w:rsid w:val="00F3495A"/>
    <w:pPr>
      <w:spacing w:before="40" w:after="40" w:line="240" w:lineRule="auto"/>
      <w:ind w:left="170"/>
    </w:pPr>
    <w:rPr>
      <w:i/>
    </w:rPr>
  </w:style>
  <w:style w:type="paragraph" w:customStyle="1" w:styleId="FinancialsTableH1">
    <w:name w:val="Financials Table H1"/>
    <w:basedOn w:val="TableText"/>
    <w:autoRedefine/>
    <w:uiPriority w:val="1"/>
    <w:semiHidden/>
    <w:rsid w:val="007A7D19"/>
    <w:pPr>
      <w:spacing w:before="160" w:after="40" w:line="240" w:lineRule="auto"/>
    </w:pPr>
    <w:rPr>
      <w:rFonts w:ascii="Arial Bold" w:hAnsi="Arial Bold"/>
      <w:b/>
      <w:caps/>
    </w:rPr>
  </w:style>
  <w:style w:type="paragraph" w:customStyle="1" w:styleId="NoParagraphStyle">
    <w:name w:val="[No Paragraph Style]"/>
    <w:autoRedefine/>
    <w:rsid w:val="00536880"/>
    <w:pPr>
      <w:autoSpaceDE w:val="0"/>
      <w:autoSpaceDN w:val="0"/>
      <w:adjustRightInd w:val="0"/>
      <w:spacing w:line="288" w:lineRule="auto"/>
      <w:textAlignment w:val="center"/>
    </w:pPr>
    <w:rPr>
      <w:rFonts w:ascii="Arial" w:hAnsi="Arial" w:cs="Arial"/>
      <w:color w:val="000000"/>
      <w:sz w:val="24"/>
      <w:szCs w:val="24"/>
      <w:lang w:val="en-US"/>
    </w:rPr>
  </w:style>
  <w:style w:type="paragraph" w:customStyle="1" w:styleId="AppendixH1">
    <w:name w:val="Appendix H1"/>
    <w:basedOn w:val="FinancialsH1"/>
    <w:autoRedefine/>
    <w:uiPriority w:val="1"/>
    <w:semiHidden/>
    <w:rsid w:val="00CC2138"/>
  </w:style>
  <w:style w:type="paragraph" w:customStyle="1" w:styleId="AppendixH2">
    <w:name w:val="Appendix H2"/>
    <w:basedOn w:val="FinancialsH2"/>
    <w:autoRedefine/>
    <w:uiPriority w:val="1"/>
    <w:semiHidden/>
    <w:rsid w:val="00FC6134"/>
  </w:style>
  <w:style w:type="character" w:styleId="PageNumber">
    <w:name w:val="page number"/>
    <w:basedOn w:val="DefaultParagraphFont"/>
    <w:unhideWhenUsed/>
    <w:rsid w:val="005F219D"/>
    <w:rPr>
      <w:rFonts w:asciiTheme="minorHAnsi" w:hAnsiTheme="minorHAnsi"/>
      <w:b/>
      <w:color w:val="008542" w:themeColor="accent2"/>
      <w:sz w:val="16"/>
    </w:rPr>
  </w:style>
  <w:style w:type="paragraph" w:customStyle="1" w:styleId="Address">
    <w:name w:val="Address"/>
    <w:basedOn w:val="Normal"/>
    <w:autoRedefine/>
    <w:uiPriority w:val="1"/>
    <w:qFormat/>
    <w:rsid w:val="00562759"/>
    <w:pPr>
      <w:spacing w:before="0" w:after="0" w:line="192" w:lineRule="exact"/>
    </w:pPr>
    <w:rPr>
      <w:b/>
      <w:bCs/>
      <w:color w:val="FFFFFF" w:themeColor="background1"/>
      <w:sz w:val="16"/>
      <w:szCs w:val="16"/>
    </w:rPr>
  </w:style>
  <w:style w:type="paragraph" w:customStyle="1" w:styleId="Organisation">
    <w:name w:val="Organisation"/>
    <w:basedOn w:val="Normal"/>
    <w:next w:val="Title"/>
    <w:autoRedefine/>
    <w:uiPriority w:val="1"/>
    <w:qFormat/>
    <w:rsid w:val="00043CF6"/>
    <w:pPr>
      <w:spacing w:before="0" w:after="1320"/>
    </w:pPr>
    <w:rPr>
      <w:b/>
      <w:noProof/>
      <w:color w:val="004200" w:themeColor="accent1"/>
      <w:sz w:val="20"/>
      <w:szCs w:val="16"/>
    </w:rPr>
  </w:style>
  <w:style w:type="paragraph" w:customStyle="1" w:styleId="Versionanddate">
    <w:name w:val="Version and date"/>
    <w:basedOn w:val="Subtitle"/>
    <w:next w:val="Normal"/>
    <w:autoRedefine/>
    <w:uiPriority w:val="1"/>
    <w:qFormat/>
    <w:rsid w:val="00496370"/>
    <w:pPr>
      <w:spacing w:before="0" w:after="0" w:line="80" w:lineRule="atLeast"/>
    </w:pPr>
    <w:rPr>
      <w:color w:val="008542" w:themeColor="accent2"/>
      <w:sz w:val="28"/>
    </w:rPr>
  </w:style>
  <w:style w:type="paragraph" w:customStyle="1" w:styleId="Act">
    <w:name w:val="Act"/>
    <w:basedOn w:val="Normal"/>
    <w:next w:val="Normal"/>
    <w:uiPriority w:val="1"/>
    <w:qFormat/>
    <w:rsid w:val="00BC1032"/>
    <w:rPr>
      <w:i/>
    </w:rPr>
  </w:style>
  <w:style w:type="paragraph" w:customStyle="1" w:styleId="Disclaimer">
    <w:name w:val="Disclaimer"/>
    <w:basedOn w:val="Normal"/>
    <w:autoRedefine/>
    <w:uiPriority w:val="1"/>
    <w:rsid w:val="00BC1032"/>
    <w:rPr>
      <w:i/>
    </w:rPr>
  </w:style>
  <w:style w:type="paragraph" w:styleId="Quote">
    <w:name w:val="Quote"/>
    <w:basedOn w:val="Normal"/>
    <w:next w:val="Normal"/>
    <w:link w:val="QuoteChar"/>
    <w:autoRedefine/>
    <w:uiPriority w:val="29"/>
    <w:rsid w:val="00BC1032"/>
    <w:rPr>
      <w:i/>
      <w:iCs/>
      <w:color w:val="000000" w:themeColor="text1"/>
    </w:rPr>
  </w:style>
  <w:style w:type="character" w:customStyle="1" w:styleId="QuoteChar">
    <w:name w:val="Quote Char"/>
    <w:basedOn w:val="DefaultParagraphFont"/>
    <w:link w:val="Quote"/>
    <w:uiPriority w:val="29"/>
    <w:rsid w:val="00BC1032"/>
    <w:rPr>
      <w:rFonts w:ascii="Arial" w:hAnsi="Arial"/>
      <w:i/>
      <w:iCs/>
      <w:color w:val="000000" w:themeColor="text1"/>
      <w:sz w:val="22"/>
      <w:szCs w:val="24"/>
    </w:rPr>
  </w:style>
  <w:style w:type="paragraph" w:customStyle="1" w:styleId="Report">
    <w:name w:val="Report"/>
    <w:basedOn w:val="Normal"/>
    <w:next w:val="Normal"/>
    <w:autoRedefine/>
    <w:uiPriority w:val="1"/>
    <w:qFormat/>
    <w:rsid w:val="00BC1032"/>
    <w:pPr>
      <w:spacing w:before="4000" w:after="200" w:line="276" w:lineRule="auto"/>
    </w:pPr>
    <w:rPr>
      <w:b/>
    </w:rPr>
  </w:style>
  <w:style w:type="paragraph" w:styleId="NormalIndent">
    <w:name w:val="Normal Indent"/>
    <w:basedOn w:val="Normal"/>
    <w:autoRedefine/>
    <w:unhideWhenUsed/>
    <w:rsid w:val="00BC1032"/>
    <w:pPr>
      <w:ind w:left="720"/>
    </w:pPr>
  </w:style>
  <w:style w:type="paragraph" w:styleId="Bibliography">
    <w:name w:val="Bibliography"/>
    <w:basedOn w:val="Normal"/>
    <w:next w:val="Normal"/>
    <w:autoRedefine/>
    <w:uiPriority w:val="37"/>
    <w:semiHidden/>
    <w:unhideWhenUsed/>
    <w:rsid w:val="00CC2138"/>
  </w:style>
  <w:style w:type="paragraph" w:styleId="BlockText">
    <w:name w:val="Block Text"/>
    <w:basedOn w:val="Normal"/>
    <w:autoRedefine/>
    <w:semiHidden/>
    <w:unhideWhenUsed/>
    <w:rsid w:val="00CC2138"/>
    <w:pPr>
      <w:pBdr>
        <w:top w:val="single" w:sz="2" w:space="10" w:color="004200" w:themeColor="accent1" w:frame="1"/>
        <w:left w:val="single" w:sz="2" w:space="10" w:color="004200" w:themeColor="accent1" w:frame="1"/>
        <w:bottom w:val="single" w:sz="2" w:space="10" w:color="004200" w:themeColor="accent1" w:frame="1"/>
        <w:right w:val="single" w:sz="2" w:space="10" w:color="004200" w:themeColor="accent1" w:frame="1"/>
      </w:pBdr>
      <w:ind w:left="1152" w:right="1152"/>
    </w:pPr>
    <w:rPr>
      <w:rFonts w:asciiTheme="minorHAnsi" w:eastAsiaTheme="minorEastAsia" w:hAnsiTheme="minorHAnsi" w:cstheme="minorBidi"/>
      <w:i/>
      <w:iCs/>
      <w:color w:val="004200" w:themeColor="accent1"/>
    </w:rPr>
  </w:style>
  <w:style w:type="paragraph" w:styleId="BodyText">
    <w:name w:val="Body Text"/>
    <w:aliases w:val="b,block,bt,Body text,body text,body,NoticeText-List,t1,taten_body,Cargo,Letter Body,Memo Body,Body,by,b-heading 1/heading 2,bd,heading1body-heading2body,BD,b14,body1,b-heading,Fax Body,Bod,bo,full cell text,Report Body,bullet,B"/>
    <w:basedOn w:val="Normal"/>
    <w:link w:val="BodyTextChar"/>
    <w:autoRedefine/>
    <w:unhideWhenUsed/>
    <w:qFormat/>
    <w:rsid w:val="00CC2138"/>
  </w:style>
  <w:style w:type="character" w:customStyle="1" w:styleId="BodyTextChar">
    <w:name w:val="Body Text Char"/>
    <w:aliases w:val="b Char,block Char,bt Char,Body text Char,body text Char,body Char,NoticeText-List Char,t1 Char,taten_body Char,Cargo Char,Letter Body Char,Memo Body Char,Body Char,by Char,b-heading 1/heading 2 Char,bd Char,heading1body-heading2body Char"/>
    <w:basedOn w:val="DefaultParagraphFont"/>
    <w:link w:val="BodyText"/>
    <w:rsid w:val="00CC2138"/>
    <w:rPr>
      <w:rFonts w:ascii="Arial" w:hAnsi="Arial"/>
      <w:sz w:val="22"/>
      <w:szCs w:val="24"/>
    </w:rPr>
  </w:style>
  <w:style w:type="paragraph" w:styleId="BodyText2">
    <w:name w:val="Body Text 2"/>
    <w:basedOn w:val="Normal"/>
    <w:link w:val="BodyText2Char"/>
    <w:autoRedefine/>
    <w:semiHidden/>
    <w:unhideWhenUsed/>
    <w:rsid w:val="00CC2138"/>
    <w:pPr>
      <w:spacing w:line="480" w:lineRule="auto"/>
    </w:pPr>
  </w:style>
  <w:style w:type="character" w:customStyle="1" w:styleId="BodyText2Char">
    <w:name w:val="Body Text 2 Char"/>
    <w:basedOn w:val="DefaultParagraphFont"/>
    <w:link w:val="BodyText2"/>
    <w:semiHidden/>
    <w:rsid w:val="00CC2138"/>
    <w:rPr>
      <w:rFonts w:ascii="Arial" w:hAnsi="Arial"/>
      <w:sz w:val="22"/>
      <w:szCs w:val="24"/>
    </w:rPr>
  </w:style>
  <w:style w:type="paragraph" w:styleId="BodyText3">
    <w:name w:val="Body Text 3"/>
    <w:basedOn w:val="Normal"/>
    <w:link w:val="BodyText3Char"/>
    <w:autoRedefine/>
    <w:semiHidden/>
    <w:unhideWhenUsed/>
    <w:rsid w:val="00CC2138"/>
    <w:rPr>
      <w:sz w:val="16"/>
      <w:szCs w:val="16"/>
    </w:rPr>
  </w:style>
  <w:style w:type="character" w:customStyle="1" w:styleId="BodyText3Char">
    <w:name w:val="Body Text 3 Char"/>
    <w:basedOn w:val="DefaultParagraphFont"/>
    <w:link w:val="BodyText3"/>
    <w:semiHidden/>
    <w:rsid w:val="00CC2138"/>
    <w:rPr>
      <w:rFonts w:ascii="Arial" w:hAnsi="Arial"/>
      <w:sz w:val="16"/>
      <w:szCs w:val="16"/>
    </w:rPr>
  </w:style>
  <w:style w:type="paragraph" w:styleId="BodyTextFirstIndent">
    <w:name w:val="Body Text First Indent"/>
    <w:basedOn w:val="BodyText"/>
    <w:link w:val="BodyTextFirstIndentChar"/>
    <w:autoRedefine/>
    <w:semiHidden/>
    <w:rsid w:val="00CC2138"/>
    <w:pPr>
      <w:ind w:firstLine="360"/>
    </w:pPr>
  </w:style>
  <w:style w:type="character" w:customStyle="1" w:styleId="BodyTextFirstIndentChar">
    <w:name w:val="Body Text First Indent Char"/>
    <w:basedOn w:val="BodyTextChar"/>
    <w:link w:val="BodyTextFirstIndent"/>
    <w:semiHidden/>
    <w:rsid w:val="00CC2138"/>
    <w:rPr>
      <w:rFonts w:ascii="Arial" w:hAnsi="Arial"/>
      <w:sz w:val="22"/>
      <w:szCs w:val="24"/>
    </w:rPr>
  </w:style>
  <w:style w:type="paragraph" w:styleId="BodyTextIndent">
    <w:name w:val="Body Text Indent"/>
    <w:basedOn w:val="Normal"/>
    <w:link w:val="BodyTextIndentChar"/>
    <w:autoRedefine/>
    <w:semiHidden/>
    <w:unhideWhenUsed/>
    <w:rsid w:val="00CC2138"/>
    <w:pPr>
      <w:ind w:left="283"/>
    </w:pPr>
  </w:style>
  <w:style w:type="character" w:customStyle="1" w:styleId="BodyTextIndentChar">
    <w:name w:val="Body Text Indent Char"/>
    <w:basedOn w:val="DefaultParagraphFont"/>
    <w:link w:val="BodyTextIndent"/>
    <w:semiHidden/>
    <w:rsid w:val="00CC2138"/>
    <w:rPr>
      <w:rFonts w:ascii="Arial" w:hAnsi="Arial"/>
      <w:sz w:val="22"/>
      <w:szCs w:val="24"/>
    </w:rPr>
  </w:style>
  <w:style w:type="paragraph" w:styleId="BodyTextFirstIndent2">
    <w:name w:val="Body Text First Indent 2"/>
    <w:basedOn w:val="BodyTextIndent"/>
    <w:link w:val="BodyTextFirstIndent2Char"/>
    <w:autoRedefine/>
    <w:semiHidden/>
    <w:unhideWhenUsed/>
    <w:rsid w:val="00CC2138"/>
    <w:pPr>
      <w:ind w:left="360" w:firstLine="360"/>
    </w:pPr>
  </w:style>
  <w:style w:type="character" w:customStyle="1" w:styleId="BodyTextFirstIndent2Char">
    <w:name w:val="Body Text First Indent 2 Char"/>
    <w:basedOn w:val="BodyTextIndentChar"/>
    <w:link w:val="BodyTextFirstIndent2"/>
    <w:semiHidden/>
    <w:rsid w:val="00CC2138"/>
    <w:rPr>
      <w:rFonts w:ascii="Arial" w:hAnsi="Arial"/>
      <w:sz w:val="22"/>
      <w:szCs w:val="24"/>
    </w:rPr>
  </w:style>
  <w:style w:type="paragraph" w:styleId="BodyTextIndent2">
    <w:name w:val="Body Text Indent 2"/>
    <w:basedOn w:val="Normal"/>
    <w:link w:val="BodyTextIndent2Char"/>
    <w:autoRedefine/>
    <w:semiHidden/>
    <w:unhideWhenUsed/>
    <w:rsid w:val="00CC2138"/>
    <w:pPr>
      <w:spacing w:line="480" w:lineRule="auto"/>
      <w:ind w:left="283"/>
    </w:pPr>
  </w:style>
  <w:style w:type="character" w:customStyle="1" w:styleId="BodyTextIndent2Char">
    <w:name w:val="Body Text Indent 2 Char"/>
    <w:basedOn w:val="DefaultParagraphFont"/>
    <w:link w:val="BodyTextIndent2"/>
    <w:semiHidden/>
    <w:rsid w:val="00CC2138"/>
    <w:rPr>
      <w:rFonts w:ascii="Arial" w:hAnsi="Arial"/>
      <w:sz w:val="22"/>
      <w:szCs w:val="24"/>
    </w:rPr>
  </w:style>
  <w:style w:type="paragraph" w:styleId="BodyTextIndent3">
    <w:name w:val="Body Text Indent 3"/>
    <w:basedOn w:val="Normal"/>
    <w:link w:val="BodyTextIndent3Char"/>
    <w:autoRedefine/>
    <w:semiHidden/>
    <w:unhideWhenUsed/>
    <w:rsid w:val="00CC2138"/>
    <w:pPr>
      <w:ind w:left="283"/>
    </w:pPr>
    <w:rPr>
      <w:sz w:val="16"/>
      <w:szCs w:val="16"/>
    </w:rPr>
  </w:style>
  <w:style w:type="character" w:customStyle="1" w:styleId="BodyTextIndent3Char">
    <w:name w:val="Body Text Indent 3 Char"/>
    <w:basedOn w:val="DefaultParagraphFont"/>
    <w:link w:val="BodyTextIndent3"/>
    <w:semiHidden/>
    <w:rsid w:val="00CC2138"/>
    <w:rPr>
      <w:rFonts w:ascii="Arial" w:hAnsi="Arial"/>
      <w:sz w:val="16"/>
      <w:szCs w:val="16"/>
    </w:rPr>
  </w:style>
  <w:style w:type="character" w:styleId="BookTitle">
    <w:name w:val="Book Title"/>
    <w:basedOn w:val="DefaultParagraphFont"/>
    <w:uiPriority w:val="33"/>
    <w:rsid w:val="006F7C01"/>
    <w:rPr>
      <w:rFonts w:ascii="Arial Bold" w:hAnsi="Arial Bold"/>
      <w:b/>
      <w:bCs/>
      <w:i w:val="0"/>
      <w:caps w:val="0"/>
      <w:smallCaps w:val="0"/>
      <w:strike w:val="0"/>
      <w:dstrike w:val="0"/>
      <w:vanish w:val="0"/>
      <w:color w:val="FFFFFF" w:themeColor="background1"/>
      <w:spacing w:val="5"/>
      <w:sz w:val="16"/>
      <w:vertAlign w:val="baseline"/>
    </w:rPr>
  </w:style>
  <w:style w:type="paragraph" w:styleId="Caption">
    <w:name w:val="caption"/>
    <w:basedOn w:val="Normal"/>
    <w:next w:val="Normal"/>
    <w:autoRedefine/>
    <w:unhideWhenUsed/>
    <w:rsid w:val="007F44CC"/>
    <w:pPr>
      <w:keepNext/>
      <w:spacing w:before="360" w:after="200" w:line="240" w:lineRule="auto"/>
    </w:pPr>
    <w:rPr>
      <w:rFonts w:asciiTheme="minorHAnsi" w:hAnsiTheme="minorHAnsi" w:cstheme="minorHAnsi"/>
      <w:b/>
      <w:bCs/>
      <w:szCs w:val="18"/>
    </w:rPr>
  </w:style>
  <w:style w:type="paragraph" w:styleId="Closing">
    <w:name w:val="Closing"/>
    <w:basedOn w:val="Normal"/>
    <w:link w:val="ClosingChar"/>
    <w:autoRedefine/>
    <w:semiHidden/>
    <w:unhideWhenUsed/>
    <w:rsid w:val="00CC2138"/>
    <w:pPr>
      <w:spacing w:before="0" w:after="0" w:line="240" w:lineRule="auto"/>
      <w:ind w:left="4252"/>
    </w:pPr>
  </w:style>
  <w:style w:type="character" w:customStyle="1" w:styleId="ClosingChar">
    <w:name w:val="Closing Char"/>
    <w:basedOn w:val="DefaultParagraphFont"/>
    <w:link w:val="Closing"/>
    <w:semiHidden/>
    <w:rsid w:val="00CC2138"/>
    <w:rPr>
      <w:rFonts w:ascii="Arial" w:hAnsi="Arial"/>
      <w:sz w:val="22"/>
      <w:szCs w:val="24"/>
    </w:rPr>
  </w:style>
  <w:style w:type="character" w:styleId="CommentReference">
    <w:name w:val="annotation reference"/>
    <w:basedOn w:val="DefaultParagraphFont"/>
    <w:semiHidden/>
    <w:unhideWhenUsed/>
    <w:rsid w:val="00CC2138"/>
    <w:rPr>
      <w:sz w:val="16"/>
      <w:szCs w:val="16"/>
    </w:rPr>
  </w:style>
  <w:style w:type="paragraph" w:styleId="CommentText">
    <w:name w:val="annotation text"/>
    <w:basedOn w:val="Normal"/>
    <w:link w:val="CommentTextChar"/>
    <w:autoRedefine/>
    <w:semiHidden/>
    <w:unhideWhenUsed/>
    <w:rsid w:val="00CC2138"/>
    <w:pPr>
      <w:spacing w:line="240" w:lineRule="auto"/>
    </w:pPr>
    <w:rPr>
      <w:sz w:val="20"/>
      <w:szCs w:val="20"/>
    </w:rPr>
  </w:style>
  <w:style w:type="character" w:customStyle="1" w:styleId="CommentTextChar">
    <w:name w:val="Comment Text Char"/>
    <w:basedOn w:val="DefaultParagraphFont"/>
    <w:link w:val="CommentText"/>
    <w:semiHidden/>
    <w:rsid w:val="00CC2138"/>
    <w:rPr>
      <w:rFonts w:ascii="Arial" w:hAnsi="Arial"/>
    </w:rPr>
  </w:style>
  <w:style w:type="paragraph" w:styleId="CommentSubject">
    <w:name w:val="annotation subject"/>
    <w:basedOn w:val="CommentText"/>
    <w:next w:val="CommentText"/>
    <w:link w:val="CommentSubjectChar"/>
    <w:autoRedefine/>
    <w:semiHidden/>
    <w:unhideWhenUsed/>
    <w:rsid w:val="00CC2138"/>
    <w:rPr>
      <w:b/>
      <w:bCs/>
    </w:rPr>
  </w:style>
  <w:style w:type="character" w:customStyle="1" w:styleId="CommentSubjectChar">
    <w:name w:val="Comment Subject Char"/>
    <w:basedOn w:val="CommentTextChar"/>
    <w:link w:val="CommentSubject"/>
    <w:semiHidden/>
    <w:rsid w:val="00CC2138"/>
    <w:rPr>
      <w:rFonts w:ascii="Arial" w:hAnsi="Arial"/>
      <w:b/>
      <w:bCs/>
    </w:rPr>
  </w:style>
  <w:style w:type="paragraph" w:styleId="Date">
    <w:name w:val="Date"/>
    <w:basedOn w:val="Normal"/>
    <w:next w:val="Normal"/>
    <w:link w:val="DateChar"/>
    <w:autoRedefine/>
    <w:semiHidden/>
    <w:rsid w:val="00CC2138"/>
  </w:style>
  <w:style w:type="character" w:customStyle="1" w:styleId="DateChar">
    <w:name w:val="Date Char"/>
    <w:basedOn w:val="DefaultParagraphFont"/>
    <w:link w:val="Date"/>
    <w:semiHidden/>
    <w:rsid w:val="00CC2138"/>
    <w:rPr>
      <w:rFonts w:ascii="Arial" w:hAnsi="Arial"/>
      <w:sz w:val="22"/>
      <w:szCs w:val="24"/>
    </w:rPr>
  </w:style>
  <w:style w:type="paragraph" w:styleId="DocumentMap">
    <w:name w:val="Document Map"/>
    <w:basedOn w:val="Normal"/>
    <w:link w:val="DocumentMapChar"/>
    <w:autoRedefine/>
    <w:semiHidden/>
    <w:unhideWhenUsed/>
    <w:rsid w:val="00CC2138"/>
    <w:pPr>
      <w:spacing w:before="0" w:after="0" w:line="240" w:lineRule="auto"/>
    </w:pPr>
    <w:rPr>
      <w:rFonts w:ascii="Tahoma" w:hAnsi="Tahoma" w:cs="Tahoma"/>
      <w:sz w:val="16"/>
      <w:szCs w:val="16"/>
    </w:rPr>
  </w:style>
  <w:style w:type="character" w:customStyle="1" w:styleId="DocumentMapChar">
    <w:name w:val="Document Map Char"/>
    <w:basedOn w:val="DefaultParagraphFont"/>
    <w:link w:val="DocumentMap"/>
    <w:semiHidden/>
    <w:rsid w:val="00CC2138"/>
    <w:rPr>
      <w:rFonts w:ascii="Tahoma" w:hAnsi="Tahoma" w:cs="Tahoma"/>
      <w:sz w:val="16"/>
      <w:szCs w:val="16"/>
    </w:rPr>
  </w:style>
  <w:style w:type="paragraph" w:styleId="E-mailSignature">
    <w:name w:val="E-mail Signature"/>
    <w:basedOn w:val="Normal"/>
    <w:link w:val="E-mailSignatureChar"/>
    <w:autoRedefine/>
    <w:semiHidden/>
    <w:unhideWhenUsed/>
    <w:rsid w:val="00CC2138"/>
    <w:pPr>
      <w:spacing w:before="0" w:after="0" w:line="240" w:lineRule="auto"/>
    </w:pPr>
  </w:style>
  <w:style w:type="character" w:customStyle="1" w:styleId="E-mailSignatureChar">
    <w:name w:val="E-mail Signature Char"/>
    <w:basedOn w:val="DefaultParagraphFont"/>
    <w:link w:val="E-mailSignature"/>
    <w:semiHidden/>
    <w:rsid w:val="00CC2138"/>
    <w:rPr>
      <w:rFonts w:ascii="Arial" w:hAnsi="Arial"/>
      <w:sz w:val="22"/>
      <w:szCs w:val="24"/>
    </w:rPr>
  </w:style>
  <w:style w:type="paragraph" w:styleId="EnvelopeAddress">
    <w:name w:val="envelope address"/>
    <w:basedOn w:val="Normal"/>
    <w:autoRedefine/>
    <w:semiHidden/>
    <w:unhideWhenUsed/>
    <w:rsid w:val="00CC2138"/>
    <w:pPr>
      <w:framePr w:w="7920" w:h="1980" w:hRule="exact" w:hSpace="180" w:wrap="auto" w:hAnchor="page" w:xAlign="center" w:yAlign="bottom"/>
      <w:spacing w:before="0" w:after="0" w:line="240" w:lineRule="auto"/>
      <w:ind w:left="2880"/>
    </w:pPr>
    <w:rPr>
      <w:rFonts w:asciiTheme="majorHAnsi" w:eastAsiaTheme="majorEastAsia" w:hAnsiTheme="majorHAnsi" w:cstheme="majorBidi"/>
      <w:sz w:val="24"/>
    </w:rPr>
  </w:style>
  <w:style w:type="paragraph" w:styleId="EnvelopeReturn">
    <w:name w:val="envelope return"/>
    <w:basedOn w:val="Normal"/>
    <w:autoRedefine/>
    <w:semiHidden/>
    <w:unhideWhenUsed/>
    <w:rsid w:val="00CC2138"/>
    <w:pPr>
      <w:spacing w:before="0" w:after="0" w:line="240" w:lineRule="auto"/>
    </w:pPr>
    <w:rPr>
      <w:rFonts w:asciiTheme="majorHAnsi" w:eastAsiaTheme="majorEastAsia" w:hAnsiTheme="majorHAnsi" w:cstheme="majorBidi"/>
      <w:sz w:val="20"/>
      <w:szCs w:val="20"/>
    </w:rPr>
  </w:style>
  <w:style w:type="character" w:customStyle="1" w:styleId="Heading7Char">
    <w:name w:val="Heading 7 Char"/>
    <w:basedOn w:val="DefaultParagraphFont"/>
    <w:link w:val="Heading7"/>
    <w:semiHidden/>
    <w:rsid w:val="00465398"/>
    <w:rPr>
      <w:rFonts w:asciiTheme="majorHAnsi" w:eastAsiaTheme="majorEastAsia" w:hAnsiTheme="majorHAnsi" w:cstheme="majorBidi"/>
      <w:i/>
      <w:iCs/>
      <w:color w:val="404040" w:themeColor="text1" w:themeTint="BF"/>
      <w:sz w:val="22"/>
      <w:szCs w:val="24"/>
    </w:rPr>
  </w:style>
  <w:style w:type="character" w:customStyle="1" w:styleId="Heading8Char">
    <w:name w:val="Heading 8 Char"/>
    <w:basedOn w:val="DefaultParagraphFont"/>
    <w:link w:val="Heading8"/>
    <w:semiHidden/>
    <w:rsid w:val="00465398"/>
    <w:rPr>
      <w:rFonts w:asciiTheme="majorHAnsi" w:eastAsiaTheme="majorEastAsia" w:hAnsiTheme="majorHAnsi" w:cstheme="majorBidi"/>
      <w:color w:val="404040" w:themeColor="text1" w:themeTint="BF"/>
    </w:rPr>
  </w:style>
  <w:style w:type="character" w:customStyle="1" w:styleId="Heading9Char">
    <w:name w:val="Heading 9 Char"/>
    <w:basedOn w:val="DefaultParagraphFont"/>
    <w:link w:val="Heading9"/>
    <w:semiHidden/>
    <w:rsid w:val="00465398"/>
    <w:rPr>
      <w:rFonts w:asciiTheme="majorHAnsi" w:eastAsiaTheme="majorEastAsia" w:hAnsiTheme="majorHAnsi" w:cstheme="majorBidi"/>
      <w:i/>
      <w:iCs/>
      <w:color w:val="404040" w:themeColor="text1" w:themeTint="BF"/>
    </w:rPr>
  </w:style>
  <w:style w:type="character" w:styleId="HTMLAcronym">
    <w:name w:val="HTML Acronym"/>
    <w:basedOn w:val="DefaultParagraphFont"/>
    <w:semiHidden/>
    <w:unhideWhenUsed/>
    <w:rsid w:val="00465398"/>
  </w:style>
  <w:style w:type="paragraph" w:styleId="HTMLAddress">
    <w:name w:val="HTML Address"/>
    <w:basedOn w:val="Normal"/>
    <w:link w:val="HTMLAddressChar"/>
    <w:autoRedefine/>
    <w:semiHidden/>
    <w:unhideWhenUsed/>
    <w:rsid w:val="00465398"/>
    <w:pPr>
      <w:spacing w:before="0" w:after="0" w:line="240" w:lineRule="auto"/>
    </w:pPr>
    <w:rPr>
      <w:i/>
      <w:iCs/>
    </w:rPr>
  </w:style>
  <w:style w:type="character" w:customStyle="1" w:styleId="HTMLAddressChar">
    <w:name w:val="HTML Address Char"/>
    <w:basedOn w:val="DefaultParagraphFont"/>
    <w:link w:val="HTMLAddress"/>
    <w:semiHidden/>
    <w:rsid w:val="00465398"/>
    <w:rPr>
      <w:rFonts w:ascii="Arial" w:hAnsi="Arial"/>
      <w:i/>
      <w:iCs/>
      <w:sz w:val="22"/>
      <w:szCs w:val="24"/>
    </w:rPr>
  </w:style>
  <w:style w:type="character" w:styleId="HTMLCite">
    <w:name w:val="HTML Cite"/>
    <w:basedOn w:val="DefaultParagraphFont"/>
    <w:semiHidden/>
    <w:unhideWhenUsed/>
    <w:rsid w:val="00465398"/>
    <w:rPr>
      <w:i/>
      <w:iCs/>
    </w:rPr>
  </w:style>
  <w:style w:type="character" w:styleId="HTMLCode">
    <w:name w:val="HTML Code"/>
    <w:basedOn w:val="DefaultParagraphFont"/>
    <w:semiHidden/>
    <w:unhideWhenUsed/>
    <w:rsid w:val="00465398"/>
    <w:rPr>
      <w:rFonts w:ascii="Consolas" w:hAnsi="Consolas"/>
      <w:sz w:val="20"/>
      <w:szCs w:val="20"/>
    </w:rPr>
  </w:style>
  <w:style w:type="character" w:styleId="HTMLDefinition">
    <w:name w:val="HTML Definition"/>
    <w:basedOn w:val="DefaultParagraphFont"/>
    <w:semiHidden/>
    <w:unhideWhenUsed/>
    <w:rsid w:val="00465398"/>
    <w:rPr>
      <w:i/>
      <w:iCs/>
    </w:rPr>
  </w:style>
  <w:style w:type="character" w:styleId="HTMLKeyboard">
    <w:name w:val="HTML Keyboard"/>
    <w:basedOn w:val="DefaultParagraphFont"/>
    <w:semiHidden/>
    <w:unhideWhenUsed/>
    <w:rsid w:val="00465398"/>
    <w:rPr>
      <w:rFonts w:ascii="Consolas" w:hAnsi="Consolas" w:cs="Consolas"/>
      <w:sz w:val="20"/>
      <w:szCs w:val="20"/>
    </w:rPr>
  </w:style>
  <w:style w:type="paragraph" w:styleId="HTMLPreformatted">
    <w:name w:val="HTML Preformatted"/>
    <w:basedOn w:val="Normal"/>
    <w:link w:val="HTMLPreformattedChar"/>
    <w:autoRedefine/>
    <w:semiHidden/>
    <w:unhideWhenUsed/>
    <w:rsid w:val="00465398"/>
    <w:pPr>
      <w:spacing w:before="0" w:after="0" w:line="240" w:lineRule="auto"/>
    </w:pPr>
    <w:rPr>
      <w:rFonts w:ascii="Consolas" w:hAnsi="Consolas" w:cs="Consolas"/>
      <w:sz w:val="20"/>
      <w:szCs w:val="20"/>
    </w:rPr>
  </w:style>
  <w:style w:type="character" w:customStyle="1" w:styleId="HTMLPreformattedChar">
    <w:name w:val="HTML Preformatted Char"/>
    <w:basedOn w:val="DefaultParagraphFont"/>
    <w:link w:val="HTMLPreformatted"/>
    <w:semiHidden/>
    <w:rsid w:val="00465398"/>
    <w:rPr>
      <w:rFonts w:ascii="Consolas" w:hAnsi="Consolas" w:cs="Consolas"/>
    </w:rPr>
  </w:style>
  <w:style w:type="character" w:styleId="HTMLSample">
    <w:name w:val="HTML Sample"/>
    <w:basedOn w:val="DefaultParagraphFont"/>
    <w:semiHidden/>
    <w:unhideWhenUsed/>
    <w:rsid w:val="00465398"/>
    <w:rPr>
      <w:rFonts w:ascii="Consolas" w:hAnsi="Consolas" w:cs="Consolas"/>
      <w:sz w:val="24"/>
      <w:szCs w:val="24"/>
    </w:rPr>
  </w:style>
  <w:style w:type="character" w:styleId="HTMLTypewriter">
    <w:name w:val="HTML Typewriter"/>
    <w:basedOn w:val="DefaultParagraphFont"/>
    <w:semiHidden/>
    <w:unhideWhenUsed/>
    <w:rsid w:val="00465398"/>
    <w:rPr>
      <w:rFonts w:ascii="Consolas" w:hAnsi="Consolas" w:cs="Consolas"/>
      <w:sz w:val="20"/>
      <w:szCs w:val="20"/>
    </w:rPr>
  </w:style>
  <w:style w:type="character" w:styleId="HTMLVariable">
    <w:name w:val="HTML Variable"/>
    <w:basedOn w:val="DefaultParagraphFont"/>
    <w:semiHidden/>
    <w:unhideWhenUsed/>
    <w:rsid w:val="00465398"/>
    <w:rPr>
      <w:i/>
      <w:iCs/>
    </w:rPr>
  </w:style>
  <w:style w:type="paragraph" w:styleId="Index2">
    <w:name w:val="index 2"/>
    <w:basedOn w:val="Normal"/>
    <w:next w:val="Normal"/>
    <w:autoRedefine/>
    <w:semiHidden/>
    <w:unhideWhenUsed/>
    <w:rsid w:val="00465398"/>
    <w:pPr>
      <w:spacing w:before="0" w:after="0" w:line="240" w:lineRule="auto"/>
      <w:ind w:left="440" w:hanging="220"/>
    </w:pPr>
  </w:style>
  <w:style w:type="paragraph" w:styleId="Index3">
    <w:name w:val="index 3"/>
    <w:basedOn w:val="Normal"/>
    <w:next w:val="Normal"/>
    <w:autoRedefine/>
    <w:semiHidden/>
    <w:unhideWhenUsed/>
    <w:rsid w:val="00465398"/>
    <w:pPr>
      <w:spacing w:before="0" w:after="0" w:line="240" w:lineRule="auto"/>
      <w:ind w:left="660" w:hanging="220"/>
    </w:pPr>
  </w:style>
  <w:style w:type="paragraph" w:styleId="Index4">
    <w:name w:val="index 4"/>
    <w:basedOn w:val="Normal"/>
    <w:next w:val="Normal"/>
    <w:autoRedefine/>
    <w:semiHidden/>
    <w:unhideWhenUsed/>
    <w:rsid w:val="00465398"/>
    <w:pPr>
      <w:spacing w:before="0" w:after="0" w:line="240" w:lineRule="auto"/>
      <w:ind w:left="880" w:hanging="220"/>
    </w:pPr>
  </w:style>
  <w:style w:type="paragraph" w:styleId="Index5">
    <w:name w:val="index 5"/>
    <w:basedOn w:val="Normal"/>
    <w:next w:val="Normal"/>
    <w:autoRedefine/>
    <w:semiHidden/>
    <w:unhideWhenUsed/>
    <w:rsid w:val="00465398"/>
    <w:pPr>
      <w:spacing w:before="0" w:after="0" w:line="240" w:lineRule="auto"/>
      <w:ind w:left="1100" w:hanging="220"/>
    </w:pPr>
  </w:style>
  <w:style w:type="paragraph" w:styleId="Index6">
    <w:name w:val="index 6"/>
    <w:basedOn w:val="Normal"/>
    <w:next w:val="Normal"/>
    <w:autoRedefine/>
    <w:semiHidden/>
    <w:unhideWhenUsed/>
    <w:rsid w:val="00465398"/>
    <w:pPr>
      <w:spacing w:before="0" w:after="0" w:line="240" w:lineRule="auto"/>
      <w:ind w:left="1320" w:hanging="220"/>
    </w:pPr>
  </w:style>
  <w:style w:type="paragraph" w:styleId="Index7">
    <w:name w:val="index 7"/>
    <w:basedOn w:val="Normal"/>
    <w:next w:val="Normal"/>
    <w:autoRedefine/>
    <w:semiHidden/>
    <w:unhideWhenUsed/>
    <w:rsid w:val="00465398"/>
    <w:pPr>
      <w:spacing w:before="0" w:after="0" w:line="240" w:lineRule="auto"/>
      <w:ind w:left="1540" w:hanging="220"/>
    </w:pPr>
  </w:style>
  <w:style w:type="paragraph" w:styleId="Index8">
    <w:name w:val="index 8"/>
    <w:basedOn w:val="Normal"/>
    <w:next w:val="Normal"/>
    <w:autoRedefine/>
    <w:semiHidden/>
    <w:unhideWhenUsed/>
    <w:rsid w:val="00465398"/>
    <w:pPr>
      <w:spacing w:before="0" w:after="0" w:line="240" w:lineRule="auto"/>
      <w:ind w:left="1760" w:hanging="220"/>
    </w:pPr>
  </w:style>
  <w:style w:type="paragraph" w:styleId="Index9">
    <w:name w:val="index 9"/>
    <w:basedOn w:val="Normal"/>
    <w:next w:val="Normal"/>
    <w:autoRedefine/>
    <w:semiHidden/>
    <w:unhideWhenUsed/>
    <w:rsid w:val="00465398"/>
    <w:pPr>
      <w:spacing w:before="0" w:after="0" w:line="240" w:lineRule="auto"/>
      <w:ind w:left="1980" w:hanging="220"/>
    </w:pPr>
  </w:style>
  <w:style w:type="paragraph" w:styleId="IndexHeading">
    <w:name w:val="index heading"/>
    <w:basedOn w:val="Normal"/>
    <w:next w:val="Index1"/>
    <w:autoRedefine/>
    <w:semiHidden/>
    <w:unhideWhenUsed/>
    <w:rsid w:val="00465398"/>
    <w:rPr>
      <w:rFonts w:asciiTheme="majorHAnsi" w:eastAsiaTheme="majorEastAsia" w:hAnsiTheme="majorHAnsi" w:cstheme="majorBidi"/>
      <w:b/>
      <w:bCs/>
    </w:rPr>
  </w:style>
  <w:style w:type="character" w:styleId="IntenseEmphasis">
    <w:name w:val="Intense Emphasis"/>
    <w:basedOn w:val="DefaultParagraphFont"/>
    <w:uiPriority w:val="21"/>
    <w:rsid w:val="00465398"/>
    <w:rPr>
      <w:b/>
      <w:bCs/>
      <w:i/>
      <w:iCs/>
      <w:color w:val="004200" w:themeColor="accent1"/>
    </w:rPr>
  </w:style>
  <w:style w:type="paragraph" w:styleId="IntenseQuote">
    <w:name w:val="Intense Quote"/>
    <w:basedOn w:val="Normal"/>
    <w:next w:val="Normal"/>
    <w:link w:val="IntenseQuoteChar"/>
    <w:autoRedefine/>
    <w:uiPriority w:val="30"/>
    <w:rsid w:val="00465398"/>
    <w:pPr>
      <w:pBdr>
        <w:bottom w:val="single" w:sz="4" w:space="4" w:color="004200" w:themeColor="accent1"/>
      </w:pBdr>
      <w:spacing w:before="200" w:after="280"/>
      <w:ind w:left="936" w:right="936"/>
    </w:pPr>
    <w:rPr>
      <w:b/>
      <w:bCs/>
      <w:i/>
      <w:iCs/>
      <w:color w:val="004200" w:themeColor="accent1"/>
    </w:rPr>
  </w:style>
  <w:style w:type="character" w:customStyle="1" w:styleId="IntenseQuoteChar">
    <w:name w:val="Intense Quote Char"/>
    <w:basedOn w:val="DefaultParagraphFont"/>
    <w:link w:val="IntenseQuote"/>
    <w:uiPriority w:val="30"/>
    <w:rsid w:val="00465398"/>
    <w:rPr>
      <w:rFonts w:ascii="Arial" w:hAnsi="Arial"/>
      <w:b/>
      <w:bCs/>
      <w:i/>
      <w:iCs/>
      <w:color w:val="004200" w:themeColor="accent1"/>
      <w:sz w:val="22"/>
      <w:szCs w:val="24"/>
    </w:rPr>
  </w:style>
  <w:style w:type="character" w:styleId="IntenseReference">
    <w:name w:val="Intense Reference"/>
    <w:basedOn w:val="DefaultParagraphFont"/>
    <w:uiPriority w:val="32"/>
    <w:rsid w:val="00465398"/>
    <w:rPr>
      <w:b/>
      <w:bCs/>
      <w:smallCaps/>
      <w:color w:val="008542" w:themeColor="accent2"/>
      <w:spacing w:val="5"/>
      <w:u w:val="single"/>
    </w:rPr>
  </w:style>
  <w:style w:type="character" w:styleId="LineNumber">
    <w:name w:val="line number"/>
    <w:basedOn w:val="DefaultParagraphFont"/>
    <w:unhideWhenUsed/>
    <w:rsid w:val="00465398"/>
  </w:style>
  <w:style w:type="paragraph" w:styleId="List">
    <w:name w:val="List"/>
    <w:basedOn w:val="Normal"/>
    <w:autoRedefine/>
    <w:semiHidden/>
    <w:unhideWhenUsed/>
    <w:rsid w:val="00465398"/>
    <w:pPr>
      <w:ind w:left="283" w:hanging="283"/>
      <w:contextualSpacing/>
    </w:pPr>
  </w:style>
  <w:style w:type="paragraph" w:styleId="List2">
    <w:name w:val="List 2"/>
    <w:basedOn w:val="Normal"/>
    <w:autoRedefine/>
    <w:semiHidden/>
    <w:unhideWhenUsed/>
    <w:rsid w:val="00465398"/>
    <w:pPr>
      <w:ind w:left="566" w:hanging="283"/>
      <w:contextualSpacing/>
    </w:pPr>
  </w:style>
  <w:style w:type="paragraph" w:styleId="List3">
    <w:name w:val="List 3"/>
    <w:basedOn w:val="Normal"/>
    <w:autoRedefine/>
    <w:semiHidden/>
    <w:unhideWhenUsed/>
    <w:rsid w:val="00465398"/>
    <w:pPr>
      <w:ind w:left="849" w:hanging="283"/>
      <w:contextualSpacing/>
    </w:pPr>
  </w:style>
  <w:style w:type="paragraph" w:styleId="List4">
    <w:name w:val="List 4"/>
    <w:basedOn w:val="Normal"/>
    <w:autoRedefine/>
    <w:semiHidden/>
    <w:rsid w:val="00465398"/>
    <w:pPr>
      <w:ind w:left="1132" w:hanging="283"/>
      <w:contextualSpacing/>
    </w:pPr>
  </w:style>
  <w:style w:type="paragraph" w:styleId="List5">
    <w:name w:val="List 5"/>
    <w:basedOn w:val="Normal"/>
    <w:autoRedefine/>
    <w:semiHidden/>
    <w:rsid w:val="00465398"/>
    <w:pPr>
      <w:ind w:left="1415" w:hanging="283"/>
      <w:contextualSpacing/>
    </w:pPr>
  </w:style>
  <w:style w:type="paragraph" w:styleId="ListBullet2">
    <w:name w:val="List Bullet 2"/>
    <w:basedOn w:val="Normal"/>
    <w:autoRedefine/>
    <w:uiPriority w:val="3"/>
    <w:semiHidden/>
    <w:unhideWhenUsed/>
    <w:rsid w:val="00465398"/>
    <w:pPr>
      <w:numPr>
        <w:numId w:val="2"/>
      </w:numPr>
      <w:contextualSpacing/>
    </w:pPr>
  </w:style>
  <w:style w:type="paragraph" w:styleId="ListBullet3">
    <w:name w:val="List Bullet 3"/>
    <w:basedOn w:val="Normal"/>
    <w:autoRedefine/>
    <w:uiPriority w:val="3"/>
    <w:semiHidden/>
    <w:unhideWhenUsed/>
    <w:rsid w:val="00465398"/>
    <w:pPr>
      <w:numPr>
        <w:numId w:val="3"/>
      </w:numPr>
      <w:contextualSpacing/>
    </w:pPr>
  </w:style>
  <w:style w:type="paragraph" w:styleId="ListBullet4">
    <w:name w:val="List Bullet 4"/>
    <w:basedOn w:val="Normal"/>
    <w:autoRedefine/>
    <w:uiPriority w:val="3"/>
    <w:semiHidden/>
    <w:unhideWhenUsed/>
    <w:rsid w:val="00465398"/>
    <w:pPr>
      <w:numPr>
        <w:numId w:val="4"/>
      </w:numPr>
      <w:contextualSpacing/>
    </w:pPr>
  </w:style>
  <w:style w:type="paragraph" w:styleId="ListBullet5">
    <w:name w:val="List Bullet 5"/>
    <w:basedOn w:val="Normal"/>
    <w:autoRedefine/>
    <w:uiPriority w:val="3"/>
    <w:semiHidden/>
    <w:unhideWhenUsed/>
    <w:rsid w:val="00465398"/>
    <w:pPr>
      <w:numPr>
        <w:numId w:val="5"/>
      </w:numPr>
      <w:contextualSpacing/>
    </w:pPr>
  </w:style>
  <w:style w:type="paragraph" w:styleId="ListContinue">
    <w:name w:val="List Continue"/>
    <w:basedOn w:val="Normal"/>
    <w:autoRedefine/>
    <w:semiHidden/>
    <w:unhideWhenUsed/>
    <w:rsid w:val="00465398"/>
    <w:pPr>
      <w:ind w:left="283"/>
      <w:contextualSpacing/>
    </w:pPr>
  </w:style>
  <w:style w:type="paragraph" w:styleId="ListContinue2">
    <w:name w:val="List Continue 2"/>
    <w:basedOn w:val="Normal"/>
    <w:autoRedefine/>
    <w:semiHidden/>
    <w:unhideWhenUsed/>
    <w:rsid w:val="00465398"/>
    <w:pPr>
      <w:ind w:left="566"/>
      <w:contextualSpacing/>
    </w:pPr>
  </w:style>
  <w:style w:type="paragraph" w:styleId="ListContinue3">
    <w:name w:val="List Continue 3"/>
    <w:basedOn w:val="Normal"/>
    <w:autoRedefine/>
    <w:semiHidden/>
    <w:unhideWhenUsed/>
    <w:rsid w:val="00465398"/>
    <w:pPr>
      <w:ind w:left="849"/>
      <w:contextualSpacing/>
    </w:pPr>
  </w:style>
  <w:style w:type="paragraph" w:styleId="ListContinue4">
    <w:name w:val="List Continue 4"/>
    <w:basedOn w:val="Normal"/>
    <w:autoRedefine/>
    <w:semiHidden/>
    <w:unhideWhenUsed/>
    <w:rsid w:val="00465398"/>
    <w:pPr>
      <w:ind w:left="1132"/>
      <w:contextualSpacing/>
    </w:pPr>
  </w:style>
  <w:style w:type="paragraph" w:styleId="ListContinue5">
    <w:name w:val="List Continue 5"/>
    <w:basedOn w:val="Normal"/>
    <w:autoRedefine/>
    <w:semiHidden/>
    <w:unhideWhenUsed/>
    <w:rsid w:val="00465398"/>
    <w:pPr>
      <w:ind w:left="1415"/>
      <w:contextualSpacing/>
    </w:pPr>
  </w:style>
  <w:style w:type="paragraph" w:styleId="ListNumber">
    <w:name w:val="List Number"/>
    <w:basedOn w:val="Normal"/>
    <w:autoRedefine/>
    <w:uiPriority w:val="3"/>
    <w:rsid w:val="00465398"/>
    <w:pPr>
      <w:numPr>
        <w:numId w:val="6"/>
      </w:numPr>
      <w:contextualSpacing/>
    </w:pPr>
  </w:style>
  <w:style w:type="paragraph" w:styleId="ListNumber2">
    <w:name w:val="List Number 2"/>
    <w:basedOn w:val="Normal"/>
    <w:autoRedefine/>
    <w:uiPriority w:val="3"/>
    <w:semiHidden/>
    <w:unhideWhenUsed/>
    <w:rsid w:val="00465398"/>
    <w:pPr>
      <w:numPr>
        <w:numId w:val="7"/>
      </w:numPr>
      <w:contextualSpacing/>
    </w:pPr>
  </w:style>
  <w:style w:type="paragraph" w:styleId="ListNumber3">
    <w:name w:val="List Number 3"/>
    <w:basedOn w:val="Normal"/>
    <w:autoRedefine/>
    <w:uiPriority w:val="3"/>
    <w:semiHidden/>
    <w:unhideWhenUsed/>
    <w:rsid w:val="00465398"/>
    <w:pPr>
      <w:numPr>
        <w:numId w:val="8"/>
      </w:numPr>
      <w:contextualSpacing/>
    </w:pPr>
  </w:style>
  <w:style w:type="paragraph" w:styleId="ListNumber4">
    <w:name w:val="List Number 4"/>
    <w:basedOn w:val="Normal"/>
    <w:autoRedefine/>
    <w:uiPriority w:val="3"/>
    <w:semiHidden/>
    <w:unhideWhenUsed/>
    <w:rsid w:val="00465398"/>
    <w:pPr>
      <w:numPr>
        <w:numId w:val="9"/>
      </w:numPr>
      <w:contextualSpacing/>
    </w:pPr>
  </w:style>
  <w:style w:type="paragraph" w:styleId="ListNumber5">
    <w:name w:val="List Number 5"/>
    <w:basedOn w:val="Normal"/>
    <w:autoRedefine/>
    <w:uiPriority w:val="3"/>
    <w:semiHidden/>
    <w:unhideWhenUsed/>
    <w:rsid w:val="00465398"/>
    <w:pPr>
      <w:numPr>
        <w:numId w:val="10"/>
      </w:numPr>
      <w:contextualSpacing/>
    </w:pPr>
  </w:style>
  <w:style w:type="paragraph" w:styleId="MacroText">
    <w:name w:val="macro"/>
    <w:link w:val="MacroTextChar"/>
    <w:autoRedefine/>
    <w:semiHidden/>
    <w:unhideWhenUsed/>
    <w:rsid w:val="00465398"/>
    <w:pPr>
      <w:tabs>
        <w:tab w:val="left" w:pos="480"/>
        <w:tab w:val="left" w:pos="960"/>
        <w:tab w:val="left" w:pos="1440"/>
        <w:tab w:val="left" w:pos="1920"/>
        <w:tab w:val="left" w:pos="2400"/>
        <w:tab w:val="left" w:pos="2880"/>
        <w:tab w:val="left" w:pos="3360"/>
        <w:tab w:val="left" w:pos="3840"/>
        <w:tab w:val="left" w:pos="4320"/>
      </w:tabs>
      <w:spacing w:before="120" w:line="260" w:lineRule="atLeast"/>
    </w:pPr>
    <w:rPr>
      <w:rFonts w:ascii="Consolas" w:hAnsi="Consolas" w:cs="Consolas"/>
    </w:rPr>
  </w:style>
  <w:style w:type="character" w:customStyle="1" w:styleId="MacroTextChar">
    <w:name w:val="Macro Text Char"/>
    <w:basedOn w:val="DefaultParagraphFont"/>
    <w:link w:val="MacroText"/>
    <w:semiHidden/>
    <w:rsid w:val="00465398"/>
    <w:rPr>
      <w:rFonts w:ascii="Consolas" w:hAnsi="Consolas" w:cs="Consolas"/>
    </w:rPr>
  </w:style>
  <w:style w:type="paragraph" w:styleId="MessageHeader">
    <w:name w:val="Message Header"/>
    <w:basedOn w:val="Normal"/>
    <w:link w:val="MessageHeaderChar"/>
    <w:autoRedefine/>
    <w:semiHidden/>
    <w:unhideWhenUsed/>
    <w:rsid w:val="00465398"/>
    <w:pPr>
      <w:pBdr>
        <w:top w:val="single" w:sz="6" w:space="1" w:color="auto"/>
        <w:left w:val="single" w:sz="6" w:space="1" w:color="auto"/>
        <w:bottom w:val="single" w:sz="6" w:space="1" w:color="auto"/>
        <w:right w:val="single" w:sz="6" w:space="1" w:color="auto"/>
      </w:pBdr>
      <w:shd w:val="pct20" w:color="auto" w:fill="auto"/>
      <w:spacing w:before="0" w:after="0" w:line="240" w:lineRule="auto"/>
      <w:ind w:left="1134" w:hanging="1134"/>
    </w:pPr>
    <w:rPr>
      <w:rFonts w:asciiTheme="majorHAnsi" w:eastAsiaTheme="majorEastAsia" w:hAnsiTheme="majorHAnsi" w:cstheme="majorBidi"/>
      <w:sz w:val="24"/>
    </w:rPr>
  </w:style>
  <w:style w:type="character" w:customStyle="1" w:styleId="MessageHeaderChar">
    <w:name w:val="Message Header Char"/>
    <w:basedOn w:val="DefaultParagraphFont"/>
    <w:link w:val="MessageHeader"/>
    <w:semiHidden/>
    <w:rsid w:val="00465398"/>
    <w:rPr>
      <w:rFonts w:asciiTheme="majorHAnsi" w:eastAsiaTheme="majorEastAsia" w:hAnsiTheme="majorHAnsi" w:cstheme="majorBidi"/>
      <w:sz w:val="24"/>
      <w:szCs w:val="24"/>
      <w:shd w:val="pct20" w:color="auto" w:fill="auto"/>
    </w:rPr>
  </w:style>
  <w:style w:type="paragraph" w:styleId="NormalWeb">
    <w:name w:val="Normal (Web)"/>
    <w:basedOn w:val="Normal"/>
    <w:autoRedefine/>
    <w:uiPriority w:val="99"/>
    <w:semiHidden/>
    <w:unhideWhenUsed/>
    <w:rsid w:val="00465398"/>
    <w:rPr>
      <w:rFonts w:ascii="Times New Roman" w:hAnsi="Times New Roman"/>
      <w:sz w:val="24"/>
    </w:rPr>
  </w:style>
  <w:style w:type="paragraph" w:styleId="NoteHeading">
    <w:name w:val="Note Heading"/>
    <w:basedOn w:val="Normal"/>
    <w:next w:val="Normal"/>
    <w:link w:val="NoteHeadingChar"/>
    <w:autoRedefine/>
    <w:semiHidden/>
    <w:unhideWhenUsed/>
    <w:rsid w:val="00465398"/>
    <w:pPr>
      <w:spacing w:before="0" w:after="0" w:line="240" w:lineRule="auto"/>
    </w:pPr>
  </w:style>
  <w:style w:type="character" w:customStyle="1" w:styleId="NoteHeadingChar">
    <w:name w:val="Note Heading Char"/>
    <w:basedOn w:val="DefaultParagraphFont"/>
    <w:link w:val="NoteHeading"/>
    <w:semiHidden/>
    <w:rsid w:val="00465398"/>
    <w:rPr>
      <w:rFonts w:ascii="Arial" w:hAnsi="Arial"/>
      <w:sz w:val="22"/>
      <w:szCs w:val="24"/>
    </w:rPr>
  </w:style>
  <w:style w:type="character" w:styleId="PlaceholderText">
    <w:name w:val="Placeholder Text"/>
    <w:basedOn w:val="DefaultParagraphFont"/>
    <w:uiPriority w:val="99"/>
    <w:semiHidden/>
    <w:rsid w:val="00465398"/>
    <w:rPr>
      <w:color w:val="808080"/>
    </w:rPr>
  </w:style>
  <w:style w:type="paragraph" w:styleId="PlainText">
    <w:name w:val="Plain Text"/>
    <w:basedOn w:val="Normal"/>
    <w:link w:val="PlainTextChar"/>
    <w:autoRedefine/>
    <w:semiHidden/>
    <w:unhideWhenUsed/>
    <w:rsid w:val="00465398"/>
    <w:pPr>
      <w:spacing w:before="0" w:after="0" w:line="240" w:lineRule="auto"/>
    </w:pPr>
    <w:rPr>
      <w:rFonts w:ascii="Consolas" w:hAnsi="Consolas" w:cs="Consolas"/>
      <w:sz w:val="21"/>
      <w:szCs w:val="21"/>
    </w:rPr>
  </w:style>
  <w:style w:type="character" w:customStyle="1" w:styleId="PlainTextChar">
    <w:name w:val="Plain Text Char"/>
    <w:basedOn w:val="DefaultParagraphFont"/>
    <w:link w:val="PlainText"/>
    <w:semiHidden/>
    <w:rsid w:val="00465398"/>
    <w:rPr>
      <w:rFonts w:ascii="Consolas" w:hAnsi="Consolas" w:cs="Consolas"/>
      <w:sz w:val="21"/>
      <w:szCs w:val="21"/>
    </w:rPr>
  </w:style>
  <w:style w:type="paragraph" w:styleId="Salutation">
    <w:name w:val="Salutation"/>
    <w:basedOn w:val="Normal"/>
    <w:next w:val="Normal"/>
    <w:link w:val="SalutationChar"/>
    <w:autoRedefine/>
    <w:semiHidden/>
    <w:rsid w:val="00465398"/>
  </w:style>
  <w:style w:type="character" w:customStyle="1" w:styleId="SalutationChar">
    <w:name w:val="Salutation Char"/>
    <w:basedOn w:val="DefaultParagraphFont"/>
    <w:link w:val="Salutation"/>
    <w:semiHidden/>
    <w:rsid w:val="00465398"/>
    <w:rPr>
      <w:rFonts w:ascii="Arial" w:hAnsi="Arial"/>
      <w:sz w:val="22"/>
      <w:szCs w:val="24"/>
    </w:rPr>
  </w:style>
  <w:style w:type="paragraph" w:styleId="Signature">
    <w:name w:val="Signature"/>
    <w:basedOn w:val="Normal"/>
    <w:link w:val="SignatureChar"/>
    <w:autoRedefine/>
    <w:semiHidden/>
    <w:unhideWhenUsed/>
    <w:rsid w:val="00465398"/>
    <w:pPr>
      <w:spacing w:before="0" w:after="0" w:line="240" w:lineRule="auto"/>
      <w:ind w:left="4252"/>
    </w:pPr>
  </w:style>
  <w:style w:type="character" w:customStyle="1" w:styleId="SignatureChar">
    <w:name w:val="Signature Char"/>
    <w:basedOn w:val="DefaultParagraphFont"/>
    <w:link w:val="Signature"/>
    <w:semiHidden/>
    <w:rsid w:val="00465398"/>
    <w:rPr>
      <w:rFonts w:ascii="Arial" w:hAnsi="Arial"/>
      <w:sz w:val="22"/>
      <w:szCs w:val="24"/>
    </w:rPr>
  </w:style>
  <w:style w:type="character" w:styleId="SubtleReference">
    <w:name w:val="Subtle Reference"/>
    <w:basedOn w:val="DefaultParagraphFont"/>
    <w:uiPriority w:val="31"/>
    <w:rsid w:val="00465398"/>
    <w:rPr>
      <w:smallCaps/>
      <w:color w:val="008542" w:themeColor="accent2"/>
      <w:u w:val="single"/>
    </w:rPr>
  </w:style>
  <w:style w:type="paragraph" w:styleId="TableofAuthorities">
    <w:name w:val="table of authorities"/>
    <w:basedOn w:val="Normal"/>
    <w:next w:val="Normal"/>
    <w:autoRedefine/>
    <w:semiHidden/>
    <w:unhideWhenUsed/>
    <w:rsid w:val="00465398"/>
    <w:pPr>
      <w:spacing w:after="0"/>
      <w:ind w:left="220" w:hanging="220"/>
    </w:pPr>
  </w:style>
  <w:style w:type="paragraph" w:styleId="TableofFigures">
    <w:name w:val="table of figures"/>
    <w:basedOn w:val="Normal"/>
    <w:next w:val="Normal"/>
    <w:autoRedefine/>
    <w:uiPriority w:val="99"/>
    <w:unhideWhenUsed/>
    <w:rsid w:val="00766890"/>
    <w:pPr>
      <w:tabs>
        <w:tab w:val="right" w:leader="dot" w:pos="9356"/>
      </w:tabs>
      <w:spacing w:after="0"/>
      <w:ind w:right="373"/>
    </w:pPr>
  </w:style>
  <w:style w:type="paragraph" w:styleId="TOAHeading">
    <w:name w:val="toa heading"/>
    <w:basedOn w:val="Normal"/>
    <w:next w:val="Normal"/>
    <w:autoRedefine/>
    <w:semiHidden/>
    <w:unhideWhenUsed/>
    <w:rsid w:val="00465398"/>
    <w:rPr>
      <w:rFonts w:asciiTheme="majorHAnsi" w:eastAsiaTheme="majorEastAsia" w:hAnsiTheme="majorHAnsi" w:cstheme="majorBidi"/>
      <w:b/>
      <w:bCs/>
      <w:sz w:val="24"/>
    </w:rPr>
  </w:style>
  <w:style w:type="paragraph" w:styleId="TOC3">
    <w:name w:val="toc 3"/>
    <w:basedOn w:val="Normal"/>
    <w:next w:val="Normal"/>
    <w:autoRedefine/>
    <w:uiPriority w:val="39"/>
    <w:unhideWhenUsed/>
    <w:qFormat/>
    <w:rsid w:val="00465398"/>
    <w:pPr>
      <w:spacing w:before="0" w:after="0"/>
      <w:ind w:left="440"/>
    </w:pPr>
    <w:rPr>
      <w:rFonts w:asciiTheme="minorHAnsi" w:hAnsiTheme="minorHAnsi" w:cstheme="minorHAnsi"/>
      <w:sz w:val="20"/>
      <w:szCs w:val="20"/>
    </w:rPr>
  </w:style>
  <w:style w:type="paragraph" w:styleId="TOC4">
    <w:name w:val="toc 4"/>
    <w:basedOn w:val="Normal"/>
    <w:next w:val="Normal"/>
    <w:autoRedefine/>
    <w:unhideWhenUsed/>
    <w:rsid w:val="00465398"/>
    <w:pPr>
      <w:spacing w:before="0" w:after="0"/>
      <w:ind w:left="660"/>
    </w:pPr>
    <w:rPr>
      <w:rFonts w:asciiTheme="minorHAnsi" w:hAnsiTheme="minorHAnsi" w:cstheme="minorHAnsi"/>
      <w:sz w:val="20"/>
      <w:szCs w:val="20"/>
    </w:rPr>
  </w:style>
  <w:style w:type="paragraph" w:styleId="TOC5">
    <w:name w:val="toc 5"/>
    <w:basedOn w:val="Normal"/>
    <w:next w:val="Normal"/>
    <w:autoRedefine/>
    <w:unhideWhenUsed/>
    <w:rsid w:val="00465398"/>
    <w:pPr>
      <w:spacing w:before="0" w:after="0"/>
      <w:ind w:left="880"/>
    </w:pPr>
    <w:rPr>
      <w:rFonts w:asciiTheme="minorHAnsi" w:hAnsiTheme="minorHAnsi" w:cstheme="minorHAnsi"/>
      <w:sz w:val="20"/>
      <w:szCs w:val="20"/>
    </w:rPr>
  </w:style>
  <w:style w:type="paragraph" w:styleId="TOC6">
    <w:name w:val="toc 6"/>
    <w:basedOn w:val="Normal"/>
    <w:next w:val="Normal"/>
    <w:autoRedefine/>
    <w:unhideWhenUsed/>
    <w:rsid w:val="00465398"/>
    <w:pPr>
      <w:spacing w:before="0" w:after="0"/>
      <w:ind w:left="1100"/>
    </w:pPr>
    <w:rPr>
      <w:rFonts w:asciiTheme="minorHAnsi" w:hAnsiTheme="minorHAnsi" w:cstheme="minorHAnsi"/>
      <w:sz w:val="20"/>
      <w:szCs w:val="20"/>
    </w:rPr>
  </w:style>
  <w:style w:type="paragraph" w:styleId="TOC7">
    <w:name w:val="toc 7"/>
    <w:basedOn w:val="Normal"/>
    <w:next w:val="Normal"/>
    <w:autoRedefine/>
    <w:unhideWhenUsed/>
    <w:rsid w:val="00465398"/>
    <w:pPr>
      <w:spacing w:before="0" w:after="0"/>
      <w:ind w:left="1320"/>
    </w:pPr>
    <w:rPr>
      <w:rFonts w:asciiTheme="minorHAnsi" w:hAnsiTheme="minorHAnsi" w:cstheme="minorHAnsi"/>
      <w:sz w:val="20"/>
      <w:szCs w:val="20"/>
    </w:rPr>
  </w:style>
  <w:style w:type="paragraph" w:styleId="TOC8">
    <w:name w:val="toc 8"/>
    <w:basedOn w:val="Normal"/>
    <w:next w:val="Normal"/>
    <w:autoRedefine/>
    <w:unhideWhenUsed/>
    <w:rsid w:val="00465398"/>
    <w:pPr>
      <w:spacing w:before="0" w:after="0"/>
      <w:ind w:left="1540"/>
    </w:pPr>
    <w:rPr>
      <w:rFonts w:asciiTheme="minorHAnsi" w:hAnsiTheme="minorHAnsi" w:cstheme="minorHAnsi"/>
      <w:sz w:val="20"/>
      <w:szCs w:val="20"/>
    </w:rPr>
  </w:style>
  <w:style w:type="paragraph" w:styleId="TOC9">
    <w:name w:val="toc 9"/>
    <w:basedOn w:val="Normal"/>
    <w:next w:val="Normal"/>
    <w:autoRedefine/>
    <w:unhideWhenUsed/>
    <w:rsid w:val="00465398"/>
    <w:pPr>
      <w:spacing w:before="0" w:after="0"/>
      <w:ind w:left="1760"/>
    </w:pPr>
    <w:rPr>
      <w:rFonts w:asciiTheme="minorHAnsi" w:hAnsiTheme="minorHAnsi" w:cstheme="minorHAnsi"/>
      <w:sz w:val="20"/>
      <w:szCs w:val="20"/>
    </w:rPr>
  </w:style>
  <w:style w:type="character" w:styleId="Hyperlink">
    <w:name w:val="Hyperlink"/>
    <w:basedOn w:val="DefaultParagraphFont"/>
    <w:uiPriority w:val="99"/>
    <w:unhideWhenUsed/>
    <w:rsid w:val="00562759"/>
    <w:rPr>
      <w:color w:val="000000" w:themeColor="hyperlink"/>
      <w:u w:val="single"/>
    </w:rPr>
  </w:style>
  <w:style w:type="character" w:customStyle="1" w:styleId="ListParagraphChar">
    <w:name w:val="List Paragraph Char"/>
    <w:link w:val="ListParagraph"/>
    <w:uiPriority w:val="34"/>
    <w:locked/>
    <w:rsid w:val="002A3926"/>
    <w:rPr>
      <w:rFonts w:ascii="Arial" w:hAnsi="Arial" w:cs="Arial"/>
      <w:sz w:val="22"/>
      <w:szCs w:val="24"/>
    </w:rPr>
  </w:style>
  <w:style w:type="paragraph" w:styleId="Revision">
    <w:name w:val="Revision"/>
    <w:hidden/>
    <w:uiPriority w:val="99"/>
    <w:semiHidden/>
    <w:rsid w:val="00BC14B6"/>
    <w:rPr>
      <w:rFonts w:ascii="Arial" w:hAnsi="Arial"/>
      <w:sz w:val="22"/>
      <w:szCs w:val="24"/>
    </w:rPr>
  </w:style>
  <w:style w:type="character" w:customStyle="1" w:styleId="FooterChar">
    <w:name w:val="Footer Char"/>
    <w:basedOn w:val="DefaultParagraphFont"/>
    <w:link w:val="Footer"/>
    <w:uiPriority w:val="99"/>
    <w:rsid w:val="003C7472"/>
    <w:rPr>
      <w:rFonts w:ascii="Arial" w:hAnsi="Arial"/>
      <w:b/>
      <w:sz w:val="96"/>
      <w:szCs w:val="96"/>
    </w:rPr>
  </w:style>
  <w:style w:type="paragraph" w:customStyle="1" w:styleId="TableListNumber">
    <w:name w:val="Table List Number"/>
    <w:basedOn w:val="Normal"/>
    <w:rsid w:val="001231DF"/>
    <w:pPr>
      <w:numPr>
        <w:numId w:val="18"/>
      </w:numPr>
      <w:spacing w:before="60" w:after="40" w:line="240" w:lineRule="auto"/>
    </w:pPr>
    <w:rPr>
      <w:rFonts w:eastAsia="MS Mincho"/>
      <w:lang w:eastAsia="en-US"/>
    </w:rPr>
  </w:style>
  <w:style w:type="character" w:customStyle="1" w:styleId="Heading1Char">
    <w:name w:val="Heading 1 Char"/>
    <w:link w:val="Heading1"/>
    <w:locked/>
    <w:rsid w:val="001231DF"/>
    <w:rPr>
      <w:rFonts w:ascii="Arial Bold" w:hAnsi="Arial Bold"/>
      <w:b/>
      <w:sz w:val="40"/>
      <w:szCs w:val="4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A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iPriority="2" w:unhideWhenUsed="0" w:qFormat="1"/>
    <w:lsdException w:name="heading 3" w:semiHidden="0" w:uiPriority="2" w:unhideWhenUsed="0" w:qFormat="1"/>
    <w:lsdException w:name="heading 4" w:semiHidden="0" w:unhideWhenUsed="0"/>
    <w:lsdException w:name="heading 5" w:semiHidden="0" w:unhideWhenUsed="0"/>
    <w:lsdException w:name="toc 1" w:uiPriority="39" w:qFormat="1"/>
    <w:lsdException w:name="toc 2" w:uiPriority="39" w:qFormat="1"/>
    <w:lsdException w:name="toc 3" w:uiPriority="39" w:qFormat="1"/>
    <w:lsdException w:name="footer" w:uiPriority="99"/>
    <w:lsdException w:name="table of figures" w:uiPriority="99"/>
    <w:lsdException w:name="List Bullet" w:qFormat="1"/>
    <w:lsdException w:name="List Number" w:semiHidden="0" w:uiPriority="3" w:unhideWhenUsed="0"/>
    <w:lsdException w:name="List 4" w:unhideWhenUsed="0"/>
    <w:lsdException w:name="List 5" w:unhideWhenUsed="0"/>
    <w:lsdException w:name="List Bullet 2" w:uiPriority="3"/>
    <w:lsdException w:name="List Bullet 3" w:uiPriority="3"/>
    <w:lsdException w:name="List Bullet 4" w:uiPriority="3"/>
    <w:lsdException w:name="List Bullet 5" w:uiPriority="3"/>
    <w:lsdException w:name="List Number 2" w:uiPriority="3"/>
    <w:lsdException w:name="List Number 3" w:uiPriority="3"/>
    <w:lsdException w:name="List Number 4" w:uiPriority="3"/>
    <w:lsdException w:name="List Number 5" w:uiPriority="3"/>
    <w:lsdException w:name="Title" w:semiHidden="0" w:unhideWhenUsed="0"/>
    <w:lsdException w:name="Body Text" w:qFormat="1"/>
    <w:lsdException w:name="Subtitle" w:semiHidden="0" w:unhideWhenUsed="0"/>
    <w:lsdException w:name="Salutation" w:unhideWhenUsed="0"/>
    <w:lsdException w:name="Date" w:unhideWhenUsed="0"/>
    <w:lsdException w:name="Body Text First Indent" w:unhideWhenUsed="0"/>
    <w:lsdException w:name="Hyperlink" w:uiPriority="99"/>
    <w:lsdException w:name="Strong" w:semiHidden="0" w:unhideWhenUsed="0" w:qFormat="1"/>
    <w:lsdException w:name="Emphasis" w:semiHidden="0" w:uiPriority="20" w:unhideWhenUsed="0" w:qFormat="1"/>
    <w:lsdException w:name="Normal (Web)" w:uiPriority="99"/>
    <w:lsdException w:name="Normal Table" w:semiHidden="0" w:unhideWhenUsed="0"/>
    <w:lsdException w:name="Table Web 2" w:semiHidden="0" w:unhideWhenUsed="0"/>
    <w:lsdException w:name="Table Grid" w:semiHidden="0" w:unhideWhenUsed="0"/>
    <w:lsdException w:name="Table Theme"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uiPriority w:val="1"/>
    <w:qFormat/>
    <w:rsid w:val="00B15ED0"/>
    <w:pPr>
      <w:spacing w:before="120" w:after="120" w:line="260" w:lineRule="atLeast"/>
    </w:pPr>
    <w:rPr>
      <w:rFonts w:ascii="Arial" w:hAnsi="Arial"/>
      <w:sz w:val="22"/>
      <w:szCs w:val="24"/>
    </w:rPr>
  </w:style>
  <w:style w:type="paragraph" w:styleId="Heading1">
    <w:name w:val="heading 1"/>
    <w:basedOn w:val="Normal"/>
    <w:next w:val="Normal"/>
    <w:link w:val="Heading1Char"/>
    <w:autoRedefine/>
    <w:qFormat/>
    <w:rsid w:val="003B4C44"/>
    <w:pPr>
      <w:keepNext/>
      <w:keepLines/>
      <w:spacing w:before="240" w:after="240" w:line="240" w:lineRule="auto"/>
      <w:contextualSpacing/>
      <w:outlineLvl w:val="0"/>
    </w:pPr>
    <w:rPr>
      <w:rFonts w:ascii="Arial Bold" w:hAnsi="Arial Bold"/>
      <w:b/>
      <w:sz w:val="40"/>
      <w:szCs w:val="44"/>
    </w:rPr>
  </w:style>
  <w:style w:type="paragraph" w:styleId="Heading2">
    <w:name w:val="heading 2"/>
    <w:basedOn w:val="Heading1"/>
    <w:next w:val="Normal"/>
    <w:link w:val="Heading2Char"/>
    <w:autoRedefine/>
    <w:uiPriority w:val="2"/>
    <w:qFormat/>
    <w:rsid w:val="002868E4"/>
    <w:pPr>
      <w:numPr>
        <w:ilvl w:val="1"/>
      </w:numPr>
      <w:spacing w:before="360"/>
      <w:ind w:left="567" w:hanging="567"/>
      <w:outlineLvl w:val="1"/>
    </w:pPr>
    <w:rPr>
      <w:rFonts w:asciiTheme="majorHAnsi" w:hAnsiTheme="majorHAnsi"/>
      <w:sz w:val="32"/>
      <w:szCs w:val="32"/>
    </w:rPr>
  </w:style>
  <w:style w:type="paragraph" w:styleId="Heading3">
    <w:name w:val="heading 3"/>
    <w:basedOn w:val="Normal"/>
    <w:next w:val="Normal"/>
    <w:autoRedefine/>
    <w:uiPriority w:val="2"/>
    <w:qFormat/>
    <w:rsid w:val="00350852"/>
    <w:pPr>
      <w:keepNext/>
      <w:keepLines/>
      <w:spacing w:before="240" w:line="240" w:lineRule="auto"/>
      <w:contextualSpacing/>
      <w:outlineLvl w:val="2"/>
    </w:pPr>
    <w:rPr>
      <w:rFonts w:asciiTheme="majorHAnsi" w:hAnsiTheme="majorHAnsi"/>
      <w:b/>
      <w:color w:val="004200" w:themeColor="accent1"/>
      <w:sz w:val="24"/>
      <w:szCs w:val="28"/>
    </w:rPr>
  </w:style>
  <w:style w:type="paragraph" w:styleId="Heading4">
    <w:name w:val="heading 4"/>
    <w:basedOn w:val="Normal"/>
    <w:next w:val="Normal"/>
    <w:autoRedefine/>
    <w:uiPriority w:val="2"/>
    <w:rsid w:val="00EB13A7"/>
    <w:pPr>
      <w:keepNext/>
      <w:keepLines/>
      <w:spacing w:before="240"/>
      <w:contextualSpacing/>
      <w:outlineLvl w:val="3"/>
    </w:pPr>
    <w:rPr>
      <w:color w:val="636466" w:themeColor="accent4"/>
    </w:rPr>
  </w:style>
  <w:style w:type="paragraph" w:styleId="Heading5">
    <w:name w:val="heading 5"/>
    <w:basedOn w:val="Normal"/>
    <w:next w:val="Normal"/>
    <w:link w:val="Heading5Char"/>
    <w:autoRedefine/>
    <w:semiHidden/>
    <w:rsid w:val="002672F1"/>
    <w:pPr>
      <w:keepNext/>
      <w:spacing w:before="240"/>
      <w:contextualSpacing/>
      <w:outlineLvl w:val="4"/>
    </w:pPr>
    <w:rPr>
      <w:b/>
      <w:szCs w:val="22"/>
    </w:rPr>
  </w:style>
  <w:style w:type="paragraph" w:styleId="Heading6">
    <w:name w:val="heading 6"/>
    <w:basedOn w:val="Normal"/>
    <w:next w:val="Normal"/>
    <w:link w:val="Heading6Char"/>
    <w:autoRedefine/>
    <w:semiHidden/>
    <w:rsid w:val="002672F1"/>
    <w:pPr>
      <w:keepNext/>
      <w:spacing w:before="240"/>
      <w:contextualSpacing/>
      <w:outlineLvl w:val="5"/>
    </w:pPr>
    <w:rPr>
      <w:b/>
      <w:sz w:val="20"/>
      <w:szCs w:val="22"/>
    </w:rPr>
  </w:style>
  <w:style w:type="paragraph" w:styleId="Heading7">
    <w:name w:val="heading 7"/>
    <w:basedOn w:val="Normal"/>
    <w:next w:val="Normal"/>
    <w:link w:val="Heading7Char"/>
    <w:autoRedefine/>
    <w:semiHidden/>
    <w:unhideWhenUsed/>
    <w:rsid w:val="00465398"/>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autoRedefine/>
    <w:semiHidden/>
    <w:unhideWhenUsed/>
    <w:rsid w:val="00465398"/>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autoRedefine/>
    <w:semiHidden/>
    <w:unhideWhenUsed/>
    <w:rsid w:val="00465398"/>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autoRedefine/>
    <w:uiPriority w:val="99"/>
    <w:rsid w:val="00847F04"/>
    <w:pPr>
      <w:tabs>
        <w:tab w:val="right" w:pos="10319"/>
      </w:tabs>
      <w:spacing w:before="0" w:after="0" w:line="240" w:lineRule="auto"/>
    </w:pPr>
    <w:rPr>
      <w:b/>
      <w:sz w:val="96"/>
      <w:szCs w:val="96"/>
    </w:rPr>
  </w:style>
  <w:style w:type="paragraph" w:styleId="Title">
    <w:name w:val="Title"/>
    <w:basedOn w:val="Normal"/>
    <w:next w:val="Subtitle"/>
    <w:autoRedefine/>
    <w:rsid w:val="00043CF6"/>
    <w:pPr>
      <w:spacing w:before="480" w:after="360" w:line="204" w:lineRule="auto"/>
      <w:contextualSpacing/>
      <w:outlineLvl w:val="0"/>
    </w:pPr>
    <w:rPr>
      <w:rFonts w:ascii="Arial Bold" w:hAnsi="Arial Bold" w:cs="Arial"/>
      <w:b/>
      <w:bCs/>
      <w:color w:val="004200" w:themeColor="accent1"/>
      <w:kern w:val="28"/>
      <w:sz w:val="84"/>
      <w:szCs w:val="32"/>
    </w:rPr>
  </w:style>
  <w:style w:type="paragraph" w:styleId="ListBullet">
    <w:name w:val="List Bullet"/>
    <w:basedOn w:val="Normal"/>
    <w:autoRedefine/>
    <w:qFormat/>
    <w:rsid w:val="00D91466"/>
    <w:pPr>
      <w:numPr>
        <w:numId w:val="1"/>
      </w:numPr>
      <w:spacing w:before="60" w:after="60"/>
    </w:pPr>
  </w:style>
  <w:style w:type="paragraph" w:styleId="Footer">
    <w:name w:val="footer"/>
    <w:basedOn w:val="Header"/>
    <w:link w:val="FooterChar"/>
    <w:autoRedefine/>
    <w:uiPriority w:val="99"/>
    <w:rsid w:val="00733251"/>
    <w:pPr>
      <w:tabs>
        <w:tab w:val="right" w:pos="9639"/>
      </w:tabs>
    </w:pPr>
  </w:style>
  <w:style w:type="paragraph" w:styleId="Index1">
    <w:name w:val="index 1"/>
    <w:basedOn w:val="Normal"/>
    <w:next w:val="Normal"/>
    <w:autoRedefine/>
    <w:semiHidden/>
    <w:unhideWhenUsed/>
    <w:rsid w:val="00465398"/>
    <w:pPr>
      <w:spacing w:before="0" w:after="0" w:line="240" w:lineRule="auto"/>
      <w:ind w:left="220" w:hanging="220"/>
    </w:pPr>
  </w:style>
  <w:style w:type="character" w:customStyle="1" w:styleId="Heading5Char">
    <w:name w:val="Heading 5 Char"/>
    <w:basedOn w:val="DefaultParagraphFont"/>
    <w:link w:val="Heading5"/>
    <w:semiHidden/>
    <w:rsid w:val="001D2904"/>
    <w:rPr>
      <w:rFonts w:ascii="Arial" w:hAnsi="Arial"/>
      <w:b/>
      <w:sz w:val="22"/>
      <w:szCs w:val="22"/>
    </w:rPr>
  </w:style>
  <w:style w:type="table" w:styleId="TableGrid">
    <w:name w:val="Table Grid"/>
    <w:basedOn w:val="TableNormal"/>
    <w:rsid w:val="0014295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autoRedefine/>
    <w:rsid w:val="002A3926"/>
    <w:pPr>
      <w:spacing w:before="0" w:after="0" w:line="240" w:lineRule="auto"/>
      <w:ind w:left="142" w:hanging="142"/>
    </w:pPr>
    <w:rPr>
      <w:sz w:val="18"/>
      <w:szCs w:val="20"/>
    </w:rPr>
  </w:style>
  <w:style w:type="character" w:customStyle="1" w:styleId="FootnoteTextChar">
    <w:name w:val="Footnote Text Char"/>
    <w:basedOn w:val="DefaultParagraphFont"/>
    <w:link w:val="FootnoteText"/>
    <w:rsid w:val="002A3926"/>
    <w:rPr>
      <w:rFonts w:ascii="Arial" w:hAnsi="Arial"/>
      <w:sz w:val="18"/>
    </w:rPr>
  </w:style>
  <w:style w:type="character" w:styleId="FootnoteReference">
    <w:name w:val="footnote reference"/>
    <w:basedOn w:val="DefaultParagraphFont"/>
    <w:rsid w:val="00843390"/>
    <w:rPr>
      <w:vertAlign w:val="superscript"/>
    </w:rPr>
  </w:style>
  <w:style w:type="paragraph" w:styleId="ListParagraph">
    <w:name w:val="List Paragraph"/>
    <w:basedOn w:val="Normal"/>
    <w:link w:val="ListParagraphChar"/>
    <w:autoRedefine/>
    <w:uiPriority w:val="34"/>
    <w:qFormat/>
    <w:rsid w:val="002A3926"/>
    <w:pPr>
      <w:numPr>
        <w:numId w:val="14"/>
      </w:numPr>
    </w:pPr>
    <w:rPr>
      <w:rFonts w:cs="Arial"/>
    </w:rPr>
  </w:style>
  <w:style w:type="character" w:customStyle="1" w:styleId="Heading2Char">
    <w:name w:val="Heading 2 Char"/>
    <w:basedOn w:val="DefaultParagraphFont"/>
    <w:link w:val="Heading2"/>
    <w:uiPriority w:val="2"/>
    <w:rsid w:val="002868E4"/>
    <w:rPr>
      <w:rFonts w:asciiTheme="majorHAnsi" w:hAnsiTheme="majorHAnsi"/>
      <w:b/>
      <w:sz w:val="32"/>
      <w:szCs w:val="32"/>
    </w:rPr>
  </w:style>
  <w:style w:type="paragraph" w:styleId="TOC1">
    <w:name w:val="toc 1"/>
    <w:basedOn w:val="Normal"/>
    <w:next w:val="Normal"/>
    <w:autoRedefine/>
    <w:uiPriority w:val="39"/>
    <w:qFormat/>
    <w:rsid w:val="00135B7E"/>
    <w:pPr>
      <w:spacing w:after="0"/>
    </w:pPr>
    <w:rPr>
      <w:rFonts w:asciiTheme="minorHAnsi" w:hAnsiTheme="minorHAnsi" w:cstheme="minorHAnsi"/>
      <w:b/>
      <w:bCs/>
      <w:i/>
      <w:iCs/>
      <w:sz w:val="24"/>
    </w:rPr>
  </w:style>
  <w:style w:type="paragraph" w:styleId="TOC2">
    <w:name w:val="toc 2"/>
    <w:basedOn w:val="Normal"/>
    <w:next w:val="Normal"/>
    <w:autoRedefine/>
    <w:uiPriority w:val="39"/>
    <w:qFormat/>
    <w:rsid w:val="00135B7E"/>
    <w:pPr>
      <w:spacing w:after="0"/>
      <w:ind w:left="220"/>
    </w:pPr>
    <w:rPr>
      <w:rFonts w:asciiTheme="minorHAnsi" w:hAnsiTheme="minorHAnsi" w:cstheme="minorHAnsi"/>
      <w:b/>
      <w:bCs/>
      <w:szCs w:val="22"/>
    </w:rPr>
  </w:style>
  <w:style w:type="paragraph" w:customStyle="1" w:styleId="TableText">
    <w:name w:val="Table Text"/>
    <w:basedOn w:val="Normal"/>
    <w:autoRedefine/>
    <w:uiPriority w:val="99"/>
    <w:qFormat/>
    <w:rsid w:val="009005A6"/>
    <w:pPr>
      <w:spacing w:before="80" w:after="80" w:line="240" w:lineRule="atLeast"/>
    </w:pPr>
    <w:rPr>
      <w:sz w:val="20"/>
    </w:rPr>
  </w:style>
  <w:style w:type="character" w:styleId="Emphasis">
    <w:name w:val="Emphasis"/>
    <w:basedOn w:val="DefaultParagraphFont"/>
    <w:uiPriority w:val="20"/>
    <w:qFormat/>
    <w:rsid w:val="00D92300"/>
    <w:rPr>
      <w:i/>
      <w:iCs/>
    </w:rPr>
  </w:style>
  <w:style w:type="character" w:customStyle="1" w:styleId="Heading6Char">
    <w:name w:val="Heading 6 Char"/>
    <w:basedOn w:val="DefaultParagraphFont"/>
    <w:link w:val="Heading6"/>
    <w:semiHidden/>
    <w:rsid w:val="001D2904"/>
    <w:rPr>
      <w:rFonts w:ascii="Arial" w:hAnsi="Arial"/>
      <w:b/>
      <w:szCs w:val="22"/>
    </w:rPr>
  </w:style>
  <w:style w:type="table" w:customStyle="1" w:styleId="DefaultTable">
    <w:name w:val="Default Table"/>
    <w:basedOn w:val="TableNormal"/>
    <w:uiPriority w:val="99"/>
    <w:rsid w:val="00733251"/>
    <w:tblPr>
      <w:tblStyleRowBandSize w:val="1"/>
      <w:tblInd w:w="85" w:type="dxa"/>
      <w:tblBorders>
        <w:bottom w:val="single" w:sz="4" w:space="0" w:color="auto"/>
        <w:insideV w:val="single" w:sz="4" w:space="0" w:color="auto"/>
      </w:tblBorders>
      <w:tblCellMar>
        <w:left w:w="85" w:type="dxa"/>
        <w:right w:w="85" w:type="dxa"/>
      </w:tblCellMar>
    </w:tblPr>
    <w:trPr>
      <w:cantSplit/>
    </w:trPr>
    <w:tblStylePr w:type="firstRow">
      <w:pPr>
        <w:jc w:val="left"/>
      </w:pPr>
      <w:rPr>
        <w:b/>
        <w:color w:val="008542" w:themeColor="accent2"/>
      </w:rPr>
      <w:tblPr/>
      <w:trPr>
        <w:tblHeader/>
      </w:trPr>
      <w:tcPr>
        <w:vAlign w:val="bottom"/>
      </w:tcPr>
    </w:tblStylePr>
    <w:tblStylePr w:type="firstCol">
      <w:rPr>
        <w:b/>
      </w:rPr>
      <w:tblPr/>
      <w:tcPr>
        <w:tcBorders>
          <w:top w:val="nil"/>
          <w:left w:val="nil"/>
          <w:bottom w:val="single" w:sz="4" w:space="0" w:color="auto"/>
          <w:right w:val="nil"/>
          <w:insideH w:val="nil"/>
          <w:insideV w:val="nil"/>
          <w:tl2br w:val="nil"/>
          <w:tr2bl w:val="nil"/>
        </w:tcBorders>
      </w:tcPr>
    </w:tblStylePr>
    <w:tblStylePr w:type="band1Horz">
      <w:tblPr/>
      <w:tcPr>
        <w:shd w:val="clear" w:color="auto" w:fill="E6E7E9"/>
      </w:tcPr>
    </w:tblStylePr>
  </w:style>
  <w:style w:type="paragraph" w:styleId="TOCHeading">
    <w:name w:val="TOC Heading"/>
    <w:basedOn w:val="Heading1"/>
    <w:next w:val="Normal"/>
    <w:autoRedefine/>
    <w:uiPriority w:val="39"/>
    <w:qFormat/>
    <w:rsid w:val="00AE3B41"/>
    <w:pPr>
      <w:spacing w:after="120"/>
      <w:outlineLvl w:val="9"/>
    </w:pPr>
    <w:rPr>
      <w:rFonts w:eastAsiaTheme="majorEastAsia" w:cstheme="majorBidi"/>
      <w:bCs/>
      <w:szCs w:val="28"/>
    </w:rPr>
  </w:style>
  <w:style w:type="paragraph" w:customStyle="1" w:styleId="SourceNotesText">
    <w:name w:val="Source/Notes Text"/>
    <w:basedOn w:val="Normal"/>
    <w:autoRedefine/>
    <w:uiPriority w:val="9"/>
    <w:qFormat/>
    <w:rsid w:val="007802BE"/>
    <w:pPr>
      <w:spacing w:line="240" w:lineRule="auto"/>
    </w:pPr>
    <w:rPr>
      <w:sz w:val="18"/>
      <w:szCs w:val="16"/>
    </w:rPr>
  </w:style>
  <w:style w:type="character" w:styleId="Strong">
    <w:name w:val="Strong"/>
    <w:basedOn w:val="DefaultParagraphFont"/>
    <w:qFormat/>
    <w:rsid w:val="00D45B67"/>
    <w:rPr>
      <w:b/>
      <w:bCs/>
    </w:rPr>
  </w:style>
  <w:style w:type="paragraph" w:customStyle="1" w:styleId="Intro">
    <w:name w:val="Intro"/>
    <w:basedOn w:val="Normal"/>
    <w:autoRedefine/>
    <w:uiPriority w:val="2"/>
    <w:qFormat/>
    <w:rsid w:val="00465398"/>
    <w:rPr>
      <w:color w:val="008542" w:themeColor="accent2"/>
      <w:szCs w:val="30"/>
    </w:rPr>
  </w:style>
  <w:style w:type="paragraph" w:styleId="BalloonText">
    <w:name w:val="Balloon Text"/>
    <w:basedOn w:val="Normal"/>
    <w:link w:val="BalloonTextChar"/>
    <w:autoRedefine/>
    <w:semiHidden/>
    <w:rsid w:val="001B5259"/>
    <w:rPr>
      <w:rFonts w:ascii="Tahoma" w:hAnsi="Tahoma" w:cs="Tahoma"/>
      <w:sz w:val="16"/>
      <w:szCs w:val="16"/>
    </w:rPr>
  </w:style>
  <w:style w:type="character" w:customStyle="1" w:styleId="BalloonTextChar">
    <w:name w:val="Balloon Text Char"/>
    <w:basedOn w:val="DefaultParagraphFont"/>
    <w:link w:val="BalloonText"/>
    <w:semiHidden/>
    <w:rsid w:val="001D2904"/>
    <w:rPr>
      <w:rFonts w:ascii="Tahoma" w:hAnsi="Tahoma" w:cs="Tahoma"/>
      <w:sz w:val="16"/>
      <w:szCs w:val="16"/>
    </w:rPr>
  </w:style>
  <w:style w:type="paragraph" w:styleId="NoSpacing">
    <w:name w:val="No Spacing"/>
    <w:autoRedefine/>
    <w:qFormat/>
    <w:rsid w:val="00406578"/>
    <w:rPr>
      <w:rFonts w:ascii="Arial" w:hAnsi="Arial"/>
      <w:sz w:val="22"/>
      <w:szCs w:val="24"/>
    </w:rPr>
  </w:style>
  <w:style w:type="paragraph" w:styleId="EndnoteText">
    <w:name w:val="endnote text"/>
    <w:basedOn w:val="Normal"/>
    <w:link w:val="EndnoteTextChar"/>
    <w:autoRedefine/>
    <w:semiHidden/>
    <w:rsid w:val="00EE265C"/>
    <w:rPr>
      <w:sz w:val="20"/>
      <w:szCs w:val="20"/>
    </w:rPr>
  </w:style>
  <w:style w:type="character" w:customStyle="1" w:styleId="EndnoteTextChar">
    <w:name w:val="Endnote Text Char"/>
    <w:basedOn w:val="DefaultParagraphFont"/>
    <w:link w:val="EndnoteText"/>
    <w:semiHidden/>
    <w:rsid w:val="001D2904"/>
    <w:rPr>
      <w:rFonts w:ascii="Arial" w:hAnsi="Arial"/>
    </w:rPr>
  </w:style>
  <w:style w:type="character" w:styleId="EndnoteReference">
    <w:name w:val="endnote reference"/>
    <w:basedOn w:val="DefaultParagraphFont"/>
    <w:semiHidden/>
    <w:rsid w:val="00EE265C"/>
    <w:rPr>
      <w:vertAlign w:val="superscript"/>
    </w:rPr>
  </w:style>
  <w:style w:type="character" w:styleId="FollowedHyperlink">
    <w:name w:val="FollowedHyperlink"/>
    <w:basedOn w:val="DefaultParagraphFont"/>
    <w:semiHidden/>
    <w:rsid w:val="000E39EF"/>
    <w:rPr>
      <w:color w:val="000000" w:themeColor="followedHyperlink"/>
      <w:u w:val="single"/>
    </w:rPr>
  </w:style>
  <w:style w:type="paragraph" w:styleId="Subtitle">
    <w:name w:val="Subtitle"/>
    <w:basedOn w:val="Normal"/>
    <w:link w:val="SubtitleChar"/>
    <w:autoRedefine/>
    <w:rsid w:val="00043CF6"/>
    <w:pPr>
      <w:numPr>
        <w:ilvl w:val="1"/>
      </w:numPr>
      <w:spacing w:before="480" w:after="360"/>
      <w:contextualSpacing/>
    </w:pPr>
    <w:rPr>
      <w:rFonts w:asciiTheme="majorHAnsi" w:eastAsiaTheme="majorEastAsia" w:hAnsiTheme="majorHAnsi" w:cstheme="majorBidi"/>
      <w:b/>
      <w:iCs/>
      <w:color w:val="004200" w:themeColor="accent1"/>
      <w:sz w:val="40"/>
    </w:rPr>
  </w:style>
  <w:style w:type="character" w:customStyle="1" w:styleId="SubtitleChar">
    <w:name w:val="Subtitle Char"/>
    <w:basedOn w:val="DefaultParagraphFont"/>
    <w:link w:val="Subtitle"/>
    <w:rsid w:val="00043CF6"/>
    <w:rPr>
      <w:rFonts w:asciiTheme="majorHAnsi" w:eastAsiaTheme="majorEastAsia" w:hAnsiTheme="majorHAnsi" w:cstheme="majorBidi"/>
      <w:b/>
      <w:iCs/>
      <w:color w:val="004200" w:themeColor="accent1"/>
      <w:sz w:val="40"/>
      <w:szCs w:val="24"/>
    </w:rPr>
  </w:style>
  <w:style w:type="paragraph" w:customStyle="1" w:styleId="TableHeading">
    <w:name w:val="Table Heading"/>
    <w:basedOn w:val="Normal"/>
    <w:next w:val="TableText"/>
    <w:autoRedefine/>
    <w:uiPriority w:val="99"/>
    <w:rsid w:val="00835FC9"/>
    <w:pPr>
      <w:keepNext/>
      <w:keepLines/>
      <w:spacing w:before="360"/>
      <w:contextualSpacing/>
    </w:pPr>
    <w:rPr>
      <w:b/>
      <w:szCs w:val="20"/>
    </w:rPr>
  </w:style>
  <w:style w:type="paragraph" w:customStyle="1" w:styleId="FigureHeading">
    <w:name w:val="Figure Heading"/>
    <w:basedOn w:val="Normal"/>
    <w:next w:val="Normal"/>
    <w:autoRedefine/>
    <w:uiPriority w:val="99"/>
    <w:qFormat/>
    <w:rsid w:val="00E74A73"/>
    <w:pPr>
      <w:keepNext/>
      <w:keepLines/>
      <w:numPr>
        <w:numId w:val="11"/>
      </w:numPr>
      <w:tabs>
        <w:tab w:val="left" w:pos="907"/>
      </w:tabs>
      <w:ind w:left="907" w:hanging="907"/>
      <w:contextualSpacing/>
    </w:pPr>
  </w:style>
  <w:style w:type="paragraph" w:customStyle="1" w:styleId="FinancialsH1">
    <w:name w:val="Financials H1"/>
    <w:basedOn w:val="Heading1"/>
    <w:next w:val="Normal"/>
    <w:autoRedefine/>
    <w:uiPriority w:val="1"/>
    <w:semiHidden/>
    <w:rsid w:val="00CC2138"/>
    <w:pPr>
      <w:spacing w:after="360"/>
    </w:pPr>
    <w:rPr>
      <w:color w:val="008542" w:themeColor="accent2"/>
      <w:sz w:val="44"/>
    </w:rPr>
  </w:style>
  <w:style w:type="paragraph" w:customStyle="1" w:styleId="FinancialsH2">
    <w:name w:val="Financials H2"/>
    <w:basedOn w:val="Heading2"/>
    <w:next w:val="Normal"/>
    <w:autoRedefine/>
    <w:uiPriority w:val="1"/>
    <w:semiHidden/>
    <w:rsid w:val="00FC654D"/>
    <w:pPr>
      <w:spacing w:after="0"/>
    </w:pPr>
    <w:rPr>
      <w:rFonts w:ascii="Arial Bold" w:hAnsi="Arial Bold"/>
      <w:caps/>
      <w:sz w:val="24"/>
      <w:szCs w:val="24"/>
    </w:rPr>
  </w:style>
  <w:style w:type="paragraph" w:customStyle="1" w:styleId="FinancialsH3">
    <w:name w:val="Financials H3"/>
    <w:basedOn w:val="Heading3"/>
    <w:autoRedefine/>
    <w:uiPriority w:val="1"/>
    <w:semiHidden/>
    <w:rsid w:val="00CC2138"/>
    <w:rPr>
      <w:szCs w:val="22"/>
      <w:lang w:val="en-GB"/>
    </w:rPr>
  </w:style>
  <w:style w:type="paragraph" w:customStyle="1" w:styleId="FinancialsH4">
    <w:name w:val="Financials H4"/>
    <w:basedOn w:val="Heading4"/>
    <w:autoRedefine/>
    <w:uiPriority w:val="1"/>
    <w:semiHidden/>
    <w:rsid w:val="00A00568"/>
    <w:pPr>
      <w:spacing w:before="120"/>
    </w:pPr>
    <w:rPr>
      <w:rFonts w:ascii="Arial Bold" w:hAnsi="Arial Bold"/>
      <w:lang w:val="en-GB"/>
    </w:rPr>
  </w:style>
  <w:style w:type="paragraph" w:customStyle="1" w:styleId="FinancialsH5">
    <w:name w:val="Financials H5"/>
    <w:basedOn w:val="Heading5"/>
    <w:autoRedefine/>
    <w:uiPriority w:val="1"/>
    <w:semiHidden/>
    <w:rsid w:val="00A00568"/>
    <w:pPr>
      <w:spacing w:before="120"/>
    </w:pPr>
    <w:rPr>
      <w:bCs/>
      <w:lang w:val="en-GB"/>
    </w:rPr>
  </w:style>
  <w:style w:type="paragraph" w:customStyle="1" w:styleId="FinancialsTableH2">
    <w:name w:val="Financials Table H2"/>
    <w:basedOn w:val="TableText"/>
    <w:autoRedefine/>
    <w:uiPriority w:val="1"/>
    <w:semiHidden/>
    <w:rsid w:val="00660951"/>
    <w:pPr>
      <w:spacing w:before="120" w:after="40" w:line="240" w:lineRule="auto"/>
    </w:pPr>
    <w:rPr>
      <w:b/>
      <w:color w:val="008542" w:themeColor="accent2"/>
    </w:rPr>
  </w:style>
  <w:style w:type="paragraph" w:customStyle="1" w:styleId="FinancialsTableText">
    <w:name w:val="Financials Table Text"/>
    <w:basedOn w:val="TableText"/>
    <w:autoRedefine/>
    <w:uiPriority w:val="1"/>
    <w:semiHidden/>
    <w:rsid w:val="00660951"/>
    <w:pPr>
      <w:spacing w:before="40" w:after="40" w:line="240" w:lineRule="auto"/>
    </w:pPr>
  </w:style>
  <w:style w:type="paragraph" w:customStyle="1" w:styleId="FinancialsTableTextIndented">
    <w:name w:val="Financials Table Text Indented"/>
    <w:basedOn w:val="TableText"/>
    <w:autoRedefine/>
    <w:uiPriority w:val="1"/>
    <w:semiHidden/>
    <w:rsid w:val="00F3495A"/>
    <w:pPr>
      <w:spacing w:before="40" w:after="40" w:line="240" w:lineRule="auto"/>
      <w:ind w:left="170"/>
    </w:pPr>
    <w:rPr>
      <w:i/>
    </w:rPr>
  </w:style>
  <w:style w:type="paragraph" w:customStyle="1" w:styleId="FinancialsTableH1">
    <w:name w:val="Financials Table H1"/>
    <w:basedOn w:val="TableText"/>
    <w:autoRedefine/>
    <w:uiPriority w:val="1"/>
    <w:semiHidden/>
    <w:rsid w:val="007A7D19"/>
    <w:pPr>
      <w:spacing w:before="160" w:after="40" w:line="240" w:lineRule="auto"/>
    </w:pPr>
    <w:rPr>
      <w:rFonts w:ascii="Arial Bold" w:hAnsi="Arial Bold"/>
      <w:b/>
      <w:caps/>
    </w:rPr>
  </w:style>
  <w:style w:type="paragraph" w:customStyle="1" w:styleId="NoParagraphStyle">
    <w:name w:val="[No Paragraph Style]"/>
    <w:autoRedefine/>
    <w:rsid w:val="00536880"/>
    <w:pPr>
      <w:autoSpaceDE w:val="0"/>
      <w:autoSpaceDN w:val="0"/>
      <w:adjustRightInd w:val="0"/>
      <w:spacing w:line="288" w:lineRule="auto"/>
      <w:textAlignment w:val="center"/>
    </w:pPr>
    <w:rPr>
      <w:rFonts w:ascii="Arial" w:hAnsi="Arial" w:cs="Arial"/>
      <w:color w:val="000000"/>
      <w:sz w:val="24"/>
      <w:szCs w:val="24"/>
      <w:lang w:val="en-US"/>
    </w:rPr>
  </w:style>
  <w:style w:type="paragraph" w:customStyle="1" w:styleId="AppendixH1">
    <w:name w:val="Appendix H1"/>
    <w:basedOn w:val="FinancialsH1"/>
    <w:autoRedefine/>
    <w:uiPriority w:val="1"/>
    <w:semiHidden/>
    <w:rsid w:val="00CC2138"/>
  </w:style>
  <w:style w:type="paragraph" w:customStyle="1" w:styleId="AppendixH2">
    <w:name w:val="Appendix H2"/>
    <w:basedOn w:val="FinancialsH2"/>
    <w:autoRedefine/>
    <w:uiPriority w:val="1"/>
    <w:semiHidden/>
    <w:rsid w:val="00FC6134"/>
  </w:style>
  <w:style w:type="character" w:styleId="PageNumber">
    <w:name w:val="page number"/>
    <w:basedOn w:val="DefaultParagraphFont"/>
    <w:unhideWhenUsed/>
    <w:rsid w:val="005F219D"/>
    <w:rPr>
      <w:rFonts w:asciiTheme="minorHAnsi" w:hAnsiTheme="minorHAnsi"/>
      <w:b/>
      <w:color w:val="008542" w:themeColor="accent2"/>
      <w:sz w:val="16"/>
    </w:rPr>
  </w:style>
  <w:style w:type="paragraph" w:customStyle="1" w:styleId="Address">
    <w:name w:val="Address"/>
    <w:basedOn w:val="Normal"/>
    <w:autoRedefine/>
    <w:uiPriority w:val="1"/>
    <w:qFormat/>
    <w:rsid w:val="00562759"/>
    <w:pPr>
      <w:spacing w:before="0" w:after="0" w:line="192" w:lineRule="exact"/>
    </w:pPr>
    <w:rPr>
      <w:b/>
      <w:bCs/>
      <w:color w:val="FFFFFF" w:themeColor="background1"/>
      <w:sz w:val="16"/>
      <w:szCs w:val="16"/>
    </w:rPr>
  </w:style>
  <w:style w:type="paragraph" w:customStyle="1" w:styleId="Organisation">
    <w:name w:val="Organisation"/>
    <w:basedOn w:val="Normal"/>
    <w:next w:val="Title"/>
    <w:autoRedefine/>
    <w:uiPriority w:val="1"/>
    <w:qFormat/>
    <w:rsid w:val="00043CF6"/>
    <w:pPr>
      <w:spacing w:before="0" w:after="1320"/>
    </w:pPr>
    <w:rPr>
      <w:b/>
      <w:noProof/>
      <w:color w:val="004200" w:themeColor="accent1"/>
      <w:sz w:val="20"/>
      <w:szCs w:val="16"/>
    </w:rPr>
  </w:style>
  <w:style w:type="paragraph" w:customStyle="1" w:styleId="Versionanddate">
    <w:name w:val="Version and date"/>
    <w:basedOn w:val="Subtitle"/>
    <w:next w:val="Normal"/>
    <w:autoRedefine/>
    <w:uiPriority w:val="1"/>
    <w:qFormat/>
    <w:rsid w:val="00496370"/>
    <w:pPr>
      <w:spacing w:before="0" w:after="0" w:line="80" w:lineRule="atLeast"/>
    </w:pPr>
    <w:rPr>
      <w:color w:val="008542" w:themeColor="accent2"/>
      <w:sz w:val="28"/>
    </w:rPr>
  </w:style>
  <w:style w:type="paragraph" w:customStyle="1" w:styleId="Act">
    <w:name w:val="Act"/>
    <w:basedOn w:val="Normal"/>
    <w:next w:val="Normal"/>
    <w:uiPriority w:val="1"/>
    <w:qFormat/>
    <w:rsid w:val="00BC1032"/>
    <w:rPr>
      <w:i/>
    </w:rPr>
  </w:style>
  <w:style w:type="paragraph" w:customStyle="1" w:styleId="Disclaimer">
    <w:name w:val="Disclaimer"/>
    <w:basedOn w:val="Normal"/>
    <w:autoRedefine/>
    <w:uiPriority w:val="1"/>
    <w:rsid w:val="00BC1032"/>
    <w:rPr>
      <w:i/>
    </w:rPr>
  </w:style>
  <w:style w:type="paragraph" w:styleId="Quote">
    <w:name w:val="Quote"/>
    <w:basedOn w:val="Normal"/>
    <w:next w:val="Normal"/>
    <w:link w:val="QuoteChar"/>
    <w:autoRedefine/>
    <w:uiPriority w:val="29"/>
    <w:rsid w:val="00BC1032"/>
    <w:rPr>
      <w:i/>
      <w:iCs/>
      <w:color w:val="000000" w:themeColor="text1"/>
    </w:rPr>
  </w:style>
  <w:style w:type="character" w:customStyle="1" w:styleId="QuoteChar">
    <w:name w:val="Quote Char"/>
    <w:basedOn w:val="DefaultParagraphFont"/>
    <w:link w:val="Quote"/>
    <w:uiPriority w:val="29"/>
    <w:rsid w:val="00BC1032"/>
    <w:rPr>
      <w:rFonts w:ascii="Arial" w:hAnsi="Arial"/>
      <w:i/>
      <w:iCs/>
      <w:color w:val="000000" w:themeColor="text1"/>
      <w:sz w:val="22"/>
      <w:szCs w:val="24"/>
    </w:rPr>
  </w:style>
  <w:style w:type="paragraph" w:customStyle="1" w:styleId="Report">
    <w:name w:val="Report"/>
    <w:basedOn w:val="Normal"/>
    <w:next w:val="Normal"/>
    <w:autoRedefine/>
    <w:uiPriority w:val="1"/>
    <w:qFormat/>
    <w:rsid w:val="00BC1032"/>
    <w:pPr>
      <w:spacing w:before="4000" w:after="200" w:line="276" w:lineRule="auto"/>
    </w:pPr>
    <w:rPr>
      <w:b/>
    </w:rPr>
  </w:style>
  <w:style w:type="paragraph" w:styleId="NormalIndent">
    <w:name w:val="Normal Indent"/>
    <w:basedOn w:val="Normal"/>
    <w:autoRedefine/>
    <w:unhideWhenUsed/>
    <w:rsid w:val="00BC1032"/>
    <w:pPr>
      <w:ind w:left="720"/>
    </w:pPr>
  </w:style>
  <w:style w:type="paragraph" w:styleId="Bibliography">
    <w:name w:val="Bibliography"/>
    <w:basedOn w:val="Normal"/>
    <w:next w:val="Normal"/>
    <w:autoRedefine/>
    <w:uiPriority w:val="37"/>
    <w:semiHidden/>
    <w:unhideWhenUsed/>
    <w:rsid w:val="00CC2138"/>
  </w:style>
  <w:style w:type="paragraph" w:styleId="BlockText">
    <w:name w:val="Block Text"/>
    <w:basedOn w:val="Normal"/>
    <w:autoRedefine/>
    <w:semiHidden/>
    <w:unhideWhenUsed/>
    <w:rsid w:val="00CC2138"/>
    <w:pPr>
      <w:pBdr>
        <w:top w:val="single" w:sz="2" w:space="10" w:color="004200" w:themeColor="accent1" w:frame="1"/>
        <w:left w:val="single" w:sz="2" w:space="10" w:color="004200" w:themeColor="accent1" w:frame="1"/>
        <w:bottom w:val="single" w:sz="2" w:space="10" w:color="004200" w:themeColor="accent1" w:frame="1"/>
        <w:right w:val="single" w:sz="2" w:space="10" w:color="004200" w:themeColor="accent1" w:frame="1"/>
      </w:pBdr>
      <w:ind w:left="1152" w:right="1152"/>
    </w:pPr>
    <w:rPr>
      <w:rFonts w:asciiTheme="minorHAnsi" w:eastAsiaTheme="minorEastAsia" w:hAnsiTheme="minorHAnsi" w:cstheme="minorBidi"/>
      <w:i/>
      <w:iCs/>
      <w:color w:val="004200" w:themeColor="accent1"/>
    </w:rPr>
  </w:style>
  <w:style w:type="paragraph" w:styleId="BodyText">
    <w:name w:val="Body Text"/>
    <w:aliases w:val="b,block,bt,Body text,body text,body,NoticeText-List,t1,taten_body,Cargo,Letter Body,Memo Body,Body,by,b-heading 1/heading 2,bd,heading1body-heading2body,BD,b14,body1,b-heading,Fax Body,Bod,bo,full cell text,Report Body,bullet,B"/>
    <w:basedOn w:val="Normal"/>
    <w:link w:val="BodyTextChar"/>
    <w:autoRedefine/>
    <w:unhideWhenUsed/>
    <w:qFormat/>
    <w:rsid w:val="00CC2138"/>
  </w:style>
  <w:style w:type="character" w:customStyle="1" w:styleId="BodyTextChar">
    <w:name w:val="Body Text Char"/>
    <w:aliases w:val="b Char,block Char,bt Char,Body text Char,body text Char,body Char,NoticeText-List Char,t1 Char,taten_body Char,Cargo Char,Letter Body Char,Memo Body Char,Body Char,by Char,b-heading 1/heading 2 Char,bd Char,heading1body-heading2body Char"/>
    <w:basedOn w:val="DefaultParagraphFont"/>
    <w:link w:val="BodyText"/>
    <w:rsid w:val="00CC2138"/>
    <w:rPr>
      <w:rFonts w:ascii="Arial" w:hAnsi="Arial"/>
      <w:sz w:val="22"/>
      <w:szCs w:val="24"/>
    </w:rPr>
  </w:style>
  <w:style w:type="paragraph" w:styleId="BodyText2">
    <w:name w:val="Body Text 2"/>
    <w:basedOn w:val="Normal"/>
    <w:link w:val="BodyText2Char"/>
    <w:autoRedefine/>
    <w:semiHidden/>
    <w:unhideWhenUsed/>
    <w:rsid w:val="00CC2138"/>
    <w:pPr>
      <w:spacing w:line="480" w:lineRule="auto"/>
    </w:pPr>
  </w:style>
  <w:style w:type="character" w:customStyle="1" w:styleId="BodyText2Char">
    <w:name w:val="Body Text 2 Char"/>
    <w:basedOn w:val="DefaultParagraphFont"/>
    <w:link w:val="BodyText2"/>
    <w:semiHidden/>
    <w:rsid w:val="00CC2138"/>
    <w:rPr>
      <w:rFonts w:ascii="Arial" w:hAnsi="Arial"/>
      <w:sz w:val="22"/>
      <w:szCs w:val="24"/>
    </w:rPr>
  </w:style>
  <w:style w:type="paragraph" w:styleId="BodyText3">
    <w:name w:val="Body Text 3"/>
    <w:basedOn w:val="Normal"/>
    <w:link w:val="BodyText3Char"/>
    <w:autoRedefine/>
    <w:semiHidden/>
    <w:unhideWhenUsed/>
    <w:rsid w:val="00CC2138"/>
    <w:rPr>
      <w:sz w:val="16"/>
      <w:szCs w:val="16"/>
    </w:rPr>
  </w:style>
  <w:style w:type="character" w:customStyle="1" w:styleId="BodyText3Char">
    <w:name w:val="Body Text 3 Char"/>
    <w:basedOn w:val="DefaultParagraphFont"/>
    <w:link w:val="BodyText3"/>
    <w:semiHidden/>
    <w:rsid w:val="00CC2138"/>
    <w:rPr>
      <w:rFonts w:ascii="Arial" w:hAnsi="Arial"/>
      <w:sz w:val="16"/>
      <w:szCs w:val="16"/>
    </w:rPr>
  </w:style>
  <w:style w:type="paragraph" w:styleId="BodyTextFirstIndent">
    <w:name w:val="Body Text First Indent"/>
    <w:basedOn w:val="BodyText"/>
    <w:link w:val="BodyTextFirstIndentChar"/>
    <w:autoRedefine/>
    <w:semiHidden/>
    <w:rsid w:val="00CC2138"/>
    <w:pPr>
      <w:ind w:firstLine="360"/>
    </w:pPr>
  </w:style>
  <w:style w:type="character" w:customStyle="1" w:styleId="BodyTextFirstIndentChar">
    <w:name w:val="Body Text First Indent Char"/>
    <w:basedOn w:val="BodyTextChar"/>
    <w:link w:val="BodyTextFirstIndent"/>
    <w:semiHidden/>
    <w:rsid w:val="00CC2138"/>
    <w:rPr>
      <w:rFonts w:ascii="Arial" w:hAnsi="Arial"/>
      <w:sz w:val="22"/>
      <w:szCs w:val="24"/>
    </w:rPr>
  </w:style>
  <w:style w:type="paragraph" w:styleId="BodyTextIndent">
    <w:name w:val="Body Text Indent"/>
    <w:basedOn w:val="Normal"/>
    <w:link w:val="BodyTextIndentChar"/>
    <w:autoRedefine/>
    <w:semiHidden/>
    <w:unhideWhenUsed/>
    <w:rsid w:val="00CC2138"/>
    <w:pPr>
      <w:ind w:left="283"/>
    </w:pPr>
  </w:style>
  <w:style w:type="character" w:customStyle="1" w:styleId="BodyTextIndentChar">
    <w:name w:val="Body Text Indent Char"/>
    <w:basedOn w:val="DefaultParagraphFont"/>
    <w:link w:val="BodyTextIndent"/>
    <w:semiHidden/>
    <w:rsid w:val="00CC2138"/>
    <w:rPr>
      <w:rFonts w:ascii="Arial" w:hAnsi="Arial"/>
      <w:sz w:val="22"/>
      <w:szCs w:val="24"/>
    </w:rPr>
  </w:style>
  <w:style w:type="paragraph" w:styleId="BodyTextFirstIndent2">
    <w:name w:val="Body Text First Indent 2"/>
    <w:basedOn w:val="BodyTextIndent"/>
    <w:link w:val="BodyTextFirstIndent2Char"/>
    <w:autoRedefine/>
    <w:semiHidden/>
    <w:unhideWhenUsed/>
    <w:rsid w:val="00CC2138"/>
    <w:pPr>
      <w:ind w:left="360" w:firstLine="360"/>
    </w:pPr>
  </w:style>
  <w:style w:type="character" w:customStyle="1" w:styleId="BodyTextFirstIndent2Char">
    <w:name w:val="Body Text First Indent 2 Char"/>
    <w:basedOn w:val="BodyTextIndentChar"/>
    <w:link w:val="BodyTextFirstIndent2"/>
    <w:semiHidden/>
    <w:rsid w:val="00CC2138"/>
    <w:rPr>
      <w:rFonts w:ascii="Arial" w:hAnsi="Arial"/>
      <w:sz w:val="22"/>
      <w:szCs w:val="24"/>
    </w:rPr>
  </w:style>
  <w:style w:type="paragraph" w:styleId="BodyTextIndent2">
    <w:name w:val="Body Text Indent 2"/>
    <w:basedOn w:val="Normal"/>
    <w:link w:val="BodyTextIndent2Char"/>
    <w:autoRedefine/>
    <w:semiHidden/>
    <w:unhideWhenUsed/>
    <w:rsid w:val="00CC2138"/>
    <w:pPr>
      <w:spacing w:line="480" w:lineRule="auto"/>
      <w:ind w:left="283"/>
    </w:pPr>
  </w:style>
  <w:style w:type="character" w:customStyle="1" w:styleId="BodyTextIndent2Char">
    <w:name w:val="Body Text Indent 2 Char"/>
    <w:basedOn w:val="DefaultParagraphFont"/>
    <w:link w:val="BodyTextIndent2"/>
    <w:semiHidden/>
    <w:rsid w:val="00CC2138"/>
    <w:rPr>
      <w:rFonts w:ascii="Arial" w:hAnsi="Arial"/>
      <w:sz w:val="22"/>
      <w:szCs w:val="24"/>
    </w:rPr>
  </w:style>
  <w:style w:type="paragraph" w:styleId="BodyTextIndent3">
    <w:name w:val="Body Text Indent 3"/>
    <w:basedOn w:val="Normal"/>
    <w:link w:val="BodyTextIndent3Char"/>
    <w:autoRedefine/>
    <w:semiHidden/>
    <w:unhideWhenUsed/>
    <w:rsid w:val="00CC2138"/>
    <w:pPr>
      <w:ind w:left="283"/>
    </w:pPr>
    <w:rPr>
      <w:sz w:val="16"/>
      <w:szCs w:val="16"/>
    </w:rPr>
  </w:style>
  <w:style w:type="character" w:customStyle="1" w:styleId="BodyTextIndent3Char">
    <w:name w:val="Body Text Indent 3 Char"/>
    <w:basedOn w:val="DefaultParagraphFont"/>
    <w:link w:val="BodyTextIndent3"/>
    <w:semiHidden/>
    <w:rsid w:val="00CC2138"/>
    <w:rPr>
      <w:rFonts w:ascii="Arial" w:hAnsi="Arial"/>
      <w:sz w:val="16"/>
      <w:szCs w:val="16"/>
    </w:rPr>
  </w:style>
  <w:style w:type="character" w:styleId="BookTitle">
    <w:name w:val="Book Title"/>
    <w:basedOn w:val="DefaultParagraphFont"/>
    <w:uiPriority w:val="33"/>
    <w:rsid w:val="006F7C01"/>
    <w:rPr>
      <w:rFonts w:ascii="Arial Bold" w:hAnsi="Arial Bold"/>
      <w:b/>
      <w:bCs/>
      <w:i w:val="0"/>
      <w:caps w:val="0"/>
      <w:smallCaps w:val="0"/>
      <w:strike w:val="0"/>
      <w:dstrike w:val="0"/>
      <w:vanish w:val="0"/>
      <w:color w:val="FFFFFF" w:themeColor="background1"/>
      <w:spacing w:val="5"/>
      <w:sz w:val="16"/>
      <w:vertAlign w:val="baseline"/>
    </w:rPr>
  </w:style>
  <w:style w:type="paragraph" w:styleId="Caption">
    <w:name w:val="caption"/>
    <w:basedOn w:val="Normal"/>
    <w:next w:val="Normal"/>
    <w:autoRedefine/>
    <w:unhideWhenUsed/>
    <w:rsid w:val="007F44CC"/>
    <w:pPr>
      <w:keepNext/>
      <w:spacing w:before="360" w:after="200" w:line="240" w:lineRule="auto"/>
    </w:pPr>
    <w:rPr>
      <w:rFonts w:asciiTheme="minorHAnsi" w:hAnsiTheme="minorHAnsi" w:cstheme="minorHAnsi"/>
      <w:b/>
      <w:bCs/>
      <w:szCs w:val="18"/>
    </w:rPr>
  </w:style>
  <w:style w:type="paragraph" w:styleId="Closing">
    <w:name w:val="Closing"/>
    <w:basedOn w:val="Normal"/>
    <w:link w:val="ClosingChar"/>
    <w:autoRedefine/>
    <w:semiHidden/>
    <w:unhideWhenUsed/>
    <w:rsid w:val="00CC2138"/>
    <w:pPr>
      <w:spacing w:before="0" w:after="0" w:line="240" w:lineRule="auto"/>
      <w:ind w:left="4252"/>
    </w:pPr>
  </w:style>
  <w:style w:type="character" w:customStyle="1" w:styleId="ClosingChar">
    <w:name w:val="Closing Char"/>
    <w:basedOn w:val="DefaultParagraphFont"/>
    <w:link w:val="Closing"/>
    <w:semiHidden/>
    <w:rsid w:val="00CC2138"/>
    <w:rPr>
      <w:rFonts w:ascii="Arial" w:hAnsi="Arial"/>
      <w:sz w:val="22"/>
      <w:szCs w:val="24"/>
    </w:rPr>
  </w:style>
  <w:style w:type="character" w:styleId="CommentReference">
    <w:name w:val="annotation reference"/>
    <w:basedOn w:val="DefaultParagraphFont"/>
    <w:semiHidden/>
    <w:unhideWhenUsed/>
    <w:rsid w:val="00CC2138"/>
    <w:rPr>
      <w:sz w:val="16"/>
      <w:szCs w:val="16"/>
    </w:rPr>
  </w:style>
  <w:style w:type="paragraph" w:styleId="CommentText">
    <w:name w:val="annotation text"/>
    <w:basedOn w:val="Normal"/>
    <w:link w:val="CommentTextChar"/>
    <w:autoRedefine/>
    <w:semiHidden/>
    <w:unhideWhenUsed/>
    <w:rsid w:val="00CC2138"/>
    <w:pPr>
      <w:spacing w:line="240" w:lineRule="auto"/>
    </w:pPr>
    <w:rPr>
      <w:sz w:val="20"/>
      <w:szCs w:val="20"/>
    </w:rPr>
  </w:style>
  <w:style w:type="character" w:customStyle="1" w:styleId="CommentTextChar">
    <w:name w:val="Comment Text Char"/>
    <w:basedOn w:val="DefaultParagraphFont"/>
    <w:link w:val="CommentText"/>
    <w:semiHidden/>
    <w:rsid w:val="00CC2138"/>
    <w:rPr>
      <w:rFonts w:ascii="Arial" w:hAnsi="Arial"/>
    </w:rPr>
  </w:style>
  <w:style w:type="paragraph" w:styleId="CommentSubject">
    <w:name w:val="annotation subject"/>
    <w:basedOn w:val="CommentText"/>
    <w:next w:val="CommentText"/>
    <w:link w:val="CommentSubjectChar"/>
    <w:autoRedefine/>
    <w:semiHidden/>
    <w:unhideWhenUsed/>
    <w:rsid w:val="00CC2138"/>
    <w:rPr>
      <w:b/>
      <w:bCs/>
    </w:rPr>
  </w:style>
  <w:style w:type="character" w:customStyle="1" w:styleId="CommentSubjectChar">
    <w:name w:val="Comment Subject Char"/>
    <w:basedOn w:val="CommentTextChar"/>
    <w:link w:val="CommentSubject"/>
    <w:semiHidden/>
    <w:rsid w:val="00CC2138"/>
    <w:rPr>
      <w:rFonts w:ascii="Arial" w:hAnsi="Arial"/>
      <w:b/>
      <w:bCs/>
    </w:rPr>
  </w:style>
  <w:style w:type="paragraph" w:styleId="Date">
    <w:name w:val="Date"/>
    <w:basedOn w:val="Normal"/>
    <w:next w:val="Normal"/>
    <w:link w:val="DateChar"/>
    <w:autoRedefine/>
    <w:semiHidden/>
    <w:rsid w:val="00CC2138"/>
  </w:style>
  <w:style w:type="character" w:customStyle="1" w:styleId="DateChar">
    <w:name w:val="Date Char"/>
    <w:basedOn w:val="DefaultParagraphFont"/>
    <w:link w:val="Date"/>
    <w:semiHidden/>
    <w:rsid w:val="00CC2138"/>
    <w:rPr>
      <w:rFonts w:ascii="Arial" w:hAnsi="Arial"/>
      <w:sz w:val="22"/>
      <w:szCs w:val="24"/>
    </w:rPr>
  </w:style>
  <w:style w:type="paragraph" w:styleId="DocumentMap">
    <w:name w:val="Document Map"/>
    <w:basedOn w:val="Normal"/>
    <w:link w:val="DocumentMapChar"/>
    <w:autoRedefine/>
    <w:semiHidden/>
    <w:unhideWhenUsed/>
    <w:rsid w:val="00CC2138"/>
    <w:pPr>
      <w:spacing w:before="0" w:after="0" w:line="240" w:lineRule="auto"/>
    </w:pPr>
    <w:rPr>
      <w:rFonts w:ascii="Tahoma" w:hAnsi="Tahoma" w:cs="Tahoma"/>
      <w:sz w:val="16"/>
      <w:szCs w:val="16"/>
    </w:rPr>
  </w:style>
  <w:style w:type="character" w:customStyle="1" w:styleId="DocumentMapChar">
    <w:name w:val="Document Map Char"/>
    <w:basedOn w:val="DefaultParagraphFont"/>
    <w:link w:val="DocumentMap"/>
    <w:semiHidden/>
    <w:rsid w:val="00CC2138"/>
    <w:rPr>
      <w:rFonts w:ascii="Tahoma" w:hAnsi="Tahoma" w:cs="Tahoma"/>
      <w:sz w:val="16"/>
      <w:szCs w:val="16"/>
    </w:rPr>
  </w:style>
  <w:style w:type="paragraph" w:styleId="E-mailSignature">
    <w:name w:val="E-mail Signature"/>
    <w:basedOn w:val="Normal"/>
    <w:link w:val="E-mailSignatureChar"/>
    <w:autoRedefine/>
    <w:semiHidden/>
    <w:unhideWhenUsed/>
    <w:rsid w:val="00CC2138"/>
    <w:pPr>
      <w:spacing w:before="0" w:after="0" w:line="240" w:lineRule="auto"/>
    </w:pPr>
  </w:style>
  <w:style w:type="character" w:customStyle="1" w:styleId="E-mailSignatureChar">
    <w:name w:val="E-mail Signature Char"/>
    <w:basedOn w:val="DefaultParagraphFont"/>
    <w:link w:val="E-mailSignature"/>
    <w:semiHidden/>
    <w:rsid w:val="00CC2138"/>
    <w:rPr>
      <w:rFonts w:ascii="Arial" w:hAnsi="Arial"/>
      <w:sz w:val="22"/>
      <w:szCs w:val="24"/>
    </w:rPr>
  </w:style>
  <w:style w:type="paragraph" w:styleId="EnvelopeAddress">
    <w:name w:val="envelope address"/>
    <w:basedOn w:val="Normal"/>
    <w:autoRedefine/>
    <w:semiHidden/>
    <w:unhideWhenUsed/>
    <w:rsid w:val="00CC2138"/>
    <w:pPr>
      <w:framePr w:w="7920" w:h="1980" w:hRule="exact" w:hSpace="180" w:wrap="auto" w:hAnchor="page" w:xAlign="center" w:yAlign="bottom"/>
      <w:spacing w:before="0" w:after="0" w:line="240" w:lineRule="auto"/>
      <w:ind w:left="2880"/>
    </w:pPr>
    <w:rPr>
      <w:rFonts w:asciiTheme="majorHAnsi" w:eastAsiaTheme="majorEastAsia" w:hAnsiTheme="majorHAnsi" w:cstheme="majorBidi"/>
      <w:sz w:val="24"/>
    </w:rPr>
  </w:style>
  <w:style w:type="paragraph" w:styleId="EnvelopeReturn">
    <w:name w:val="envelope return"/>
    <w:basedOn w:val="Normal"/>
    <w:autoRedefine/>
    <w:semiHidden/>
    <w:unhideWhenUsed/>
    <w:rsid w:val="00CC2138"/>
    <w:pPr>
      <w:spacing w:before="0" w:after="0" w:line="240" w:lineRule="auto"/>
    </w:pPr>
    <w:rPr>
      <w:rFonts w:asciiTheme="majorHAnsi" w:eastAsiaTheme="majorEastAsia" w:hAnsiTheme="majorHAnsi" w:cstheme="majorBidi"/>
      <w:sz w:val="20"/>
      <w:szCs w:val="20"/>
    </w:rPr>
  </w:style>
  <w:style w:type="character" w:customStyle="1" w:styleId="Heading7Char">
    <w:name w:val="Heading 7 Char"/>
    <w:basedOn w:val="DefaultParagraphFont"/>
    <w:link w:val="Heading7"/>
    <w:semiHidden/>
    <w:rsid w:val="00465398"/>
    <w:rPr>
      <w:rFonts w:asciiTheme="majorHAnsi" w:eastAsiaTheme="majorEastAsia" w:hAnsiTheme="majorHAnsi" w:cstheme="majorBidi"/>
      <w:i/>
      <w:iCs/>
      <w:color w:val="404040" w:themeColor="text1" w:themeTint="BF"/>
      <w:sz w:val="22"/>
      <w:szCs w:val="24"/>
    </w:rPr>
  </w:style>
  <w:style w:type="character" w:customStyle="1" w:styleId="Heading8Char">
    <w:name w:val="Heading 8 Char"/>
    <w:basedOn w:val="DefaultParagraphFont"/>
    <w:link w:val="Heading8"/>
    <w:semiHidden/>
    <w:rsid w:val="00465398"/>
    <w:rPr>
      <w:rFonts w:asciiTheme="majorHAnsi" w:eastAsiaTheme="majorEastAsia" w:hAnsiTheme="majorHAnsi" w:cstheme="majorBidi"/>
      <w:color w:val="404040" w:themeColor="text1" w:themeTint="BF"/>
    </w:rPr>
  </w:style>
  <w:style w:type="character" w:customStyle="1" w:styleId="Heading9Char">
    <w:name w:val="Heading 9 Char"/>
    <w:basedOn w:val="DefaultParagraphFont"/>
    <w:link w:val="Heading9"/>
    <w:semiHidden/>
    <w:rsid w:val="00465398"/>
    <w:rPr>
      <w:rFonts w:asciiTheme="majorHAnsi" w:eastAsiaTheme="majorEastAsia" w:hAnsiTheme="majorHAnsi" w:cstheme="majorBidi"/>
      <w:i/>
      <w:iCs/>
      <w:color w:val="404040" w:themeColor="text1" w:themeTint="BF"/>
    </w:rPr>
  </w:style>
  <w:style w:type="character" w:styleId="HTMLAcronym">
    <w:name w:val="HTML Acronym"/>
    <w:basedOn w:val="DefaultParagraphFont"/>
    <w:semiHidden/>
    <w:unhideWhenUsed/>
    <w:rsid w:val="00465398"/>
  </w:style>
  <w:style w:type="paragraph" w:styleId="HTMLAddress">
    <w:name w:val="HTML Address"/>
    <w:basedOn w:val="Normal"/>
    <w:link w:val="HTMLAddressChar"/>
    <w:autoRedefine/>
    <w:semiHidden/>
    <w:unhideWhenUsed/>
    <w:rsid w:val="00465398"/>
    <w:pPr>
      <w:spacing w:before="0" w:after="0" w:line="240" w:lineRule="auto"/>
    </w:pPr>
    <w:rPr>
      <w:i/>
      <w:iCs/>
    </w:rPr>
  </w:style>
  <w:style w:type="character" w:customStyle="1" w:styleId="HTMLAddressChar">
    <w:name w:val="HTML Address Char"/>
    <w:basedOn w:val="DefaultParagraphFont"/>
    <w:link w:val="HTMLAddress"/>
    <w:semiHidden/>
    <w:rsid w:val="00465398"/>
    <w:rPr>
      <w:rFonts w:ascii="Arial" w:hAnsi="Arial"/>
      <w:i/>
      <w:iCs/>
      <w:sz w:val="22"/>
      <w:szCs w:val="24"/>
    </w:rPr>
  </w:style>
  <w:style w:type="character" w:styleId="HTMLCite">
    <w:name w:val="HTML Cite"/>
    <w:basedOn w:val="DefaultParagraphFont"/>
    <w:semiHidden/>
    <w:unhideWhenUsed/>
    <w:rsid w:val="00465398"/>
    <w:rPr>
      <w:i/>
      <w:iCs/>
    </w:rPr>
  </w:style>
  <w:style w:type="character" w:styleId="HTMLCode">
    <w:name w:val="HTML Code"/>
    <w:basedOn w:val="DefaultParagraphFont"/>
    <w:semiHidden/>
    <w:unhideWhenUsed/>
    <w:rsid w:val="00465398"/>
    <w:rPr>
      <w:rFonts w:ascii="Consolas" w:hAnsi="Consolas"/>
      <w:sz w:val="20"/>
      <w:szCs w:val="20"/>
    </w:rPr>
  </w:style>
  <w:style w:type="character" w:styleId="HTMLDefinition">
    <w:name w:val="HTML Definition"/>
    <w:basedOn w:val="DefaultParagraphFont"/>
    <w:semiHidden/>
    <w:unhideWhenUsed/>
    <w:rsid w:val="00465398"/>
    <w:rPr>
      <w:i/>
      <w:iCs/>
    </w:rPr>
  </w:style>
  <w:style w:type="character" w:styleId="HTMLKeyboard">
    <w:name w:val="HTML Keyboard"/>
    <w:basedOn w:val="DefaultParagraphFont"/>
    <w:semiHidden/>
    <w:unhideWhenUsed/>
    <w:rsid w:val="00465398"/>
    <w:rPr>
      <w:rFonts w:ascii="Consolas" w:hAnsi="Consolas" w:cs="Consolas"/>
      <w:sz w:val="20"/>
      <w:szCs w:val="20"/>
    </w:rPr>
  </w:style>
  <w:style w:type="paragraph" w:styleId="HTMLPreformatted">
    <w:name w:val="HTML Preformatted"/>
    <w:basedOn w:val="Normal"/>
    <w:link w:val="HTMLPreformattedChar"/>
    <w:autoRedefine/>
    <w:semiHidden/>
    <w:unhideWhenUsed/>
    <w:rsid w:val="00465398"/>
    <w:pPr>
      <w:spacing w:before="0" w:after="0" w:line="240" w:lineRule="auto"/>
    </w:pPr>
    <w:rPr>
      <w:rFonts w:ascii="Consolas" w:hAnsi="Consolas" w:cs="Consolas"/>
      <w:sz w:val="20"/>
      <w:szCs w:val="20"/>
    </w:rPr>
  </w:style>
  <w:style w:type="character" w:customStyle="1" w:styleId="HTMLPreformattedChar">
    <w:name w:val="HTML Preformatted Char"/>
    <w:basedOn w:val="DefaultParagraphFont"/>
    <w:link w:val="HTMLPreformatted"/>
    <w:semiHidden/>
    <w:rsid w:val="00465398"/>
    <w:rPr>
      <w:rFonts w:ascii="Consolas" w:hAnsi="Consolas" w:cs="Consolas"/>
    </w:rPr>
  </w:style>
  <w:style w:type="character" w:styleId="HTMLSample">
    <w:name w:val="HTML Sample"/>
    <w:basedOn w:val="DefaultParagraphFont"/>
    <w:semiHidden/>
    <w:unhideWhenUsed/>
    <w:rsid w:val="00465398"/>
    <w:rPr>
      <w:rFonts w:ascii="Consolas" w:hAnsi="Consolas" w:cs="Consolas"/>
      <w:sz w:val="24"/>
      <w:szCs w:val="24"/>
    </w:rPr>
  </w:style>
  <w:style w:type="character" w:styleId="HTMLTypewriter">
    <w:name w:val="HTML Typewriter"/>
    <w:basedOn w:val="DefaultParagraphFont"/>
    <w:semiHidden/>
    <w:unhideWhenUsed/>
    <w:rsid w:val="00465398"/>
    <w:rPr>
      <w:rFonts w:ascii="Consolas" w:hAnsi="Consolas" w:cs="Consolas"/>
      <w:sz w:val="20"/>
      <w:szCs w:val="20"/>
    </w:rPr>
  </w:style>
  <w:style w:type="character" w:styleId="HTMLVariable">
    <w:name w:val="HTML Variable"/>
    <w:basedOn w:val="DefaultParagraphFont"/>
    <w:semiHidden/>
    <w:unhideWhenUsed/>
    <w:rsid w:val="00465398"/>
    <w:rPr>
      <w:i/>
      <w:iCs/>
    </w:rPr>
  </w:style>
  <w:style w:type="paragraph" w:styleId="Index2">
    <w:name w:val="index 2"/>
    <w:basedOn w:val="Normal"/>
    <w:next w:val="Normal"/>
    <w:autoRedefine/>
    <w:semiHidden/>
    <w:unhideWhenUsed/>
    <w:rsid w:val="00465398"/>
    <w:pPr>
      <w:spacing w:before="0" w:after="0" w:line="240" w:lineRule="auto"/>
      <w:ind w:left="440" w:hanging="220"/>
    </w:pPr>
  </w:style>
  <w:style w:type="paragraph" w:styleId="Index3">
    <w:name w:val="index 3"/>
    <w:basedOn w:val="Normal"/>
    <w:next w:val="Normal"/>
    <w:autoRedefine/>
    <w:semiHidden/>
    <w:unhideWhenUsed/>
    <w:rsid w:val="00465398"/>
    <w:pPr>
      <w:spacing w:before="0" w:after="0" w:line="240" w:lineRule="auto"/>
      <w:ind w:left="660" w:hanging="220"/>
    </w:pPr>
  </w:style>
  <w:style w:type="paragraph" w:styleId="Index4">
    <w:name w:val="index 4"/>
    <w:basedOn w:val="Normal"/>
    <w:next w:val="Normal"/>
    <w:autoRedefine/>
    <w:semiHidden/>
    <w:unhideWhenUsed/>
    <w:rsid w:val="00465398"/>
    <w:pPr>
      <w:spacing w:before="0" w:after="0" w:line="240" w:lineRule="auto"/>
      <w:ind w:left="880" w:hanging="220"/>
    </w:pPr>
  </w:style>
  <w:style w:type="paragraph" w:styleId="Index5">
    <w:name w:val="index 5"/>
    <w:basedOn w:val="Normal"/>
    <w:next w:val="Normal"/>
    <w:autoRedefine/>
    <w:semiHidden/>
    <w:unhideWhenUsed/>
    <w:rsid w:val="00465398"/>
    <w:pPr>
      <w:spacing w:before="0" w:after="0" w:line="240" w:lineRule="auto"/>
      <w:ind w:left="1100" w:hanging="220"/>
    </w:pPr>
  </w:style>
  <w:style w:type="paragraph" w:styleId="Index6">
    <w:name w:val="index 6"/>
    <w:basedOn w:val="Normal"/>
    <w:next w:val="Normal"/>
    <w:autoRedefine/>
    <w:semiHidden/>
    <w:unhideWhenUsed/>
    <w:rsid w:val="00465398"/>
    <w:pPr>
      <w:spacing w:before="0" w:after="0" w:line="240" w:lineRule="auto"/>
      <w:ind w:left="1320" w:hanging="220"/>
    </w:pPr>
  </w:style>
  <w:style w:type="paragraph" w:styleId="Index7">
    <w:name w:val="index 7"/>
    <w:basedOn w:val="Normal"/>
    <w:next w:val="Normal"/>
    <w:autoRedefine/>
    <w:semiHidden/>
    <w:unhideWhenUsed/>
    <w:rsid w:val="00465398"/>
    <w:pPr>
      <w:spacing w:before="0" w:after="0" w:line="240" w:lineRule="auto"/>
      <w:ind w:left="1540" w:hanging="220"/>
    </w:pPr>
  </w:style>
  <w:style w:type="paragraph" w:styleId="Index8">
    <w:name w:val="index 8"/>
    <w:basedOn w:val="Normal"/>
    <w:next w:val="Normal"/>
    <w:autoRedefine/>
    <w:semiHidden/>
    <w:unhideWhenUsed/>
    <w:rsid w:val="00465398"/>
    <w:pPr>
      <w:spacing w:before="0" w:after="0" w:line="240" w:lineRule="auto"/>
      <w:ind w:left="1760" w:hanging="220"/>
    </w:pPr>
  </w:style>
  <w:style w:type="paragraph" w:styleId="Index9">
    <w:name w:val="index 9"/>
    <w:basedOn w:val="Normal"/>
    <w:next w:val="Normal"/>
    <w:autoRedefine/>
    <w:semiHidden/>
    <w:unhideWhenUsed/>
    <w:rsid w:val="00465398"/>
    <w:pPr>
      <w:spacing w:before="0" w:after="0" w:line="240" w:lineRule="auto"/>
      <w:ind w:left="1980" w:hanging="220"/>
    </w:pPr>
  </w:style>
  <w:style w:type="paragraph" w:styleId="IndexHeading">
    <w:name w:val="index heading"/>
    <w:basedOn w:val="Normal"/>
    <w:next w:val="Index1"/>
    <w:autoRedefine/>
    <w:semiHidden/>
    <w:unhideWhenUsed/>
    <w:rsid w:val="00465398"/>
    <w:rPr>
      <w:rFonts w:asciiTheme="majorHAnsi" w:eastAsiaTheme="majorEastAsia" w:hAnsiTheme="majorHAnsi" w:cstheme="majorBidi"/>
      <w:b/>
      <w:bCs/>
    </w:rPr>
  </w:style>
  <w:style w:type="character" w:styleId="IntenseEmphasis">
    <w:name w:val="Intense Emphasis"/>
    <w:basedOn w:val="DefaultParagraphFont"/>
    <w:uiPriority w:val="21"/>
    <w:rsid w:val="00465398"/>
    <w:rPr>
      <w:b/>
      <w:bCs/>
      <w:i/>
      <w:iCs/>
      <w:color w:val="004200" w:themeColor="accent1"/>
    </w:rPr>
  </w:style>
  <w:style w:type="paragraph" w:styleId="IntenseQuote">
    <w:name w:val="Intense Quote"/>
    <w:basedOn w:val="Normal"/>
    <w:next w:val="Normal"/>
    <w:link w:val="IntenseQuoteChar"/>
    <w:autoRedefine/>
    <w:uiPriority w:val="30"/>
    <w:rsid w:val="00465398"/>
    <w:pPr>
      <w:pBdr>
        <w:bottom w:val="single" w:sz="4" w:space="4" w:color="004200" w:themeColor="accent1"/>
      </w:pBdr>
      <w:spacing w:before="200" w:after="280"/>
      <w:ind w:left="936" w:right="936"/>
    </w:pPr>
    <w:rPr>
      <w:b/>
      <w:bCs/>
      <w:i/>
      <w:iCs/>
      <w:color w:val="004200" w:themeColor="accent1"/>
    </w:rPr>
  </w:style>
  <w:style w:type="character" w:customStyle="1" w:styleId="IntenseQuoteChar">
    <w:name w:val="Intense Quote Char"/>
    <w:basedOn w:val="DefaultParagraphFont"/>
    <w:link w:val="IntenseQuote"/>
    <w:uiPriority w:val="30"/>
    <w:rsid w:val="00465398"/>
    <w:rPr>
      <w:rFonts w:ascii="Arial" w:hAnsi="Arial"/>
      <w:b/>
      <w:bCs/>
      <w:i/>
      <w:iCs/>
      <w:color w:val="004200" w:themeColor="accent1"/>
      <w:sz w:val="22"/>
      <w:szCs w:val="24"/>
    </w:rPr>
  </w:style>
  <w:style w:type="character" w:styleId="IntenseReference">
    <w:name w:val="Intense Reference"/>
    <w:basedOn w:val="DefaultParagraphFont"/>
    <w:uiPriority w:val="32"/>
    <w:rsid w:val="00465398"/>
    <w:rPr>
      <w:b/>
      <w:bCs/>
      <w:smallCaps/>
      <w:color w:val="008542" w:themeColor="accent2"/>
      <w:spacing w:val="5"/>
      <w:u w:val="single"/>
    </w:rPr>
  </w:style>
  <w:style w:type="character" w:styleId="LineNumber">
    <w:name w:val="line number"/>
    <w:basedOn w:val="DefaultParagraphFont"/>
    <w:unhideWhenUsed/>
    <w:rsid w:val="00465398"/>
  </w:style>
  <w:style w:type="paragraph" w:styleId="List">
    <w:name w:val="List"/>
    <w:basedOn w:val="Normal"/>
    <w:autoRedefine/>
    <w:semiHidden/>
    <w:unhideWhenUsed/>
    <w:rsid w:val="00465398"/>
    <w:pPr>
      <w:ind w:left="283" w:hanging="283"/>
      <w:contextualSpacing/>
    </w:pPr>
  </w:style>
  <w:style w:type="paragraph" w:styleId="List2">
    <w:name w:val="List 2"/>
    <w:basedOn w:val="Normal"/>
    <w:autoRedefine/>
    <w:semiHidden/>
    <w:unhideWhenUsed/>
    <w:rsid w:val="00465398"/>
    <w:pPr>
      <w:ind w:left="566" w:hanging="283"/>
      <w:contextualSpacing/>
    </w:pPr>
  </w:style>
  <w:style w:type="paragraph" w:styleId="List3">
    <w:name w:val="List 3"/>
    <w:basedOn w:val="Normal"/>
    <w:autoRedefine/>
    <w:semiHidden/>
    <w:unhideWhenUsed/>
    <w:rsid w:val="00465398"/>
    <w:pPr>
      <w:ind w:left="849" w:hanging="283"/>
      <w:contextualSpacing/>
    </w:pPr>
  </w:style>
  <w:style w:type="paragraph" w:styleId="List4">
    <w:name w:val="List 4"/>
    <w:basedOn w:val="Normal"/>
    <w:autoRedefine/>
    <w:semiHidden/>
    <w:rsid w:val="00465398"/>
    <w:pPr>
      <w:ind w:left="1132" w:hanging="283"/>
      <w:contextualSpacing/>
    </w:pPr>
  </w:style>
  <w:style w:type="paragraph" w:styleId="List5">
    <w:name w:val="List 5"/>
    <w:basedOn w:val="Normal"/>
    <w:autoRedefine/>
    <w:semiHidden/>
    <w:rsid w:val="00465398"/>
    <w:pPr>
      <w:ind w:left="1415" w:hanging="283"/>
      <w:contextualSpacing/>
    </w:pPr>
  </w:style>
  <w:style w:type="paragraph" w:styleId="ListBullet2">
    <w:name w:val="List Bullet 2"/>
    <w:basedOn w:val="Normal"/>
    <w:autoRedefine/>
    <w:uiPriority w:val="3"/>
    <w:semiHidden/>
    <w:unhideWhenUsed/>
    <w:rsid w:val="00465398"/>
    <w:pPr>
      <w:numPr>
        <w:numId w:val="2"/>
      </w:numPr>
      <w:contextualSpacing/>
    </w:pPr>
  </w:style>
  <w:style w:type="paragraph" w:styleId="ListBullet3">
    <w:name w:val="List Bullet 3"/>
    <w:basedOn w:val="Normal"/>
    <w:autoRedefine/>
    <w:uiPriority w:val="3"/>
    <w:semiHidden/>
    <w:unhideWhenUsed/>
    <w:rsid w:val="00465398"/>
    <w:pPr>
      <w:numPr>
        <w:numId w:val="3"/>
      </w:numPr>
      <w:contextualSpacing/>
    </w:pPr>
  </w:style>
  <w:style w:type="paragraph" w:styleId="ListBullet4">
    <w:name w:val="List Bullet 4"/>
    <w:basedOn w:val="Normal"/>
    <w:autoRedefine/>
    <w:uiPriority w:val="3"/>
    <w:semiHidden/>
    <w:unhideWhenUsed/>
    <w:rsid w:val="00465398"/>
    <w:pPr>
      <w:numPr>
        <w:numId w:val="4"/>
      </w:numPr>
      <w:contextualSpacing/>
    </w:pPr>
  </w:style>
  <w:style w:type="paragraph" w:styleId="ListBullet5">
    <w:name w:val="List Bullet 5"/>
    <w:basedOn w:val="Normal"/>
    <w:autoRedefine/>
    <w:uiPriority w:val="3"/>
    <w:semiHidden/>
    <w:unhideWhenUsed/>
    <w:rsid w:val="00465398"/>
    <w:pPr>
      <w:numPr>
        <w:numId w:val="5"/>
      </w:numPr>
      <w:contextualSpacing/>
    </w:pPr>
  </w:style>
  <w:style w:type="paragraph" w:styleId="ListContinue">
    <w:name w:val="List Continue"/>
    <w:basedOn w:val="Normal"/>
    <w:autoRedefine/>
    <w:semiHidden/>
    <w:unhideWhenUsed/>
    <w:rsid w:val="00465398"/>
    <w:pPr>
      <w:ind w:left="283"/>
      <w:contextualSpacing/>
    </w:pPr>
  </w:style>
  <w:style w:type="paragraph" w:styleId="ListContinue2">
    <w:name w:val="List Continue 2"/>
    <w:basedOn w:val="Normal"/>
    <w:autoRedefine/>
    <w:semiHidden/>
    <w:unhideWhenUsed/>
    <w:rsid w:val="00465398"/>
    <w:pPr>
      <w:ind w:left="566"/>
      <w:contextualSpacing/>
    </w:pPr>
  </w:style>
  <w:style w:type="paragraph" w:styleId="ListContinue3">
    <w:name w:val="List Continue 3"/>
    <w:basedOn w:val="Normal"/>
    <w:autoRedefine/>
    <w:semiHidden/>
    <w:unhideWhenUsed/>
    <w:rsid w:val="00465398"/>
    <w:pPr>
      <w:ind w:left="849"/>
      <w:contextualSpacing/>
    </w:pPr>
  </w:style>
  <w:style w:type="paragraph" w:styleId="ListContinue4">
    <w:name w:val="List Continue 4"/>
    <w:basedOn w:val="Normal"/>
    <w:autoRedefine/>
    <w:semiHidden/>
    <w:unhideWhenUsed/>
    <w:rsid w:val="00465398"/>
    <w:pPr>
      <w:ind w:left="1132"/>
      <w:contextualSpacing/>
    </w:pPr>
  </w:style>
  <w:style w:type="paragraph" w:styleId="ListContinue5">
    <w:name w:val="List Continue 5"/>
    <w:basedOn w:val="Normal"/>
    <w:autoRedefine/>
    <w:semiHidden/>
    <w:unhideWhenUsed/>
    <w:rsid w:val="00465398"/>
    <w:pPr>
      <w:ind w:left="1415"/>
      <w:contextualSpacing/>
    </w:pPr>
  </w:style>
  <w:style w:type="paragraph" w:styleId="ListNumber">
    <w:name w:val="List Number"/>
    <w:basedOn w:val="Normal"/>
    <w:autoRedefine/>
    <w:uiPriority w:val="3"/>
    <w:rsid w:val="00465398"/>
    <w:pPr>
      <w:numPr>
        <w:numId w:val="6"/>
      </w:numPr>
      <w:contextualSpacing/>
    </w:pPr>
  </w:style>
  <w:style w:type="paragraph" w:styleId="ListNumber2">
    <w:name w:val="List Number 2"/>
    <w:basedOn w:val="Normal"/>
    <w:autoRedefine/>
    <w:uiPriority w:val="3"/>
    <w:semiHidden/>
    <w:unhideWhenUsed/>
    <w:rsid w:val="00465398"/>
    <w:pPr>
      <w:numPr>
        <w:numId w:val="7"/>
      </w:numPr>
      <w:contextualSpacing/>
    </w:pPr>
  </w:style>
  <w:style w:type="paragraph" w:styleId="ListNumber3">
    <w:name w:val="List Number 3"/>
    <w:basedOn w:val="Normal"/>
    <w:autoRedefine/>
    <w:uiPriority w:val="3"/>
    <w:semiHidden/>
    <w:unhideWhenUsed/>
    <w:rsid w:val="00465398"/>
    <w:pPr>
      <w:numPr>
        <w:numId w:val="8"/>
      </w:numPr>
      <w:contextualSpacing/>
    </w:pPr>
  </w:style>
  <w:style w:type="paragraph" w:styleId="ListNumber4">
    <w:name w:val="List Number 4"/>
    <w:basedOn w:val="Normal"/>
    <w:autoRedefine/>
    <w:uiPriority w:val="3"/>
    <w:semiHidden/>
    <w:unhideWhenUsed/>
    <w:rsid w:val="00465398"/>
    <w:pPr>
      <w:numPr>
        <w:numId w:val="9"/>
      </w:numPr>
      <w:contextualSpacing/>
    </w:pPr>
  </w:style>
  <w:style w:type="paragraph" w:styleId="ListNumber5">
    <w:name w:val="List Number 5"/>
    <w:basedOn w:val="Normal"/>
    <w:autoRedefine/>
    <w:uiPriority w:val="3"/>
    <w:semiHidden/>
    <w:unhideWhenUsed/>
    <w:rsid w:val="00465398"/>
    <w:pPr>
      <w:numPr>
        <w:numId w:val="10"/>
      </w:numPr>
      <w:contextualSpacing/>
    </w:pPr>
  </w:style>
  <w:style w:type="paragraph" w:styleId="MacroText">
    <w:name w:val="macro"/>
    <w:link w:val="MacroTextChar"/>
    <w:autoRedefine/>
    <w:semiHidden/>
    <w:unhideWhenUsed/>
    <w:rsid w:val="00465398"/>
    <w:pPr>
      <w:tabs>
        <w:tab w:val="left" w:pos="480"/>
        <w:tab w:val="left" w:pos="960"/>
        <w:tab w:val="left" w:pos="1440"/>
        <w:tab w:val="left" w:pos="1920"/>
        <w:tab w:val="left" w:pos="2400"/>
        <w:tab w:val="left" w:pos="2880"/>
        <w:tab w:val="left" w:pos="3360"/>
        <w:tab w:val="left" w:pos="3840"/>
        <w:tab w:val="left" w:pos="4320"/>
      </w:tabs>
      <w:spacing w:before="120" w:line="260" w:lineRule="atLeast"/>
    </w:pPr>
    <w:rPr>
      <w:rFonts w:ascii="Consolas" w:hAnsi="Consolas" w:cs="Consolas"/>
    </w:rPr>
  </w:style>
  <w:style w:type="character" w:customStyle="1" w:styleId="MacroTextChar">
    <w:name w:val="Macro Text Char"/>
    <w:basedOn w:val="DefaultParagraphFont"/>
    <w:link w:val="MacroText"/>
    <w:semiHidden/>
    <w:rsid w:val="00465398"/>
    <w:rPr>
      <w:rFonts w:ascii="Consolas" w:hAnsi="Consolas" w:cs="Consolas"/>
    </w:rPr>
  </w:style>
  <w:style w:type="paragraph" w:styleId="MessageHeader">
    <w:name w:val="Message Header"/>
    <w:basedOn w:val="Normal"/>
    <w:link w:val="MessageHeaderChar"/>
    <w:autoRedefine/>
    <w:semiHidden/>
    <w:unhideWhenUsed/>
    <w:rsid w:val="00465398"/>
    <w:pPr>
      <w:pBdr>
        <w:top w:val="single" w:sz="6" w:space="1" w:color="auto"/>
        <w:left w:val="single" w:sz="6" w:space="1" w:color="auto"/>
        <w:bottom w:val="single" w:sz="6" w:space="1" w:color="auto"/>
        <w:right w:val="single" w:sz="6" w:space="1" w:color="auto"/>
      </w:pBdr>
      <w:shd w:val="pct20" w:color="auto" w:fill="auto"/>
      <w:spacing w:before="0" w:after="0" w:line="240" w:lineRule="auto"/>
      <w:ind w:left="1134" w:hanging="1134"/>
    </w:pPr>
    <w:rPr>
      <w:rFonts w:asciiTheme="majorHAnsi" w:eastAsiaTheme="majorEastAsia" w:hAnsiTheme="majorHAnsi" w:cstheme="majorBidi"/>
      <w:sz w:val="24"/>
    </w:rPr>
  </w:style>
  <w:style w:type="character" w:customStyle="1" w:styleId="MessageHeaderChar">
    <w:name w:val="Message Header Char"/>
    <w:basedOn w:val="DefaultParagraphFont"/>
    <w:link w:val="MessageHeader"/>
    <w:semiHidden/>
    <w:rsid w:val="00465398"/>
    <w:rPr>
      <w:rFonts w:asciiTheme="majorHAnsi" w:eastAsiaTheme="majorEastAsia" w:hAnsiTheme="majorHAnsi" w:cstheme="majorBidi"/>
      <w:sz w:val="24"/>
      <w:szCs w:val="24"/>
      <w:shd w:val="pct20" w:color="auto" w:fill="auto"/>
    </w:rPr>
  </w:style>
  <w:style w:type="paragraph" w:styleId="NormalWeb">
    <w:name w:val="Normal (Web)"/>
    <w:basedOn w:val="Normal"/>
    <w:autoRedefine/>
    <w:uiPriority w:val="99"/>
    <w:semiHidden/>
    <w:unhideWhenUsed/>
    <w:rsid w:val="00465398"/>
    <w:rPr>
      <w:rFonts w:ascii="Times New Roman" w:hAnsi="Times New Roman"/>
      <w:sz w:val="24"/>
    </w:rPr>
  </w:style>
  <w:style w:type="paragraph" w:styleId="NoteHeading">
    <w:name w:val="Note Heading"/>
    <w:basedOn w:val="Normal"/>
    <w:next w:val="Normal"/>
    <w:link w:val="NoteHeadingChar"/>
    <w:autoRedefine/>
    <w:semiHidden/>
    <w:unhideWhenUsed/>
    <w:rsid w:val="00465398"/>
    <w:pPr>
      <w:spacing w:before="0" w:after="0" w:line="240" w:lineRule="auto"/>
    </w:pPr>
  </w:style>
  <w:style w:type="character" w:customStyle="1" w:styleId="NoteHeadingChar">
    <w:name w:val="Note Heading Char"/>
    <w:basedOn w:val="DefaultParagraphFont"/>
    <w:link w:val="NoteHeading"/>
    <w:semiHidden/>
    <w:rsid w:val="00465398"/>
    <w:rPr>
      <w:rFonts w:ascii="Arial" w:hAnsi="Arial"/>
      <w:sz w:val="22"/>
      <w:szCs w:val="24"/>
    </w:rPr>
  </w:style>
  <w:style w:type="character" w:styleId="PlaceholderText">
    <w:name w:val="Placeholder Text"/>
    <w:basedOn w:val="DefaultParagraphFont"/>
    <w:uiPriority w:val="99"/>
    <w:semiHidden/>
    <w:rsid w:val="00465398"/>
    <w:rPr>
      <w:color w:val="808080"/>
    </w:rPr>
  </w:style>
  <w:style w:type="paragraph" w:styleId="PlainText">
    <w:name w:val="Plain Text"/>
    <w:basedOn w:val="Normal"/>
    <w:link w:val="PlainTextChar"/>
    <w:autoRedefine/>
    <w:semiHidden/>
    <w:unhideWhenUsed/>
    <w:rsid w:val="00465398"/>
    <w:pPr>
      <w:spacing w:before="0" w:after="0" w:line="240" w:lineRule="auto"/>
    </w:pPr>
    <w:rPr>
      <w:rFonts w:ascii="Consolas" w:hAnsi="Consolas" w:cs="Consolas"/>
      <w:sz w:val="21"/>
      <w:szCs w:val="21"/>
    </w:rPr>
  </w:style>
  <w:style w:type="character" w:customStyle="1" w:styleId="PlainTextChar">
    <w:name w:val="Plain Text Char"/>
    <w:basedOn w:val="DefaultParagraphFont"/>
    <w:link w:val="PlainText"/>
    <w:semiHidden/>
    <w:rsid w:val="00465398"/>
    <w:rPr>
      <w:rFonts w:ascii="Consolas" w:hAnsi="Consolas" w:cs="Consolas"/>
      <w:sz w:val="21"/>
      <w:szCs w:val="21"/>
    </w:rPr>
  </w:style>
  <w:style w:type="paragraph" w:styleId="Salutation">
    <w:name w:val="Salutation"/>
    <w:basedOn w:val="Normal"/>
    <w:next w:val="Normal"/>
    <w:link w:val="SalutationChar"/>
    <w:autoRedefine/>
    <w:semiHidden/>
    <w:rsid w:val="00465398"/>
  </w:style>
  <w:style w:type="character" w:customStyle="1" w:styleId="SalutationChar">
    <w:name w:val="Salutation Char"/>
    <w:basedOn w:val="DefaultParagraphFont"/>
    <w:link w:val="Salutation"/>
    <w:semiHidden/>
    <w:rsid w:val="00465398"/>
    <w:rPr>
      <w:rFonts w:ascii="Arial" w:hAnsi="Arial"/>
      <w:sz w:val="22"/>
      <w:szCs w:val="24"/>
    </w:rPr>
  </w:style>
  <w:style w:type="paragraph" w:styleId="Signature">
    <w:name w:val="Signature"/>
    <w:basedOn w:val="Normal"/>
    <w:link w:val="SignatureChar"/>
    <w:autoRedefine/>
    <w:semiHidden/>
    <w:unhideWhenUsed/>
    <w:rsid w:val="00465398"/>
    <w:pPr>
      <w:spacing w:before="0" w:after="0" w:line="240" w:lineRule="auto"/>
      <w:ind w:left="4252"/>
    </w:pPr>
  </w:style>
  <w:style w:type="character" w:customStyle="1" w:styleId="SignatureChar">
    <w:name w:val="Signature Char"/>
    <w:basedOn w:val="DefaultParagraphFont"/>
    <w:link w:val="Signature"/>
    <w:semiHidden/>
    <w:rsid w:val="00465398"/>
    <w:rPr>
      <w:rFonts w:ascii="Arial" w:hAnsi="Arial"/>
      <w:sz w:val="22"/>
      <w:szCs w:val="24"/>
    </w:rPr>
  </w:style>
  <w:style w:type="character" w:styleId="SubtleReference">
    <w:name w:val="Subtle Reference"/>
    <w:basedOn w:val="DefaultParagraphFont"/>
    <w:uiPriority w:val="31"/>
    <w:rsid w:val="00465398"/>
    <w:rPr>
      <w:smallCaps/>
      <w:color w:val="008542" w:themeColor="accent2"/>
      <w:u w:val="single"/>
    </w:rPr>
  </w:style>
  <w:style w:type="paragraph" w:styleId="TableofAuthorities">
    <w:name w:val="table of authorities"/>
    <w:basedOn w:val="Normal"/>
    <w:next w:val="Normal"/>
    <w:autoRedefine/>
    <w:semiHidden/>
    <w:unhideWhenUsed/>
    <w:rsid w:val="00465398"/>
    <w:pPr>
      <w:spacing w:after="0"/>
      <w:ind w:left="220" w:hanging="220"/>
    </w:pPr>
  </w:style>
  <w:style w:type="paragraph" w:styleId="TableofFigures">
    <w:name w:val="table of figures"/>
    <w:basedOn w:val="Normal"/>
    <w:next w:val="Normal"/>
    <w:autoRedefine/>
    <w:uiPriority w:val="99"/>
    <w:unhideWhenUsed/>
    <w:rsid w:val="00766890"/>
    <w:pPr>
      <w:tabs>
        <w:tab w:val="right" w:leader="dot" w:pos="9356"/>
      </w:tabs>
      <w:spacing w:after="0"/>
      <w:ind w:right="373"/>
    </w:pPr>
  </w:style>
  <w:style w:type="paragraph" w:styleId="TOAHeading">
    <w:name w:val="toa heading"/>
    <w:basedOn w:val="Normal"/>
    <w:next w:val="Normal"/>
    <w:autoRedefine/>
    <w:semiHidden/>
    <w:unhideWhenUsed/>
    <w:rsid w:val="00465398"/>
    <w:rPr>
      <w:rFonts w:asciiTheme="majorHAnsi" w:eastAsiaTheme="majorEastAsia" w:hAnsiTheme="majorHAnsi" w:cstheme="majorBidi"/>
      <w:b/>
      <w:bCs/>
      <w:sz w:val="24"/>
    </w:rPr>
  </w:style>
  <w:style w:type="paragraph" w:styleId="TOC3">
    <w:name w:val="toc 3"/>
    <w:basedOn w:val="Normal"/>
    <w:next w:val="Normal"/>
    <w:autoRedefine/>
    <w:uiPriority w:val="39"/>
    <w:unhideWhenUsed/>
    <w:qFormat/>
    <w:rsid w:val="00465398"/>
    <w:pPr>
      <w:spacing w:before="0" w:after="0"/>
      <w:ind w:left="440"/>
    </w:pPr>
    <w:rPr>
      <w:rFonts w:asciiTheme="minorHAnsi" w:hAnsiTheme="minorHAnsi" w:cstheme="minorHAnsi"/>
      <w:sz w:val="20"/>
      <w:szCs w:val="20"/>
    </w:rPr>
  </w:style>
  <w:style w:type="paragraph" w:styleId="TOC4">
    <w:name w:val="toc 4"/>
    <w:basedOn w:val="Normal"/>
    <w:next w:val="Normal"/>
    <w:autoRedefine/>
    <w:unhideWhenUsed/>
    <w:rsid w:val="00465398"/>
    <w:pPr>
      <w:spacing w:before="0" w:after="0"/>
      <w:ind w:left="660"/>
    </w:pPr>
    <w:rPr>
      <w:rFonts w:asciiTheme="minorHAnsi" w:hAnsiTheme="minorHAnsi" w:cstheme="minorHAnsi"/>
      <w:sz w:val="20"/>
      <w:szCs w:val="20"/>
    </w:rPr>
  </w:style>
  <w:style w:type="paragraph" w:styleId="TOC5">
    <w:name w:val="toc 5"/>
    <w:basedOn w:val="Normal"/>
    <w:next w:val="Normal"/>
    <w:autoRedefine/>
    <w:unhideWhenUsed/>
    <w:rsid w:val="00465398"/>
    <w:pPr>
      <w:spacing w:before="0" w:after="0"/>
      <w:ind w:left="880"/>
    </w:pPr>
    <w:rPr>
      <w:rFonts w:asciiTheme="minorHAnsi" w:hAnsiTheme="minorHAnsi" w:cstheme="minorHAnsi"/>
      <w:sz w:val="20"/>
      <w:szCs w:val="20"/>
    </w:rPr>
  </w:style>
  <w:style w:type="paragraph" w:styleId="TOC6">
    <w:name w:val="toc 6"/>
    <w:basedOn w:val="Normal"/>
    <w:next w:val="Normal"/>
    <w:autoRedefine/>
    <w:unhideWhenUsed/>
    <w:rsid w:val="00465398"/>
    <w:pPr>
      <w:spacing w:before="0" w:after="0"/>
      <w:ind w:left="1100"/>
    </w:pPr>
    <w:rPr>
      <w:rFonts w:asciiTheme="minorHAnsi" w:hAnsiTheme="minorHAnsi" w:cstheme="minorHAnsi"/>
      <w:sz w:val="20"/>
      <w:szCs w:val="20"/>
    </w:rPr>
  </w:style>
  <w:style w:type="paragraph" w:styleId="TOC7">
    <w:name w:val="toc 7"/>
    <w:basedOn w:val="Normal"/>
    <w:next w:val="Normal"/>
    <w:autoRedefine/>
    <w:unhideWhenUsed/>
    <w:rsid w:val="00465398"/>
    <w:pPr>
      <w:spacing w:before="0" w:after="0"/>
      <w:ind w:left="1320"/>
    </w:pPr>
    <w:rPr>
      <w:rFonts w:asciiTheme="minorHAnsi" w:hAnsiTheme="minorHAnsi" w:cstheme="minorHAnsi"/>
      <w:sz w:val="20"/>
      <w:szCs w:val="20"/>
    </w:rPr>
  </w:style>
  <w:style w:type="paragraph" w:styleId="TOC8">
    <w:name w:val="toc 8"/>
    <w:basedOn w:val="Normal"/>
    <w:next w:val="Normal"/>
    <w:autoRedefine/>
    <w:unhideWhenUsed/>
    <w:rsid w:val="00465398"/>
    <w:pPr>
      <w:spacing w:before="0" w:after="0"/>
      <w:ind w:left="1540"/>
    </w:pPr>
    <w:rPr>
      <w:rFonts w:asciiTheme="minorHAnsi" w:hAnsiTheme="minorHAnsi" w:cstheme="minorHAnsi"/>
      <w:sz w:val="20"/>
      <w:szCs w:val="20"/>
    </w:rPr>
  </w:style>
  <w:style w:type="paragraph" w:styleId="TOC9">
    <w:name w:val="toc 9"/>
    <w:basedOn w:val="Normal"/>
    <w:next w:val="Normal"/>
    <w:autoRedefine/>
    <w:unhideWhenUsed/>
    <w:rsid w:val="00465398"/>
    <w:pPr>
      <w:spacing w:before="0" w:after="0"/>
      <w:ind w:left="1760"/>
    </w:pPr>
    <w:rPr>
      <w:rFonts w:asciiTheme="minorHAnsi" w:hAnsiTheme="minorHAnsi" w:cstheme="minorHAnsi"/>
      <w:sz w:val="20"/>
      <w:szCs w:val="20"/>
    </w:rPr>
  </w:style>
  <w:style w:type="character" w:styleId="Hyperlink">
    <w:name w:val="Hyperlink"/>
    <w:basedOn w:val="DefaultParagraphFont"/>
    <w:uiPriority w:val="99"/>
    <w:unhideWhenUsed/>
    <w:rsid w:val="00562759"/>
    <w:rPr>
      <w:color w:val="000000" w:themeColor="hyperlink"/>
      <w:u w:val="single"/>
    </w:rPr>
  </w:style>
  <w:style w:type="character" w:customStyle="1" w:styleId="ListParagraphChar">
    <w:name w:val="List Paragraph Char"/>
    <w:link w:val="ListParagraph"/>
    <w:uiPriority w:val="34"/>
    <w:locked/>
    <w:rsid w:val="002A3926"/>
    <w:rPr>
      <w:rFonts w:ascii="Arial" w:hAnsi="Arial" w:cs="Arial"/>
      <w:sz w:val="22"/>
      <w:szCs w:val="24"/>
    </w:rPr>
  </w:style>
  <w:style w:type="paragraph" w:styleId="Revision">
    <w:name w:val="Revision"/>
    <w:hidden/>
    <w:uiPriority w:val="99"/>
    <w:semiHidden/>
    <w:rsid w:val="00BC14B6"/>
    <w:rPr>
      <w:rFonts w:ascii="Arial" w:hAnsi="Arial"/>
      <w:sz w:val="22"/>
      <w:szCs w:val="24"/>
    </w:rPr>
  </w:style>
  <w:style w:type="character" w:customStyle="1" w:styleId="FooterChar">
    <w:name w:val="Footer Char"/>
    <w:basedOn w:val="DefaultParagraphFont"/>
    <w:link w:val="Footer"/>
    <w:uiPriority w:val="99"/>
    <w:rsid w:val="003C7472"/>
    <w:rPr>
      <w:rFonts w:ascii="Arial" w:hAnsi="Arial"/>
      <w:b/>
      <w:sz w:val="96"/>
      <w:szCs w:val="96"/>
    </w:rPr>
  </w:style>
  <w:style w:type="paragraph" w:customStyle="1" w:styleId="TableListNumber">
    <w:name w:val="Table List Number"/>
    <w:basedOn w:val="Normal"/>
    <w:rsid w:val="001231DF"/>
    <w:pPr>
      <w:numPr>
        <w:numId w:val="18"/>
      </w:numPr>
      <w:spacing w:before="60" w:after="40" w:line="240" w:lineRule="auto"/>
    </w:pPr>
    <w:rPr>
      <w:rFonts w:eastAsia="MS Mincho"/>
      <w:lang w:eastAsia="en-US"/>
    </w:rPr>
  </w:style>
  <w:style w:type="character" w:customStyle="1" w:styleId="Heading1Char">
    <w:name w:val="Heading 1 Char"/>
    <w:link w:val="Heading1"/>
    <w:locked/>
    <w:rsid w:val="001231DF"/>
    <w:rPr>
      <w:rFonts w:ascii="Arial Bold" w:hAnsi="Arial Bold"/>
      <w:b/>
      <w:sz w:val="40"/>
      <w:szCs w:val="4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072173">
      <w:bodyDiv w:val="1"/>
      <w:marLeft w:val="0"/>
      <w:marRight w:val="0"/>
      <w:marTop w:val="0"/>
      <w:marBottom w:val="0"/>
      <w:divBdr>
        <w:top w:val="none" w:sz="0" w:space="0" w:color="auto"/>
        <w:left w:val="none" w:sz="0" w:space="0" w:color="auto"/>
        <w:bottom w:val="none" w:sz="0" w:space="0" w:color="auto"/>
        <w:right w:val="none" w:sz="0" w:space="0" w:color="auto"/>
      </w:divBdr>
    </w:div>
    <w:div w:id="18168962">
      <w:bodyDiv w:val="1"/>
      <w:marLeft w:val="0"/>
      <w:marRight w:val="0"/>
      <w:marTop w:val="0"/>
      <w:marBottom w:val="0"/>
      <w:divBdr>
        <w:top w:val="none" w:sz="0" w:space="0" w:color="auto"/>
        <w:left w:val="none" w:sz="0" w:space="0" w:color="auto"/>
        <w:bottom w:val="none" w:sz="0" w:space="0" w:color="auto"/>
        <w:right w:val="none" w:sz="0" w:space="0" w:color="auto"/>
      </w:divBdr>
    </w:div>
    <w:div w:id="70081326">
      <w:bodyDiv w:val="1"/>
      <w:marLeft w:val="0"/>
      <w:marRight w:val="0"/>
      <w:marTop w:val="0"/>
      <w:marBottom w:val="0"/>
      <w:divBdr>
        <w:top w:val="none" w:sz="0" w:space="0" w:color="auto"/>
        <w:left w:val="none" w:sz="0" w:space="0" w:color="auto"/>
        <w:bottom w:val="none" w:sz="0" w:space="0" w:color="auto"/>
        <w:right w:val="none" w:sz="0" w:space="0" w:color="auto"/>
      </w:divBdr>
    </w:div>
    <w:div w:id="99372771">
      <w:bodyDiv w:val="1"/>
      <w:marLeft w:val="0"/>
      <w:marRight w:val="0"/>
      <w:marTop w:val="0"/>
      <w:marBottom w:val="0"/>
      <w:divBdr>
        <w:top w:val="none" w:sz="0" w:space="0" w:color="auto"/>
        <w:left w:val="none" w:sz="0" w:space="0" w:color="auto"/>
        <w:bottom w:val="none" w:sz="0" w:space="0" w:color="auto"/>
        <w:right w:val="none" w:sz="0" w:space="0" w:color="auto"/>
      </w:divBdr>
    </w:div>
    <w:div w:id="344871339">
      <w:bodyDiv w:val="1"/>
      <w:marLeft w:val="0"/>
      <w:marRight w:val="0"/>
      <w:marTop w:val="0"/>
      <w:marBottom w:val="0"/>
      <w:divBdr>
        <w:top w:val="none" w:sz="0" w:space="0" w:color="auto"/>
        <w:left w:val="none" w:sz="0" w:space="0" w:color="auto"/>
        <w:bottom w:val="none" w:sz="0" w:space="0" w:color="auto"/>
        <w:right w:val="none" w:sz="0" w:space="0" w:color="auto"/>
      </w:divBdr>
    </w:div>
    <w:div w:id="355543769">
      <w:bodyDiv w:val="1"/>
      <w:marLeft w:val="0"/>
      <w:marRight w:val="0"/>
      <w:marTop w:val="0"/>
      <w:marBottom w:val="0"/>
      <w:divBdr>
        <w:top w:val="none" w:sz="0" w:space="0" w:color="auto"/>
        <w:left w:val="none" w:sz="0" w:space="0" w:color="auto"/>
        <w:bottom w:val="none" w:sz="0" w:space="0" w:color="auto"/>
        <w:right w:val="none" w:sz="0" w:space="0" w:color="auto"/>
      </w:divBdr>
    </w:div>
    <w:div w:id="381254866">
      <w:bodyDiv w:val="1"/>
      <w:marLeft w:val="0"/>
      <w:marRight w:val="0"/>
      <w:marTop w:val="0"/>
      <w:marBottom w:val="0"/>
      <w:divBdr>
        <w:top w:val="none" w:sz="0" w:space="0" w:color="auto"/>
        <w:left w:val="none" w:sz="0" w:space="0" w:color="auto"/>
        <w:bottom w:val="none" w:sz="0" w:space="0" w:color="auto"/>
        <w:right w:val="none" w:sz="0" w:space="0" w:color="auto"/>
      </w:divBdr>
    </w:div>
    <w:div w:id="491217036">
      <w:bodyDiv w:val="1"/>
      <w:marLeft w:val="0"/>
      <w:marRight w:val="0"/>
      <w:marTop w:val="0"/>
      <w:marBottom w:val="0"/>
      <w:divBdr>
        <w:top w:val="none" w:sz="0" w:space="0" w:color="auto"/>
        <w:left w:val="none" w:sz="0" w:space="0" w:color="auto"/>
        <w:bottom w:val="none" w:sz="0" w:space="0" w:color="auto"/>
        <w:right w:val="none" w:sz="0" w:space="0" w:color="auto"/>
      </w:divBdr>
    </w:div>
    <w:div w:id="495077180">
      <w:bodyDiv w:val="1"/>
      <w:marLeft w:val="0"/>
      <w:marRight w:val="0"/>
      <w:marTop w:val="0"/>
      <w:marBottom w:val="0"/>
      <w:divBdr>
        <w:top w:val="none" w:sz="0" w:space="0" w:color="auto"/>
        <w:left w:val="none" w:sz="0" w:space="0" w:color="auto"/>
        <w:bottom w:val="none" w:sz="0" w:space="0" w:color="auto"/>
        <w:right w:val="none" w:sz="0" w:space="0" w:color="auto"/>
      </w:divBdr>
    </w:div>
    <w:div w:id="539787248">
      <w:bodyDiv w:val="1"/>
      <w:marLeft w:val="0"/>
      <w:marRight w:val="0"/>
      <w:marTop w:val="0"/>
      <w:marBottom w:val="0"/>
      <w:divBdr>
        <w:top w:val="none" w:sz="0" w:space="0" w:color="auto"/>
        <w:left w:val="none" w:sz="0" w:space="0" w:color="auto"/>
        <w:bottom w:val="none" w:sz="0" w:space="0" w:color="auto"/>
        <w:right w:val="none" w:sz="0" w:space="0" w:color="auto"/>
      </w:divBdr>
    </w:div>
    <w:div w:id="607737577">
      <w:bodyDiv w:val="1"/>
      <w:marLeft w:val="0"/>
      <w:marRight w:val="0"/>
      <w:marTop w:val="0"/>
      <w:marBottom w:val="0"/>
      <w:divBdr>
        <w:top w:val="none" w:sz="0" w:space="0" w:color="auto"/>
        <w:left w:val="none" w:sz="0" w:space="0" w:color="auto"/>
        <w:bottom w:val="none" w:sz="0" w:space="0" w:color="auto"/>
        <w:right w:val="none" w:sz="0" w:space="0" w:color="auto"/>
      </w:divBdr>
    </w:div>
    <w:div w:id="675957007">
      <w:bodyDiv w:val="1"/>
      <w:marLeft w:val="0"/>
      <w:marRight w:val="0"/>
      <w:marTop w:val="0"/>
      <w:marBottom w:val="0"/>
      <w:divBdr>
        <w:top w:val="none" w:sz="0" w:space="0" w:color="auto"/>
        <w:left w:val="none" w:sz="0" w:space="0" w:color="auto"/>
        <w:bottom w:val="none" w:sz="0" w:space="0" w:color="auto"/>
        <w:right w:val="none" w:sz="0" w:space="0" w:color="auto"/>
      </w:divBdr>
    </w:div>
    <w:div w:id="676545089">
      <w:bodyDiv w:val="1"/>
      <w:marLeft w:val="0"/>
      <w:marRight w:val="0"/>
      <w:marTop w:val="0"/>
      <w:marBottom w:val="0"/>
      <w:divBdr>
        <w:top w:val="none" w:sz="0" w:space="0" w:color="auto"/>
        <w:left w:val="none" w:sz="0" w:space="0" w:color="auto"/>
        <w:bottom w:val="none" w:sz="0" w:space="0" w:color="auto"/>
        <w:right w:val="none" w:sz="0" w:space="0" w:color="auto"/>
      </w:divBdr>
    </w:div>
    <w:div w:id="683441850">
      <w:bodyDiv w:val="1"/>
      <w:marLeft w:val="0"/>
      <w:marRight w:val="0"/>
      <w:marTop w:val="0"/>
      <w:marBottom w:val="0"/>
      <w:divBdr>
        <w:top w:val="none" w:sz="0" w:space="0" w:color="auto"/>
        <w:left w:val="none" w:sz="0" w:space="0" w:color="auto"/>
        <w:bottom w:val="none" w:sz="0" w:space="0" w:color="auto"/>
        <w:right w:val="none" w:sz="0" w:space="0" w:color="auto"/>
      </w:divBdr>
    </w:div>
    <w:div w:id="730538394">
      <w:bodyDiv w:val="1"/>
      <w:marLeft w:val="0"/>
      <w:marRight w:val="0"/>
      <w:marTop w:val="0"/>
      <w:marBottom w:val="0"/>
      <w:divBdr>
        <w:top w:val="none" w:sz="0" w:space="0" w:color="auto"/>
        <w:left w:val="none" w:sz="0" w:space="0" w:color="auto"/>
        <w:bottom w:val="none" w:sz="0" w:space="0" w:color="auto"/>
        <w:right w:val="none" w:sz="0" w:space="0" w:color="auto"/>
      </w:divBdr>
    </w:div>
    <w:div w:id="751321943">
      <w:bodyDiv w:val="1"/>
      <w:marLeft w:val="0"/>
      <w:marRight w:val="0"/>
      <w:marTop w:val="0"/>
      <w:marBottom w:val="0"/>
      <w:divBdr>
        <w:top w:val="none" w:sz="0" w:space="0" w:color="auto"/>
        <w:left w:val="none" w:sz="0" w:space="0" w:color="auto"/>
        <w:bottom w:val="none" w:sz="0" w:space="0" w:color="auto"/>
        <w:right w:val="none" w:sz="0" w:space="0" w:color="auto"/>
      </w:divBdr>
    </w:div>
    <w:div w:id="926813194">
      <w:bodyDiv w:val="1"/>
      <w:marLeft w:val="0"/>
      <w:marRight w:val="0"/>
      <w:marTop w:val="0"/>
      <w:marBottom w:val="0"/>
      <w:divBdr>
        <w:top w:val="none" w:sz="0" w:space="0" w:color="auto"/>
        <w:left w:val="none" w:sz="0" w:space="0" w:color="auto"/>
        <w:bottom w:val="none" w:sz="0" w:space="0" w:color="auto"/>
        <w:right w:val="none" w:sz="0" w:space="0" w:color="auto"/>
      </w:divBdr>
    </w:div>
    <w:div w:id="930705042">
      <w:bodyDiv w:val="1"/>
      <w:marLeft w:val="0"/>
      <w:marRight w:val="0"/>
      <w:marTop w:val="0"/>
      <w:marBottom w:val="0"/>
      <w:divBdr>
        <w:top w:val="none" w:sz="0" w:space="0" w:color="auto"/>
        <w:left w:val="none" w:sz="0" w:space="0" w:color="auto"/>
        <w:bottom w:val="none" w:sz="0" w:space="0" w:color="auto"/>
        <w:right w:val="none" w:sz="0" w:space="0" w:color="auto"/>
      </w:divBdr>
    </w:div>
    <w:div w:id="953290374">
      <w:bodyDiv w:val="1"/>
      <w:marLeft w:val="0"/>
      <w:marRight w:val="0"/>
      <w:marTop w:val="0"/>
      <w:marBottom w:val="0"/>
      <w:divBdr>
        <w:top w:val="none" w:sz="0" w:space="0" w:color="auto"/>
        <w:left w:val="none" w:sz="0" w:space="0" w:color="auto"/>
        <w:bottom w:val="none" w:sz="0" w:space="0" w:color="auto"/>
        <w:right w:val="none" w:sz="0" w:space="0" w:color="auto"/>
      </w:divBdr>
    </w:div>
    <w:div w:id="995643437">
      <w:bodyDiv w:val="1"/>
      <w:marLeft w:val="0"/>
      <w:marRight w:val="0"/>
      <w:marTop w:val="0"/>
      <w:marBottom w:val="0"/>
      <w:divBdr>
        <w:top w:val="none" w:sz="0" w:space="0" w:color="auto"/>
        <w:left w:val="none" w:sz="0" w:space="0" w:color="auto"/>
        <w:bottom w:val="none" w:sz="0" w:space="0" w:color="auto"/>
        <w:right w:val="none" w:sz="0" w:space="0" w:color="auto"/>
      </w:divBdr>
    </w:div>
    <w:div w:id="1018044109">
      <w:bodyDiv w:val="1"/>
      <w:marLeft w:val="0"/>
      <w:marRight w:val="0"/>
      <w:marTop w:val="0"/>
      <w:marBottom w:val="0"/>
      <w:divBdr>
        <w:top w:val="none" w:sz="0" w:space="0" w:color="auto"/>
        <w:left w:val="none" w:sz="0" w:space="0" w:color="auto"/>
        <w:bottom w:val="none" w:sz="0" w:space="0" w:color="auto"/>
        <w:right w:val="none" w:sz="0" w:space="0" w:color="auto"/>
      </w:divBdr>
    </w:div>
    <w:div w:id="1027029274">
      <w:bodyDiv w:val="1"/>
      <w:marLeft w:val="0"/>
      <w:marRight w:val="0"/>
      <w:marTop w:val="0"/>
      <w:marBottom w:val="0"/>
      <w:divBdr>
        <w:top w:val="none" w:sz="0" w:space="0" w:color="auto"/>
        <w:left w:val="none" w:sz="0" w:space="0" w:color="auto"/>
        <w:bottom w:val="none" w:sz="0" w:space="0" w:color="auto"/>
        <w:right w:val="none" w:sz="0" w:space="0" w:color="auto"/>
      </w:divBdr>
    </w:div>
    <w:div w:id="1047752988">
      <w:bodyDiv w:val="1"/>
      <w:marLeft w:val="0"/>
      <w:marRight w:val="0"/>
      <w:marTop w:val="0"/>
      <w:marBottom w:val="0"/>
      <w:divBdr>
        <w:top w:val="none" w:sz="0" w:space="0" w:color="auto"/>
        <w:left w:val="none" w:sz="0" w:space="0" w:color="auto"/>
        <w:bottom w:val="none" w:sz="0" w:space="0" w:color="auto"/>
        <w:right w:val="none" w:sz="0" w:space="0" w:color="auto"/>
      </w:divBdr>
    </w:div>
    <w:div w:id="1151675719">
      <w:bodyDiv w:val="1"/>
      <w:marLeft w:val="0"/>
      <w:marRight w:val="0"/>
      <w:marTop w:val="0"/>
      <w:marBottom w:val="0"/>
      <w:divBdr>
        <w:top w:val="none" w:sz="0" w:space="0" w:color="auto"/>
        <w:left w:val="none" w:sz="0" w:space="0" w:color="auto"/>
        <w:bottom w:val="none" w:sz="0" w:space="0" w:color="auto"/>
        <w:right w:val="none" w:sz="0" w:space="0" w:color="auto"/>
      </w:divBdr>
    </w:div>
    <w:div w:id="1165705478">
      <w:bodyDiv w:val="1"/>
      <w:marLeft w:val="0"/>
      <w:marRight w:val="0"/>
      <w:marTop w:val="0"/>
      <w:marBottom w:val="0"/>
      <w:divBdr>
        <w:top w:val="none" w:sz="0" w:space="0" w:color="auto"/>
        <w:left w:val="none" w:sz="0" w:space="0" w:color="auto"/>
        <w:bottom w:val="none" w:sz="0" w:space="0" w:color="auto"/>
        <w:right w:val="none" w:sz="0" w:space="0" w:color="auto"/>
      </w:divBdr>
    </w:div>
    <w:div w:id="1240017245">
      <w:bodyDiv w:val="1"/>
      <w:marLeft w:val="0"/>
      <w:marRight w:val="0"/>
      <w:marTop w:val="0"/>
      <w:marBottom w:val="0"/>
      <w:divBdr>
        <w:top w:val="none" w:sz="0" w:space="0" w:color="auto"/>
        <w:left w:val="none" w:sz="0" w:space="0" w:color="auto"/>
        <w:bottom w:val="none" w:sz="0" w:space="0" w:color="auto"/>
        <w:right w:val="none" w:sz="0" w:space="0" w:color="auto"/>
      </w:divBdr>
    </w:div>
    <w:div w:id="1276862347">
      <w:bodyDiv w:val="1"/>
      <w:marLeft w:val="0"/>
      <w:marRight w:val="0"/>
      <w:marTop w:val="0"/>
      <w:marBottom w:val="0"/>
      <w:divBdr>
        <w:top w:val="none" w:sz="0" w:space="0" w:color="auto"/>
        <w:left w:val="none" w:sz="0" w:space="0" w:color="auto"/>
        <w:bottom w:val="none" w:sz="0" w:space="0" w:color="auto"/>
        <w:right w:val="none" w:sz="0" w:space="0" w:color="auto"/>
      </w:divBdr>
    </w:div>
    <w:div w:id="1308710060">
      <w:bodyDiv w:val="1"/>
      <w:marLeft w:val="0"/>
      <w:marRight w:val="0"/>
      <w:marTop w:val="0"/>
      <w:marBottom w:val="0"/>
      <w:divBdr>
        <w:top w:val="none" w:sz="0" w:space="0" w:color="auto"/>
        <w:left w:val="none" w:sz="0" w:space="0" w:color="auto"/>
        <w:bottom w:val="none" w:sz="0" w:space="0" w:color="auto"/>
        <w:right w:val="none" w:sz="0" w:space="0" w:color="auto"/>
      </w:divBdr>
    </w:div>
    <w:div w:id="1393575258">
      <w:bodyDiv w:val="1"/>
      <w:marLeft w:val="0"/>
      <w:marRight w:val="0"/>
      <w:marTop w:val="0"/>
      <w:marBottom w:val="0"/>
      <w:divBdr>
        <w:top w:val="none" w:sz="0" w:space="0" w:color="auto"/>
        <w:left w:val="none" w:sz="0" w:space="0" w:color="auto"/>
        <w:bottom w:val="none" w:sz="0" w:space="0" w:color="auto"/>
        <w:right w:val="none" w:sz="0" w:space="0" w:color="auto"/>
      </w:divBdr>
    </w:div>
    <w:div w:id="1455177061">
      <w:bodyDiv w:val="1"/>
      <w:marLeft w:val="0"/>
      <w:marRight w:val="0"/>
      <w:marTop w:val="0"/>
      <w:marBottom w:val="0"/>
      <w:divBdr>
        <w:top w:val="none" w:sz="0" w:space="0" w:color="auto"/>
        <w:left w:val="none" w:sz="0" w:space="0" w:color="auto"/>
        <w:bottom w:val="none" w:sz="0" w:space="0" w:color="auto"/>
        <w:right w:val="none" w:sz="0" w:space="0" w:color="auto"/>
      </w:divBdr>
    </w:div>
    <w:div w:id="1472139281">
      <w:bodyDiv w:val="1"/>
      <w:marLeft w:val="0"/>
      <w:marRight w:val="0"/>
      <w:marTop w:val="0"/>
      <w:marBottom w:val="0"/>
      <w:divBdr>
        <w:top w:val="none" w:sz="0" w:space="0" w:color="auto"/>
        <w:left w:val="none" w:sz="0" w:space="0" w:color="auto"/>
        <w:bottom w:val="none" w:sz="0" w:space="0" w:color="auto"/>
        <w:right w:val="none" w:sz="0" w:space="0" w:color="auto"/>
      </w:divBdr>
    </w:div>
    <w:div w:id="1486045899">
      <w:bodyDiv w:val="1"/>
      <w:marLeft w:val="0"/>
      <w:marRight w:val="0"/>
      <w:marTop w:val="0"/>
      <w:marBottom w:val="0"/>
      <w:divBdr>
        <w:top w:val="none" w:sz="0" w:space="0" w:color="auto"/>
        <w:left w:val="none" w:sz="0" w:space="0" w:color="auto"/>
        <w:bottom w:val="none" w:sz="0" w:space="0" w:color="auto"/>
        <w:right w:val="none" w:sz="0" w:space="0" w:color="auto"/>
      </w:divBdr>
    </w:div>
    <w:div w:id="1524512085">
      <w:bodyDiv w:val="1"/>
      <w:marLeft w:val="0"/>
      <w:marRight w:val="0"/>
      <w:marTop w:val="0"/>
      <w:marBottom w:val="0"/>
      <w:divBdr>
        <w:top w:val="none" w:sz="0" w:space="0" w:color="auto"/>
        <w:left w:val="none" w:sz="0" w:space="0" w:color="auto"/>
        <w:bottom w:val="none" w:sz="0" w:space="0" w:color="auto"/>
        <w:right w:val="none" w:sz="0" w:space="0" w:color="auto"/>
      </w:divBdr>
    </w:div>
    <w:div w:id="1558053577">
      <w:bodyDiv w:val="1"/>
      <w:marLeft w:val="0"/>
      <w:marRight w:val="0"/>
      <w:marTop w:val="0"/>
      <w:marBottom w:val="0"/>
      <w:divBdr>
        <w:top w:val="none" w:sz="0" w:space="0" w:color="auto"/>
        <w:left w:val="none" w:sz="0" w:space="0" w:color="auto"/>
        <w:bottom w:val="none" w:sz="0" w:space="0" w:color="auto"/>
        <w:right w:val="none" w:sz="0" w:space="0" w:color="auto"/>
      </w:divBdr>
    </w:div>
    <w:div w:id="1559783007">
      <w:bodyDiv w:val="1"/>
      <w:marLeft w:val="0"/>
      <w:marRight w:val="0"/>
      <w:marTop w:val="0"/>
      <w:marBottom w:val="0"/>
      <w:divBdr>
        <w:top w:val="none" w:sz="0" w:space="0" w:color="auto"/>
        <w:left w:val="none" w:sz="0" w:space="0" w:color="auto"/>
        <w:bottom w:val="none" w:sz="0" w:space="0" w:color="auto"/>
        <w:right w:val="none" w:sz="0" w:space="0" w:color="auto"/>
      </w:divBdr>
    </w:div>
    <w:div w:id="1695612985">
      <w:bodyDiv w:val="1"/>
      <w:marLeft w:val="0"/>
      <w:marRight w:val="0"/>
      <w:marTop w:val="0"/>
      <w:marBottom w:val="0"/>
      <w:divBdr>
        <w:top w:val="none" w:sz="0" w:space="0" w:color="auto"/>
        <w:left w:val="none" w:sz="0" w:space="0" w:color="auto"/>
        <w:bottom w:val="none" w:sz="0" w:space="0" w:color="auto"/>
        <w:right w:val="none" w:sz="0" w:space="0" w:color="auto"/>
      </w:divBdr>
    </w:div>
    <w:div w:id="1797334170">
      <w:bodyDiv w:val="1"/>
      <w:marLeft w:val="0"/>
      <w:marRight w:val="0"/>
      <w:marTop w:val="0"/>
      <w:marBottom w:val="0"/>
      <w:divBdr>
        <w:top w:val="none" w:sz="0" w:space="0" w:color="auto"/>
        <w:left w:val="none" w:sz="0" w:space="0" w:color="auto"/>
        <w:bottom w:val="none" w:sz="0" w:space="0" w:color="auto"/>
        <w:right w:val="none" w:sz="0" w:space="0" w:color="auto"/>
      </w:divBdr>
    </w:div>
    <w:div w:id="1806042892">
      <w:bodyDiv w:val="1"/>
      <w:marLeft w:val="0"/>
      <w:marRight w:val="0"/>
      <w:marTop w:val="0"/>
      <w:marBottom w:val="0"/>
      <w:divBdr>
        <w:top w:val="none" w:sz="0" w:space="0" w:color="auto"/>
        <w:left w:val="none" w:sz="0" w:space="0" w:color="auto"/>
        <w:bottom w:val="none" w:sz="0" w:space="0" w:color="auto"/>
        <w:right w:val="none" w:sz="0" w:space="0" w:color="auto"/>
      </w:divBdr>
    </w:div>
    <w:div w:id="1811093521">
      <w:bodyDiv w:val="1"/>
      <w:marLeft w:val="0"/>
      <w:marRight w:val="0"/>
      <w:marTop w:val="0"/>
      <w:marBottom w:val="0"/>
      <w:divBdr>
        <w:top w:val="none" w:sz="0" w:space="0" w:color="auto"/>
        <w:left w:val="none" w:sz="0" w:space="0" w:color="auto"/>
        <w:bottom w:val="none" w:sz="0" w:space="0" w:color="auto"/>
        <w:right w:val="none" w:sz="0" w:space="0" w:color="auto"/>
      </w:divBdr>
    </w:div>
    <w:div w:id="1846822359">
      <w:bodyDiv w:val="1"/>
      <w:marLeft w:val="0"/>
      <w:marRight w:val="0"/>
      <w:marTop w:val="0"/>
      <w:marBottom w:val="0"/>
      <w:divBdr>
        <w:top w:val="none" w:sz="0" w:space="0" w:color="auto"/>
        <w:left w:val="none" w:sz="0" w:space="0" w:color="auto"/>
        <w:bottom w:val="none" w:sz="0" w:space="0" w:color="auto"/>
        <w:right w:val="none" w:sz="0" w:space="0" w:color="auto"/>
      </w:divBdr>
    </w:div>
    <w:div w:id="1860117529">
      <w:bodyDiv w:val="1"/>
      <w:marLeft w:val="0"/>
      <w:marRight w:val="0"/>
      <w:marTop w:val="0"/>
      <w:marBottom w:val="0"/>
      <w:divBdr>
        <w:top w:val="none" w:sz="0" w:space="0" w:color="auto"/>
        <w:left w:val="none" w:sz="0" w:space="0" w:color="auto"/>
        <w:bottom w:val="none" w:sz="0" w:space="0" w:color="auto"/>
        <w:right w:val="none" w:sz="0" w:space="0" w:color="auto"/>
      </w:divBdr>
    </w:div>
    <w:div w:id="1931156513">
      <w:bodyDiv w:val="1"/>
      <w:marLeft w:val="0"/>
      <w:marRight w:val="0"/>
      <w:marTop w:val="0"/>
      <w:marBottom w:val="0"/>
      <w:divBdr>
        <w:top w:val="none" w:sz="0" w:space="0" w:color="auto"/>
        <w:left w:val="none" w:sz="0" w:space="0" w:color="auto"/>
        <w:bottom w:val="none" w:sz="0" w:space="0" w:color="auto"/>
        <w:right w:val="none" w:sz="0" w:space="0" w:color="auto"/>
      </w:divBdr>
    </w:div>
    <w:div w:id="1941716026">
      <w:bodyDiv w:val="1"/>
      <w:marLeft w:val="0"/>
      <w:marRight w:val="0"/>
      <w:marTop w:val="0"/>
      <w:marBottom w:val="0"/>
      <w:divBdr>
        <w:top w:val="none" w:sz="0" w:space="0" w:color="auto"/>
        <w:left w:val="none" w:sz="0" w:space="0" w:color="auto"/>
        <w:bottom w:val="none" w:sz="0" w:space="0" w:color="auto"/>
        <w:right w:val="none" w:sz="0" w:space="0" w:color="auto"/>
      </w:divBdr>
    </w:div>
    <w:div w:id="1942759963">
      <w:bodyDiv w:val="1"/>
      <w:marLeft w:val="0"/>
      <w:marRight w:val="0"/>
      <w:marTop w:val="0"/>
      <w:marBottom w:val="0"/>
      <w:divBdr>
        <w:top w:val="none" w:sz="0" w:space="0" w:color="auto"/>
        <w:left w:val="none" w:sz="0" w:space="0" w:color="auto"/>
        <w:bottom w:val="none" w:sz="0" w:space="0" w:color="auto"/>
        <w:right w:val="none" w:sz="0" w:space="0" w:color="auto"/>
      </w:divBdr>
    </w:div>
    <w:div w:id="1957171458">
      <w:bodyDiv w:val="1"/>
      <w:marLeft w:val="0"/>
      <w:marRight w:val="0"/>
      <w:marTop w:val="0"/>
      <w:marBottom w:val="0"/>
      <w:divBdr>
        <w:top w:val="none" w:sz="0" w:space="0" w:color="auto"/>
        <w:left w:val="none" w:sz="0" w:space="0" w:color="auto"/>
        <w:bottom w:val="none" w:sz="0" w:space="0" w:color="auto"/>
        <w:right w:val="none" w:sz="0" w:space="0" w:color="auto"/>
      </w:divBdr>
    </w:div>
    <w:div w:id="1973367440">
      <w:bodyDiv w:val="1"/>
      <w:marLeft w:val="0"/>
      <w:marRight w:val="0"/>
      <w:marTop w:val="0"/>
      <w:marBottom w:val="0"/>
      <w:divBdr>
        <w:top w:val="none" w:sz="0" w:space="0" w:color="auto"/>
        <w:left w:val="none" w:sz="0" w:space="0" w:color="auto"/>
        <w:bottom w:val="none" w:sz="0" w:space="0" w:color="auto"/>
        <w:right w:val="none" w:sz="0" w:space="0" w:color="auto"/>
      </w:divBdr>
    </w:div>
    <w:div w:id="1973905063">
      <w:bodyDiv w:val="1"/>
      <w:marLeft w:val="0"/>
      <w:marRight w:val="0"/>
      <w:marTop w:val="0"/>
      <w:marBottom w:val="0"/>
      <w:divBdr>
        <w:top w:val="none" w:sz="0" w:space="0" w:color="auto"/>
        <w:left w:val="none" w:sz="0" w:space="0" w:color="auto"/>
        <w:bottom w:val="none" w:sz="0" w:space="0" w:color="auto"/>
        <w:right w:val="none" w:sz="0" w:space="0" w:color="auto"/>
      </w:divBdr>
    </w:div>
    <w:div w:id="2036811294">
      <w:bodyDiv w:val="1"/>
      <w:marLeft w:val="0"/>
      <w:marRight w:val="0"/>
      <w:marTop w:val="0"/>
      <w:marBottom w:val="0"/>
      <w:divBdr>
        <w:top w:val="none" w:sz="0" w:space="0" w:color="auto"/>
        <w:left w:val="none" w:sz="0" w:space="0" w:color="auto"/>
        <w:bottom w:val="none" w:sz="0" w:space="0" w:color="auto"/>
        <w:right w:val="none" w:sz="0" w:space="0" w:color="auto"/>
      </w:divBdr>
    </w:div>
    <w:div w:id="2057385669">
      <w:bodyDiv w:val="1"/>
      <w:marLeft w:val="0"/>
      <w:marRight w:val="0"/>
      <w:marTop w:val="0"/>
      <w:marBottom w:val="0"/>
      <w:divBdr>
        <w:top w:val="none" w:sz="0" w:space="0" w:color="auto"/>
        <w:left w:val="none" w:sz="0" w:space="0" w:color="auto"/>
        <w:bottom w:val="none" w:sz="0" w:space="0" w:color="auto"/>
        <w:right w:val="none" w:sz="0" w:space="0" w:color="auto"/>
      </w:divBdr>
    </w:div>
    <w:div w:id="20901511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creativecommons.org/licenses/by/3.0/au/legalcode" TargetMode="External"/><Relationship Id="rId18" Type="http://schemas.openxmlformats.org/officeDocument/2006/relationships/image" Target="media/image6.png"/><Relationship Id="rId26" Type="http://schemas.openxmlformats.org/officeDocument/2006/relationships/image" Target="media/image12.pn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eader" Target="header1.xml"/><Relationship Id="rId34" Type="http://schemas.openxmlformats.org/officeDocument/2006/relationships/image" Target="media/image20.emf"/><Relationship Id="rId7" Type="http://schemas.openxmlformats.org/officeDocument/2006/relationships/footnotes" Target="footnotes.xml"/><Relationship Id="rId12" Type="http://schemas.openxmlformats.org/officeDocument/2006/relationships/hyperlink" Target="http://creativecommons.org/licenses/by/3.0/au/deed.en" TargetMode="External"/><Relationship Id="rId17" Type="http://schemas.openxmlformats.org/officeDocument/2006/relationships/image" Target="media/image5.emf"/><Relationship Id="rId25" Type="http://schemas.openxmlformats.org/officeDocument/2006/relationships/image" Target="media/image11.emf"/><Relationship Id="rId33" Type="http://schemas.openxmlformats.org/officeDocument/2006/relationships/image" Target="media/image19.emf"/><Relationship Id="rId38" Type="http://schemas.openxmlformats.org/officeDocument/2006/relationships/image" Target="media/image24.png"/><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image" Target="media/image7.emf"/><Relationship Id="rId29" Type="http://schemas.openxmlformats.org/officeDocument/2006/relationships/image" Target="media/image15.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0.png"/><Relationship Id="rId32" Type="http://schemas.openxmlformats.org/officeDocument/2006/relationships/image" Target="media/image18.emf"/><Relationship Id="rId37" Type="http://schemas.openxmlformats.org/officeDocument/2006/relationships/image" Target="media/image23.emf"/><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creativecommons.org/licenses/by/3.0/au/deed.en" TargetMode="External"/><Relationship Id="rId23" Type="http://schemas.openxmlformats.org/officeDocument/2006/relationships/image" Target="media/image9.png"/><Relationship Id="rId28" Type="http://schemas.openxmlformats.org/officeDocument/2006/relationships/image" Target="media/image14.emf"/><Relationship Id="rId36" Type="http://schemas.openxmlformats.org/officeDocument/2006/relationships/image" Target="media/image22.emf"/><Relationship Id="rId10" Type="http://schemas.openxmlformats.org/officeDocument/2006/relationships/package" Target="embeddings/Microsoft_Word_Document1.docx"/><Relationship Id="rId19" Type="http://schemas.openxmlformats.org/officeDocument/2006/relationships/hyperlink" Target="http://www.ihpa.gov.au" TargetMode="External"/><Relationship Id="rId31" Type="http://schemas.openxmlformats.org/officeDocument/2006/relationships/image" Target="media/image17.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3.jpg"/><Relationship Id="rId22" Type="http://schemas.openxmlformats.org/officeDocument/2006/relationships/footer" Target="footer1.xml"/><Relationship Id="rId27" Type="http://schemas.openxmlformats.org/officeDocument/2006/relationships/image" Target="media/image13.emf"/><Relationship Id="rId30" Type="http://schemas.openxmlformats.org/officeDocument/2006/relationships/image" Target="media/image16.png"/><Relationship Id="rId35" Type="http://schemas.openxmlformats.org/officeDocument/2006/relationships/image" Target="media/image21.emf"/></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settings.xml.rels><?xml version="1.0" encoding="UTF-8" standalone="yes"?>
<Relationships xmlns="http://schemas.openxmlformats.org/package/2006/relationships"><Relationship Id="rId1" Type="http://schemas.openxmlformats.org/officeDocument/2006/relationships/attachedTemplate" Target="file:///I:\Staging\Departmental%20Templates\IHPA\External%20report.dotx" TargetMode="External"/></Relationships>
</file>

<file path=word/theme/theme1.xml><?xml version="1.0" encoding="utf-8"?>
<a:theme xmlns:a="http://schemas.openxmlformats.org/drawingml/2006/main" name="Office Theme">
  <a:themeElements>
    <a:clrScheme name="IHPA">
      <a:dk1>
        <a:sysClr val="windowText" lastClr="000000"/>
      </a:dk1>
      <a:lt1>
        <a:sysClr val="window" lastClr="FFFFFF"/>
      </a:lt1>
      <a:dk2>
        <a:srgbClr val="333132"/>
      </a:dk2>
      <a:lt2>
        <a:srgbClr val="FFFFFF"/>
      </a:lt2>
      <a:accent1>
        <a:srgbClr val="004200"/>
      </a:accent1>
      <a:accent2>
        <a:srgbClr val="008542"/>
      </a:accent2>
      <a:accent3>
        <a:srgbClr val="7EC352"/>
      </a:accent3>
      <a:accent4>
        <a:srgbClr val="636466"/>
      </a:accent4>
      <a:accent5>
        <a:srgbClr val="939598"/>
      </a:accent5>
      <a:accent6>
        <a:srgbClr val="C7C8CA"/>
      </a:accent6>
      <a:hlink>
        <a:srgbClr val="000000"/>
      </a:hlink>
      <a:folHlink>
        <a:srgbClr val="000000"/>
      </a:folHlink>
    </a:clrScheme>
    <a:fontScheme name="IHPA">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DB18515-D80D-4069-A674-E557388D3E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External report.dotx</Template>
  <TotalTime>47</TotalTime>
  <Pages>45</Pages>
  <Words>7849</Words>
  <Characters>46218</Characters>
  <Application>Microsoft Office Word</Application>
  <DocSecurity>0</DocSecurity>
  <Lines>385</Lines>
  <Paragraphs>107</Paragraphs>
  <ScaleCrop>false</ScaleCrop>
  <HeadingPairs>
    <vt:vector size="2" baseType="variant">
      <vt:variant>
        <vt:lpstr>Title</vt:lpstr>
      </vt:variant>
      <vt:variant>
        <vt:i4>1</vt:i4>
      </vt:variant>
    </vt:vector>
  </HeadingPairs>
  <TitlesOfParts>
    <vt:vector size="1" baseType="lpstr">
      <vt:lpstr/>
    </vt:vector>
  </TitlesOfParts>
  <Company>Independent Hospital Pricing Authority</Company>
  <LinksUpToDate>false</LinksUpToDate>
  <CharactersWithSpaces>53960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MILLER, Darryl</dc:creator>
  <cp:lastModifiedBy>MILLER, Darryl</cp:lastModifiedBy>
  <cp:revision>9</cp:revision>
  <cp:lastPrinted>2019-03-07T07:40:00Z</cp:lastPrinted>
  <dcterms:created xsi:type="dcterms:W3CDTF">2019-02-15T05:37:00Z</dcterms:created>
  <dcterms:modified xsi:type="dcterms:W3CDTF">2019-03-07T07:41:00Z</dcterms:modified>
</cp:coreProperties>
</file>