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72A5C" w14:textId="29C7E075" w:rsidR="00CC586D" w:rsidRPr="00F41C22" w:rsidRDefault="00CD509A" w:rsidP="00F41C22">
      <w:pPr>
        <w:pStyle w:val="Organisation"/>
      </w:pPr>
      <w:r w:rsidRPr="00F41C22">
        <w:rPr>
          <w:color w:val="2B579A"/>
          <w:sz w:val="16"/>
          <w:shd w:val="clear" w:color="auto" w:fill="E6E6E6"/>
        </w:rPr>
        <w:drawing>
          <wp:anchor distT="0" distB="0" distL="114300" distR="114300" simplePos="0" relativeHeight="251658244" behindDoc="1" locked="1" layoutInCell="0" allowOverlap="1" wp14:anchorId="3C8247AE" wp14:editId="6D04C589">
            <wp:simplePos x="0" y="0"/>
            <wp:positionH relativeFrom="page">
              <wp:align>left</wp:align>
            </wp:positionH>
            <wp:positionV relativeFrom="page">
              <wp:align>top</wp:align>
            </wp:positionV>
            <wp:extent cx="7592400" cy="10738800"/>
            <wp:effectExtent l="0" t="0" r="8890" b="5715"/>
            <wp:wrapNone/>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562759" w:rsidRPr="00F41C22">
        <w:rPr>
          <w:color w:val="2B579A"/>
          <w:shd w:val="clear" w:color="auto" w:fill="E6E6E6"/>
        </w:rPr>
        <w:drawing>
          <wp:anchor distT="0" distB="0" distL="114300" distR="114300" simplePos="0" relativeHeight="251658241" behindDoc="1" locked="1" layoutInCell="0" allowOverlap="1" wp14:anchorId="6B1B051D" wp14:editId="06A01C8E">
            <wp:simplePos x="0" y="0"/>
            <wp:positionH relativeFrom="page">
              <wp:align>left</wp:align>
            </wp:positionH>
            <wp:positionV relativeFrom="page">
              <wp:align>top</wp:align>
            </wp:positionV>
            <wp:extent cx="7592400" cy="10738800"/>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5F6E4E78" w:rsidRPr="00F41C22">
        <w:t>Independent Hospital Pricing Authority</w:t>
      </w:r>
    </w:p>
    <w:p w14:paraId="1400FD8A" w14:textId="0F2EF784" w:rsidR="008B0FE9" w:rsidRPr="00F41C22" w:rsidRDefault="008B0FE9" w:rsidP="00F41C22">
      <w:pPr>
        <w:pStyle w:val="Title"/>
        <w:rPr>
          <w:color w:val="004200" w:themeColor="accent1"/>
        </w:rPr>
      </w:pPr>
      <w:r w:rsidRPr="00F41C22">
        <w:rPr>
          <w:color w:val="004200" w:themeColor="accent1"/>
        </w:rPr>
        <w:t xml:space="preserve">National Pricing Model </w:t>
      </w:r>
      <w:bookmarkStart w:id="0" w:name="_Toc467505159"/>
      <w:bookmarkStart w:id="1" w:name="_Toc467676253"/>
      <w:bookmarkStart w:id="2" w:name="_Toc467745535"/>
      <w:bookmarkStart w:id="3" w:name="_Toc467759075"/>
      <w:bookmarkStart w:id="4" w:name="_Toc467759565"/>
      <w:bookmarkStart w:id="5" w:name="_Toc467759717"/>
      <w:bookmarkStart w:id="6" w:name="_Toc467760007"/>
      <w:bookmarkStart w:id="7" w:name="_Toc468204004"/>
      <w:bookmarkStart w:id="8" w:name="_Toc468374335"/>
      <w:bookmarkStart w:id="9" w:name="_Toc499220982"/>
      <w:bookmarkStart w:id="10" w:name="_Toc499290881"/>
      <w:bookmarkStart w:id="11" w:name="_Toc499559738"/>
      <w:bookmarkStart w:id="12" w:name="_Toc26278322"/>
      <w:bookmarkStart w:id="13" w:name="_Toc531698886"/>
      <w:r w:rsidR="005E326A" w:rsidRPr="00F41C22">
        <w:rPr>
          <w:color w:val="004200" w:themeColor="accent1"/>
        </w:rPr>
        <w:t>202</w:t>
      </w:r>
      <w:r w:rsidR="00120988">
        <w:rPr>
          <w:color w:val="004200" w:themeColor="accent1"/>
        </w:rPr>
        <w:t>2</w:t>
      </w:r>
      <w:r w:rsidRPr="00F41C22">
        <w:rPr>
          <w:color w:val="004200" w:themeColor="accent1"/>
        </w:rPr>
        <w:t>–</w:t>
      </w:r>
      <w:bookmarkEnd w:id="0"/>
      <w:bookmarkEnd w:id="1"/>
      <w:bookmarkEnd w:id="2"/>
      <w:bookmarkEnd w:id="3"/>
      <w:bookmarkEnd w:id="4"/>
      <w:bookmarkEnd w:id="5"/>
      <w:bookmarkEnd w:id="6"/>
      <w:bookmarkEnd w:id="7"/>
      <w:bookmarkEnd w:id="8"/>
      <w:bookmarkEnd w:id="9"/>
      <w:bookmarkEnd w:id="10"/>
      <w:bookmarkEnd w:id="11"/>
      <w:bookmarkEnd w:id="12"/>
      <w:bookmarkEnd w:id="13"/>
      <w:r w:rsidR="005E326A" w:rsidRPr="00F41C22">
        <w:rPr>
          <w:color w:val="004200" w:themeColor="accent1"/>
        </w:rPr>
        <w:t>2</w:t>
      </w:r>
      <w:r w:rsidR="00120988">
        <w:rPr>
          <w:color w:val="004200" w:themeColor="accent1"/>
        </w:rPr>
        <w:t>3</w:t>
      </w:r>
      <w:r w:rsidR="005E326A" w:rsidRPr="00F41C22">
        <w:rPr>
          <w:color w:val="004200" w:themeColor="accent1"/>
        </w:rPr>
        <w:t xml:space="preserve"> </w:t>
      </w:r>
    </w:p>
    <w:p w14:paraId="050B6330" w14:textId="7430FA29" w:rsidR="001727A4" w:rsidRPr="00456D29" w:rsidRDefault="008B0FE9" w:rsidP="00456D29">
      <w:pPr>
        <w:pStyle w:val="Subtitle"/>
      </w:pPr>
      <w:r w:rsidRPr="00456D29">
        <w:t>Technical Specifications</w:t>
      </w:r>
      <w:r w:rsidR="00E93228">
        <w:t xml:space="preserve"> </w:t>
      </w:r>
    </w:p>
    <w:p w14:paraId="20E8E9ED" w14:textId="3291BFEF" w:rsidR="00BC1032" w:rsidRPr="00CD509A" w:rsidRDefault="004E2537" w:rsidP="00456D29">
      <w:pPr>
        <w:pStyle w:val="Versionanddate"/>
      </w:pPr>
      <w:r>
        <w:t>March 2022</w:t>
      </w:r>
    </w:p>
    <w:p w14:paraId="2262F97F" w14:textId="77777777" w:rsidR="008C2111" w:rsidRDefault="008C2111" w:rsidP="00E050EA">
      <w:pPr>
        <w:sectPr w:rsidR="008C2111" w:rsidSect="008C2111">
          <w:headerReference w:type="default" r:id="rId13"/>
          <w:footerReference w:type="default" r:id="rId14"/>
          <w:pgSz w:w="11906" w:h="16838" w:code="9"/>
          <w:pgMar w:top="2041" w:right="3232" w:bottom="1021" w:left="1021" w:header="680" w:footer="510" w:gutter="0"/>
          <w:pgNumType w:start="1"/>
          <w:cols w:space="708"/>
          <w:docGrid w:linePitch="360"/>
        </w:sectPr>
      </w:pPr>
    </w:p>
    <w:p w14:paraId="4A0A5327" w14:textId="1E9AF5EA" w:rsidR="00BC1032" w:rsidRDefault="008B0FE9" w:rsidP="008C2111">
      <w:pPr>
        <w:pStyle w:val="Report"/>
      </w:pPr>
      <w:r>
        <w:lastRenderedPageBreak/>
        <w:t>National Pricing Model 202</w:t>
      </w:r>
      <w:r w:rsidR="00706436">
        <w:t>2</w:t>
      </w:r>
      <w:r w:rsidR="00576DC9">
        <w:t>–</w:t>
      </w:r>
      <w:r>
        <w:t>2</w:t>
      </w:r>
      <w:r w:rsidR="00706436">
        <w:t>3</w:t>
      </w:r>
      <w:r w:rsidR="00BC1032">
        <w:t xml:space="preserve"> – </w:t>
      </w:r>
      <w:r>
        <w:t>Technical Specifications</w:t>
      </w:r>
      <w:r w:rsidR="006308F1">
        <w:t xml:space="preserve"> </w:t>
      </w:r>
      <w:r w:rsidR="002B5B66">
        <w:t xml:space="preserve">– </w:t>
      </w:r>
      <w:r w:rsidR="004E2537">
        <w:t>March 2022</w:t>
      </w:r>
    </w:p>
    <w:p w14:paraId="0924ED17" w14:textId="77777777" w:rsidR="00BC1032" w:rsidRDefault="00BC1032" w:rsidP="00BC1032"/>
    <w:p w14:paraId="68A850BD" w14:textId="39D8D931" w:rsidR="00BC1032" w:rsidRDefault="00BC1032" w:rsidP="00BC1032">
      <w:r>
        <w:t xml:space="preserve">© Independent Hospital Pricing Authority </w:t>
      </w:r>
      <w:r w:rsidR="004E2537">
        <w:t>2022</w:t>
      </w:r>
    </w:p>
    <w:p w14:paraId="1C2E4425" w14:textId="4FFE1E32" w:rsidR="00BC1032" w:rsidRDefault="00BC1032" w:rsidP="00BC1032">
      <w:r>
        <w:t xml:space="preserve">This publication is available for your use under a </w:t>
      </w:r>
      <w:hyperlink r:id="rId15" w:history="1">
        <w:r w:rsidRPr="002A4C1B">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6" w:history="1">
        <w:r w:rsidRPr="002A4C1B">
          <w:t>the Creative Commons website</w:t>
        </w:r>
      </w:hyperlink>
      <w:r>
        <w:t>.</w:t>
      </w:r>
    </w:p>
    <w:p w14:paraId="35F8FEFB" w14:textId="77777777" w:rsidR="00BC1032" w:rsidRDefault="0B1EB967" w:rsidP="00BC1032">
      <w:r>
        <w:rPr>
          <w:noProof/>
          <w:color w:val="2B579A"/>
          <w:shd w:val="clear" w:color="auto" w:fill="E6E6E6"/>
        </w:rPr>
        <w:drawing>
          <wp:inline distT="0" distB="0" distL="0" distR="0" wp14:anchorId="4774202B" wp14:editId="4D02EE62">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804087" cy="285750"/>
                    </a:xfrm>
                    <a:prstGeom prst="rect">
                      <a:avLst/>
                    </a:prstGeom>
                  </pic:spPr>
                </pic:pic>
              </a:graphicData>
            </a:graphic>
          </wp:inline>
        </w:drawing>
      </w:r>
    </w:p>
    <w:p w14:paraId="2C5ABE39" w14:textId="62D94438" w:rsidR="00BC1032" w:rsidRDefault="00BC1032" w:rsidP="00BC1032">
      <w:r>
        <w:t xml:space="preserve">Use of Independent Hospital Pricing Authority material under a </w:t>
      </w:r>
      <w:hyperlink r:id="rId18" w:history="1">
        <w:r w:rsidRPr="002A4C1B">
          <w:t>Creative Commons BY Attribution 3.0 Australia</w:t>
        </w:r>
      </w:hyperlink>
      <w:r>
        <w:t xml:space="preserve"> licence requires you to attribute the work (but not in any way that suggests that the Independent Hospital Pricing Authority endorses you or your use of the work).</w:t>
      </w:r>
    </w:p>
    <w:p w14:paraId="30405EC9" w14:textId="77777777" w:rsidR="00BC1032" w:rsidRPr="002A4C1B" w:rsidRDefault="00BC1032" w:rsidP="00BC1032">
      <w:pPr>
        <w:rPr>
          <w:i/>
        </w:rPr>
      </w:pPr>
      <w:r w:rsidRPr="002A4C1B">
        <w:rPr>
          <w:i/>
        </w:rPr>
        <w:t>Independent Hospital Pricing Authority material used 'as supplied'.</w:t>
      </w:r>
    </w:p>
    <w:p w14:paraId="308102D6" w14:textId="77777777" w:rsidR="00BC1032" w:rsidRDefault="00BC1032" w:rsidP="00BC1032">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60569FF6" w14:textId="77777777" w:rsidR="00BC1032" w:rsidRPr="00BC1032" w:rsidRDefault="00BC1032" w:rsidP="00BC1032">
      <w:pPr>
        <w:pStyle w:val="NormalIndent"/>
        <w:rPr>
          <w:i/>
        </w:rPr>
      </w:pPr>
      <w:r w:rsidRPr="00BC1032">
        <w:rPr>
          <w:i/>
        </w:rPr>
        <w:t>Source: The Independent Hospital Pricing Authority</w:t>
      </w:r>
      <w:r w:rsidRPr="00BC1032">
        <w:rPr>
          <w:i/>
        </w:rPr>
        <w:br w:type="page"/>
      </w:r>
    </w:p>
    <w:bookmarkStart w:id="14" w:name="_Toc26370500" w:displacedByCustomXml="next"/>
    <w:sdt>
      <w:sdtPr>
        <w:rPr>
          <w:b/>
          <w:color w:val="2B579A"/>
          <w:shd w:val="clear" w:color="auto" w:fill="E6E6E6"/>
        </w:rPr>
        <w:id w:val="1052194134"/>
        <w:docPartObj>
          <w:docPartGallery w:val="Table of Contents"/>
          <w:docPartUnique/>
        </w:docPartObj>
      </w:sdtPr>
      <w:sdtEndPr>
        <w:rPr>
          <w:b w:val="0"/>
        </w:rPr>
      </w:sdtEndPr>
      <w:sdtContent>
        <w:p w14:paraId="7643807F" w14:textId="77777777" w:rsidR="008B0FE9" w:rsidRPr="00F41C22" w:rsidRDefault="008B0FE9" w:rsidP="00F41C22">
          <w:pPr>
            <w:rPr>
              <w:b/>
              <w:sz w:val="64"/>
              <w:szCs w:val="64"/>
            </w:rPr>
          </w:pPr>
          <w:r w:rsidRPr="00F41C22">
            <w:rPr>
              <w:b/>
              <w:sz w:val="64"/>
              <w:szCs w:val="64"/>
            </w:rPr>
            <w:t>Contents</w:t>
          </w:r>
        </w:p>
        <w:p w14:paraId="5FD369D5" w14:textId="54D043A5" w:rsidR="00006BAE" w:rsidRDefault="00135995">
          <w:pPr>
            <w:pStyle w:val="TOC1"/>
            <w:tabs>
              <w:tab w:val="left" w:pos="440"/>
            </w:tabs>
            <w:rPr>
              <w:rFonts w:asciiTheme="minorHAnsi" w:eastAsiaTheme="minorEastAsia" w:hAnsiTheme="minorHAnsi" w:cstheme="minorBidi"/>
              <w:b w:val="0"/>
              <w:szCs w:val="22"/>
            </w:rPr>
          </w:pPr>
          <w:r>
            <w:rPr>
              <w:b w:val="0"/>
              <w:color w:val="2B579A"/>
              <w:sz w:val="24"/>
              <w:shd w:val="clear" w:color="auto" w:fill="E6E6E6"/>
            </w:rPr>
            <w:fldChar w:fldCharType="begin"/>
          </w:r>
          <w:r>
            <w:rPr>
              <w:b w:val="0"/>
              <w:sz w:val="24"/>
            </w:rPr>
            <w:instrText xml:space="preserve"> TOC \o "2-2" \h \z \t "Heading 1,1,Financials H1,1,Appendix H1,1" </w:instrText>
          </w:r>
          <w:r>
            <w:rPr>
              <w:b w:val="0"/>
              <w:color w:val="2B579A"/>
              <w:sz w:val="24"/>
              <w:shd w:val="clear" w:color="auto" w:fill="E6E6E6"/>
            </w:rPr>
            <w:fldChar w:fldCharType="separate"/>
          </w:r>
          <w:hyperlink w:anchor="_Toc98882284" w:history="1">
            <w:r w:rsidR="00006BAE" w:rsidRPr="006C3A67">
              <w:rPr>
                <w:rStyle w:val="Hyperlink"/>
              </w:rPr>
              <w:t>1.</w:t>
            </w:r>
            <w:r w:rsidR="00006BAE">
              <w:rPr>
                <w:rFonts w:asciiTheme="minorHAnsi" w:eastAsiaTheme="minorEastAsia" w:hAnsiTheme="minorHAnsi" w:cstheme="minorBidi"/>
                <w:b w:val="0"/>
                <w:szCs w:val="22"/>
              </w:rPr>
              <w:tab/>
            </w:r>
            <w:r w:rsidR="00006BAE" w:rsidRPr="006C3A67">
              <w:rPr>
                <w:rStyle w:val="Hyperlink"/>
              </w:rPr>
              <w:t>Overview</w:t>
            </w:r>
            <w:r w:rsidR="00006BAE">
              <w:rPr>
                <w:webHidden/>
              </w:rPr>
              <w:tab/>
            </w:r>
            <w:r w:rsidR="00006BAE">
              <w:rPr>
                <w:webHidden/>
              </w:rPr>
              <w:fldChar w:fldCharType="begin"/>
            </w:r>
            <w:r w:rsidR="00006BAE">
              <w:rPr>
                <w:webHidden/>
              </w:rPr>
              <w:instrText xml:space="preserve"> PAGEREF _Toc98882284 \h </w:instrText>
            </w:r>
            <w:r w:rsidR="00006BAE">
              <w:rPr>
                <w:webHidden/>
              </w:rPr>
            </w:r>
            <w:r w:rsidR="00006BAE">
              <w:rPr>
                <w:webHidden/>
              </w:rPr>
              <w:fldChar w:fldCharType="separate"/>
            </w:r>
            <w:r w:rsidR="003F234C">
              <w:rPr>
                <w:webHidden/>
              </w:rPr>
              <w:t>5</w:t>
            </w:r>
            <w:r w:rsidR="00006BAE">
              <w:rPr>
                <w:webHidden/>
              </w:rPr>
              <w:fldChar w:fldCharType="end"/>
            </w:r>
          </w:hyperlink>
        </w:p>
        <w:p w14:paraId="4C8FE7D2" w14:textId="1CD6CC87" w:rsidR="00006BAE" w:rsidRDefault="001375CD">
          <w:pPr>
            <w:pStyle w:val="TOC2"/>
            <w:rPr>
              <w:rFonts w:asciiTheme="minorHAnsi" w:eastAsiaTheme="minorEastAsia" w:hAnsiTheme="minorHAnsi" w:cstheme="minorBidi"/>
              <w:szCs w:val="22"/>
            </w:rPr>
          </w:pPr>
          <w:hyperlink w:anchor="_Toc98882285" w:history="1">
            <w:r w:rsidR="00006BAE" w:rsidRPr="006C3A67">
              <w:rPr>
                <w:rStyle w:val="Hyperlink"/>
              </w:rPr>
              <w:t>1.1.</w:t>
            </w:r>
            <w:r w:rsidR="00006BAE">
              <w:rPr>
                <w:rFonts w:asciiTheme="minorHAnsi" w:eastAsiaTheme="minorEastAsia" w:hAnsiTheme="minorHAnsi" w:cstheme="minorBidi"/>
                <w:szCs w:val="22"/>
              </w:rPr>
              <w:tab/>
            </w:r>
            <w:r w:rsidR="00006BAE" w:rsidRPr="006C3A67">
              <w:rPr>
                <w:rStyle w:val="Hyperlink"/>
              </w:rPr>
              <w:t>Purpose</w:t>
            </w:r>
            <w:r w:rsidR="00006BAE">
              <w:rPr>
                <w:webHidden/>
              </w:rPr>
              <w:tab/>
            </w:r>
            <w:r w:rsidR="00006BAE">
              <w:rPr>
                <w:webHidden/>
              </w:rPr>
              <w:fldChar w:fldCharType="begin"/>
            </w:r>
            <w:r w:rsidR="00006BAE">
              <w:rPr>
                <w:webHidden/>
              </w:rPr>
              <w:instrText xml:space="preserve"> PAGEREF _Toc98882285 \h </w:instrText>
            </w:r>
            <w:r w:rsidR="00006BAE">
              <w:rPr>
                <w:webHidden/>
              </w:rPr>
            </w:r>
            <w:r w:rsidR="00006BAE">
              <w:rPr>
                <w:webHidden/>
              </w:rPr>
              <w:fldChar w:fldCharType="separate"/>
            </w:r>
            <w:r w:rsidR="003F234C">
              <w:rPr>
                <w:webHidden/>
              </w:rPr>
              <w:t>5</w:t>
            </w:r>
            <w:r w:rsidR="00006BAE">
              <w:rPr>
                <w:webHidden/>
              </w:rPr>
              <w:fldChar w:fldCharType="end"/>
            </w:r>
          </w:hyperlink>
        </w:p>
        <w:p w14:paraId="47BD3C27" w14:textId="49E93CBE" w:rsidR="00006BAE" w:rsidRDefault="001375CD">
          <w:pPr>
            <w:pStyle w:val="TOC2"/>
            <w:rPr>
              <w:rFonts w:asciiTheme="minorHAnsi" w:eastAsiaTheme="minorEastAsia" w:hAnsiTheme="minorHAnsi" w:cstheme="minorBidi"/>
              <w:szCs w:val="22"/>
            </w:rPr>
          </w:pPr>
          <w:hyperlink w:anchor="_Toc98882286" w:history="1">
            <w:r w:rsidR="00006BAE" w:rsidRPr="006C3A67">
              <w:rPr>
                <w:rStyle w:val="Hyperlink"/>
              </w:rPr>
              <w:t>1.2.</w:t>
            </w:r>
            <w:r w:rsidR="00006BAE">
              <w:rPr>
                <w:rFonts w:asciiTheme="minorHAnsi" w:eastAsiaTheme="minorEastAsia" w:hAnsiTheme="minorHAnsi" w:cstheme="minorBidi"/>
                <w:szCs w:val="22"/>
              </w:rPr>
              <w:tab/>
            </w:r>
            <w:r w:rsidR="00006BAE" w:rsidRPr="006C3A67">
              <w:rPr>
                <w:rStyle w:val="Hyperlink"/>
              </w:rPr>
              <w:t>Background</w:t>
            </w:r>
            <w:r w:rsidR="00006BAE">
              <w:rPr>
                <w:webHidden/>
              </w:rPr>
              <w:tab/>
            </w:r>
            <w:r w:rsidR="00006BAE">
              <w:rPr>
                <w:webHidden/>
              </w:rPr>
              <w:fldChar w:fldCharType="begin"/>
            </w:r>
            <w:r w:rsidR="00006BAE">
              <w:rPr>
                <w:webHidden/>
              </w:rPr>
              <w:instrText xml:space="preserve"> PAGEREF _Toc98882286 \h </w:instrText>
            </w:r>
            <w:r w:rsidR="00006BAE">
              <w:rPr>
                <w:webHidden/>
              </w:rPr>
            </w:r>
            <w:r w:rsidR="00006BAE">
              <w:rPr>
                <w:webHidden/>
              </w:rPr>
              <w:fldChar w:fldCharType="separate"/>
            </w:r>
            <w:r w:rsidR="003F234C">
              <w:rPr>
                <w:webHidden/>
              </w:rPr>
              <w:t>5</w:t>
            </w:r>
            <w:r w:rsidR="00006BAE">
              <w:rPr>
                <w:webHidden/>
              </w:rPr>
              <w:fldChar w:fldCharType="end"/>
            </w:r>
          </w:hyperlink>
        </w:p>
        <w:p w14:paraId="41B98E57" w14:textId="19195257" w:rsidR="00006BAE" w:rsidRDefault="001375CD">
          <w:pPr>
            <w:pStyle w:val="TOC2"/>
            <w:rPr>
              <w:rFonts w:asciiTheme="minorHAnsi" w:eastAsiaTheme="minorEastAsia" w:hAnsiTheme="minorHAnsi" w:cstheme="minorBidi"/>
              <w:szCs w:val="22"/>
            </w:rPr>
          </w:pPr>
          <w:hyperlink w:anchor="_Toc98882287" w:history="1">
            <w:r w:rsidR="00006BAE" w:rsidRPr="006C3A67">
              <w:rPr>
                <w:rStyle w:val="Hyperlink"/>
              </w:rPr>
              <w:t>1.3.</w:t>
            </w:r>
            <w:r w:rsidR="00006BAE">
              <w:rPr>
                <w:rFonts w:asciiTheme="minorHAnsi" w:eastAsiaTheme="minorEastAsia" w:hAnsiTheme="minorHAnsi" w:cstheme="minorBidi"/>
                <w:szCs w:val="22"/>
              </w:rPr>
              <w:tab/>
            </w:r>
            <w:r w:rsidR="00006BAE" w:rsidRPr="006C3A67">
              <w:rPr>
                <w:rStyle w:val="Hyperlink"/>
              </w:rPr>
              <w:t>National efficient price 2022–23 process</w:t>
            </w:r>
            <w:r w:rsidR="00006BAE">
              <w:rPr>
                <w:webHidden/>
              </w:rPr>
              <w:tab/>
            </w:r>
            <w:r w:rsidR="00006BAE">
              <w:rPr>
                <w:webHidden/>
              </w:rPr>
              <w:fldChar w:fldCharType="begin"/>
            </w:r>
            <w:r w:rsidR="00006BAE">
              <w:rPr>
                <w:webHidden/>
              </w:rPr>
              <w:instrText xml:space="preserve"> PAGEREF _Toc98882287 \h </w:instrText>
            </w:r>
            <w:r w:rsidR="00006BAE">
              <w:rPr>
                <w:webHidden/>
              </w:rPr>
            </w:r>
            <w:r w:rsidR="00006BAE">
              <w:rPr>
                <w:webHidden/>
              </w:rPr>
              <w:fldChar w:fldCharType="separate"/>
            </w:r>
            <w:r w:rsidR="003F234C">
              <w:rPr>
                <w:webHidden/>
              </w:rPr>
              <w:t>5</w:t>
            </w:r>
            <w:r w:rsidR="00006BAE">
              <w:rPr>
                <w:webHidden/>
              </w:rPr>
              <w:fldChar w:fldCharType="end"/>
            </w:r>
          </w:hyperlink>
        </w:p>
        <w:p w14:paraId="06968836" w14:textId="59C64398" w:rsidR="00006BAE" w:rsidRDefault="001375CD">
          <w:pPr>
            <w:pStyle w:val="TOC1"/>
            <w:tabs>
              <w:tab w:val="left" w:pos="440"/>
            </w:tabs>
            <w:rPr>
              <w:rFonts w:asciiTheme="minorHAnsi" w:eastAsiaTheme="minorEastAsia" w:hAnsiTheme="minorHAnsi" w:cstheme="minorBidi"/>
              <w:b w:val="0"/>
              <w:szCs w:val="22"/>
            </w:rPr>
          </w:pPr>
          <w:hyperlink w:anchor="_Toc98882288" w:history="1">
            <w:r w:rsidR="00006BAE" w:rsidRPr="006C3A67">
              <w:rPr>
                <w:rStyle w:val="Hyperlink"/>
              </w:rPr>
              <w:t>2.</w:t>
            </w:r>
            <w:r w:rsidR="00006BAE">
              <w:rPr>
                <w:rFonts w:asciiTheme="minorHAnsi" w:eastAsiaTheme="minorEastAsia" w:hAnsiTheme="minorHAnsi" w:cstheme="minorBidi"/>
                <w:b w:val="0"/>
                <w:szCs w:val="22"/>
              </w:rPr>
              <w:tab/>
            </w:r>
            <w:r w:rsidR="00006BAE" w:rsidRPr="006C3A67">
              <w:rPr>
                <w:rStyle w:val="Hyperlink"/>
              </w:rPr>
              <w:t>Admitted acute care cost model</w:t>
            </w:r>
            <w:r w:rsidR="00006BAE">
              <w:rPr>
                <w:webHidden/>
              </w:rPr>
              <w:tab/>
            </w:r>
            <w:r w:rsidR="00006BAE">
              <w:rPr>
                <w:webHidden/>
              </w:rPr>
              <w:fldChar w:fldCharType="begin"/>
            </w:r>
            <w:r w:rsidR="00006BAE">
              <w:rPr>
                <w:webHidden/>
              </w:rPr>
              <w:instrText xml:space="preserve"> PAGEREF _Toc98882288 \h </w:instrText>
            </w:r>
            <w:r w:rsidR="00006BAE">
              <w:rPr>
                <w:webHidden/>
              </w:rPr>
            </w:r>
            <w:r w:rsidR="00006BAE">
              <w:rPr>
                <w:webHidden/>
              </w:rPr>
              <w:fldChar w:fldCharType="separate"/>
            </w:r>
            <w:r w:rsidR="003F234C">
              <w:rPr>
                <w:webHidden/>
              </w:rPr>
              <w:t>8</w:t>
            </w:r>
            <w:r w:rsidR="00006BAE">
              <w:rPr>
                <w:webHidden/>
              </w:rPr>
              <w:fldChar w:fldCharType="end"/>
            </w:r>
          </w:hyperlink>
        </w:p>
        <w:p w14:paraId="57F4229C" w14:textId="1A6424FC" w:rsidR="00006BAE" w:rsidRDefault="001375CD">
          <w:pPr>
            <w:pStyle w:val="TOC2"/>
            <w:rPr>
              <w:rFonts w:asciiTheme="minorHAnsi" w:eastAsiaTheme="minorEastAsia" w:hAnsiTheme="minorHAnsi" w:cstheme="minorBidi"/>
              <w:szCs w:val="22"/>
            </w:rPr>
          </w:pPr>
          <w:hyperlink w:anchor="_Toc98882289" w:history="1">
            <w:r w:rsidR="00006BAE" w:rsidRPr="006C3A67">
              <w:rPr>
                <w:rStyle w:val="Hyperlink"/>
              </w:rPr>
              <w:t>2.1.</w:t>
            </w:r>
            <w:r w:rsidR="00006BAE">
              <w:rPr>
                <w:rFonts w:asciiTheme="minorHAnsi" w:eastAsiaTheme="minorEastAsia" w:hAnsiTheme="minorHAnsi" w:cstheme="minorBidi"/>
                <w:szCs w:val="22"/>
              </w:rPr>
              <w:tab/>
            </w:r>
            <w:r w:rsidR="00006BAE" w:rsidRPr="006C3A67">
              <w:rPr>
                <w:rStyle w:val="Hyperlink"/>
              </w:rPr>
              <w:t>General issues</w:t>
            </w:r>
            <w:r w:rsidR="00006BAE">
              <w:rPr>
                <w:webHidden/>
              </w:rPr>
              <w:tab/>
            </w:r>
            <w:r w:rsidR="00006BAE">
              <w:rPr>
                <w:webHidden/>
              </w:rPr>
              <w:fldChar w:fldCharType="begin"/>
            </w:r>
            <w:r w:rsidR="00006BAE">
              <w:rPr>
                <w:webHidden/>
              </w:rPr>
              <w:instrText xml:space="preserve"> PAGEREF _Toc98882289 \h </w:instrText>
            </w:r>
            <w:r w:rsidR="00006BAE">
              <w:rPr>
                <w:webHidden/>
              </w:rPr>
            </w:r>
            <w:r w:rsidR="00006BAE">
              <w:rPr>
                <w:webHidden/>
              </w:rPr>
              <w:fldChar w:fldCharType="separate"/>
            </w:r>
            <w:r w:rsidR="003F234C">
              <w:rPr>
                <w:webHidden/>
              </w:rPr>
              <w:t>8</w:t>
            </w:r>
            <w:r w:rsidR="00006BAE">
              <w:rPr>
                <w:webHidden/>
              </w:rPr>
              <w:fldChar w:fldCharType="end"/>
            </w:r>
          </w:hyperlink>
        </w:p>
        <w:p w14:paraId="4BE08DD8" w14:textId="006BD263" w:rsidR="00006BAE" w:rsidRDefault="001375CD">
          <w:pPr>
            <w:pStyle w:val="TOC2"/>
            <w:rPr>
              <w:rFonts w:asciiTheme="minorHAnsi" w:eastAsiaTheme="minorEastAsia" w:hAnsiTheme="minorHAnsi" w:cstheme="minorBidi"/>
              <w:szCs w:val="22"/>
            </w:rPr>
          </w:pPr>
          <w:hyperlink w:anchor="_Toc98882290" w:history="1">
            <w:r w:rsidR="00006BAE" w:rsidRPr="006C3A67">
              <w:rPr>
                <w:rStyle w:val="Hyperlink"/>
              </w:rPr>
              <w:t>2.2.</w:t>
            </w:r>
            <w:r w:rsidR="00006BAE">
              <w:rPr>
                <w:rFonts w:asciiTheme="minorHAnsi" w:eastAsiaTheme="minorEastAsia" w:hAnsiTheme="minorHAnsi" w:cstheme="minorBidi"/>
                <w:szCs w:val="22"/>
              </w:rPr>
              <w:tab/>
            </w:r>
            <w:r w:rsidR="00006BAE" w:rsidRPr="006C3A67">
              <w:rPr>
                <w:rStyle w:val="Hyperlink"/>
              </w:rPr>
              <w:t>Analysis of costs to derive NWAU for admitted acute care</w:t>
            </w:r>
            <w:r w:rsidR="00006BAE">
              <w:rPr>
                <w:webHidden/>
              </w:rPr>
              <w:tab/>
            </w:r>
            <w:r w:rsidR="00006BAE">
              <w:rPr>
                <w:webHidden/>
              </w:rPr>
              <w:fldChar w:fldCharType="begin"/>
            </w:r>
            <w:r w:rsidR="00006BAE">
              <w:rPr>
                <w:webHidden/>
              </w:rPr>
              <w:instrText xml:space="preserve"> PAGEREF _Toc98882290 \h </w:instrText>
            </w:r>
            <w:r w:rsidR="00006BAE">
              <w:rPr>
                <w:webHidden/>
              </w:rPr>
            </w:r>
            <w:r w:rsidR="00006BAE">
              <w:rPr>
                <w:webHidden/>
              </w:rPr>
              <w:fldChar w:fldCharType="separate"/>
            </w:r>
            <w:r w:rsidR="003F234C">
              <w:rPr>
                <w:webHidden/>
              </w:rPr>
              <w:t>9</w:t>
            </w:r>
            <w:r w:rsidR="00006BAE">
              <w:rPr>
                <w:webHidden/>
              </w:rPr>
              <w:fldChar w:fldCharType="end"/>
            </w:r>
          </w:hyperlink>
        </w:p>
        <w:p w14:paraId="00AE62C7" w14:textId="2565FBE7" w:rsidR="00006BAE" w:rsidRDefault="001375CD">
          <w:pPr>
            <w:pStyle w:val="TOC2"/>
            <w:rPr>
              <w:rFonts w:asciiTheme="minorHAnsi" w:eastAsiaTheme="minorEastAsia" w:hAnsiTheme="minorHAnsi" w:cstheme="minorBidi"/>
              <w:szCs w:val="22"/>
            </w:rPr>
          </w:pPr>
          <w:hyperlink w:anchor="_Toc98882291" w:history="1">
            <w:r w:rsidR="00006BAE" w:rsidRPr="006C3A67">
              <w:rPr>
                <w:rStyle w:val="Hyperlink"/>
              </w:rPr>
              <w:t>2.3.</w:t>
            </w:r>
            <w:r w:rsidR="00006BAE">
              <w:rPr>
                <w:rFonts w:asciiTheme="minorHAnsi" w:eastAsiaTheme="minorEastAsia" w:hAnsiTheme="minorHAnsi" w:cstheme="minorBidi"/>
                <w:szCs w:val="22"/>
              </w:rPr>
              <w:tab/>
            </w:r>
            <w:r w:rsidR="00006BAE" w:rsidRPr="006C3A67">
              <w:rPr>
                <w:rStyle w:val="Hyperlink"/>
              </w:rPr>
              <w:t>Applying the NEP</w:t>
            </w:r>
            <w:r w:rsidR="00006BAE">
              <w:rPr>
                <w:webHidden/>
              </w:rPr>
              <w:tab/>
            </w:r>
            <w:r w:rsidR="00006BAE">
              <w:rPr>
                <w:webHidden/>
              </w:rPr>
              <w:fldChar w:fldCharType="begin"/>
            </w:r>
            <w:r w:rsidR="00006BAE">
              <w:rPr>
                <w:webHidden/>
              </w:rPr>
              <w:instrText xml:space="preserve"> PAGEREF _Toc98882291 \h </w:instrText>
            </w:r>
            <w:r w:rsidR="00006BAE">
              <w:rPr>
                <w:webHidden/>
              </w:rPr>
            </w:r>
            <w:r w:rsidR="00006BAE">
              <w:rPr>
                <w:webHidden/>
              </w:rPr>
              <w:fldChar w:fldCharType="separate"/>
            </w:r>
            <w:r w:rsidR="003F234C">
              <w:rPr>
                <w:webHidden/>
              </w:rPr>
              <w:t>21</w:t>
            </w:r>
            <w:r w:rsidR="00006BAE">
              <w:rPr>
                <w:webHidden/>
              </w:rPr>
              <w:fldChar w:fldCharType="end"/>
            </w:r>
          </w:hyperlink>
        </w:p>
        <w:p w14:paraId="3D100E76" w14:textId="6DF59163" w:rsidR="00006BAE" w:rsidRDefault="001375CD">
          <w:pPr>
            <w:pStyle w:val="TOC1"/>
            <w:tabs>
              <w:tab w:val="left" w:pos="440"/>
            </w:tabs>
            <w:rPr>
              <w:rFonts w:asciiTheme="minorHAnsi" w:eastAsiaTheme="minorEastAsia" w:hAnsiTheme="minorHAnsi" w:cstheme="minorBidi"/>
              <w:b w:val="0"/>
              <w:szCs w:val="22"/>
            </w:rPr>
          </w:pPr>
          <w:hyperlink w:anchor="_Toc98882292" w:history="1">
            <w:r w:rsidR="00006BAE" w:rsidRPr="006C3A67">
              <w:rPr>
                <w:rStyle w:val="Hyperlink"/>
              </w:rPr>
              <w:t>3.</w:t>
            </w:r>
            <w:r w:rsidR="00006BAE">
              <w:rPr>
                <w:rFonts w:asciiTheme="minorHAnsi" w:eastAsiaTheme="minorEastAsia" w:hAnsiTheme="minorHAnsi" w:cstheme="minorBidi"/>
                <w:b w:val="0"/>
                <w:szCs w:val="22"/>
              </w:rPr>
              <w:tab/>
            </w:r>
            <w:r w:rsidR="00006BAE" w:rsidRPr="006C3A67">
              <w:rPr>
                <w:rStyle w:val="Hyperlink"/>
              </w:rPr>
              <w:t>Mental health care cost model</w:t>
            </w:r>
            <w:r w:rsidR="00006BAE">
              <w:rPr>
                <w:webHidden/>
              </w:rPr>
              <w:tab/>
            </w:r>
            <w:r w:rsidR="00006BAE">
              <w:rPr>
                <w:webHidden/>
              </w:rPr>
              <w:fldChar w:fldCharType="begin"/>
            </w:r>
            <w:r w:rsidR="00006BAE">
              <w:rPr>
                <w:webHidden/>
              </w:rPr>
              <w:instrText xml:space="preserve"> PAGEREF _Toc98882292 \h </w:instrText>
            </w:r>
            <w:r w:rsidR="00006BAE">
              <w:rPr>
                <w:webHidden/>
              </w:rPr>
            </w:r>
            <w:r w:rsidR="00006BAE">
              <w:rPr>
                <w:webHidden/>
              </w:rPr>
              <w:fldChar w:fldCharType="separate"/>
            </w:r>
            <w:r w:rsidR="003F234C">
              <w:rPr>
                <w:webHidden/>
              </w:rPr>
              <w:t>24</w:t>
            </w:r>
            <w:r w:rsidR="00006BAE">
              <w:rPr>
                <w:webHidden/>
              </w:rPr>
              <w:fldChar w:fldCharType="end"/>
            </w:r>
          </w:hyperlink>
        </w:p>
        <w:p w14:paraId="2C07981D" w14:textId="6409DA3C" w:rsidR="00006BAE" w:rsidRDefault="001375CD">
          <w:pPr>
            <w:pStyle w:val="TOC2"/>
            <w:rPr>
              <w:rFonts w:asciiTheme="minorHAnsi" w:eastAsiaTheme="minorEastAsia" w:hAnsiTheme="minorHAnsi" w:cstheme="minorBidi"/>
              <w:szCs w:val="22"/>
            </w:rPr>
          </w:pPr>
          <w:hyperlink w:anchor="_Toc98882293" w:history="1">
            <w:r w:rsidR="00006BAE" w:rsidRPr="006C3A67">
              <w:rPr>
                <w:rStyle w:val="Hyperlink"/>
              </w:rPr>
              <w:t>3.1.</w:t>
            </w:r>
            <w:r w:rsidR="00006BAE">
              <w:rPr>
                <w:rFonts w:asciiTheme="minorHAnsi" w:eastAsiaTheme="minorEastAsia" w:hAnsiTheme="minorHAnsi" w:cstheme="minorBidi"/>
                <w:szCs w:val="22"/>
              </w:rPr>
              <w:tab/>
            </w:r>
            <w:r w:rsidR="00006BAE" w:rsidRPr="006C3A67">
              <w:rPr>
                <w:rStyle w:val="Hyperlink"/>
              </w:rPr>
              <w:t>General issues</w:t>
            </w:r>
            <w:r w:rsidR="00006BAE">
              <w:rPr>
                <w:webHidden/>
              </w:rPr>
              <w:tab/>
            </w:r>
            <w:r w:rsidR="00006BAE">
              <w:rPr>
                <w:webHidden/>
              </w:rPr>
              <w:fldChar w:fldCharType="begin"/>
            </w:r>
            <w:r w:rsidR="00006BAE">
              <w:rPr>
                <w:webHidden/>
              </w:rPr>
              <w:instrText xml:space="preserve"> PAGEREF _Toc98882293 \h </w:instrText>
            </w:r>
            <w:r w:rsidR="00006BAE">
              <w:rPr>
                <w:webHidden/>
              </w:rPr>
            </w:r>
            <w:r w:rsidR="00006BAE">
              <w:rPr>
                <w:webHidden/>
              </w:rPr>
              <w:fldChar w:fldCharType="separate"/>
            </w:r>
            <w:r w:rsidR="003F234C">
              <w:rPr>
                <w:webHidden/>
              </w:rPr>
              <w:t>24</w:t>
            </w:r>
            <w:r w:rsidR="00006BAE">
              <w:rPr>
                <w:webHidden/>
              </w:rPr>
              <w:fldChar w:fldCharType="end"/>
            </w:r>
          </w:hyperlink>
        </w:p>
        <w:p w14:paraId="3A636E45" w14:textId="2AAC0CD3" w:rsidR="00006BAE" w:rsidRDefault="001375CD">
          <w:pPr>
            <w:pStyle w:val="TOC2"/>
            <w:rPr>
              <w:rFonts w:asciiTheme="minorHAnsi" w:eastAsiaTheme="minorEastAsia" w:hAnsiTheme="minorHAnsi" w:cstheme="minorBidi"/>
              <w:szCs w:val="22"/>
            </w:rPr>
          </w:pPr>
          <w:hyperlink w:anchor="_Toc98882294" w:history="1">
            <w:r w:rsidR="00006BAE" w:rsidRPr="006C3A67">
              <w:rPr>
                <w:rStyle w:val="Hyperlink"/>
              </w:rPr>
              <w:t>3.2.</w:t>
            </w:r>
            <w:r w:rsidR="00006BAE">
              <w:rPr>
                <w:rFonts w:asciiTheme="minorHAnsi" w:eastAsiaTheme="minorEastAsia" w:hAnsiTheme="minorHAnsi" w:cstheme="minorBidi"/>
                <w:szCs w:val="22"/>
              </w:rPr>
              <w:tab/>
            </w:r>
            <w:r w:rsidR="00006BAE" w:rsidRPr="006C3A67">
              <w:rPr>
                <w:rStyle w:val="Hyperlink"/>
              </w:rPr>
              <w:t>Analysis of costs to derive NWAU for mental health care</w:t>
            </w:r>
            <w:r w:rsidR="00006BAE">
              <w:rPr>
                <w:webHidden/>
              </w:rPr>
              <w:tab/>
            </w:r>
            <w:r w:rsidR="00006BAE">
              <w:rPr>
                <w:webHidden/>
              </w:rPr>
              <w:fldChar w:fldCharType="begin"/>
            </w:r>
            <w:r w:rsidR="00006BAE">
              <w:rPr>
                <w:webHidden/>
              </w:rPr>
              <w:instrText xml:space="preserve"> PAGEREF _Toc98882294 \h </w:instrText>
            </w:r>
            <w:r w:rsidR="00006BAE">
              <w:rPr>
                <w:webHidden/>
              </w:rPr>
            </w:r>
            <w:r w:rsidR="00006BAE">
              <w:rPr>
                <w:webHidden/>
              </w:rPr>
              <w:fldChar w:fldCharType="separate"/>
            </w:r>
            <w:r w:rsidR="003F234C">
              <w:rPr>
                <w:webHidden/>
              </w:rPr>
              <w:t>24</w:t>
            </w:r>
            <w:r w:rsidR="00006BAE">
              <w:rPr>
                <w:webHidden/>
              </w:rPr>
              <w:fldChar w:fldCharType="end"/>
            </w:r>
          </w:hyperlink>
        </w:p>
        <w:p w14:paraId="138A2FD3" w14:textId="08D8B333" w:rsidR="00006BAE" w:rsidRDefault="001375CD">
          <w:pPr>
            <w:pStyle w:val="TOC1"/>
            <w:tabs>
              <w:tab w:val="left" w:pos="440"/>
            </w:tabs>
            <w:rPr>
              <w:rFonts w:asciiTheme="minorHAnsi" w:eastAsiaTheme="minorEastAsia" w:hAnsiTheme="minorHAnsi" w:cstheme="minorBidi"/>
              <w:b w:val="0"/>
              <w:szCs w:val="22"/>
            </w:rPr>
          </w:pPr>
          <w:hyperlink w:anchor="_Toc98882295" w:history="1">
            <w:r w:rsidR="00006BAE" w:rsidRPr="006C3A67">
              <w:rPr>
                <w:rStyle w:val="Hyperlink"/>
              </w:rPr>
              <w:t>4.</w:t>
            </w:r>
            <w:r w:rsidR="00006BAE">
              <w:rPr>
                <w:rFonts w:asciiTheme="minorHAnsi" w:eastAsiaTheme="minorEastAsia" w:hAnsiTheme="minorHAnsi" w:cstheme="minorBidi"/>
                <w:b w:val="0"/>
                <w:szCs w:val="22"/>
              </w:rPr>
              <w:tab/>
            </w:r>
            <w:r w:rsidR="00006BAE" w:rsidRPr="006C3A67">
              <w:rPr>
                <w:rStyle w:val="Hyperlink"/>
              </w:rPr>
              <w:t>Admitted subacute and non-acute care cost model</w:t>
            </w:r>
            <w:r w:rsidR="00006BAE">
              <w:rPr>
                <w:webHidden/>
              </w:rPr>
              <w:tab/>
            </w:r>
            <w:r w:rsidR="00006BAE">
              <w:rPr>
                <w:webHidden/>
              </w:rPr>
              <w:fldChar w:fldCharType="begin"/>
            </w:r>
            <w:r w:rsidR="00006BAE">
              <w:rPr>
                <w:webHidden/>
              </w:rPr>
              <w:instrText xml:space="preserve"> PAGEREF _Toc98882295 \h </w:instrText>
            </w:r>
            <w:r w:rsidR="00006BAE">
              <w:rPr>
                <w:webHidden/>
              </w:rPr>
            </w:r>
            <w:r w:rsidR="00006BAE">
              <w:rPr>
                <w:webHidden/>
              </w:rPr>
              <w:fldChar w:fldCharType="separate"/>
            </w:r>
            <w:r w:rsidR="003F234C">
              <w:rPr>
                <w:webHidden/>
              </w:rPr>
              <w:t>32</w:t>
            </w:r>
            <w:r w:rsidR="00006BAE">
              <w:rPr>
                <w:webHidden/>
              </w:rPr>
              <w:fldChar w:fldCharType="end"/>
            </w:r>
          </w:hyperlink>
        </w:p>
        <w:p w14:paraId="37597490" w14:textId="6F991461" w:rsidR="00006BAE" w:rsidRDefault="001375CD">
          <w:pPr>
            <w:pStyle w:val="TOC2"/>
            <w:rPr>
              <w:rFonts w:asciiTheme="minorHAnsi" w:eastAsiaTheme="minorEastAsia" w:hAnsiTheme="minorHAnsi" w:cstheme="minorBidi"/>
              <w:szCs w:val="22"/>
            </w:rPr>
          </w:pPr>
          <w:hyperlink w:anchor="_Toc98882296" w:history="1">
            <w:r w:rsidR="00006BAE" w:rsidRPr="006C3A67">
              <w:rPr>
                <w:rStyle w:val="Hyperlink"/>
              </w:rPr>
              <w:t>4.1.</w:t>
            </w:r>
            <w:r w:rsidR="00006BAE">
              <w:rPr>
                <w:rFonts w:asciiTheme="minorHAnsi" w:eastAsiaTheme="minorEastAsia" w:hAnsiTheme="minorHAnsi" w:cstheme="minorBidi"/>
                <w:szCs w:val="22"/>
              </w:rPr>
              <w:tab/>
            </w:r>
            <w:r w:rsidR="00006BAE" w:rsidRPr="006C3A67">
              <w:rPr>
                <w:rStyle w:val="Hyperlink"/>
              </w:rPr>
              <w:t>General issues</w:t>
            </w:r>
            <w:r w:rsidR="00006BAE">
              <w:rPr>
                <w:webHidden/>
              </w:rPr>
              <w:tab/>
            </w:r>
            <w:r w:rsidR="00006BAE">
              <w:rPr>
                <w:webHidden/>
              </w:rPr>
              <w:fldChar w:fldCharType="begin"/>
            </w:r>
            <w:r w:rsidR="00006BAE">
              <w:rPr>
                <w:webHidden/>
              </w:rPr>
              <w:instrText xml:space="preserve"> PAGEREF _Toc98882296 \h </w:instrText>
            </w:r>
            <w:r w:rsidR="00006BAE">
              <w:rPr>
                <w:webHidden/>
              </w:rPr>
            </w:r>
            <w:r w:rsidR="00006BAE">
              <w:rPr>
                <w:webHidden/>
              </w:rPr>
              <w:fldChar w:fldCharType="separate"/>
            </w:r>
            <w:r w:rsidR="003F234C">
              <w:rPr>
                <w:webHidden/>
              </w:rPr>
              <w:t>32</w:t>
            </w:r>
            <w:r w:rsidR="00006BAE">
              <w:rPr>
                <w:webHidden/>
              </w:rPr>
              <w:fldChar w:fldCharType="end"/>
            </w:r>
          </w:hyperlink>
        </w:p>
        <w:p w14:paraId="7DD99A04" w14:textId="19AE36B2" w:rsidR="00006BAE" w:rsidRDefault="001375CD">
          <w:pPr>
            <w:pStyle w:val="TOC2"/>
            <w:rPr>
              <w:rFonts w:asciiTheme="minorHAnsi" w:eastAsiaTheme="minorEastAsia" w:hAnsiTheme="minorHAnsi" w:cstheme="minorBidi"/>
              <w:szCs w:val="22"/>
            </w:rPr>
          </w:pPr>
          <w:hyperlink w:anchor="_Toc98882297" w:history="1">
            <w:r w:rsidR="00006BAE" w:rsidRPr="006C3A67">
              <w:rPr>
                <w:rStyle w:val="Hyperlink"/>
              </w:rPr>
              <w:t>4.2.</w:t>
            </w:r>
            <w:r w:rsidR="00006BAE">
              <w:rPr>
                <w:rFonts w:asciiTheme="minorHAnsi" w:eastAsiaTheme="minorEastAsia" w:hAnsiTheme="minorHAnsi" w:cstheme="minorBidi"/>
                <w:szCs w:val="22"/>
              </w:rPr>
              <w:tab/>
            </w:r>
            <w:r w:rsidR="00006BAE" w:rsidRPr="006C3A67">
              <w:rPr>
                <w:rStyle w:val="Hyperlink"/>
              </w:rPr>
              <w:t>Analysis of costs to derive NWAU for subacute and non-acute admitted care</w:t>
            </w:r>
            <w:r w:rsidR="00006BAE">
              <w:rPr>
                <w:webHidden/>
              </w:rPr>
              <w:tab/>
            </w:r>
            <w:r w:rsidR="00006BAE">
              <w:rPr>
                <w:webHidden/>
              </w:rPr>
              <w:fldChar w:fldCharType="begin"/>
            </w:r>
            <w:r w:rsidR="00006BAE">
              <w:rPr>
                <w:webHidden/>
              </w:rPr>
              <w:instrText xml:space="preserve"> PAGEREF _Toc98882297 \h </w:instrText>
            </w:r>
            <w:r w:rsidR="00006BAE">
              <w:rPr>
                <w:webHidden/>
              </w:rPr>
            </w:r>
            <w:r w:rsidR="00006BAE">
              <w:rPr>
                <w:webHidden/>
              </w:rPr>
              <w:fldChar w:fldCharType="separate"/>
            </w:r>
            <w:r w:rsidR="003F234C">
              <w:rPr>
                <w:webHidden/>
              </w:rPr>
              <w:t>32</w:t>
            </w:r>
            <w:r w:rsidR="00006BAE">
              <w:rPr>
                <w:webHidden/>
              </w:rPr>
              <w:fldChar w:fldCharType="end"/>
            </w:r>
          </w:hyperlink>
        </w:p>
        <w:p w14:paraId="1FF68643" w14:textId="65AD7590" w:rsidR="00006BAE" w:rsidRDefault="001375CD">
          <w:pPr>
            <w:pStyle w:val="TOC1"/>
            <w:tabs>
              <w:tab w:val="left" w:pos="440"/>
            </w:tabs>
            <w:rPr>
              <w:rFonts w:asciiTheme="minorHAnsi" w:eastAsiaTheme="minorEastAsia" w:hAnsiTheme="minorHAnsi" w:cstheme="minorBidi"/>
              <w:b w:val="0"/>
              <w:szCs w:val="22"/>
            </w:rPr>
          </w:pPr>
          <w:hyperlink w:anchor="_Toc98882298" w:history="1">
            <w:r w:rsidR="00006BAE" w:rsidRPr="006C3A67">
              <w:rPr>
                <w:rStyle w:val="Hyperlink"/>
              </w:rPr>
              <w:t>5.</w:t>
            </w:r>
            <w:r w:rsidR="00006BAE">
              <w:rPr>
                <w:rFonts w:asciiTheme="minorHAnsi" w:eastAsiaTheme="minorEastAsia" w:hAnsiTheme="minorHAnsi" w:cstheme="minorBidi"/>
                <w:b w:val="0"/>
                <w:szCs w:val="22"/>
              </w:rPr>
              <w:tab/>
            </w:r>
            <w:r w:rsidR="00006BAE" w:rsidRPr="006C3A67">
              <w:rPr>
                <w:rStyle w:val="Hyperlink"/>
              </w:rPr>
              <w:t>Emergency care cost model</w:t>
            </w:r>
            <w:r w:rsidR="00006BAE">
              <w:rPr>
                <w:webHidden/>
              </w:rPr>
              <w:tab/>
            </w:r>
            <w:r w:rsidR="00006BAE">
              <w:rPr>
                <w:webHidden/>
              </w:rPr>
              <w:fldChar w:fldCharType="begin"/>
            </w:r>
            <w:r w:rsidR="00006BAE">
              <w:rPr>
                <w:webHidden/>
              </w:rPr>
              <w:instrText xml:space="preserve"> PAGEREF _Toc98882298 \h </w:instrText>
            </w:r>
            <w:r w:rsidR="00006BAE">
              <w:rPr>
                <w:webHidden/>
              </w:rPr>
            </w:r>
            <w:r w:rsidR="00006BAE">
              <w:rPr>
                <w:webHidden/>
              </w:rPr>
              <w:fldChar w:fldCharType="separate"/>
            </w:r>
            <w:r w:rsidR="003F234C">
              <w:rPr>
                <w:webHidden/>
              </w:rPr>
              <w:t>38</w:t>
            </w:r>
            <w:r w:rsidR="00006BAE">
              <w:rPr>
                <w:webHidden/>
              </w:rPr>
              <w:fldChar w:fldCharType="end"/>
            </w:r>
          </w:hyperlink>
        </w:p>
        <w:p w14:paraId="4F898717" w14:textId="45013FBE" w:rsidR="00006BAE" w:rsidRDefault="001375CD">
          <w:pPr>
            <w:pStyle w:val="TOC2"/>
            <w:rPr>
              <w:rFonts w:asciiTheme="minorHAnsi" w:eastAsiaTheme="minorEastAsia" w:hAnsiTheme="minorHAnsi" w:cstheme="minorBidi"/>
              <w:szCs w:val="22"/>
            </w:rPr>
          </w:pPr>
          <w:hyperlink w:anchor="_Toc98882299" w:history="1">
            <w:r w:rsidR="00006BAE" w:rsidRPr="006C3A67">
              <w:rPr>
                <w:rStyle w:val="Hyperlink"/>
              </w:rPr>
              <w:t>5.1.</w:t>
            </w:r>
            <w:r w:rsidR="00006BAE">
              <w:rPr>
                <w:rFonts w:asciiTheme="minorHAnsi" w:eastAsiaTheme="minorEastAsia" w:hAnsiTheme="minorHAnsi" w:cstheme="minorBidi"/>
                <w:szCs w:val="22"/>
              </w:rPr>
              <w:tab/>
            </w:r>
            <w:r w:rsidR="00006BAE" w:rsidRPr="006C3A67">
              <w:rPr>
                <w:rStyle w:val="Hyperlink"/>
              </w:rPr>
              <w:t>General issues</w:t>
            </w:r>
            <w:r w:rsidR="00006BAE">
              <w:rPr>
                <w:webHidden/>
              </w:rPr>
              <w:tab/>
            </w:r>
            <w:r w:rsidR="00006BAE">
              <w:rPr>
                <w:webHidden/>
              </w:rPr>
              <w:fldChar w:fldCharType="begin"/>
            </w:r>
            <w:r w:rsidR="00006BAE">
              <w:rPr>
                <w:webHidden/>
              </w:rPr>
              <w:instrText xml:space="preserve"> PAGEREF _Toc98882299 \h </w:instrText>
            </w:r>
            <w:r w:rsidR="00006BAE">
              <w:rPr>
                <w:webHidden/>
              </w:rPr>
            </w:r>
            <w:r w:rsidR="00006BAE">
              <w:rPr>
                <w:webHidden/>
              </w:rPr>
              <w:fldChar w:fldCharType="separate"/>
            </w:r>
            <w:r w:rsidR="003F234C">
              <w:rPr>
                <w:webHidden/>
              </w:rPr>
              <w:t>38</w:t>
            </w:r>
            <w:r w:rsidR="00006BAE">
              <w:rPr>
                <w:webHidden/>
              </w:rPr>
              <w:fldChar w:fldCharType="end"/>
            </w:r>
          </w:hyperlink>
        </w:p>
        <w:p w14:paraId="6A105385" w14:textId="34CEDCFC" w:rsidR="00006BAE" w:rsidRDefault="001375CD">
          <w:pPr>
            <w:pStyle w:val="TOC2"/>
            <w:rPr>
              <w:rFonts w:asciiTheme="minorHAnsi" w:eastAsiaTheme="minorEastAsia" w:hAnsiTheme="minorHAnsi" w:cstheme="minorBidi"/>
              <w:szCs w:val="22"/>
            </w:rPr>
          </w:pPr>
          <w:hyperlink w:anchor="_Toc98882300" w:history="1">
            <w:r w:rsidR="00006BAE" w:rsidRPr="006C3A67">
              <w:rPr>
                <w:rStyle w:val="Hyperlink"/>
              </w:rPr>
              <w:t>5.2.</w:t>
            </w:r>
            <w:r w:rsidR="00006BAE">
              <w:rPr>
                <w:rFonts w:asciiTheme="minorHAnsi" w:eastAsiaTheme="minorEastAsia" w:hAnsiTheme="minorHAnsi" w:cstheme="minorBidi"/>
                <w:szCs w:val="22"/>
              </w:rPr>
              <w:tab/>
            </w:r>
            <w:r w:rsidR="00006BAE" w:rsidRPr="006C3A67">
              <w:rPr>
                <w:rStyle w:val="Hyperlink"/>
              </w:rPr>
              <w:t>Analysis of costs to derive NWAU for emergency care</w:t>
            </w:r>
            <w:r w:rsidR="00006BAE">
              <w:rPr>
                <w:webHidden/>
              </w:rPr>
              <w:tab/>
            </w:r>
            <w:r w:rsidR="00006BAE">
              <w:rPr>
                <w:webHidden/>
              </w:rPr>
              <w:fldChar w:fldCharType="begin"/>
            </w:r>
            <w:r w:rsidR="00006BAE">
              <w:rPr>
                <w:webHidden/>
              </w:rPr>
              <w:instrText xml:space="preserve"> PAGEREF _Toc98882300 \h </w:instrText>
            </w:r>
            <w:r w:rsidR="00006BAE">
              <w:rPr>
                <w:webHidden/>
              </w:rPr>
            </w:r>
            <w:r w:rsidR="00006BAE">
              <w:rPr>
                <w:webHidden/>
              </w:rPr>
              <w:fldChar w:fldCharType="separate"/>
            </w:r>
            <w:r w:rsidR="003F234C">
              <w:rPr>
                <w:webHidden/>
              </w:rPr>
              <w:t>38</w:t>
            </w:r>
            <w:r w:rsidR="00006BAE">
              <w:rPr>
                <w:webHidden/>
              </w:rPr>
              <w:fldChar w:fldCharType="end"/>
            </w:r>
          </w:hyperlink>
        </w:p>
        <w:p w14:paraId="0F61112D" w14:textId="5283CE0F" w:rsidR="00006BAE" w:rsidRDefault="001375CD">
          <w:pPr>
            <w:pStyle w:val="TOC1"/>
            <w:tabs>
              <w:tab w:val="left" w:pos="440"/>
            </w:tabs>
            <w:rPr>
              <w:rFonts w:asciiTheme="minorHAnsi" w:eastAsiaTheme="minorEastAsia" w:hAnsiTheme="minorHAnsi" w:cstheme="minorBidi"/>
              <w:b w:val="0"/>
              <w:szCs w:val="22"/>
            </w:rPr>
          </w:pPr>
          <w:hyperlink w:anchor="_Toc98882301" w:history="1">
            <w:r w:rsidR="00006BAE" w:rsidRPr="006C3A67">
              <w:rPr>
                <w:rStyle w:val="Hyperlink"/>
              </w:rPr>
              <w:t>6.</w:t>
            </w:r>
            <w:r w:rsidR="00006BAE">
              <w:rPr>
                <w:rFonts w:asciiTheme="minorHAnsi" w:eastAsiaTheme="minorEastAsia" w:hAnsiTheme="minorHAnsi" w:cstheme="minorBidi"/>
                <w:b w:val="0"/>
                <w:szCs w:val="22"/>
              </w:rPr>
              <w:tab/>
            </w:r>
            <w:r w:rsidR="00006BAE" w:rsidRPr="006C3A67">
              <w:rPr>
                <w:rStyle w:val="Hyperlink"/>
              </w:rPr>
              <w:t>Non-admitted care cost model</w:t>
            </w:r>
            <w:r w:rsidR="00006BAE">
              <w:rPr>
                <w:webHidden/>
              </w:rPr>
              <w:tab/>
            </w:r>
            <w:r w:rsidR="00006BAE">
              <w:rPr>
                <w:webHidden/>
              </w:rPr>
              <w:fldChar w:fldCharType="begin"/>
            </w:r>
            <w:r w:rsidR="00006BAE">
              <w:rPr>
                <w:webHidden/>
              </w:rPr>
              <w:instrText xml:space="preserve"> PAGEREF _Toc98882301 \h </w:instrText>
            </w:r>
            <w:r w:rsidR="00006BAE">
              <w:rPr>
                <w:webHidden/>
              </w:rPr>
            </w:r>
            <w:r w:rsidR="00006BAE">
              <w:rPr>
                <w:webHidden/>
              </w:rPr>
              <w:fldChar w:fldCharType="separate"/>
            </w:r>
            <w:r w:rsidR="003F234C">
              <w:rPr>
                <w:webHidden/>
              </w:rPr>
              <w:t>41</w:t>
            </w:r>
            <w:r w:rsidR="00006BAE">
              <w:rPr>
                <w:webHidden/>
              </w:rPr>
              <w:fldChar w:fldCharType="end"/>
            </w:r>
          </w:hyperlink>
        </w:p>
        <w:p w14:paraId="19DCA87E" w14:textId="78D9B02C" w:rsidR="00006BAE" w:rsidRDefault="001375CD">
          <w:pPr>
            <w:pStyle w:val="TOC2"/>
            <w:rPr>
              <w:rFonts w:asciiTheme="minorHAnsi" w:eastAsiaTheme="minorEastAsia" w:hAnsiTheme="minorHAnsi" w:cstheme="minorBidi"/>
              <w:szCs w:val="22"/>
            </w:rPr>
          </w:pPr>
          <w:hyperlink w:anchor="_Toc98882302" w:history="1">
            <w:r w:rsidR="00006BAE" w:rsidRPr="006C3A67">
              <w:rPr>
                <w:rStyle w:val="Hyperlink"/>
              </w:rPr>
              <w:t>6.1.</w:t>
            </w:r>
            <w:r w:rsidR="00006BAE">
              <w:rPr>
                <w:rFonts w:asciiTheme="minorHAnsi" w:eastAsiaTheme="minorEastAsia" w:hAnsiTheme="minorHAnsi" w:cstheme="minorBidi"/>
                <w:szCs w:val="22"/>
              </w:rPr>
              <w:tab/>
            </w:r>
            <w:r w:rsidR="00006BAE" w:rsidRPr="006C3A67">
              <w:rPr>
                <w:rStyle w:val="Hyperlink"/>
              </w:rPr>
              <w:t>Overview</w:t>
            </w:r>
            <w:r w:rsidR="00006BAE">
              <w:rPr>
                <w:webHidden/>
              </w:rPr>
              <w:tab/>
            </w:r>
            <w:r w:rsidR="00006BAE">
              <w:rPr>
                <w:webHidden/>
              </w:rPr>
              <w:fldChar w:fldCharType="begin"/>
            </w:r>
            <w:r w:rsidR="00006BAE">
              <w:rPr>
                <w:webHidden/>
              </w:rPr>
              <w:instrText xml:space="preserve"> PAGEREF _Toc98882302 \h </w:instrText>
            </w:r>
            <w:r w:rsidR="00006BAE">
              <w:rPr>
                <w:webHidden/>
              </w:rPr>
            </w:r>
            <w:r w:rsidR="00006BAE">
              <w:rPr>
                <w:webHidden/>
              </w:rPr>
              <w:fldChar w:fldCharType="separate"/>
            </w:r>
            <w:r w:rsidR="003F234C">
              <w:rPr>
                <w:webHidden/>
              </w:rPr>
              <w:t>41</w:t>
            </w:r>
            <w:r w:rsidR="00006BAE">
              <w:rPr>
                <w:webHidden/>
              </w:rPr>
              <w:fldChar w:fldCharType="end"/>
            </w:r>
          </w:hyperlink>
        </w:p>
        <w:p w14:paraId="4138A5A4" w14:textId="40F149F7" w:rsidR="00006BAE" w:rsidRDefault="001375CD">
          <w:pPr>
            <w:pStyle w:val="TOC2"/>
            <w:rPr>
              <w:rFonts w:asciiTheme="minorHAnsi" w:eastAsiaTheme="minorEastAsia" w:hAnsiTheme="minorHAnsi" w:cstheme="minorBidi"/>
              <w:szCs w:val="22"/>
            </w:rPr>
          </w:pPr>
          <w:hyperlink w:anchor="_Toc98882303" w:history="1">
            <w:r w:rsidR="00006BAE" w:rsidRPr="006C3A67">
              <w:rPr>
                <w:rStyle w:val="Hyperlink"/>
              </w:rPr>
              <w:t>6.2.</w:t>
            </w:r>
            <w:r w:rsidR="00006BAE">
              <w:rPr>
                <w:rFonts w:asciiTheme="minorHAnsi" w:eastAsiaTheme="minorEastAsia" w:hAnsiTheme="minorHAnsi" w:cstheme="minorBidi"/>
                <w:szCs w:val="22"/>
              </w:rPr>
              <w:tab/>
            </w:r>
            <w:r w:rsidR="00006BAE" w:rsidRPr="006C3A67">
              <w:rPr>
                <w:rStyle w:val="Hyperlink"/>
              </w:rPr>
              <w:t>Analysis of costs to derive NWAU for non-admitted care</w:t>
            </w:r>
            <w:r w:rsidR="00006BAE">
              <w:rPr>
                <w:webHidden/>
              </w:rPr>
              <w:tab/>
            </w:r>
            <w:r w:rsidR="00006BAE">
              <w:rPr>
                <w:webHidden/>
              </w:rPr>
              <w:fldChar w:fldCharType="begin"/>
            </w:r>
            <w:r w:rsidR="00006BAE">
              <w:rPr>
                <w:webHidden/>
              </w:rPr>
              <w:instrText xml:space="preserve"> PAGEREF _Toc98882303 \h </w:instrText>
            </w:r>
            <w:r w:rsidR="00006BAE">
              <w:rPr>
                <w:webHidden/>
              </w:rPr>
            </w:r>
            <w:r w:rsidR="00006BAE">
              <w:rPr>
                <w:webHidden/>
              </w:rPr>
              <w:fldChar w:fldCharType="separate"/>
            </w:r>
            <w:r w:rsidR="003F234C">
              <w:rPr>
                <w:webHidden/>
              </w:rPr>
              <w:t>41</w:t>
            </w:r>
            <w:r w:rsidR="00006BAE">
              <w:rPr>
                <w:webHidden/>
              </w:rPr>
              <w:fldChar w:fldCharType="end"/>
            </w:r>
          </w:hyperlink>
        </w:p>
        <w:p w14:paraId="35376370" w14:textId="78E13E2B" w:rsidR="00006BAE" w:rsidRDefault="001375CD">
          <w:pPr>
            <w:pStyle w:val="TOC1"/>
            <w:tabs>
              <w:tab w:val="left" w:pos="440"/>
            </w:tabs>
            <w:rPr>
              <w:rFonts w:asciiTheme="minorHAnsi" w:eastAsiaTheme="minorEastAsia" w:hAnsiTheme="minorHAnsi" w:cstheme="minorBidi"/>
              <w:b w:val="0"/>
              <w:szCs w:val="22"/>
            </w:rPr>
          </w:pPr>
          <w:hyperlink w:anchor="_Toc98882304" w:history="1">
            <w:r w:rsidR="00006BAE" w:rsidRPr="006C3A67">
              <w:rPr>
                <w:rStyle w:val="Hyperlink"/>
              </w:rPr>
              <w:t>7.</w:t>
            </w:r>
            <w:r w:rsidR="00006BAE">
              <w:rPr>
                <w:rFonts w:asciiTheme="minorHAnsi" w:eastAsiaTheme="minorEastAsia" w:hAnsiTheme="minorHAnsi" w:cstheme="minorBidi"/>
                <w:b w:val="0"/>
                <w:szCs w:val="22"/>
              </w:rPr>
              <w:tab/>
            </w:r>
            <w:r w:rsidR="00006BAE" w:rsidRPr="006C3A67">
              <w:rPr>
                <w:rStyle w:val="Hyperlink"/>
              </w:rPr>
              <w:t>Conversion to a pricing model</w:t>
            </w:r>
            <w:r w:rsidR="00006BAE">
              <w:rPr>
                <w:webHidden/>
              </w:rPr>
              <w:tab/>
            </w:r>
            <w:r w:rsidR="00006BAE">
              <w:rPr>
                <w:webHidden/>
              </w:rPr>
              <w:fldChar w:fldCharType="begin"/>
            </w:r>
            <w:r w:rsidR="00006BAE">
              <w:rPr>
                <w:webHidden/>
              </w:rPr>
              <w:instrText xml:space="preserve"> PAGEREF _Toc98882304 \h </w:instrText>
            </w:r>
            <w:r w:rsidR="00006BAE">
              <w:rPr>
                <w:webHidden/>
              </w:rPr>
            </w:r>
            <w:r w:rsidR="00006BAE">
              <w:rPr>
                <w:webHidden/>
              </w:rPr>
              <w:fldChar w:fldCharType="separate"/>
            </w:r>
            <w:r w:rsidR="003F234C">
              <w:rPr>
                <w:webHidden/>
              </w:rPr>
              <w:t>46</w:t>
            </w:r>
            <w:r w:rsidR="00006BAE">
              <w:rPr>
                <w:webHidden/>
              </w:rPr>
              <w:fldChar w:fldCharType="end"/>
            </w:r>
          </w:hyperlink>
        </w:p>
        <w:p w14:paraId="28EE97E1" w14:textId="46B3ED3A" w:rsidR="00006BAE" w:rsidRDefault="001375CD">
          <w:pPr>
            <w:pStyle w:val="TOC2"/>
            <w:rPr>
              <w:rFonts w:asciiTheme="minorHAnsi" w:eastAsiaTheme="minorEastAsia" w:hAnsiTheme="minorHAnsi" w:cstheme="minorBidi"/>
              <w:szCs w:val="22"/>
            </w:rPr>
          </w:pPr>
          <w:hyperlink w:anchor="_Toc98882305" w:history="1">
            <w:r w:rsidR="00006BAE" w:rsidRPr="006C3A67">
              <w:rPr>
                <w:rStyle w:val="Hyperlink"/>
              </w:rPr>
              <w:t>7.1.</w:t>
            </w:r>
            <w:r w:rsidR="00006BAE">
              <w:rPr>
                <w:rFonts w:asciiTheme="minorHAnsi" w:eastAsiaTheme="minorEastAsia" w:hAnsiTheme="minorHAnsi" w:cstheme="minorBidi"/>
                <w:szCs w:val="22"/>
              </w:rPr>
              <w:tab/>
            </w:r>
            <w:r w:rsidR="00006BAE" w:rsidRPr="006C3A67">
              <w:rPr>
                <w:rStyle w:val="Hyperlink"/>
              </w:rPr>
              <w:t>Overview</w:t>
            </w:r>
            <w:r w:rsidR="00006BAE">
              <w:rPr>
                <w:webHidden/>
              </w:rPr>
              <w:tab/>
            </w:r>
            <w:r w:rsidR="00006BAE">
              <w:rPr>
                <w:webHidden/>
              </w:rPr>
              <w:fldChar w:fldCharType="begin"/>
            </w:r>
            <w:r w:rsidR="00006BAE">
              <w:rPr>
                <w:webHidden/>
              </w:rPr>
              <w:instrText xml:space="preserve"> PAGEREF _Toc98882305 \h </w:instrText>
            </w:r>
            <w:r w:rsidR="00006BAE">
              <w:rPr>
                <w:webHidden/>
              </w:rPr>
            </w:r>
            <w:r w:rsidR="00006BAE">
              <w:rPr>
                <w:webHidden/>
              </w:rPr>
              <w:fldChar w:fldCharType="separate"/>
            </w:r>
            <w:r w:rsidR="003F234C">
              <w:rPr>
                <w:webHidden/>
              </w:rPr>
              <w:t>46</w:t>
            </w:r>
            <w:r w:rsidR="00006BAE">
              <w:rPr>
                <w:webHidden/>
              </w:rPr>
              <w:fldChar w:fldCharType="end"/>
            </w:r>
          </w:hyperlink>
        </w:p>
        <w:p w14:paraId="6445648F" w14:textId="52FBD973" w:rsidR="00006BAE" w:rsidRDefault="001375CD">
          <w:pPr>
            <w:pStyle w:val="TOC2"/>
            <w:rPr>
              <w:rFonts w:asciiTheme="minorHAnsi" w:eastAsiaTheme="minorEastAsia" w:hAnsiTheme="minorHAnsi" w:cstheme="minorBidi"/>
              <w:szCs w:val="22"/>
            </w:rPr>
          </w:pPr>
          <w:hyperlink w:anchor="_Toc98882306" w:history="1">
            <w:r w:rsidR="00006BAE" w:rsidRPr="006C3A67">
              <w:rPr>
                <w:rStyle w:val="Hyperlink"/>
              </w:rPr>
              <w:t>7.2.</w:t>
            </w:r>
            <w:r w:rsidR="00006BAE">
              <w:rPr>
                <w:rFonts w:asciiTheme="minorHAnsi" w:eastAsiaTheme="minorEastAsia" w:hAnsiTheme="minorHAnsi" w:cstheme="minorBidi"/>
                <w:szCs w:val="22"/>
              </w:rPr>
              <w:tab/>
            </w:r>
            <w:r w:rsidR="00006BAE" w:rsidRPr="006C3A67">
              <w:rPr>
                <w:rStyle w:val="Hyperlink"/>
              </w:rPr>
              <w:t>Identification of out-of-scope costs</w:t>
            </w:r>
            <w:r w:rsidR="00006BAE">
              <w:rPr>
                <w:webHidden/>
              </w:rPr>
              <w:tab/>
            </w:r>
            <w:r w:rsidR="00006BAE">
              <w:rPr>
                <w:webHidden/>
              </w:rPr>
              <w:fldChar w:fldCharType="begin"/>
            </w:r>
            <w:r w:rsidR="00006BAE">
              <w:rPr>
                <w:webHidden/>
              </w:rPr>
              <w:instrText xml:space="preserve"> PAGEREF _Toc98882306 \h </w:instrText>
            </w:r>
            <w:r w:rsidR="00006BAE">
              <w:rPr>
                <w:webHidden/>
              </w:rPr>
            </w:r>
            <w:r w:rsidR="00006BAE">
              <w:rPr>
                <w:webHidden/>
              </w:rPr>
              <w:fldChar w:fldCharType="separate"/>
            </w:r>
            <w:r w:rsidR="003F234C">
              <w:rPr>
                <w:webHidden/>
              </w:rPr>
              <w:t>47</w:t>
            </w:r>
            <w:r w:rsidR="00006BAE">
              <w:rPr>
                <w:webHidden/>
              </w:rPr>
              <w:fldChar w:fldCharType="end"/>
            </w:r>
          </w:hyperlink>
        </w:p>
        <w:p w14:paraId="552FA946" w14:textId="6D0DDF71" w:rsidR="00006BAE" w:rsidRDefault="001375CD">
          <w:pPr>
            <w:pStyle w:val="TOC2"/>
            <w:rPr>
              <w:rFonts w:asciiTheme="minorHAnsi" w:eastAsiaTheme="minorEastAsia" w:hAnsiTheme="minorHAnsi" w:cstheme="minorBidi"/>
              <w:szCs w:val="22"/>
            </w:rPr>
          </w:pPr>
          <w:hyperlink w:anchor="_Toc98882307" w:history="1">
            <w:r w:rsidR="00006BAE" w:rsidRPr="006C3A67">
              <w:rPr>
                <w:rStyle w:val="Hyperlink"/>
              </w:rPr>
              <w:t>7.3.</w:t>
            </w:r>
            <w:r w:rsidR="00006BAE">
              <w:rPr>
                <w:rFonts w:asciiTheme="minorHAnsi" w:eastAsiaTheme="minorEastAsia" w:hAnsiTheme="minorHAnsi" w:cstheme="minorBidi"/>
                <w:szCs w:val="22"/>
              </w:rPr>
              <w:tab/>
            </w:r>
            <w:r w:rsidR="00006BAE" w:rsidRPr="006C3A67">
              <w:rPr>
                <w:rStyle w:val="Hyperlink"/>
              </w:rPr>
              <w:t>Derivation of a reference cost</w:t>
            </w:r>
            <w:r w:rsidR="00006BAE">
              <w:rPr>
                <w:webHidden/>
              </w:rPr>
              <w:tab/>
            </w:r>
            <w:r w:rsidR="00006BAE">
              <w:rPr>
                <w:webHidden/>
              </w:rPr>
              <w:fldChar w:fldCharType="begin"/>
            </w:r>
            <w:r w:rsidR="00006BAE">
              <w:rPr>
                <w:webHidden/>
              </w:rPr>
              <w:instrText xml:space="preserve"> PAGEREF _Toc98882307 \h </w:instrText>
            </w:r>
            <w:r w:rsidR="00006BAE">
              <w:rPr>
                <w:webHidden/>
              </w:rPr>
            </w:r>
            <w:r w:rsidR="00006BAE">
              <w:rPr>
                <w:webHidden/>
              </w:rPr>
              <w:fldChar w:fldCharType="separate"/>
            </w:r>
            <w:r w:rsidR="003F234C">
              <w:rPr>
                <w:webHidden/>
              </w:rPr>
              <w:t>48</w:t>
            </w:r>
            <w:r w:rsidR="00006BAE">
              <w:rPr>
                <w:webHidden/>
              </w:rPr>
              <w:fldChar w:fldCharType="end"/>
            </w:r>
          </w:hyperlink>
        </w:p>
        <w:p w14:paraId="207DCEC7" w14:textId="254DB57B" w:rsidR="00006BAE" w:rsidRDefault="001375CD">
          <w:pPr>
            <w:pStyle w:val="TOC2"/>
            <w:rPr>
              <w:rFonts w:asciiTheme="minorHAnsi" w:eastAsiaTheme="minorEastAsia" w:hAnsiTheme="minorHAnsi" w:cstheme="minorBidi"/>
              <w:szCs w:val="22"/>
            </w:rPr>
          </w:pPr>
          <w:hyperlink w:anchor="_Toc98882308" w:history="1">
            <w:r w:rsidR="00006BAE" w:rsidRPr="006C3A67">
              <w:rPr>
                <w:rStyle w:val="Hyperlink"/>
              </w:rPr>
              <w:t>7.4.</w:t>
            </w:r>
            <w:r w:rsidR="00006BAE">
              <w:rPr>
                <w:rFonts w:asciiTheme="minorHAnsi" w:eastAsiaTheme="minorEastAsia" w:hAnsiTheme="minorHAnsi" w:cstheme="minorBidi"/>
                <w:szCs w:val="22"/>
              </w:rPr>
              <w:tab/>
            </w:r>
            <w:r w:rsidR="00006BAE" w:rsidRPr="006C3A67">
              <w:rPr>
                <w:rStyle w:val="Hyperlink"/>
              </w:rPr>
              <w:t>Indexation</w:t>
            </w:r>
            <w:r w:rsidR="00006BAE">
              <w:rPr>
                <w:webHidden/>
              </w:rPr>
              <w:tab/>
            </w:r>
            <w:r w:rsidR="00006BAE">
              <w:rPr>
                <w:webHidden/>
              </w:rPr>
              <w:fldChar w:fldCharType="begin"/>
            </w:r>
            <w:r w:rsidR="00006BAE">
              <w:rPr>
                <w:webHidden/>
              </w:rPr>
              <w:instrText xml:space="preserve"> PAGEREF _Toc98882308 \h </w:instrText>
            </w:r>
            <w:r w:rsidR="00006BAE">
              <w:rPr>
                <w:webHidden/>
              </w:rPr>
            </w:r>
            <w:r w:rsidR="00006BAE">
              <w:rPr>
                <w:webHidden/>
              </w:rPr>
              <w:fldChar w:fldCharType="separate"/>
            </w:r>
            <w:r w:rsidR="003F234C">
              <w:rPr>
                <w:webHidden/>
              </w:rPr>
              <w:t>49</w:t>
            </w:r>
            <w:r w:rsidR="00006BAE">
              <w:rPr>
                <w:webHidden/>
              </w:rPr>
              <w:fldChar w:fldCharType="end"/>
            </w:r>
          </w:hyperlink>
        </w:p>
        <w:p w14:paraId="157274CC" w14:textId="4D848ED8" w:rsidR="00006BAE" w:rsidRDefault="001375CD">
          <w:pPr>
            <w:pStyle w:val="TOC2"/>
            <w:rPr>
              <w:rFonts w:asciiTheme="minorHAnsi" w:eastAsiaTheme="minorEastAsia" w:hAnsiTheme="minorHAnsi" w:cstheme="minorBidi"/>
              <w:szCs w:val="22"/>
            </w:rPr>
          </w:pPr>
          <w:hyperlink w:anchor="_Toc98882309" w:history="1">
            <w:r w:rsidR="00006BAE" w:rsidRPr="006C3A67">
              <w:rPr>
                <w:rStyle w:val="Hyperlink"/>
              </w:rPr>
              <w:t>7.5.</w:t>
            </w:r>
            <w:r w:rsidR="00006BAE">
              <w:rPr>
                <w:rFonts w:asciiTheme="minorHAnsi" w:eastAsiaTheme="minorEastAsia" w:hAnsiTheme="minorHAnsi" w:cstheme="minorBidi"/>
                <w:szCs w:val="22"/>
              </w:rPr>
              <w:tab/>
            </w:r>
            <w:r w:rsidR="00006BAE" w:rsidRPr="006C3A67">
              <w:rPr>
                <w:rStyle w:val="Hyperlink"/>
              </w:rPr>
              <w:t>Transformation of cost model to pricing model</w:t>
            </w:r>
            <w:r w:rsidR="00006BAE">
              <w:rPr>
                <w:webHidden/>
              </w:rPr>
              <w:tab/>
            </w:r>
            <w:r w:rsidR="00006BAE">
              <w:rPr>
                <w:webHidden/>
              </w:rPr>
              <w:fldChar w:fldCharType="begin"/>
            </w:r>
            <w:r w:rsidR="00006BAE">
              <w:rPr>
                <w:webHidden/>
              </w:rPr>
              <w:instrText xml:space="preserve"> PAGEREF _Toc98882309 \h </w:instrText>
            </w:r>
            <w:r w:rsidR="00006BAE">
              <w:rPr>
                <w:webHidden/>
              </w:rPr>
            </w:r>
            <w:r w:rsidR="00006BAE">
              <w:rPr>
                <w:webHidden/>
              </w:rPr>
              <w:fldChar w:fldCharType="separate"/>
            </w:r>
            <w:r w:rsidR="003F234C">
              <w:rPr>
                <w:webHidden/>
              </w:rPr>
              <w:t>54</w:t>
            </w:r>
            <w:r w:rsidR="00006BAE">
              <w:rPr>
                <w:webHidden/>
              </w:rPr>
              <w:fldChar w:fldCharType="end"/>
            </w:r>
          </w:hyperlink>
        </w:p>
        <w:p w14:paraId="62F77B0B" w14:textId="5C1BA5BE" w:rsidR="00006BAE" w:rsidRDefault="001375CD">
          <w:pPr>
            <w:pStyle w:val="TOC2"/>
            <w:rPr>
              <w:rFonts w:asciiTheme="minorHAnsi" w:eastAsiaTheme="minorEastAsia" w:hAnsiTheme="minorHAnsi" w:cstheme="minorBidi"/>
              <w:szCs w:val="22"/>
            </w:rPr>
          </w:pPr>
          <w:hyperlink w:anchor="_Toc98882310" w:history="1">
            <w:r w:rsidR="00006BAE" w:rsidRPr="006C3A67">
              <w:rPr>
                <w:rStyle w:val="Hyperlink"/>
              </w:rPr>
              <w:t>7.6.</w:t>
            </w:r>
            <w:r w:rsidR="00006BAE">
              <w:rPr>
                <w:rFonts w:asciiTheme="minorHAnsi" w:eastAsiaTheme="minorEastAsia" w:hAnsiTheme="minorHAnsi" w:cstheme="minorBidi"/>
                <w:szCs w:val="22"/>
              </w:rPr>
              <w:tab/>
            </w:r>
            <w:r w:rsidR="00006BAE" w:rsidRPr="006C3A67">
              <w:rPr>
                <w:rStyle w:val="Hyperlink"/>
              </w:rPr>
              <w:t>Back-casting for ABF</w:t>
            </w:r>
            <w:r w:rsidR="00006BAE">
              <w:rPr>
                <w:webHidden/>
              </w:rPr>
              <w:tab/>
            </w:r>
            <w:r w:rsidR="00006BAE">
              <w:rPr>
                <w:webHidden/>
              </w:rPr>
              <w:fldChar w:fldCharType="begin"/>
            </w:r>
            <w:r w:rsidR="00006BAE">
              <w:rPr>
                <w:webHidden/>
              </w:rPr>
              <w:instrText xml:space="preserve"> PAGEREF _Toc98882310 \h </w:instrText>
            </w:r>
            <w:r w:rsidR="00006BAE">
              <w:rPr>
                <w:webHidden/>
              </w:rPr>
            </w:r>
            <w:r w:rsidR="00006BAE">
              <w:rPr>
                <w:webHidden/>
              </w:rPr>
              <w:fldChar w:fldCharType="separate"/>
            </w:r>
            <w:r w:rsidR="003F234C">
              <w:rPr>
                <w:webHidden/>
              </w:rPr>
              <w:t>55</w:t>
            </w:r>
            <w:r w:rsidR="00006BAE">
              <w:rPr>
                <w:webHidden/>
              </w:rPr>
              <w:fldChar w:fldCharType="end"/>
            </w:r>
          </w:hyperlink>
        </w:p>
        <w:p w14:paraId="4B383308" w14:textId="7188FF74" w:rsidR="00006BAE" w:rsidRDefault="001375CD">
          <w:pPr>
            <w:pStyle w:val="TOC1"/>
            <w:tabs>
              <w:tab w:val="left" w:pos="440"/>
            </w:tabs>
            <w:rPr>
              <w:rFonts w:asciiTheme="minorHAnsi" w:eastAsiaTheme="minorEastAsia" w:hAnsiTheme="minorHAnsi" w:cstheme="minorBidi"/>
              <w:b w:val="0"/>
              <w:szCs w:val="22"/>
            </w:rPr>
          </w:pPr>
          <w:hyperlink w:anchor="_Toc98882311" w:history="1">
            <w:r w:rsidR="00006BAE" w:rsidRPr="006C3A67">
              <w:rPr>
                <w:rStyle w:val="Hyperlink"/>
              </w:rPr>
              <w:t>8.</w:t>
            </w:r>
            <w:r w:rsidR="00006BAE">
              <w:rPr>
                <w:rFonts w:asciiTheme="minorHAnsi" w:eastAsiaTheme="minorEastAsia" w:hAnsiTheme="minorHAnsi" w:cstheme="minorBidi"/>
                <w:b w:val="0"/>
                <w:szCs w:val="22"/>
              </w:rPr>
              <w:tab/>
            </w:r>
            <w:r w:rsidR="00006BAE" w:rsidRPr="006C3A67">
              <w:rPr>
                <w:rStyle w:val="Hyperlink"/>
              </w:rPr>
              <w:t>Block-funded hospitals</w:t>
            </w:r>
            <w:r w:rsidR="00006BAE">
              <w:rPr>
                <w:webHidden/>
              </w:rPr>
              <w:tab/>
            </w:r>
            <w:r w:rsidR="00006BAE">
              <w:rPr>
                <w:webHidden/>
              </w:rPr>
              <w:fldChar w:fldCharType="begin"/>
            </w:r>
            <w:r w:rsidR="00006BAE">
              <w:rPr>
                <w:webHidden/>
              </w:rPr>
              <w:instrText xml:space="preserve"> PAGEREF _Toc98882311 \h </w:instrText>
            </w:r>
            <w:r w:rsidR="00006BAE">
              <w:rPr>
                <w:webHidden/>
              </w:rPr>
            </w:r>
            <w:r w:rsidR="00006BAE">
              <w:rPr>
                <w:webHidden/>
              </w:rPr>
              <w:fldChar w:fldCharType="separate"/>
            </w:r>
            <w:r w:rsidR="003F234C">
              <w:rPr>
                <w:webHidden/>
              </w:rPr>
              <w:t>57</w:t>
            </w:r>
            <w:r w:rsidR="00006BAE">
              <w:rPr>
                <w:webHidden/>
              </w:rPr>
              <w:fldChar w:fldCharType="end"/>
            </w:r>
          </w:hyperlink>
        </w:p>
        <w:p w14:paraId="460A922C" w14:textId="001E62C2" w:rsidR="00006BAE" w:rsidRDefault="001375CD">
          <w:pPr>
            <w:pStyle w:val="TOC2"/>
            <w:rPr>
              <w:rFonts w:asciiTheme="minorHAnsi" w:eastAsiaTheme="minorEastAsia" w:hAnsiTheme="minorHAnsi" w:cstheme="minorBidi"/>
              <w:szCs w:val="22"/>
            </w:rPr>
          </w:pPr>
          <w:hyperlink w:anchor="_Toc98882312" w:history="1">
            <w:r w:rsidR="00006BAE" w:rsidRPr="006C3A67">
              <w:rPr>
                <w:rStyle w:val="Hyperlink"/>
              </w:rPr>
              <w:t>8.1.</w:t>
            </w:r>
            <w:r w:rsidR="00006BAE">
              <w:rPr>
                <w:rFonts w:asciiTheme="minorHAnsi" w:eastAsiaTheme="minorEastAsia" w:hAnsiTheme="minorHAnsi" w:cstheme="minorBidi"/>
                <w:szCs w:val="22"/>
              </w:rPr>
              <w:tab/>
            </w:r>
            <w:r w:rsidR="00006BAE" w:rsidRPr="006C3A67">
              <w:rPr>
                <w:rStyle w:val="Hyperlink"/>
              </w:rPr>
              <w:t>General issues</w:t>
            </w:r>
            <w:r w:rsidR="00006BAE">
              <w:rPr>
                <w:webHidden/>
              </w:rPr>
              <w:tab/>
            </w:r>
            <w:r w:rsidR="00006BAE">
              <w:rPr>
                <w:webHidden/>
              </w:rPr>
              <w:fldChar w:fldCharType="begin"/>
            </w:r>
            <w:r w:rsidR="00006BAE">
              <w:rPr>
                <w:webHidden/>
              </w:rPr>
              <w:instrText xml:space="preserve"> PAGEREF _Toc98882312 \h </w:instrText>
            </w:r>
            <w:r w:rsidR="00006BAE">
              <w:rPr>
                <w:webHidden/>
              </w:rPr>
            </w:r>
            <w:r w:rsidR="00006BAE">
              <w:rPr>
                <w:webHidden/>
              </w:rPr>
              <w:fldChar w:fldCharType="separate"/>
            </w:r>
            <w:r w:rsidR="003F234C">
              <w:rPr>
                <w:webHidden/>
              </w:rPr>
              <w:t>57</w:t>
            </w:r>
            <w:r w:rsidR="00006BAE">
              <w:rPr>
                <w:webHidden/>
              </w:rPr>
              <w:fldChar w:fldCharType="end"/>
            </w:r>
          </w:hyperlink>
        </w:p>
        <w:p w14:paraId="1E967AC7" w14:textId="4DE2A711" w:rsidR="00006BAE" w:rsidRDefault="001375CD">
          <w:pPr>
            <w:pStyle w:val="TOC2"/>
            <w:rPr>
              <w:rFonts w:asciiTheme="minorHAnsi" w:eastAsiaTheme="minorEastAsia" w:hAnsiTheme="minorHAnsi" w:cstheme="minorBidi"/>
              <w:szCs w:val="22"/>
            </w:rPr>
          </w:pPr>
          <w:hyperlink w:anchor="_Toc98882313" w:history="1">
            <w:r w:rsidR="00006BAE" w:rsidRPr="006C3A67">
              <w:rPr>
                <w:rStyle w:val="Hyperlink"/>
              </w:rPr>
              <w:t>8.2.</w:t>
            </w:r>
            <w:r w:rsidR="00006BAE">
              <w:rPr>
                <w:rFonts w:asciiTheme="minorHAnsi" w:eastAsiaTheme="minorEastAsia" w:hAnsiTheme="minorHAnsi" w:cstheme="minorBidi"/>
                <w:szCs w:val="22"/>
              </w:rPr>
              <w:tab/>
            </w:r>
            <w:r w:rsidR="00006BAE" w:rsidRPr="006C3A67">
              <w:rPr>
                <w:rStyle w:val="Hyperlink"/>
              </w:rPr>
              <w:t>Analysis of costs</w:t>
            </w:r>
            <w:r w:rsidR="00006BAE">
              <w:rPr>
                <w:webHidden/>
              </w:rPr>
              <w:tab/>
            </w:r>
            <w:r w:rsidR="00006BAE">
              <w:rPr>
                <w:webHidden/>
              </w:rPr>
              <w:fldChar w:fldCharType="begin"/>
            </w:r>
            <w:r w:rsidR="00006BAE">
              <w:rPr>
                <w:webHidden/>
              </w:rPr>
              <w:instrText xml:space="preserve"> PAGEREF _Toc98882313 \h </w:instrText>
            </w:r>
            <w:r w:rsidR="00006BAE">
              <w:rPr>
                <w:webHidden/>
              </w:rPr>
            </w:r>
            <w:r w:rsidR="00006BAE">
              <w:rPr>
                <w:webHidden/>
              </w:rPr>
              <w:fldChar w:fldCharType="separate"/>
            </w:r>
            <w:r w:rsidR="003F234C">
              <w:rPr>
                <w:webHidden/>
              </w:rPr>
              <w:t>58</w:t>
            </w:r>
            <w:r w:rsidR="00006BAE">
              <w:rPr>
                <w:webHidden/>
              </w:rPr>
              <w:fldChar w:fldCharType="end"/>
            </w:r>
          </w:hyperlink>
        </w:p>
        <w:p w14:paraId="0DF0E123" w14:textId="5056DD9D" w:rsidR="00006BAE" w:rsidRDefault="001375CD">
          <w:pPr>
            <w:pStyle w:val="TOC2"/>
            <w:rPr>
              <w:rFonts w:asciiTheme="minorHAnsi" w:eastAsiaTheme="minorEastAsia" w:hAnsiTheme="minorHAnsi" w:cstheme="minorBidi"/>
              <w:szCs w:val="22"/>
            </w:rPr>
          </w:pPr>
          <w:hyperlink w:anchor="_Toc98882314" w:history="1">
            <w:r w:rsidR="00006BAE" w:rsidRPr="006C3A67">
              <w:rPr>
                <w:rStyle w:val="Hyperlink"/>
              </w:rPr>
              <w:t>8.3.</w:t>
            </w:r>
            <w:r w:rsidR="00006BAE">
              <w:rPr>
                <w:rFonts w:asciiTheme="minorHAnsi" w:eastAsiaTheme="minorEastAsia" w:hAnsiTheme="minorHAnsi" w:cstheme="minorBidi"/>
                <w:szCs w:val="22"/>
              </w:rPr>
              <w:tab/>
            </w:r>
            <w:r w:rsidR="00006BAE" w:rsidRPr="006C3A67">
              <w:rPr>
                <w:rStyle w:val="Hyperlink"/>
              </w:rPr>
              <w:t>Calculation of national efficient cost</w:t>
            </w:r>
            <w:r w:rsidR="00006BAE">
              <w:rPr>
                <w:webHidden/>
              </w:rPr>
              <w:tab/>
            </w:r>
            <w:r w:rsidR="00006BAE">
              <w:rPr>
                <w:webHidden/>
              </w:rPr>
              <w:fldChar w:fldCharType="begin"/>
            </w:r>
            <w:r w:rsidR="00006BAE">
              <w:rPr>
                <w:webHidden/>
              </w:rPr>
              <w:instrText xml:space="preserve"> PAGEREF _Toc98882314 \h </w:instrText>
            </w:r>
            <w:r w:rsidR="00006BAE">
              <w:rPr>
                <w:webHidden/>
              </w:rPr>
            </w:r>
            <w:r w:rsidR="00006BAE">
              <w:rPr>
                <w:webHidden/>
              </w:rPr>
              <w:fldChar w:fldCharType="separate"/>
            </w:r>
            <w:r w:rsidR="003F234C">
              <w:rPr>
                <w:webHidden/>
              </w:rPr>
              <w:t>61</w:t>
            </w:r>
            <w:r w:rsidR="00006BAE">
              <w:rPr>
                <w:webHidden/>
              </w:rPr>
              <w:fldChar w:fldCharType="end"/>
            </w:r>
          </w:hyperlink>
        </w:p>
        <w:p w14:paraId="6CF9C212" w14:textId="75D0EA3E" w:rsidR="00006BAE" w:rsidRDefault="001375CD">
          <w:pPr>
            <w:pStyle w:val="TOC2"/>
            <w:rPr>
              <w:rFonts w:asciiTheme="minorHAnsi" w:eastAsiaTheme="minorEastAsia" w:hAnsiTheme="minorHAnsi" w:cstheme="minorBidi"/>
              <w:szCs w:val="22"/>
            </w:rPr>
          </w:pPr>
          <w:hyperlink w:anchor="_Toc98882315" w:history="1">
            <w:r w:rsidR="00006BAE" w:rsidRPr="006C3A67">
              <w:rPr>
                <w:rStyle w:val="Hyperlink"/>
              </w:rPr>
              <w:t>8.4.</w:t>
            </w:r>
            <w:r w:rsidR="00006BAE">
              <w:rPr>
                <w:rFonts w:asciiTheme="minorHAnsi" w:eastAsiaTheme="minorEastAsia" w:hAnsiTheme="minorHAnsi" w:cstheme="minorBidi"/>
                <w:szCs w:val="22"/>
              </w:rPr>
              <w:tab/>
            </w:r>
            <w:r w:rsidR="00006BAE" w:rsidRPr="006C3A67">
              <w:rPr>
                <w:rStyle w:val="Hyperlink"/>
              </w:rPr>
              <w:t xml:space="preserve">Indexation of the </w:t>
            </w:r>
            <w:r w:rsidR="00006BAE" w:rsidRPr="006C3A67">
              <w:rPr>
                <w:rStyle w:val="Hyperlink"/>
                <w:rFonts w:cs="Arial"/>
              </w:rPr>
              <w:t xml:space="preserve">2019–20 </w:t>
            </w:r>
            <w:r w:rsidR="00006BAE" w:rsidRPr="006C3A67">
              <w:rPr>
                <w:rStyle w:val="Hyperlink"/>
              </w:rPr>
              <w:t>model</w:t>
            </w:r>
            <w:r w:rsidR="00006BAE">
              <w:rPr>
                <w:webHidden/>
              </w:rPr>
              <w:tab/>
            </w:r>
            <w:r w:rsidR="00006BAE">
              <w:rPr>
                <w:webHidden/>
              </w:rPr>
              <w:fldChar w:fldCharType="begin"/>
            </w:r>
            <w:r w:rsidR="00006BAE">
              <w:rPr>
                <w:webHidden/>
              </w:rPr>
              <w:instrText xml:space="preserve"> PAGEREF _Toc98882315 \h </w:instrText>
            </w:r>
            <w:r w:rsidR="00006BAE">
              <w:rPr>
                <w:webHidden/>
              </w:rPr>
            </w:r>
            <w:r w:rsidR="00006BAE">
              <w:rPr>
                <w:webHidden/>
              </w:rPr>
              <w:fldChar w:fldCharType="separate"/>
            </w:r>
            <w:r w:rsidR="003F234C">
              <w:rPr>
                <w:webHidden/>
              </w:rPr>
              <w:t>62</w:t>
            </w:r>
            <w:r w:rsidR="00006BAE">
              <w:rPr>
                <w:webHidden/>
              </w:rPr>
              <w:fldChar w:fldCharType="end"/>
            </w:r>
          </w:hyperlink>
        </w:p>
        <w:p w14:paraId="44971BE2" w14:textId="13F63988" w:rsidR="00006BAE" w:rsidRDefault="001375CD">
          <w:pPr>
            <w:pStyle w:val="TOC2"/>
            <w:rPr>
              <w:rFonts w:asciiTheme="minorHAnsi" w:eastAsiaTheme="minorEastAsia" w:hAnsiTheme="minorHAnsi" w:cstheme="minorBidi"/>
              <w:szCs w:val="22"/>
            </w:rPr>
          </w:pPr>
          <w:hyperlink w:anchor="_Toc98882316" w:history="1">
            <w:r w:rsidR="00006BAE" w:rsidRPr="006C3A67">
              <w:rPr>
                <w:rStyle w:val="Hyperlink"/>
              </w:rPr>
              <w:t>8.5.</w:t>
            </w:r>
            <w:r w:rsidR="00006BAE">
              <w:rPr>
                <w:rFonts w:asciiTheme="minorHAnsi" w:eastAsiaTheme="minorEastAsia" w:hAnsiTheme="minorHAnsi" w:cstheme="minorBidi"/>
                <w:szCs w:val="22"/>
              </w:rPr>
              <w:tab/>
            </w:r>
            <w:r w:rsidR="00006BAE" w:rsidRPr="006C3A67">
              <w:rPr>
                <w:rStyle w:val="Hyperlink"/>
              </w:rPr>
              <w:t>Back-casting for block-funded hospitals</w:t>
            </w:r>
            <w:r w:rsidR="00006BAE">
              <w:rPr>
                <w:webHidden/>
              </w:rPr>
              <w:tab/>
            </w:r>
            <w:r w:rsidR="00006BAE">
              <w:rPr>
                <w:webHidden/>
              </w:rPr>
              <w:fldChar w:fldCharType="begin"/>
            </w:r>
            <w:r w:rsidR="00006BAE">
              <w:rPr>
                <w:webHidden/>
              </w:rPr>
              <w:instrText xml:space="preserve"> PAGEREF _Toc98882316 \h </w:instrText>
            </w:r>
            <w:r w:rsidR="00006BAE">
              <w:rPr>
                <w:webHidden/>
              </w:rPr>
            </w:r>
            <w:r w:rsidR="00006BAE">
              <w:rPr>
                <w:webHidden/>
              </w:rPr>
              <w:fldChar w:fldCharType="separate"/>
            </w:r>
            <w:r w:rsidR="003F234C">
              <w:rPr>
                <w:webHidden/>
              </w:rPr>
              <w:t>63</w:t>
            </w:r>
            <w:r w:rsidR="00006BAE">
              <w:rPr>
                <w:webHidden/>
              </w:rPr>
              <w:fldChar w:fldCharType="end"/>
            </w:r>
          </w:hyperlink>
        </w:p>
        <w:p w14:paraId="741583F1" w14:textId="5BAF47F8" w:rsidR="00006BAE" w:rsidRDefault="001375CD">
          <w:pPr>
            <w:pStyle w:val="TOC1"/>
            <w:tabs>
              <w:tab w:val="left" w:pos="440"/>
            </w:tabs>
            <w:rPr>
              <w:rFonts w:asciiTheme="minorHAnsi" w:eastAsiaTheme="minorEastAsia" w:hAnsiTheme="minorHAnsi" w:cstheme="minorBidi"/>
              <w:b w:val="0"/>
              <w:szCs w:val="22"/>
            </w:rPr>
          </w:pPr>
          <w:hyperlink w:anchor="_Toc98882317" w:history="1">
            <w:r w:rsidR="00006BAE" w:rsidRPr="006C3A67">
              <w:rPr>
                <w:rStyle w:val="Hyperlink"/>
              </w:rPr>
              <w:t>9.</w:t>
            </w:r>
            <w:r w:rsidR="00006BAE">
              <w:rPr>
                <w:rFonts w:asciiTheme="minorHAnsi" w:eastAsiaTheme="minorEastAsia" w:hAnsiTheme="minorHAnsi" w:cstheme="minorBidi"/>
                <w:b w:val="0"/>
                <w:szCs w:val="22"/>
              </w:rPr>
              <w:tab/>
            </w:r>
            <w:r w:rsidR="00006BAE" w:rsidRPr="006C3A67">
              <w:rPr>
                <w:rStyle w:val="Hyperlink"/>
              </w:rPr>
              <w:t>Appendices</w:t>
            </w:r>
            <w:r w:rsidR="00006BAE">
              <w:rPr>
                <w:webHidden/>
              </w:rPr>
              <w:tab/>
            </w:r>
            <w:r w:rsidR="00006BAE">
              <w:rPr>
                <w:webHidden/>
              </w:rPr>
              <w:fldChar w:fldCharType="begin"/>
            </w:r>
            <w:r w:rsidR="00006BAE">
              <w:rPr>
                <w:webHidden/>
              </w:rPr>
              <w:instrText xml:space="preserve"> PAGEREF _Toc98882317 \h </w:instrText>
            </w:r>
            <w:r w:rsidR="00006BAE">
              <w:rPr>
                <w:webHidden/>
              </w:rPr>
            </w:r>
            <w:r w:rsidR="00006BAE">
              <w:rPr>
                <w:webHidden/>
              </w:rPr>
              <w:fldChar w:fldCharType="separate"/>
            </w:r>
            <w:r w:rsidR="003F234C">
              <w:rPr>
                <w:webHidden/>
              </w:rPr>
              <w:t>64</w:t>
            </w:r>
            <w:r w:rsidR="00006BAE">
              <w:rPr>
                <w:webHidden/>
              </w:rPr>
              <w:fldChar w:fldCharType="end"/>
            </w:r>
          </w:hyperlink>
        </w:p>
        <w:p w14:paraId="7873A264" w14:textId="47DFC117" w:rsidR="00006BAE" w:rsidRDefault="001375CD">
          <w:pPr>
            <w:pStyle w:val="TOC1"/>
            <w:rPr>
              <w:rFonts w:asciiTheme="minorHAnsi" w:eastAsiaTheme="minorEastAsia" w:hAnsiTheme="minorHAnsi" w:cstheme="minorBidi"/>
              <w:b w:val="0"/>
              <w:szCs w:val="22"/>
            </w:rPr>
          </w:pPr>
          <w:hyperlink w:anchor="_Toc98882318" w:history="1">
            <w:r w:rsidR="00006BAE" w:rsidRPr="006C3A67">
              <w:rPr>
                <w:rStyle w:val="Hyperlink"/>
              </w:rPr>
              <w:t>Appendix A: Reference tables</w:t>
            </w:r>
            <w:r w:rsidR="00006BAE">
              <w:rPr>
                <w:webHidden/>
              </w:rPr>
              <w:tab/>
            </w:r>
            <w:r w:rsidR="00006BAE">
              <w:rPr>
                <w:webHidden/>
              </w:rPr>
              <w:fldChar w:fldCharType="begin"/>
            </w:r>
            <w:r w:rsidR="00006BAE">
              <w:rPr>
                <w:webHidden/>
              </w:rPr>
              <w:instrText xml:space="preserve"> PAGEREF _Toc98882318 \h </w:instrText>
            </w:r>
            <w:r w:rsidR="00006BAE">
              <w:rPr>
                <w:webHidden/>
              </w:rPr>
            </w:r>
            <w:r w:rsidR="00006BAE">
              <w:rPr>
                <w:webHidden/>
              </w:rPr>
              <w:fldChar w:fldCharType="separate"/>
            </w:r>
            <w:r w:rsidR="003F234C">
              <w:rPr>
                <w:webHidden/>
              </w:rPr>
              <w:t>65</w:t>
            </w:r>
            <w:r w:rsidR="00006BAE">
              <w:rPr>
                <w:webHidden/>
              </w:rPr>
              <w:fldChar w:fldCharType="end"/>
            </w:r>
          </w:hyperlink>
        </w:p>
        <w:p w14:paraId="0729E1A0" w14:textId="77D892D6" w:rsidR="00006BAE" w:rsidRDefault="001375CD">
          <w:pPr>
            <w:pStyle w:val="TOC1"/>
            <w:rPr>
              <w:rFonts w:asciiTheme="minorHAnsi" w:eastAsiaTheme="minorEastAsia" w:hAnsiTheme="minorHAnsi" w:cstheme="minorBidi"/>
              <w:b w:val="0"/>
              <w:szCs w:val="22"/>
            </w:rPr>
          </w:pPr>
          <w:hyperlink w:anchor="_Toc98882319" w:history="1">
            <w:r w:rsidR="00006BAE" w:rsidRPr="006C3A67">
              <w:rPr>
                <w:rStyle w:val="Hyperlink"/>
              </w:rPr>
              <w:t>Appendix B: Application of NWAU variables</w:t>
            </w:r>
            <w:r w:rsidR="00006BAE">
              <w:rPr>
                <w:webHidden/>
              </w:rPr>
              <w:tab/>
            </w:r>
            <w:r w:rsidR="00006BAE">
              <w:rPr>
                <w:webHidden/>
              </w:rPr>
              <w:fldChar w:fldCharType="begin"/>
            </w:r>
            <w:r w:rsidR="00006BAE">
              <w:rPr>
                <w:webHidden/>
              </w:rPr>
              <w:instrText xml:space="preserve"> PAGEREF _Toc98882319 \h </w:instrText>
            </w:r>
            <w:r w:rsidR="00006BAE">
              <w:rPr>
                <w:webHidden/>
              </w:rPr>
            </w:r>
            <w:r w:rsidR="00006BAE">
              <w:rPr>
                <w:webHidden/>
              </w:rPr>
              <w:fldChar w:fldCharType="separate"/>
            </w:r>
            <w:r w:rsidR="003F234C">
              <w:rPr>
                <w:webHidden/>
              </w:rPr>
              <w:t>67</w:t>
            </w:r>
            <w:r w:rsidR="00006BAE">
              <w:rPr>
                <w:webHidden/>
              </w:rPr>
              <w:fldChar w:fldCharType="end"/>
            </w:r>
          </w:hyperlink>
        </w:p>
        <w:p w14:paraId="6CC15E03" w14:textId="156C6A5B" w:rsidR="00006BAE" w:rsidRDefault="001375CD">
          <w:pPr>
            <w:pStyle w:val="TOC1"/>
            <w:rPr>
              <w:rFonts w:asciiTheme="minorHAnsi" w:eastAsiaTheme="minorEastAsia" w:hAnsiTheme="minorHAnsi" w:cstheme="minorBidi"/>
              <w:b w:val="0"/>
              <w:szCs w:val="22"/>
            </w:rPr>
          </w:pPr>
          <w:hyperlink w:anchor="_Toc98882320" w:history="1">
            <w:r w:rsidR="00006BAE" w:rsidRPr="006C3A67">
              <w:rPr>
                <w:rStyle w:val="Hyperlink"/>
              </w:rPr>
              <w:t>Appendix C: Summary of input data</w:t>
            </w:r>
            <w:r w:rsidR="00006BAE">
              <w:rPr>
                <w:webHidden/>
              </w:rPr>
              <w:tab/>
            </w:r>
            <w:r w:rsidR="00006BAE">
              <w:rPr>
                <w:webHidden/>
              </w:rPr>
              <w:fldChar w:fldCharType="begin"/>
            </w:r>
            <w:r w:rsidR="00006BAE">
              <w:rPr>
                <w:webHidden/>
              </w:rPr>
              <w:instrText xml:space="preserve"> PAGEREF _Toc98882320 \h </w:instrText>
            </w:r>
            <w:r w:rsidR="00006BAE">
              <w:rPr>
                <w:webHidden/>
              </w:rPr>
            </w:r>
            <w:r w:rsidR="00006BAE">
              <w:rPr>
                <w:webHidden/>
              </w:rPr>
              <w:fldChar w:fldCharType="separate"/>
            </w:r>
            <w:r w:rsidR="003F234C">
              <w:rPr>
                <w:webHidden/>
              </w:rPr>
              <w:t>80</w:t>
            </w:r>
            <w:r w:rsidR="00006BAE">
              <w:rPr>
                <w:webHidden/>
              </w:rPr>
              <w:fldChar w:fldCharType="end"/>
            </w:r>
          </w:hyperlink>
        </w:p>
        <w:p w14:paraId="51407D58" w14:textId="4E3F784C" w:rsidR="00006BAE" w:rsidRDefault="001375CD">
          <w:pPr>
            <w:pStyle w:val="TOC1"/>
            <w:rPr>
              <w:rFonts w:asciiTheme="minorHAnsi" w:eastAsiaTheme="minorEastAsia" w:hAnsiTheme="minorHAnsi" w:cstheme="minorBidi"/>
              <w:b w:val="0"/>
              <w:szCs w:val="22"/>
            </w:rPr>
          </w:pPr>
          <w:hyperlink w:anchor="_Toc98882321" w:history="1">
            <w:r w:rsidR="00006BAE" w:rsidRPr="006C3A67">
              <w:rPr>
                <w:rStyle w:val="Hyperlink"/>
              </w:rPr>
              <w:t>Appendix D: List of DRGs adopting the L1.5 H1.5 methodology</w:t>
            </w:r>
            <w:r w:rsidR="00006BAE">
              <w:rPr>
                <w:webHidden/>
              </w:rPr>
              <w:tab/>
            </w:r>
            <w:r w:rsidR="00006BAE">
              <w:rPr>
                <w:webHidden/>
              </w:rPr>
              <w:fldChar w:fldCharType="begin"/>
            </w:r>
            <w:r w:rsidR="00006BAE">
              <w:rPr>
                <w:webHidden/>
              </w:rPr>
              <w:instrText xml:space="preserve"> PAGEREF _Toc98882321 \h </w:instrText>
            </w:r>
            <w:r w:rsidR="00006BAE">
              <w:rPr>
                <w:webHidden/>
              </w:rPr>
            </w:r>
            <w:r w:rsidR="00006BAE">
              <w:rPr>
                <w:webHidden/>
              </w:rPr>
              <w:fldChar w:fldCharType="separate"/>
            </w:r>
            <w:r w:rsidR="003F234C">
              <w:rPr>
                <w:webHidden/>
              </w:rPr>
              <w:t>82</w:t>
            </w:r>
            <w:r w:rsidR="00006BAE">
              <w:rPr>
                <w:webHidden/>
              </w:rPr>
              <w:fldChar w:fldCharType="end"/>
            </w:r>
          </w:hyperlink>
        </w:p>
        <w:p w14:paraId="3215744F" w14:textId="5D95C366" w:rsidR="00006BAE" w:rsidRDefault="001375CD">
          <w:pPr>
            <w:pStyle w:val="TOC1"/>
            <w:rPr>
              <w:rFonts w:asciiTheme="minorHAnsi" w:eastAsiaTheme="minorEastAsia" w:hAnsiTheme="minorHAnsi" w:cstheme="minorBidi"/>
              <w:b w:val="0"/>
              <w:szCs w:val="22"/>
            </w:rPr>
          </w:pPr>
          <w:hyperlink w:anchor="_Toc98882322" w:history="1">
            <w:r w:rsidR="00006BAE" w:rsidRPr="006C3A67">
              <w:rPr>
                <w:rStyle w:val="Hyperlink"/>
              </w:rPr>
              <w:t>Appendix E: NEC22 data preparation</w:t>
            </w:r>
            <w:r w:rsidR="00006BAE">
              <w:rPr>
                <w:webHidden/>
              </w:rPr>
              <w:tab/>
            </w:r>
            <w:r w:rsidR="00006BAE">
              <w:rPr>
                <w:webHidden/>
              </w:rPr>
              <w:fldChar w:fldCharType="begin"/>
            </w:r>
            <w:r w:rsidR="00006BAE">
              <w:rPr>
                <w:webHidden/>
              </w:rPr>
              <w:instrText xml:space="preserve"> PAGEREF _Toc98882322 \h </w:instrText>
            </w:r>
            <w:r w:rsidR="00006BAE">
              <w:rPr>
                <w:webHidden/>
              </w:rPr>
            </w:r>
            <w:r w:rsidR="00006BAE">
              <w:rPr>
                <w:webHidden/>
              </w:rPr>
              <w:fldChar w:fldCharType="separate"/>
            </w:r>
            <w:r w:rsidR="003F234C">
              <w:rPr>
                <w:webHidden/>
              </w:rPr>
              <w:t>83</w:t>
            </w:r>
            <w:r w:rsidR="00006BAE">
              <w:rPr>
                <w:webHidden/>
              </w:rPr>
              <w:fldChar w:fldCharType="end"/>
            </w:r>
          </w:hyperlink>
        </w:p>
        <w:p w14:paraId="58DE2453" w14:textId="216C9969" w:rsidR="008B0FE9" w:rsidRDefault="00135995">
          <w:r>
            <w:rPr>
              <w:b/>
              <w:color w:val="2B579A"/>
              <w:sz w:val="24"/>
              <w:shd w:val="clear" w:color="auto" w:fill="E6E6E6"/>
            </w:rPr>
            <w:fldChar w:fldCharType="end"/>
          </w:r>
        </w:p>
      </w:sdtContent>
    </w:sdt>
    <w:p w14:paraId="5D246795" w14:textId="77777777" w:rsidR="0060690B" w:rsidRDefault="0060690B">
      <w:pPr>
        <w:spacing w:before="0" w:after="0" w:line="240" w:lineRule="auto"/>
        <w:rPr>
          <w:b/>
          <w:sz w:val="28"/>
          <w:szCs w:val="28"/>
        </w:rPr>
      </w:pPr>
      <w:r>
        <w:rPr>
          <w:b/>
          <w:sz w:val="28"/>
          <w:szCs w:val="28"/>
        </w:rPr>
        <w:br w:type="page"/>
      </w:r>
    </w:p>
    <w:p w14:paraId="58A69A64" w14:textId="446C90DD" w:rsidR="008B0FE9" w:rsidRPr="001C0076" w:rsidRDefault="008B0FE9" w:rsidP="001C0076">
      <w:pPr>
        <w:rPr>
          <w:b/>
          <w:sz w:val="28"/>
          <w:szCs w:val="28"/>
        </w:rPr>
      </w:pPr>
      <w:r w:rsidRPr="001C0076">
        <w:rPr>
          <w:b/>
          <w:sz w:val="28"/>
          <w:szCs w:val="28"/>
        </w:rPr>
        <w:lastRenderedPageBreak/>
        <w:t>Table of acronyms and abbreviations</w:t>
      </w:r>
      <w:bookmarkEnd w:id="14"/>
    </w:p>
    <w:p w14:paraId="0A7DD150" w14:textId="77777777" w:rsidR="008B0FE9" w:rsidRPr="00CC72A4" w:rsidRDefault="008B0FE9" w:rsidP="008B0FE9">
      <w:pPr>
        <w:tabs>
          <w:tab w:val="left" w:pos="2835"/>
        </w:tabs>
        <w:spacing w:line="240" w:lineRule="auto"/>
        <w:ind w:right="-28"/>
        <w:rPr>
          <w:rFonts w:cs="Arial"/>
          <w:b/>
          <w:szCs w:val="20"/>
        </w:rPr>
      </w:pPr>
      <w:r w:rsidRPr="00CC72A4">
        <w:rPr>
          <w:rFonts w:cs="Arial"/>
          <w:b/>
          <w:szCs w:val="20"/>
        </w:rPr>
        <w:t>Acronym/ abbreviation</w:t>
      </w:r>
      <w:r w:rsidRPr="00CC72A4">
        <w:rPr>
          <w:rFonts w:cs="Arial"/>
          <w:b/>
          <w:szCs w:val="20"/>
        </w:rPr>
        <w:tab/>
        <w:t>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6713"/>
      </w:tblGrid>
      <w:tr w:rsidR="004173A9" w:rsidRPr="004173A9" w14:paraId="60D2F52D" w14:textId="77777777" w:rsidTr="004173A9">
        <w:tc>
          <w:tcPr>
            <w:tcW w:w="2722" w:type="dxa"/>
          </w:tcPr>
          <w:p w14:paraId="17D39B85" w14:textId="77777777" w:rsidR="004173A9" w:rsidRPr="004173A9" w:rsidRDefault="004173A9" w:rsidP="004173A9">
            <w:pPr>
              <w:pStyle w:val="NoSpacing"/>
            </w:pPr>
            <w:r w:rsidRPr="004173A9">
              <w:t>ABF</w:t>
            </w:r>
          </w:p>
        </w:tc>
        <w:tc>
          <w:tcPr>
            <w:tcW w:w="6713" w:type="dxa"/>
          </w:tcPr>
          <w:p w14:paraId="2C01EC4C" w14:textId="77777777" w:rsidR="004173A9" w:rsidRPr="004173A9" w:rsidRDefault="004173A9" w:rsidP="004173A9">
            <w:pPr>
              <w:pStyle w:val="NoSpacing"/>
            </w:pPr>
            <w:r w:rsidRPr="004173A9">
              <w:t>Activity based funding</w:t>
            </w:r>
          </w:p>
        </w:tc>
      </w:tr>
      <w:tr w:rsidR="004173A9" w:rsidRPr="004173A9" w14:paraId="4EF9174A" w14:textId="77777777" w:rsidTr="004173A9">
        <w:tc>
          <w:tcPr>
            <w:tcW w:w="2722" w:type="dxa"/>
          </w:tcPr>
          <w:p w14:paraId="1814A9D3" w14:textId="77777777" w:rsidR="004173A9" w:rsidRPr="004173A9" w:rsidRDefault="004173A9" w:rsidP="004173A9">
            <w:pPr>
              <w:pStyle w:val="NoSpacing"/>
            </w:pPr>
            <w:r w:rsidRPr="004173A9">
              <w:t>ABS</w:t>
            </w:r>
          </w:p>
        </w:tc>
        <w:tc>
          <w:tcPr>
            <w:tcW w:w="6713" w:type="dxa"/>
          </w:tcPr>
          <w:p w14:paraId="6BC3BB66" w14:textId="77777777" w:rsidR="004173A9" w:rsidRPr="004173A9" w:rsidRDefault="004173A9" w:rsidP="004173A9">
            <w:pPr>
              <w:pStyle w:val="NoSpacing"/>
            </w:pPr>
            <w:r w:rsidRPr="004173A9">
              <w:t>Australian Bureau of Statistics</w:t>
            </w:r>
          </w:p>
        </w:tc>
      </w:tr>
      <w:tr w:rsidR="00565FFE" w:rsidRPr="004173A9" w14:paraId="4E817590" w14:textId="77777777" w:rsidTr="004173A9">
        <w:tc>
          <w:tcPr>
            <w:tcW w:w="2722" w:type="dxa"/>
          </w:tcPr>
          <w:p w14:paraId="44FF46A0" w14:textId="77777777" w:rsidR="00565FFE" w:rsidRPr="004173A9" w:rsidRDefault="00565FFE" w:rsidP="004173A9">
            <w:pPr>
              <w:pStyle w:val="NoSpacing"/>
            </w:pPr>
            <w:r>
              <w:t>AECC</w:t>
            </w:r>
          </w:p>
        </w:tc>
        <w:tc>
          <w:tcPr>
            <w:tcW w:w="6713" w:type="dxa"/>
          </w:tcPr>
          <w:p w14:paraId="104552AD" w14:textId="53A2F72A" w:rsidR="00565FFE" w:rsidRPr="004173A9" w:rsidRDefault="00565FFE" w:rsidP="004173A9">
            <w:pPr>
              <w:pStyle w:val="NoSpacing"/>
            </w:pPr>
            <w:r>
              <w:t xml:space="preserve">Australian </w:t>
            </w:r>
            <w:r w:rsidR="00F63BA7">
              <w:t xml:space="preserve">emergency care classification </w:t>
            </w:r>
          </w:p>
        </w:tc>
      </w:tr>
      <w:tr w:rsidR="004173A9" w:rsidRPr="004173A9" w14:paraId="6EE525A2" w14:textId="77777777" w:rsidTr="004173A9">
        <w:tc>
          <w:tcPr>
            <w:tcW w:w="2722" w:type="dxa"/>
          </w:tcPr>
          <w:p w14:paraId="5787F06D" w14:textId="77777777" w:rsidR="004173A9" w:rsidRPr="004173A9" w:rsidRDefault="004173A9" w:rsidP="004173A9">
            <w:pPr>
              <w:pStyle w:val="NoSpacing"/>
            </w:pPr>
            <w:r w:rsidRPr="004173A9">
              <w:t>ALOS</w:t>
            </w:r>
          </w:p>
        </w:tc>
        <w:tc>
          <w:tcPr>
            <w:tcW w:w="6713" w:type="dxa"/>
          </w:tcPr>
          <w:p w14:paraId="151F5AA5" w14:textId="77777777" w:rsidR="004173A9" w:rsidRPr="004173A9" w:rsidRDefault="004173A9" w:rsidP="004173A9">
            <w:pPr>
              <w:pStyle w:val="NoSpacing"/>
            </w:pPr>
            <w:r w:rsidRPr="004173A9">
              <w:t>Average length of stay</w:t>
            </w:r>
          </w:p>
        </w:tc>
      </w:tr>
      <w:tr w:rsidR="001E40D3" w:rsidRPr="004173A9" w14:paraId="2E959DD6" w14:textId="77777777" w:rsidTr="004173A9">
        <w:tc>
          <w:tcPr>
            <w:tcW w:w="2722" w:type="dxa"/>
          </w:tcPr>
          <w:p w14:paraId="7AEF04D8" w14:textId="68882333" w:rsidR="001E40D3" w:rsidRPr="004173A9" w:rsidRDefault="001E40D3" w:rsidP="004173A9">
            <w:pPr>
              <w:pStyle w:val="NoSpacing"/>
            </w:pPr>
            <w:r>
              <w:t>AMHCC</w:t>
            </w:r>
          </w:p>
        </w:tc>
        <w:tc>
          <w:tcPr>
            <w:tcW w:w="6713" w:type="dxa"/>
          </w:tcPr>
          <w:p w14:paraId="3E99D538" w14:textId="2E818A2C" w:rsidR="001E40D3" w:rsidRPr="004173A9" w:rsidRDefault="001E40D3" w:rsidP="004173A9">
            <w:pPr>
              <w:pStyle w:val="NoSpacing"/>
            </w:pPr>
            <w:r>
              <w:t xml:space="preserve">Australian </w:t>
            </w:r>
            <w:r w:rsidR="00DE35F6">
              <w:t>m</w:t>
            </w:r>
            <w:r>
              <w:t xml:space="preserve">ental </w:t>
            </w:r>
            <w:r w:rsidR="00DE35F6">
              <w:t>h</w:t>
            </w:r>
            <w:r>
              <w:t xml:space="preserve">ealth </w:t>
            </w:r>
            <w:r w:rsidR="00DE35F6">
              <w:t>c</w:t>
            </w:r>
            <w:r>
              <w:t xml:space="preserve">are </w:t>
            </w:r>
            <w:r w:rsidR="00DE35F6">
              <w:t>c</w:t>
            </w:r>
            <w:r>
              <w:t>lassification</w:t>
            </w:r>
          </w:p>
        </w:tc>
      </w:tr>
      <w:tr w:rsidR="004173A9" w:rsidRPr="004173A9" w14:paraId="7C245163" w14:textId="77777777" w:rsidTr="004173A9">
        <w:tc>
          <w:tcPr>
            <w:tcW w:w="2722" w:type="dxa"/>
          </w:tcPr>
          <w:p w14:paraId="67E1B2CF" w14:textId="77777777" w:rsidR="004173A9" w:rsidRPr="004173A9" w:rsidRDefault="004173A9" w:rsidP="004173A9">
            <w:pPr>
              <w:pStyle w:val="NoSpacing"/>
            </w:pPr>
            <w:r w:rsidRPr="004173A9">
              <w:t>AN-SNAP</w:t>
            </w:r>
          </w:p>
        </w:tc>
        <w:tc>
          <w:tcPr>
            <w:tcW w:w="6713" w:type="dxa"/>
          </w:tcPr>
          <w:p w14:paraId="58958BE2" w14:textId="77777777" w:rsidR="004173A9" w:rsidRPr="004173A9" w:rsidRDefault="004173A9" w:rsidP="004173A9">
            <w:pPr>
              <w:pStyle w:val="NoSpacing"/>
            </w:pPr>
            <w:r w:rsidRPr="004173A9">
              <w:t xml:space="preserve">Australian </w:t>
            </w:r>
            <w:r w:rsidR="008776A2" w:rsidRPr="004173A9">
              <w:t>national subacute and non-acute patient classification</w:t>
            </w:r>
          </w:p>
        </w:tc>
      </w:tr>
      <w:tr w:rsidR="004173A9" w:rsidRPr="004173A9" w14:paraId="2EAF0DC1" w14:textId="77777777" w:rsidTr="004173A9">
        <w:tc>
          <w:tcPr>
            <w:tcW w:w="2722" w:type="dxa"/>
          </w:tcPr>
          <w:p w14:paraId="18533F93" w14:textId="77777777" w:rsidR="004173A9" w:rsidRPr="004173A9" w:rsidRDefault="004173A9" w:rsidP="004173A9">
            <w:pPr>
              <w:pStyle w:val="NoSpacing"/>
            </w:pPr>
            <w:r w:rsidRPr="004173A9">
              <w:t>APC</w:t>
            </w:r>
          </w:p>
        </w:tc>
        <w:tc>
          <w:tcPr>
            <w:tcW w:w="6713" w:type="dxa"/>
          </w:tcPr>
          <w:p w14:paraId="4CBAA093" w14:textId="77777777" w:rsidR="004173A9" w:rsidRPr="004173A9" w:rsidRDefault="004173A9" w:rsidP="004173A9">
            <w:pPr>
              <w:pStyle w:val="NoSpacing"/>
            </w:pPr>
            <w:r w:rsidRPr="004173A9">
              <w:t>Admitted patient care</w:t>
            </w:r>
          </w:p>
        </w:tc>
      </w:tr>
      <w:tr w:rsidR="004173A9" w:rsidRPr="004173A9" w14:paraId="0D7303AD" w14:textId="77777777" w:rsidTr="004173A9">
        <w:tc>
          <w:tcPr>
            <w:tcW w:w="2722" w:type="dxa"/>
          </w:tcPr>
          <w:p w14:paraId="0CAF839A" w14:textId="77777777" w:rsidR="004173A9" w:rsidRPr="004173A9" w:rsidRDefault="004173A9" w:rsidP="004173A9">
            <w:pPr>
              <w:pStyle w:val="NoSpacing"/>
            </w:pPr>
            <w:r w:rsidRPr="004173A9">
              <w:t xml:space="preserve">APCP </w:t>
            </w:r>
          </w:p>
        </w:tc>
        <w:tc>
          <w:tcPr>
            <w:tcW w:w="6713" w:type="dxa"/>
          </w:tcPr>
          <w:p w14:paraId="4458604B" w14:textId="77777777" w:rsidR="004173A9" w:rsidRPr="004173A9" w:rsidRDefault="004173A9" w:rsidP="004173A9">
            <w:pPr>
              <w:pStyle w:val="NoSpacing"/>
            </w:pPr>
            <w:r w:rsidRPr="004173A9">
              <w:t>Admitted patient cost proportion</w:t>
            </w:r>
          </w:p>
        </w:tc>
      </w:tr>
      <w:tr w:rsidR="004173A9" w:rsidRPr="004173A9" w14:paraId="43ABE118" w14:textId="77777777" w:rsidTr="004173A9">
        <w:tc>
          <w:tcPr>
            <w:tcW w:w="2722" w:type="dxa"/>
          </w:tcPr>
          <w:p w14:paraId="1060C2F1" w14:textId="77777777" w:rsidR="004173A9" w:rsidRPr="004173A9" w:rsidRDefault="004173A9" w:rsidP="004173A9">
            <w:pPr>
              <w:pStyle w:val="NoSpacing"/>
            </w:pPr>
            <w:r w:rsidRPr="004173A9">
              <w:t>AR</w:t>
            </w:r>
            <w:r w:rsidRPr="004173A9">
              <w:rPr>
                <w:rFonts w:ascii="Cambria Math" w:hAnsi="Cambria Math" w:cs="Cambria Math"/>
              </w:rPr>
              <w:t>‐</w:t>
            </w:r>
            <w:r w:rsidRPr="004173A9">
              <w:t>DRG</w:t>
            </w:r>
          </w:p>
        </w:tc>
        <w:tc>
          <w:tcPr>
            <w:tcW w:w="6713" w:type="dxa"/>
          </w:tcPr>
          <w:p w14:paraId="6B2348C7" w14:textId="77777777" w:rsidR="004173A9" w:rsidRPr="004173A9" w:rsidRDefault="004173A9" w:rsidP="004173A9">
            <w:pPr>
              <w:pStyle w:val="NoSpacing"/>
            </w:pPr>
            <w:r w:rsidRPr="004173A9">
              <w:t>Australian refined diagnosis related group</w:t>
            </w:r>
          </w:p>
        </w:tc>
      </w:tr>
      <w:tr w:rsidR="004173A9" w:rsidRPr="004173A9" w14:paraId="10DB2359" w14:textId="77777777" w:rsidTr="004173A9">
        <w:tc>
          <w:tcPr>
            <w:tcW w:w="2722" w:type="dxa"/>
          </w:tcPr>
          <w:p w14:paraId="33E737A7" w14:textId="77777777" w:rsidR="004173A9" w:rsidRPr="004173A9" w:rsidRDefault="004173A9" w:rsidP="004173A9">
            <w:pPr>
              <w:pStyle w:val="NoSpacing"/>
            </w:pPr>
            <w:r w:rsidRPr="004173A9">
              <w:t>ASGS</w:t>
            </w:r>
          </w:p>
        </w:tc>
        <w:tc>
          <w:tcPr>
            <w:tcW w:w="6713" w:type="dxa"/>
          </w:tcPr>
          <w:p w14:paraId="484EC4A7" w14:textId="77777777" w:rsidR="004173A9" w:rsidRPr="004173A9" w:rsidRDefault="004173A9" w:rsidP="004173A9">
            <w:pPr>
              <w:pStyle w:val="NoSpacing"/>
            </w:pPr>
            <w:r w:rsidRPr="004173A9">
              <w:t>Australian statistical geography standard</w:t>
            </w:r>
          </w:p>
        </w:tc>
      </w:tr>
      <w:tr w:rsidR="004173A9" w:rsidRPr="004173A9" w14:paraId="5EA63A49" w14:textId="77777777" w:rsidTr="004173A9">
        <w:tc>
          <w:tcPr>
            <w:tcW w:w="2722" w:type="dxa"/>
          </w:tcPr>
          <w:p w14:paraId="41E7B74B" w14:textId="77777777" w:rsidR="004173A9" w:rsidRPr="004173A9" w:rsidRDefault="004173A9" w:rsidP="004173A9">
            <w:pPr>
              <w:pStyle w:val="NoSpacing"/>
            </w:pPr>
            <w:r w:rsidRPr="004173A9">
              <w:t>ASNC</w:t>
            </w:r>
          </w:p>
        </w:tc>
        <w:tc>
          <w:tcPr>
            <w:tcW w:w="6713" w:type="dxa"/>
          </w:tcPr>
          <w:p w14:paraId="716F874B" w14:textId="77777777" w:rsidR="004173A9" w:rsidRPr="004173A9" w:rsidRDefault="004173A9" w:rsidP="004173A9">
            <w:pPr>
              <w:pStyle w:val="NoSpacing"/>
            </w:pPr>
            <w:r w:rsidRPr="004173A9">
              <w:t>Admitted subacute and non-acute care</w:t>
            </w:r>
          </w:p>
        </w:tc>
      </w:tr>
      <w:tr w:rsidR="004173A9" w:rsidRPr="004173A9" w14:paraId="20051B4F" w14:textId="77777777" w:rsidTr="004173A9">
        <w:tc>
          <w:tcPr>
            <w:tcW w:w="2722" w:type="dxa"/>
          </w:tcPr>
          <w:p w14:paraId="2A16EE0B" w14:textId="77777777" w:rsidR="004173A9" w:rsidRPr="004173A9" w:rsidRDefault="004173A9" w:rsidP="004173A9">
            <w:pPr>
              <w:pStyle w:val="NoSpacing"/>
            </w:pPr>
            <w:r w:rsidRPr="004173A9">
              <w:t>COAG</w:t>
            </w:r>
          </w:p>
        </w:tc>
        <w:tc>
          <w:tcPr>
            <w:tcW w:w="6713" w:type="dxa"/>
          </w:tcPr>
          <w:p w14:paraId="4CB6E893" w14:textId="77777777" w:rsidR="004173A9" w:rsidRPr="004173A9" w:rsidRDefault="004173A9" w:rsidP="004173A9">
            <w:pPr>
              <w:pStyle w:val="NoSpacing"/>
            </w:pPr>
            <w:r w:rsidRPr="004173A9">
              <w:t>Council of Australian Governments</w:t>
            </w:r>
          </w:p>
        </w:tc>
      </w:tr>
      <w:tr w:rsidR="004173A9" w:rsidRPr="004173A9" w14:paraId="7F27342B" w14:textId="77777777" w:rsidTr="004173A9">
        <w:tc>
          <w:tcPr>
            <w:tcW w:w="2722" w:type="dxa"/>
          </w:tcPr>
          <w:p w14:paraId="7EF5593F" w14:textId="77777777" w:rsidR="004173A9" w:rsidRPr="004173A9" w:rsidRDefault="004173A9" w:rsidP="004173A9">
            <w:pPr>
              <w:pStyle w:val="NoSpacing"/>
            </w:pPr>
            <w:r w:rsidRPr="004173A9">
              <w:t>DSS</w:t>
            </w:r>
          </w:p>
        </w:tc>
        <w:tc>
          <w:tcPr>
            <w:tcW w:w="6713" w:type="dxa"/>
          </w:tcPr>
          <w:p w14:paraId="256DC4E4" w14:textId="77777777" w:rsidR="004173A9" w:rsidRPr="004173A9" w:rsidRDefault="004173A9" w:rsidP="004173A9">
            <w:pPr>
              <w:pStyle w:val="NoSpacing"/>
            </w:pPr>
            <w:r w:rsidRPr="004173A9">
              <w:t>Data set specification</w:t>
            </w:r>
          </w:p>
        </w:tc>
      </w:tr>
      <w:tr w:rsidR="004173A9" w:rsidRPr="004173A9" w14:paraId="694AE283" w14:textId="77777777" w:rsidTr="004173A9">
        <w:tc>
          <w:tcPr>
            <w:tcW w:w="2722" w:type="dxa"/>
          </w:tcPr>
          <w:p w14:paraId="1E09518E" w14:textId="77777777" w:rsidR="004173A9" w:rsidRPr="004173A9" w:rsidRDefault="004173A9" w:rsidP="004173A9">
            <w:pPr>
              <w:pStyle w:val="NoSpacing"/>
            </w:pPr>
            <w:r w:rsidRPr="004173A9">
              <w:t>ED</w:t>
            </w:r>
          </w:p>
        </w:tc>
        <w:tc>
          <w:tcPr>
            <w:tcW w:w="6713" w:type="dxa"/>
          </w:tcPr>
          <w:p w14:paraId="668A78D8" w14:textId="77777777" w:rsidR="004173A9" w:rsidRPr="004173A9" w:rsidRDefault="004173A9" w:rsidP="004173A9">
            <w:pPr>
              <w:pStyle w:val="NoSpacing"/>
            </w:pPr>
            <w:r w:rsidRPr="004173A9">
              <w:t>Emergency department</w:t>
            </w:r>
          </w:p>
        </w:tc>
      </w:tr>
      <w:tr w:rsidR="004173A9" w:rsidRPr="004173A9" w14:paraId="5DEE266A" w14:textId="77777777" w:rsidTr="004173A9">
        <w:tc>
          <w:tcPr>
            <w:tcW w:w="2722" w:type="dxa"/>
          </w:tcPr>
          <w:p w14:paraId="78E0B8F1" w14:textId="77777777" w:rsidR="004173A9" w:rsidRPr="004173A9" w:rsidRDefault="004173A9" w:rsidP="004173A9">
            <w:pPr>
              <w:pStyle w:val="NoSpacing"/>
            </w:pPr>
            <w:r w:rsidRPr="004173A9">
              <w:t>HCP</w:t>
            </w:r>
          </w:p>
        </w:tc>
        <w:tc>
          <w:tcPr>
            <w:tcW w:w="6713" w:type="dxa"/>
          </w:tcPr>
          <w:p w14:paraId="6023F155" w14:textId="77777777" w:rsidR="004173A9" w:rsidRPr="004173A9" w:rsidRDefault="004173A9" w:rsidP="004173A9">
            <w:pPr>
              <w:pStyle w:val="NoSpacing"/>
            </w:pPr>
            <w:r w:rsidRPr="004173A9">
              <w:t>Hospital casemix protocol</w:t>
            </w:r>
          </w:p>
        </w:tc>
      </w:tr>
      <w:tr w:rsidR="004173A9" w:rsidRPr="004173A9" w14:paraId="3F1EF57E" w14:textId="77777777" w:rsidTr="004173A9">
        <w:tc>
          <w:tcPr>
            <w:tcW w:w="2722" w:type="dxa"/>
          </w:tcPr>
          <w:p w14:paraId="144496DD" w14:textId="77777777" w:rsidR="004173A9" w:rsidRPr="004173A9" w:rsidRDefault="004173A9" w:rsidP="004173A9">
            <w:pPr>
              <w:pStyle w:val="NoSpacing"/>
            </w:pPr>
            <w:r w:rsidRPr="004173A9">
              <w:t>ICU</w:t>
            </w:r>
          </w:p>
        </w:tc>
        <w:tc>
          <w:tcPr>
            <w:tcW w:w="6713" w:type="dxa"/>
          </w:tcPr>
          <w:p w14:paraId="265C5469" w14:textId="77777777" w:rsidR="004173A9" w:rsidRPr="004173A9" w:rsidRDefault="004173A9" w:rsidP="004173A9">
            <w:pPr>
              <w:pStyle w:val="NoSpacing"/>
            </w:pPr>
            <w:r w:rsidRPr="004173A9">
              <w:t>Intensive care unit</w:t>
            </w:r>
          </w:p>
        </w:tc>
      </w:tr>
      <w:tr w:rsidR="004173A9" w:rsidRPr="004173A9" w14:paraId="529D0AC6" w14:textId="77777777" w:rsidTr="004173A9">
        <w:tc>
          <w:tcPr>
            <w:tcW w:w="2722" w:type="dxa"/>
          </w:tcPr>
          <w:p w14:paraId="21BCC934" w14:textId="77777777" w:rsidR="004173A9" w:rsidRPr="004173A9" w:rsidRDefault="004173A9" w:rsidP="004173A9">
            <w:pPr>
              <w:pStyle w:val="NoSpacing"/>
            </w:pPr>
            <w:r w:rsidRPr="004173A9">
              <w:t>IHPA</w:t>
            </w:r>
          </w:p>
        </w:tc>
        <w:tc>
          <w:tcPr>
            <w:tcW w:w="6713" w:type="dxa"/>
          </w:tcPr>
          <w:p w14:paraId="627F8EFA" w14:textId="77777777" w:rsidR="004173A9" w:rsidRPr="004173A9" w:rsidRDefault="004173A9" w:rsidP="004173A9">
            <w:pPr>
              <w:pStyle w:val="NoSpacing"/>
            </w:pPr>
            <w:r w:rsidRPr="004173A9">
              <w:t>Independent Hospital Pricing Authority</w:t>
            </w:r>
          </w:p>
        </w:tc>
      </w:tr>
      <w:tr w:rsidR="004173A9" w:rsidRPr="004173A9" w14:paraId="466BC6B6" w14:textId="77777777" w:rsidTr="004173A9">
        <w:tc>
          <w:tcPr>
            <w:tcW w:w="2722" w:type="dxa"/>
          </w:tcPr>
          <w:p w14:paraId="6DB334BB" w14:textId="77777777" w:rsidR="004173A9" w:rsidRPr="004173A9" w:rsidRDefault="004173A9" w:rsidP="004173A9">
            <w:pPr>
              <w:pStyle w:val="NoSpacing"/>
            </w:pPr>
            <w:r w:rsidRPr="004173A9">
              <w:t>LHN</w:t>
            </w:r>
          </w:p>
        </w:tc>
        <w:tc>
          <w:tcPr>
            <w:tcW w:w="6713" w:type="dxa"/>
          </w:tcPr>
          <w:p w14:paraId="0EFACBDE" w14:textId="77777777" w:rsidR="004173A9" w:rsidRPr="004173A9" w:rsidRDefault="004173A9" w:rsidP="004173A9">
            <w:pPr>
              <w:pStyle w:val="NoSpacing"/>
            </w:pPr>
            <w:r w:rsidRPr="004173A9">
              <w:t>Local hospital network</w:t>
            </w:r>
          </w:p>
        </w:tc>
      </w:tr>
      <w:tr w:rsidR="004173A9" w:rsidRPr="004173A9" w14:paraId="7AB9F966" w14:textId="77777777" w:rsidTr="004173A9">
        <w:tc>
          <w:tcPr>
            <w:tcW w:w="2722" w:type="dxa"/>
          </w:tcPr>
          <w:p w14:paraId="2FB2FD66" w14:textId="77777777" w:rsidR="004173A9" w:rsidRPr="004173A9" w:rsidRDefault="004173A9" w:rsidP="004173A9">
            <w:pPr>
              <w:pStyle w:val="NoSpacing"/>
            </w:pPr>
            <w:r w:rsidRPr="004173A9">
              <w:t>LOS</w:t>
            </w:r>
          </w:p>
        </w:tc>
        <w:tc>
          <w:tcPr>
            <w:tcW w:w="6713" w:type="dxa"/>
          </w:tcPr>
          <w:p w14:paraId="00AFFE43" w14:textId="77777777" w:rsidR="004173A9" w:rsidRPr="004173A9" w:rsidRDefault="004173A9" w:rsidP="004173A9">
            <w:pPr>
              <w:pStyle w:val="NoSpacing"/>
            </w:pPr>
            <w:r w:rsidRPr="004173A9">
              <w:t xml:space="preserve">Length of </w:t>
            </w:r>
            <w:r>
              <w:t>s</w:t>
            </w:r>
            <w:r w:rsidRPr="004173A9">
              <w:t>tay</w:t>
            </w:r>
          </w:p>
        </w:tc>
      </w:tr>
      <w:tr w:rsidR="004173A9" w:rsidRPr="004173A9" w14:paraId="375B9674" w14:textId="77777777" w:rsidTr="004173A9">
        <w:tc>
          <w:tcPr>
            <w:tcW w:w="2722" w:type="dxa"/>
          </w:tcPr>
          <w:p w14:paraId="4BA1AC93" w14:textId="77777777" w:rsidR="004173A9" w:rsidRPr="004173A9" w:rsidRDefault="004173A9" w:rsidP="004173A9">
            <w:pPr>
              <w:pStyle w:val="NoSpacing"/>
            </w:pPr>
            <w:r w:rsidRPr="004173A9">
              <w:t>MAPE</w:t>
            </w:r>
          </w:p>
        </w:tc>
        <w:tc>
          <w:tcPr>
            <w:tcW w:w="6713" w:type="dxa"/>
          </w:tcPr>
          <w:p w14:paraId="146665C9" w14:textId="77777777" w:rsidR="004173A9" w:rsidRPr="004173A9" w:rsidRDefault="004173A9" w:rsidP="004173A9">
            <w:pPr>
              <w:pStyle w:val="NoSpacing"/>
            </w:pPr>
            <w:r w:rsidRPr="004173A9">
              <w:t>Mean absolute percentage error</w:t>
            </w:r>
          </w:p>
        </w:tc>
      </w:tr>
      <w:tr w:rsidR="004173A9" w:rsidRPr="004173A9" w14:paraId="01CA4862" w14:textId="77777777" w:rsidTr="004173A9">
        <w:tc>
          <w:tcPr>
            <w:tcW w:w="2722" w:type="dxa"/>
          </w:tcPr>
          <w:p w14:paraId="4FA7B017" w14:textId="77777777" w:rsidR="004173A9" w:rsidRPr="004173A9" w:rsidRDefault="004173A9" w:rsidP="004173A9">
            <w:pPr>
              <w:pStyle w:val="NoSpacing"/>
            </w:pPr>
            <w:r w:rsidRPr="004173A9">
              <w:t>MBS</w:t>
            </w:r>
          </w:p>
        </w:tc>
        <w:tc>
          <w:tcPr>
            <w:tcW w:w="6713" w:type="dxa"/>
          </w:tcPr>
          <w:p w14:paraId="6F1B34ED" w14:textId="77777777" w:rsidR="004173A9" w:rsidRPr="004173A9" w:rsidRDefault="004173A9" w:rsidP="004173A9">
            <w:pPr>
              <w:pStyle w:val="NoSpacing"/>
            </w:pPr>
            <w:r w:rsidRPr="004173A9">
              <w:t xml:space="preserve">Medicare </w:t>
            </w:r>
            <w:r w:rsidR="008776A2" w:rsidRPr="004173A9">
              <w:t>benefits schedule</w:t>
            </w:r>
          </w:p>
        </w:tc>
      </w:tr>
      <w:tr w:rsidR="004173A9" w:rsidRPr="004173A9" w14:paraId="22464B0E" w14:textId="77777777" w:rsidTr="004173A9">
        <w:tc>
          <w:tcPr>
            <w:tcW w:w="2722" w:type="dxa"/>
          </w:tcPr>
          <w:p w14:paraId="6DC2D604" w14:textId="77777777" w:rsidR="004173A9" w:rsidRPr="004173A9" w:rsidRDefault="004173A9" w:rsidP="004173A9">
            <w:pPr>
              <w:pStyle w:val="NoSpacing"/>
            </w:pPr>
            <w:r w:rsidRPr="004173A9">
              <w:t>MDC</w:t>
            </w:r>
          </w:p>
        </w:tc>
        <w:tc>
          <w:tcPr>
            <w:tcW w:w="6713" w:type="dxa"/>
          </w:tcPr>
          <w:p w14:paraId="66994DB0" w14:textId="4D308A39" w:rsidR="004173A9" w:rsidRPr="004173A9" w:rsidRDefault="004173A9" w:rsidP="004173A9">
            <w:pPr>
              <w:pStyle w:val="NoSpacing"/>
            </w:pPr>
            <w:r w:rsidRPr="004173A9">
              <w:t>Major diagnostic category, used in AR-</w:t>
            </w:r>
            <w:r w:rsidR="00F63BA7" w:rsidRPr="004173A9">
              <w:t>DRG</w:t>
            </w:r>
            <w:r w:rsidR="00F63BA7">
              <w:t>s</w:t>
            </w:r>
          </w:p>
        </w:tc>
      </w:tr>
      <w:tr w:rsidR="003C51B0" w:rsidRPr="004173A9" w14:paraId="33D23342" w14:textId="77777777" w:rsidTr="004173A9">
        <w:tc>
          <w:tcPr>
            <w:tcW w:w="2722" w:type="dxa"/>
          </w:tcPr>
          <w:p w14:paraId="7DBA240F" w14:textId="77777777" w:rsidR="003C51B0" w:rsidRPr="004173A9" w:rsidRDefault="003C51B0" w:rsidP="004173A9">
            <w:pPr>
              <w:pStyle w:val="NoSpacing"/>
            </w:pPr>
            <w:r>
              <w:t>MHC</w:t>
            </w:r>
          </w:p>
        </w:tc>
        <w:tc>
          <w:tcPr>
            <w:tcW w:w="6713" w:type="dxa"/>
          </w:tcPr>
          <w:p w14:paraId="69065AB1" w14:textId="77777777" w:rsidR="003C51B0" w:rsidRPr="004173A9" w:rsidRDefault="003C51B0" w:rsidP="004173A9">
            <w:pPr>
              <w:pStyle w:val="NoSpacing"/>
            </w:pPr>
            <w:r>
              <w:t>Mental health care</w:t>
            </w:r>
          </w:p>
        </w:tc>
      </w:tr>
      <w:tr w:rsidR="004173A9" w:rsidRPr="004173A9" w14:paraId="4CE22FED" w14:textId="77777777" w:rsidTr="004173A9">
        <w:tc>
          <w:tcPr>
            <w:tcW w:w="2722" w:type="dxa"/>
          </w:tcPr>
          <w:p w14:paraId="22054797" w14:textId="77777777" w:rsidR="004173A9" w:rsidRPr="004173A9" w:rsidRDefault="004173A9" w:rsidP="004173A9">
            <w:pPr>
              <w:pStyle w:val="NoSpacing"/>
            </w:pPr>
            <w:r w:rsidRPr="004173A9">
              <w:t>MPS</w:t>
            </w:r>
          </w:p>
        </w:tc>
        <w:tc>
          <w:tcPr>
            <w:tcW w:w="6713" w:type="dxa"/>
          </w:tcPr>
          <w:p w14:paraId="3F9832D0" w14:textId="77777777" w:rsidR="004173A9" w:rsidRPr="004173A9" w:rsidRDefault="004173A9" w:rsidP="004173A9">
            <w:pPr>
              <w:pStyle w:val="NoSpacing"/>
            </w:pPr>
            <w:r w:rsidRPr="004173A9">
              <w:t xml:space="preserve">Multi-purpose </w:t>
            </w:r>
            <w:r>
              <w:t>s</w:t>
            </w:r>
            <w:r w:rsidRPr="004173A9">
              <w:t>ervice</w:t>
            </w:r>
          </w:p>
        </w:tc>
      </w:tr>
      <w:tr w:rsidR="004173A9" w:rsidRPr="004173A9" w14:paraId="089BD209" w14:textId="77777777" w:rsidTr="004173A9">
        <w:tc>
          <w:tcPr>
            <w:tcW w:w="2722" w:type="dxa"/>
          </w:tcPr>
          <w:p w14:paraId="1C557330" w14:textId="77777777" w:rsidR="004173A9" w:rsidRPr="004173A9" w:rsidRDefault="004173A9" w:rsidP="004173A9">
            <w:pPr>
              <w:pStyle w:val="NoSpacing"/>
            </w:pPr>
            <w:r w:rsidRPr="004173A9">
              <w:t>NAPED</w:t>
            </w:r>
          </w:p>
        </w:tc>
        <w:tc>
          <w:tcPr>
            <w:tcW w:w="6713" w:type="dxa"/>
          </w:tcPr>
          <w:p w14:paraId="1530B4FC" w14:textId="77777777" w:rsidR="004173A9" w:rsidRPr="004173A9" w:rsidRDefault="004173A9" w:rsidP="004173A9">
            <w:pPr>
              <w:pStyle w:val="NoSpacing"/>
            </w:pPr>
            <w:r w:rsidRPr="004173A9">
              <w:t>Non-admitted patients emergency department</w:t>
            </w:r>
          </w:p>
        </w:tc>
      </w:tr>
      <w:tr w:rsidR="00876D93" w:rsidRPr="004173A9" w14:paraId="4307F797" w14:textId="77777777" w:rsidTr="004173A9">
        <w:tc>
          <w:tcPr>
            <w:tcW w:w="2722" w:type="dxa"/>
          </w:tcPr>
          <w:p w14:paraId="6618D7DF" w14:textId="381D8E92" w:rsidR="00876D93" w:rsidRPr="004173A9" w:rsidRDefault="00876D93" w:rsidP="004173A9">
            <w:pPr>
              <w:pStyle w:val="NoSpacing"/>
            </w:pPr>
            <w:r>
              <w:t>NBEDS</w:t>
            </w:r>
          </w:p>
        </w:tc>
        <w:tc>
          <w:tcPr>
            <w:tcW w:w="6713" w:type="dxa"/>
          </w:tcPr>
          <w:p w14:paraId="621E64A5" w14:textId="13699D39" w:rsidR="00876D93" w:rsidRPr="004173A9" w:rsidRDefault="00876D93" w:rsidP="004173A9">
            <w:pPr>
              <w:pStyle w:val="NoSpacing"/>
            </w:pPr>
            <w:r>
              <w:t xml:space="preserve">National </w:t>
            </w:r>
            <w:r w:rsidR="003E42D9">
              <w:t>b</w:t>
            </w:r>
            <w:r>
              <w:t xml:space="preserve">est </w:t>
            </w:r>
            <w:r w:rsidR="003E42D9">
              <w:t>e</w:t>
            </w:r>
            <w:r>
              <w:t xml:space="preserve">ndeavours </w:t>
            </w:r>
            <w:r w:rsidR="003E42D9">
              <w:t>d</w:t>
            </w:r>
            <w:r>
              <w:t xml:space="preserve">ata </w:t>
            </w:r>
            <w:r w:rsidR="003E42D9">
              <w:t>s</w:t>
            </w:r>
            <w:r>
              <w:t>et</w:t>
            </w:r>
          </w:p>
        </w:tc>
      </w:tr>
      <w:tr w:rsidR="004173A9" w:rsidRPr="004173A9" w14:paraId="06819A64" w14:textId="77777777" w:rsidTr="004173A9">
        <w:tc>
          <w:tcPr>
            <w:tcW w:w="2722" w:type="dxa"/>
          </w:tcPr>
          <w:p w14:paraId="5CD5565F" w14:textId="77777777" w:rsidR="004173A9" w:rsidRPr="004173A9" w:rsidRDefault="004173A9" w:rsidP="004173A9">
            <w:pPr>
              <w:pStyle w:val="NoSpacing"/>
            </w:pPr>
            <w:r w:rsidRPr="004173A9">
              <w:t>NEC</w:t>
            </w:r>
          </w:p>
        </w:tc>
        <w:tc>
          <w:tcPr>
            <w:tcW w:w="6713" w:type="dxa"/>
          </w:tcPr>
          <w:p w14:paraId="7F5F4FB4" w14:textId="77777777" w:rsidR="004173A9" w:rsidRPr="004173A9" w:rsidRDefault="004173A9" w:rsidP="004173A9">
            <w:pPr>
              <w:pStyle w:val="NoSpacing"/>
            </w:pPr>
            <w:r w:rsidRPr="004173A9">
              <w:t>National efficient cost</w:t>
            </w:r>
          </w:p>
        </w:tc>
      </w:tr>
      <w:tr w:rsidR="004173A9" w:rsidRPr="004173A9" w14:paraId="0564394D" w14:textId="77777777" w:rsidTr="004173A9">
        <w:tc>
          <w:tcPr>
            <w:tcW w:w="2722" w:type="dxa"/>
          </w:tcPr>
          <w:p w14:paraId="350C9451" w14:textId="77777777" w:rsidR="004173A9" w:rsidRPr="004173A9" w:rsidRDefault="004173A9" w:rsidP="004173A9">
            <w:pPr>
              <w:pStyle w:val="NoSpacing"/>
            </w:pPr>
            <w:r w:rsidRPr="004173A9">
              <w:t>NEP</w:t>
            </w:r>
          </w:p>
        </w:tc>
        <w:tc>
          <w:tcPr>
            <w:tcW w:w="6713" w:type="dxa"/>
          </w:tcPr>
          <w:p w14:paraId="3EA2C4C9" w14:textId="77777777" w:rsidR="004173A9" w:rsidRPr="004173A9" w:rsidRDefault="004173A9" w:rsidP="004173A9">
            <w:pPr>
              <w:pStyle w:val="NoSpacing"/>
            </w:pPr>
            <w:r w:rsidRPr="004173A9">
              <w:t>National efficient price</w:t>
            </w:r>
          </w:p>
        </w:tc>
      </w:tr>
      <w:tr w:rsidR="004173A9" w:rsidRPr="004173A9" w14:paraId="20FDFDA2" w14:textId="77777777" w:rsidTr="004173A9">
        <w:tc>
          <w:tcPr>
            <w:tcW w:w="2722" w:type="dxa"/>
          </w:tcPr>
          <w:p w14:paraId="70F6F01F" w14:textId="77777777" w:rsidR="004173A9" w:rsidRPr="004173A9" w:rsidRDefault="004173A9" w:rsidP="004173A9">
            <w:pPr>
              <w:pStyle w:val="NoSpacing"/>
            </w:pPr>
            <w:r w:rsidRPr="004173A9">
              <w:t>NHCDC</w:t>
            </w:r>
          </w:p>
        </w:tc>
        <w:tc>
          <w:tcPr>
            <w:tcW w:w="6713" w:type="dxa"/>
          </w:tcPr>
          <w:p w14:paraId="4C66DB75" w14:textId="77777777" w:rsidR="004173A9" w:rsidRPr="004173A9" w:rsidRDefault="004173A9" w:rsidP="004173A9">
            <w:pPr>
              <w:pStyle w:val="NoSpacing"/>
            </w:pPr>
            <w:r w:rsidRPr="004173A9">
              <w:t xml:space="preserve">National </w:t>
            </w:r>
            <w:r w:rsidR="008776A2" w:rsidRPr="004173A9">
              <w:t>hospital cost data collection</w:t>
            </w:r>
          </w:p>
        </w:tc>
      </w:tr>
      <w:tr w:rsidR="004173A9" w:rsidRPr="004173A9" w14:paraId="081B1394" w14:textId="77777777" w:rsidTr="004173A9">
        <w:tc>
          <w:tcPr>
            <w:tcW w:w="2722" w:type="dxa"/>
          </w:tcPr>
          <w:p w14:paraId="4AF7F96E" w14:textId="77777777" w:rsidR="004173A9" w:rsidRPr="004173A9" w:rsidRDefault="004173A9" w:rsidP="004173A9">
            <w:pPr>
              <w:pStyle w:val="NoSpacing"/>
            </w:pPr>
            <w:r w:rsidRPr="004173A9">
              <w:t>NHRA</w:t>
            </w:r>
          </w:p>
        </w:tc>
        <w:tc>
          <w:tcPr>
            <w:tcW w:w="6713" w:type="dxa"/>
          </w:tcPr>
          <w:p w14:paraId="2628D90A" w14:textId="77777777" w:rsidR="004173A9" w:rsidRPr="004173A9" w:rsidRDefault="004173A9" w:rsidP="004173A9">
            <w:pPr>
              <w:pStyle w:val="NoSpacing"/>
            </w:pPr>
            <w:r w:rsidRPr="004173A9">
              <w:t>National Health Reform Agreement</w:t>
            </w:r>
          </w:p>
        </w:tc>
      </w:tr>
      <w:tr w:rsidR="004173A9" w:rsidRPr="004173A9" w14:paraId="14BA332C" w14:textId="77777777" w:rsidTr="004173A9">
        <w:tc>
          <w:tcPr>
            <w:tcW w:w="2722" w:type="dxa"/>
          </w:tcPr>
          <w:p w14:paraId="11CAB80F" w14:textId="77777777" w:rsidR="004173A9" w:rsidRPr="004173A9" w:rsidRDefault="004173A9" w:rsidP="004173A9">
            <w:pPr>
              <w:pStyle w:val="NoSpacing"/>
            </w:pPr>
            <w:r w:rsidRPr="004173A9">
              <w:t>NMC</w:t>
            </w:r>
          </w:p>
        </w:tc>
        <w:tc>
          <w:tcPr>
            <w:tcW w:w="6713" w:type="dxa"/>
          </w:tcPr>
          <w:p w14:paraId="2903E022" w14:textId="77777777" w:rsidR="004173A9" w:rsidRPr="004173A9" w:rsidRDefault="004173A9" w:rsidP="004173A9">
            <w:pPr>
              <w:pStyle w:val="NoSpacing"/>
            </w:pPr>
            <w:r w:rsidRPr="004173A9">
              <w:t>Non-admitted multi-disciplinary clinic</w:t>
            </w:r>
          </w:p>
        </w:tc>
      </w:tr>
      <w:tr w:rsidR="004173A9" w:rsidRPr="004173A9" w14:paraId="03006A9E" w14:textId="77777777" w:rsidTr="004173A9">
        <w:tc>
          <w:tcPr>
            <w:tcW w:w="2722" w:type="dxa"/>
          </w:tcPr>
          <w:p w14:paraId="4649E903" w14:textId="77777777" w:rsidR="004173A9" w:rsidRPr="004173A9" w:rsidRDefault="004173A9" w:rsidP="004173A9">
            <w:pPr>
              <w:pStyle w:val="NoSpacing"/>
            </w:pPr>
            <w:r w:rsidRPr="004173A9">
              <w:t>NMDS</w:t>
            </w:r>
          </w:p>
        </w:tc>
        <w:tc>
          <w:tcPr>
            <w:tcW w:w="6713" w:type="dxa"/>
          </w:tcPr>
          <w:p w14:paraId="1C7D039D" w14:textId="77777777" w:rsidR="004173A9" w:rsidRPr="004173A9" w:rsidRDefault="004173A9" w:rsidP="004173A9">
            <w:pPr>
              <w:pStyle w:val="NoSpacing"/>
            </w:pPr>
            <w:r w:rsidRPr="004173A9">
              <w:t>National minimum data set</w:t>
            </w:r>
          </w:p>
        </w:tc>
      </w:tr>
      <w:tr w:rsidR="004173A9" w:rsidRPr="004173A9" w14:paraId="48B33617" w14:textId="77777777" w:rsidTr="004173A9">
        <w:tc>
          <w:tcPr>
            <w:tcW w:w="2722" w:type="dxa"/>
          </w:tcPr>
          <w:p w14:paraId="4206D4F0" w14:textId="77777777" w:rsidR="004173A9" w:rsidRPr="004173A9" w:rsidRDefault="004173A9" w:rsidP="004173A9">
            <w:pPr>
              <w:pStyle w:val="NoSpacing"/>
            </w:pPr>
            <w:r w:rsidRPr="004173A9">
              <w:t>NPHED</w:t>
            </w:r>
          </w:p>
        </w:tc>
        <w:tc>
          <w:tcPr>
            <w:tcW w:w="6713" w:type="dxa"/>
          </w:tcPr>
          <w:p w14:paraId="1B23D51B" w14:textId="77777777" w:rsidR="004173A9" w:rsidRPr="004173A9" w:rsidRDefault="004173A9" w:rsidP="004173A9">
            <w:pPr>
              <w:pStyle w:val="NoSpacing"/>
            </w:pPr>
            <w:r w:rsidRPr="004173A9">
              <w:t xml:space="preserve">National </w:t>
            </w:r>
            <w:r w:rsidR="008776A2" w:rsidRPr="004173A9">
              <w:t>public hospital establishment database</w:t>
            </w:r>
          </w:p>
        </w:tc>
      </w:tr>
      <w:tr w:rsidR="004173A9" w:rsidRPr="004173A9" w14:paraId="7AD01007" w14:textId="77777777" w:rsidTr="004173A9">
        <w:tc>
          <w:tcPr>
            <w:tcW w:w="2722" w:type="dxa"/>
          </w:tcPr>
          <w:p w14:paraId="1E2EDC8F" w14:textId="77777777" w:rsidR="004173A9" w:rsidRPr="004173A9" w:rsidRDefault="004173A9" w:rsidP="004173A9">
            <w:pPr>
              <w:pStyle w:val="NoSpacing"/>
            </w:pPr>
            <w:r w:rsidRPr="004173A9">
              <w:t>NWAU</w:t>
            </w:r>
          </w:p>
        </w:tc>
        <w:tc>
          <w:tcPr>
            <w:tcW w:w="6713" w:type="dxa"/>
          </w:tcPr>
          <w:p w14:paraId="06D02961" w14:textId="77777777" w:rsidR="004173A9" w:rsidRPr="004173A9" w:rsidRDefault="004173A9" w:rsidP="004173A9">
            <w:pPr>
              <w:pStyle w:val="NoSpacing"/>
            </w:pPr>
            <w:r w:rsidRPr="004173A9">
              <w:t>National weighted activity unit</w:t>
            </w:r>
          </w:p>
        </w:tc>
      </w:tr>
      <w:tr w:rsidR="004173A9" w:rsidRPr="004173A9" w14:paraId="2A15AC11" w14:textId="77777777" w:rsidTr="004173A9">
        <w:tc>
          <w:tcPr>
            <w:tcW w:w="2722" w:type="dxa"/>
          </w:tcPr>
          <w:p w14:paraId="1B03D9AD" w14:textId="77777777" w:rsidR="004173A9" w:rsidRPr="004173A9" w:rsidRDefault="004173A9" w:rsidP="004173A9">
            <w:pPr>
              <w:pStyle w:val="NoSpacing"/>
            </w:pPr>
            <w:r w:rsidRPr="004173A9">
              <w:t>OTA</w:t>
            </w:r>
          </w:p>
        </w:tc>
        <w:tc>
          <w:tcPr>
            <w:tcW w:w="6713" w:type="dxa"/>
          </w:tcPr>
          <w:p w14:paraId="7DC28282" w14:textId="77777777" w:rsidR="004173A9" w:rsidRPr="004173A9" w:rsidRDefault="004173A9" w:rsidP="004173A9">
            <w:pPr>
              <w:pStyle w:val="NoSpacing"/>
            </w:pPr>
            <w:r w:rsidRPr="004173A9">
              <w:t>Organ and Tissue Authority</w:t>
            </w:r>
          </w:p>
        </w:tc>
      </w:tr>
      <w:tr w:rsidR="004173A9" w:rsidRPr="004173A9" w14:paraId="104B6130" w14:textId="77777777" w:rsidTr="004173A9">
        <w:tc>
          <w:tcPr>
            <w:tcW w:w="2722" w:type="dxa"/>
          </w:tcPr>
          <w:p w14:paraId="1C76BEF3" w14:textId="77777777" w:rsidR="004173A9" w:rsidRPr="004173A9" w:rsidRDefault="004173A9" w:rsidP="004173A9">
            <w:pPr>
              <w:pStyle w:val="NoSpacing"/>
            </w:pPr>
            <w:r w:rsidRPr="004173A9">
              <w:t>PICU</w:t>
            </w:r>
          </w:p>
        </w:tc>
        <w:tc>
          <w:tcPr>
            <w:tcW w:w="6713" w:type="dxa"/>
          </w:tcPr>
          <w:p w14:paraId="128841A7" w14:textId="77777777" w:rsidR="004173A9" w:rsidRPr="004173A9" w:rsidRDefault="004173A9" w:rsidP="004173A9">
            <w:pPr>
              <w:pStyle w:val="NoSpacing"/>
            </w:pPr>
            <w:r w:rsidRPr="004173A9">
              <w:t>Paediatric intensive care unit</w:t>
            </w:r>
          </w:p>
        </w:tc>
      </w:tr>
      <w:tr w:rsidR="004173A9" w:rsidRPr="004173A9" w14:paraId="4D2BD27E" w14:textId="77777777" w:rsidTr="004173A9">
        <w:tc>
          <w:tcPr>
            <w:tcW w:w="2722" w:type="dxa"/>
          </w:tcPr>
          <w:p w14:paraId="36DC26C9" w14:textId="77777777" w:rsidR="004173A9" w:rsidRPr="004173A9" w:rsidRDefault="004173A9" w:rsidP="004173A9">
            <w:pPr>
              <w:pStyle w:val="NoSpacing"/>
            </w:pPr>
            <w:r w:rsidRPr="004173A9">
              <w:t>SA2</w:t>
            </w:r>
          </w:p>
        </w:tc>
        <w:tc>
          <w:tcPr>
            <w:tcW w:w="6713" w:type="dxa"/>
          </w:tcPr>
          <w:p w14:paraId="36C8B746" w14:textId="77777777" w:rsidR="00A8551B" w:rsidRPr="004173A9" w:rsidRDefault="004173A9" w:rsidP="004173A9">
            <w:pPr>
              <w:pStyle w:val="NoSpacing"/>
            </w:pPr>
            <w:r w:rsidRPr="004173A9">
              <w:t>Statistical areas level 2</w:t>
            </w:r>
          </w:p>
        </w:tc>
      </w:tr>
      <w:tr w:rsidR="004173A9" w:rsidRPr="004173A9" w14:paraId="29122F8F" w14:textId="77777777" w:rsidTr="004173A9">
        <w:tc>
          <w:tcPr>
            <w:tcW w:w="2722" w:type="dxa"/>
          </w:tcPr>
          <w:p w14:paraId="2537125A" w14:textId="77777777" w:rsidR="004173A9" w:rsidRPr="004173A9" w:rsidRDefault="004173A9" w:rsidP="004173A9">
            <w:pPr>
              <w:pStyle w:val="NoSpacing"/>
            </w:pPr>
            <w:r w:rsidRPr="004173A9">
              <w:t>TTR</w:t>
            </w:r>
          </w:p>
        </w:tc>
        <w:tc>
          <w:tcPr>
            <w:tcW w:w="6713" w:type="dxa"/>
          </w:tcPr>
          <w:p w14:paraId="4CC7D3B9" w14:textId="77777777" w:rsidR="004173A9" w:rsidRPr="004173A9" w:rsidRDefault="004173A9" w:rsidP="004173A9">
            <w:pPr>
              <w:pStyle w:val="NoSpacing"/>
            </w:pPr>
            <w:r w:rsidRPr="004173A9">
              <w:t>Teaching</w:t>
            </w:r>
            <w:r w:rsidR="008776A2" w:rsidRPr="004173A9">
              <w:t>, training and research</w:t>
            </w:r>
          </w:p>
        </w:tc>
      </w:tr>
      <w:tr w:rsidR="004173A9" w:rsidRPr="004173A9" w14:paraId="7B09E172" w14:textId="77777777" w:rsidTr="004173A9">
        <w:tc>
          <w:tcPr>
            <w:tcW w:w="2722" w:type="dxa"/>
          </w:tcPr>
          <w:p w14:paraId="39B74223" w14:textId="77777777" w:rsidR="004173A9" w:rsidRPr="004173A9" w:rsidRDefault="004173A9" w:rsidP="004173A9">
            <w:pPr>
              <w:pStyle w:val="NoSpacing"/>
            </w:pPr>
            <w:r w:rsidRPr="004173A9">
              <w:t>UDG</w:t>
            </w:r>
          </w:p>
        </w:tc>
        <w:tc>
          <w:tcPr>
            <w:tcW w:w="6713" w:type="dxa"/>
          </w:tcPr>
          <w:p w14:paraId="4671139A" w14:textId="77777777" w:rsidR="004173A9" w:rsidRPr="004173A9" w:rsidRDefault="004173A9" w:rsidP="004173A9">
            <w:pPr>
              <w:pStyle w:val="NoSpacing"/>
            </w:pPr>
            <w:r w:rsidRPr="004173A9">
              <w:t>Urgency disposition groups</w:t>
            </w:r>
          </w:p>
        </w:tc>
      </w:tr>
      <w:tr w:rsidR="004173A9" w14:paraId="2C6CD159" w14:textId="77777777" w:rsidTr="004173A9">
        <w:tc>
          <w:tcPr>
            <w:tcW w:w="2722" w:type="dxa"/>
          </w:tcPr>
          <w:p w14:paraId="2C0C7D0C" w14:textId="77777777" w:rsidR="004173A9" w:rsidRPr="004173A9" w:rsidRDefault="004173A9" w:rsidP="004173A9">
            <w:pPr>
              <w:pStyle w:val="NoSpacing"/>
            </w:pPr>
            <w:r w:rsidRPr="004173A9">
              <w:t>WAU</w:t>
            </w:r>
          </w:p>
        </w:tc>
        <w:tc>
          <w:tcPr>
            <w:tcW w:w="6713" w:type="dxa"/>
          </w:tcPr>
          <w:p w14:paraId="76260A7A" w14:textId="77777777" w:rsidR="004173A9" w:rsidRPr="004173A9" w:rsidRDefault="004173A9" w:rsidP="004173A9">
            <w:pPr>
              <w:pStyle w:val="NoSpacing"/>
              <w:rPr>
                <w:b/>
                <w:caps/>
                <w:szCs w:val="44"/>
              </w:rPr>
            </w:pPr>
            <w:r w:rsidRPr="004173A9">
              <w:t xml:space="preserve">Weighted activity unit </w:t>
            </w:r>
          </w:p>
        </w:tc>
      </w:tr>
    </w:tbl>
    <w:p w14:paraId="65A813E1" w14:textId="77777777" w:rsidR="008B0FE9" w:rsidRPr="0044388E" w:rsidRDefault="008B0FE9" w:rsidP="00A33F7B">
      <w:pPr>
        <w:pStyle w:val="Heading1"/>
      </w:pPr>
      <w:bookmarkStart w:id="15" w:name="_Toc467505160"/>
      <w:bookmarkStart w:id="16" w:name="_Toc467676232"/>
      <w:bookmarkStart w:id="17" w:name="_Toc467745536"/>
      <w:bookmarkStart w:id="18" w:name="_Toc467759566"/>
      <w:bookmarkStart w:id="19" w:name="_Toc468204005"/>
      <w:bookmarkStart w:id="20" w:name="_Toc499220983"/>
      <w:bookmarkStart w:id="21" w:name="_Toc499290882"/>
      <w:bookmarkStart w:id="22" w:name="_Toc26278323"/>
      <w:bookmarkStart w:id="23" w:name="_Toc26370501"/>
      <w:bookmarkStart w:id="24" w:name="_Toc65145934"/>
      <w:bookmarkStart w:id="25" w:name="_Toc98882284"/>
      <w:r w:rsidRPr="0044388E">
        <w:lastRenderedPageBreak/>
        <w:t>Overview</w:t>
      </w:r>
      <w:bookmarkEnd w:id="15"/>
      <w:bookmarkEnd w:id="16"/>
      <w:bookmarkEnd w:id="17"/>
      <w:bookmarkEnd w:id="18"/>
      <w:bookmarkEnd w:id="19"/>
      <w:bookmarkEnd w:id="20"/>
      <w:bookmarkEnd w:id="21"/>
      <w:bookmarkEnd w:id="22"/>
      <w:bookmarkEnd w:id="23"/>
      <w:bookmarkEnd w:id="24"/>
      <w:bookmarkEnd w:id="25"/>
    </w:p>
    <w:p w14:paraId="7C0F82B0" w14:textId="77777777" w:rsidR="008B0FE9" w:rsidRDefault="008B0FE9" w:rsidP="0067139D">
      <w:pPr>
        <w:pStyle w:val="Heading2"/>
        <w:numPr>
          <w:ilvl w:val="1"/>
          <w:numId w:val="30"/>
        </w:numPr>
      </w:pPr>
      <w:bookmarkStart w:id="26" w:name="_Toc466884132"/>
      <w:bookmarkStart w:id="27" w:name="_Toc467505161"/>
      <w:bookmarkStart w:id="28" w:name="_Toc467745537"/>
      <w:bookmarkStart w:id="29" w:name="_Toc467759567"/>
      <w:bookmarkStart w:id="30" w:name="_Toc468204006"/>
      <w:bookmarkStart w:id="31" w:name="_Toc499220984"/>
      <w:bookmarkStart w:id="32" w:name="_Toc499290883"/>
      <w:bookmarkStart w:id="33" w:name="_Toc26278324"/>
      <w:bookmarkStart w:id="34" w:name="_Toc26370502"/>
      <w:bookmarkStart w:id="35" w:name="_Toc65145935"/>
      <w:bookmarkStart w:id="36" w:name="_Toc98882285"/>
      <w:r>
        <w:t>Purpose</w:t>
      </w:r>
      <w:bookmarkEnd w:id="26"/>
      <w:bookmarkEnd w:id="27"/>
      <w:bookmarkEnd w:id="28"/>
      <w:bookmarkEnd w:id="29"/>
      <w:bookmarkEnd w:id="30"/>
      <w:bookmarkEnd w:id="31"/>
      <w:bookmarkEnd w:id="32"/>
      <w:bookmarkEnd w:id="33"/>
      <w:bookmarkEnd w:id="34"/>
      <w:bookmarkEnd w:id="35"/>
      <w:bookmarkEnd w:id="36"/>
    </w:p>
    <w:p w14:paraId="7A15A5FA" w14:textId="7D8AF0A8" w:rsidR="008B0FE9" w:rsidRPr="000C2B61" w:rsidRDefault="008B0FE9" w:rsidP="008B0FE9">
      <w:pPr>
        <w:tabs>
          <w:tab w:val="left" w:pos="1162"/>
        </w:tabs>
        <w:spacing w:after="240" w:line="240" w:lineRule="auto"/>
        <w:ind w:right="-28"/>
        <w:rPr>
          <w:rFonts w:cs="Arial"/>
          <w:szCs w:val="20"/>
        </w:rPr>
      </w:pPr>
      <w:r w:rsidRPr="00985470">
        <w:rPr>
          <w:rFonts w:cs="Arial"/>
          <w:szCs w:val="20"/>
        </w:rPr>
        <w:t xml:space="preserve">This document has been produced as an accompaniment to the </w:t>
      </w:r>
      <w:r w:rsidRPr="005A1510">
        <w:rPr>
          <w:rFonts w:cs="Arial"/>
          <w:szCs w:val="20"/>
        </w:rPr>
        <w:t xml:space="preserve">National Efficient Price Determination </w:t>
      </w:r>
      <w:r w:rsidR="00CD2DA5" w:rsidRPr="005A1510">
        <w:rPr>
          <w:rFonts w:cs="Arial"/>
          <w:szCs w:val="20"/>
        </w:rPr>
        <w:t>202</w:t>
      </w:r>
      <w:r w:rsidR="00CD2DA5">
        <w:rPr>
          <w:rFonts w:cs="Arial"/>
          <w:szCs w:val="20"/>
        </w:rPr>
        <w:t>2</w:t>
      </w:r>
      <w:r w:rsidRPr="005A1510">
        <w:rPr>
          <w:rFonts w:cs="Arial"/>
          <w:szCs w:val="20"/>
        </w:rPr>
        <w:t>–</w:t>
      </w:r>
      <w:r w:rsidR="00CD2DA5" w:rsidRPr="005A1510">
        <w:rPr>
          <w:rFonts w:cs="Arial"/>
          <w:szCs w:val="20"/>
        </w:rPr>
        <w:t>2</w:t>
      </w:r>
      <w:r w:rsidR="00CD2DA5">
        <w:rPr>
          <w:rFonts w:cs="Arial"/>
          <w:szCs w:val="20"/>
        </w:rPr>
        <w:t>3</w:t>
      </w:r>
      <w:r w:rsidR="00CD2DA5" w:rsidRPr="00243145">
        <w:rPr>
          <w:rFonts w:cs="Arial"/>
          <w:szCs w:val="20"/>
        </w:rPr>
        <w:t xml:space="preserve"> </w:t>
      </w:r>
      <w:r w:rsidRPr="007040C9">
        <w:rPr>
          <w:rFonts w:cs="Arial"/>
          <w:szCs w:val="20"/>
        </w:rPr>
        <w:t>(</w:t>
      </w:r>
      <w:r w:rsidR="00CD2DA5">
        <w:rPr>
          <w:rFonts w:cs="Arial"/>
          <w:szCs w:val="20"/>
        </w:rPr>
        <w:t>NEP22</w:t>
      </w:r>
      <w:r w:rsidRPr="007040C9">
        <w:rPr>
          <w:rFonts w:cs="Arial"/>
          <w:szCs w:val="20"/>
        </w:rPr>
        <w:t xml:space="preserve">) and the </w:t>
      </w:r>
      <w:r w:rsidRPr="005A1510">
        <w:rPr>
          <w:rFonts w:cs="Arial"/>
          <w:szCs w:val="20"/>
        </w:rPr>
        <w:t xml:space="preserve">National Efficient Cost Determination </w:t>
      </w:r>
      <w:r w:rsidR="008F4659">
        <w:rPr>
          <w:rFonts w:cs="Arial"/>
          <w:szCs w:val="20"/>
        </w:rPr>
        <w:t>2022-23</w:t>
      </w:r>
      <w:r w:rsidR="004F3FAB" w:rsidRPr="00243145">
        <w:rPr>
          <w:rFonts w:cs="Arial"/>
          <w:szCs w:val="20"/>
        </w:rPr>
        <w:t xml:space="preserve"> </w:t>
      </w:r>
      <w:r w:rsidRPr="00EC1F9C">
        <w:rPr>
          <w:rFonts w:cs="Arial"/>
          <w:szCs w:val="20"/>
        </w:rPr>
        <w:t>(</w:t>
      </w:r>
      <w:r w:rsidR="004F3FAB" w:rsidRPr="00EC1F9C">
        <w:rPr>
          <w:rFonts w:cs="Arial"/>
          <w:szCs w:val="20"/>
        </w:rPr>
        <w:t>NEC2</w:t>
      </w:r>
      <w:r w:rsidR="00D04BEF">
        <w:rPr>
          <w:rFonts w:cs="Arial"/>
          <w:szCs w:val="20"/>
        </w:rPr>
        <w:t>2</w:t>
      </w:r>
      <w:r w:rsidRPr="00EC1F9C">
        <w:rPr>
          <w:rFonts w:cs="Arial"/>
          <w:szCs w:val="20"/>
        </w:rPr>
        <w:t>)</w:t>
      </w:r>
      <w:r w:rsidRPr="007040C9">
        <w:rPr>
          <w:rFonts w:cs="Arial"/>
          <w:szCs w:val="20"/>
        </w:rPr>
        <w:t xml:space="preserve">. It provides the technical specifications for how the Independent Hospital Pricing Authority (IHPA) developed the </w:t>
      </w:r>
      <w:r>
        <w:rPr>
          <w:rFonts w:cs="Arial"/>
          <w:szCs w:val="20"/>
        </w:rPr>
        <w:t>a</w:t>
      </w:r>
      <w:r w:rsidRPr="007040C9">
        <w:rPr>
          <w:rFonts w:cs="Arial"/>
          <w:szCs w:val="20"/>
        </w:rPr>
        <w:t xml:space="preserve">ctivity </w:t>
      </w:r>
      <w:r>
        <w:rPr>
          <w:rFonts w:cs="Arial"/>
          <w:szCs w:val="20"/>
        </w:rPr>
        <w:t>b</w:t>
      </w:r>
      <w:r w:rsidRPr="007040C9">
        <w:rPr>
          <w:rFonts w:cs="Arial"/>
          <w:szCs w:val="20"/>
        </w:rPr>
        <w:t xml:space="preserve">ased </w:t>
      </w:r>
      <w:r>
        <w:rPr>
          <w:rFonts w:cs="Arial"/>
          <w:szCs w:val="20"/>
        </w:rPr>
        <w:t>f</w:t>
      </w:r>
      <w:r w:rsidRPr="007040C9">
        <w:rPr>
          <w:rFonts w:cs="Arial"/>
          <w:szCs w:val="20"/>
        </w:rPr>
        <w:t xml:space="preserve">unding (ABF) models for the service streams to be funded on this basis from 1 July </w:t>
      </w:r>
      <w:r w:rsidR="00CD2DA5" w:rsidRPr="007040C9">
        <w:rPr>
          <w:rFonts w:cs="Arial"/>
          <w:szCs w:val="20"/>
        </w:rPr>
        <w:t>20</w:t>
      </w:r>
      <w:r w:rsidR="00CD2DA5">
        <w:rPr>
          <w:rFonts w:cs="Arial"/>
          <w:szCs w:val="20"/>
        </w:rPr>
        <w:t>22</w:t>
      </w:r>
      <w:r w:rsidRPr="007040C9">
        <w:rPr>
          <w:rFonts w:cs="Arial"/>
          <w:szCs w:val="20"/>
        </w:rPr>
        <w:t xml:space="preserve">, and provides guidance to hospitals, </w:t>
      </w:r>
      <w:r>
        <w:rPr>
          <w:rFonts w:cs="Arial"/>
          <w:szCs w:val="20"/>
        </w:rPr>
        <w:t>l</w:t>
      </w:r>
      <w:r w:rsidRPr="007040C9">
        <w:rPr>
          <w:rFonts w:cs="Arial"/>
          <w:szCs w:val="20"/>
        </w:rPr>
        <w:t xml:space="preserve">ocal </w:t>
      </w:r>
      <w:r>
        <w:rPr>
          <w:rFonts w:cs="Arial"/>
          <w:szCs w:val="20"/>
        </w:rPr>
        <w:t>hospital</w:t>
      </w:r>
      <w:r w:rsidRPr="007040C9">
        <w:rPr>
          <w:rFonts w:cs="Arial"/>
          <w:szCs w:val="20"/>
        </w:rPr>
        <w:t xml:space="preserve"> </w:t>
      </w:r>
      <w:r>
        <w:rPr>
          <w:rFonts w:cs="Arial"/>
          <w:szCs w:val="20"/>
        </w:rPr>
        <w:t>n</w:t>
      </w:r>
      <w:r w:rsidRPr="007040C9">
        <w:rPr>
          <w:rFonts w:cs="Arial"/>
          <w:szCs w:val="20"/>
        </w:rPr>
        <w:t>etworks (LHN)</w:t>
      </w:r>
      <w:r>
        <w:rPr>
          <w:rFonts w:cs="Arial"/>
          <w:szCs w:val="20"/>
        </w:rPr>
        <w:t>,</w:t>
      </w:r>
      <w:r w:rsidRPr="007040C9">
        <w:rPr>
          <w:rFonts w:cs="Arial"/>
          <w:szCs w:val="20"/>
        </w:rPr>
        <w:t xml:space="preserve"> and state and territory health authorities on how to apply these to hospital activity. </w:t>
      </w:r>
      <w:r w:rsidRPr="0012109E">
        <w:rPr>
          <w:rFonts w:cs="Arial"/>
          <w:szCs w:val="20"/>
        </w:rPr>
        <w:t xml:space="preserve">It also shows how the </w:t>
      </w:r>
      <w:r>
        <w:rPr>
          <w:rFonts w:cs="Arial"/>
          <w:szCs w:val="20"/>
        </w:rPr>
        <w:t xml:space="preserve">national efficient cost </w:t>
      </w:r>
      <w:r w:rsidR="00933BA6">
        <w:rPr>
          <w:rFonts w:cs="Arial"/>
          <w:szCs w:val="20"/>
        </w:rPr>
        <w:t>(NEC)</w:t>
      </w:r>
      <w:r>
        <w:rPr>
          <w:rFonts w:cs="Arial"/>
          <w:szCs w:val="20"/>
        </w:rPr>
        <w:t xml:space="preserve"> </w:t>
      </w:r>
      <w:r w:rsidRPr="0012109E">
        <w:rPr>
          <w:rFonts w:cs="Arial"/>
          <w:szCs w:val="20"/>
        </w:rPr>
        <w:t>is determined for hospitals (such as small rural hospitals) funded on a block</w:t>
      </w:r>
      <w:r w:rsidR="006C09A6">
        <w:rPr>
          <w:rFonts w:cs="Arial"/>
          <w:szCs w:val="20"/>
        </w:rPr>
        <w:t xml:space="preserve"> </w:t>
      </w:r>
      <w:r w:rsidRPr="0012109E">
        <w:rPr>
          <w:rFonts w:cs="Arial"/>
          <w:szCs w:val="20"/>
        </w:rPr>
        <w:t>funded basis.</w:t>
      </w:r>
    </w:p>
    <w:p w14:paraId="2B8D5465" w14:textId="77777777" w:rsidR="008B0FE9" w:rsidRDefault="008B0FE9" w:rsidP="0067139D">
      <w:pPr>
        <w:pStyle w:val="Heading2"/>
        <w:numPr>
          <w:ilvl w:val="1"/>
          <w:numId w:val="30"/>
        </w:numPr>
      </w:pPr>
      <w:bookmarkStart w:id="37" w:name="_Toc466884133"/>
      <w:bookmarkStart w:id="38" w:name="_Toc467505162"/>
      <w:bookmarkStart w:id="39" w:name="_Toc467745538"/>
      <w:bookmarkStart w:id="40" w:name="_Toc467759568"/>
      <w:bookmarkStart w:id="41" w:name="_Toc468204007"/>
      <w:bookmarkStart w:id="42" w:name="_Toc499220985"/>
      <w:bookmarkStart w:id="43" w:name="_Toc499290884"/>
      <w:bookmarkStart w:id="44" w:name="_Toc26278325"/>
      <w:bookmarkStart w:id="45" w:name="_Toc26370503"/>
      <w:bookmarkStart w:id="46" w:name="_Toc65145936"/>
      <w:bookmarkStart w:id="47" w:name="_Toc98882286"/>
      <w:r>
        <w:t>Background</w:t>
      </w:r>
      <w:bookmarkEnd w:id="37"/>
      <w:bookmarkEnd w:id="38"/>
      <w:bookmarkEnd w:id="39"/>
      <w:bookmarkEnd w:id="40"/>
      <w:bookmarkEnd w:id="41"/>
      <w:bookmarkEnd w:id="42"/>
      <w:bookmarkEnd w:id="43"/>
      <w:bookmarkEnd w:id="44"/>
      <w:bookmarkEnd w:id="45"/>
      <w:bookmarkEnd w:id="46"/>
      <w:bookmarkEnd w:id="47"/>
    </w:p>
    <w:p w14:paraId="67EB61CF" w14:textId="77777777" w:rsidR="008B0FE9" w:rsidRDefault="008B0FE9" w:rsidP="008B0FE9">
      <w:pPr>
        <w:tabs>
          <w:tab w:val="left" w:pos="1162"/>
        </w:tabs>
        <w:spacing w:line="240" w:lineRule="auto"/>
        <w:ind w:right="-28"/>
        <w:rPr>
          <w:rFonts w:cs="Arial"/>
          <w:szCs w:val="20"/>
        </w:rPr>
      </w:pPr>
      <w:r w:rsidRPr="002265FE">
        <w:rPr>
          <w:rFonts w:cs="Arial"/>
          <w:szCs w:val="20"/>
        </w:rPr>
        <w:t xml:space="preserve">The National Health </w:t>
      </w:r>
      <w:r w:rsidRPr="008776A2">
        <w:rPr>
          <w:rFonts w:cs="Arial"/>
          <w:szCs w:val="20"/>
        </w:rPr>
        <w:t xml:space="preserve">Reform </w:t>
      </w:r>
      <w:r w:rsidRPr="002265FE">
        <w:rPr>
          <w:rFonts w:cs="Arial"/>
          <w:szCs w:val="20"/>
        </w:rPr>
        <w:t>Agreement (NHRA) sets out the intention of the Australian Government</w:t>
      </w:r>
      <w:r>
        <w:rPr>
          <w:rFonts w:cs="Arial"/>
          <w:szCs w:val="20"/>
        </w:rPr>
        <w:t>,</w:t>
      </w:r>
      <w:r w:rsidRPr="002265FE">
        <w:rPr>
          <w:rFonts w:cs="Arial"/>
          <w:szCs w:val="20"/>
        </w:rPr>
        <w:t xml:space="preserve"> and state and territory governments to work in partnership to improve health outcomes for all Australians. One of the ways in which the </w:t>
      </w:r>
      <w:r>
        <w:rPr>
          <w:rFonts w:cs="Arial"/>
          <w:szCs w:val="20"/>
        </w:rPr>
        <w:t>NHRA</w:t>
      </w:r>
      <w:r w:rsidRPr="002265FE">
        <w:rPr>
          <w:rFonts w:cs="Arial"/>
          <w:szCs w:val="20"/>
        </w:rPr>
        <w:t xml:space="preserve"> aims to achieve this is through the implementation of national ABF</w:t>
      </w:r>
      <w:r w:rsidR="000F0832">
        <w:rPr>
          <w:rFonts w:cs="Arial"/>
          <w:szCs w:val="20"/>
        </w:rPr>
        <w:t xml:space="preserve"> funding arrangements</w:t>
      </w:r>
      <w:r w:rsidRPr="002265FE">
        <w:rPr>
          <w:rFonts w:cs="Arial"/>
          <w:szCs w:val="20"/>
        </w:rPr>
        <w:t>. The NHRA specifies that the central component of ABF is an independe</w:t>
      </w:r>
      <w:r>
        <w:rPr>
          <w:rFonts w:cs="Arial"/>
          <w:szCs w:val="20"/>
        </w:rPr>
        <w:t>ntly determined</w:t>
      </w:r>
      <w:r w:rsidRPr="002265FE">
        <w:rPr>
          <w:rFonts w:cs="Arial"/>
          <w:szCs w:val="20"/>
        </w:rPr>
        <w:t xml:space="preserve"> NEP</w:t>
      </w:r>
      <w:r>
        <w:rPr>
          <w:rFonts w:cs="Arial"/>
          <w:szCs w:val="20"/>
        </w:rPr>
        <w:t xml:space="preserve"> and NEC</w:t>
      </w:r>
      <w:r w:rsidRPr="002265FE">
        <w:rPr>
          <w:rFonts w:cs="Arial"/>
          <w:szCs w:val="20"/>
        </w:rPr>
        <w:t xml:space="preserve">, </w:t>
      </w:r>
      <w:r>
        <w:rPr>
          <w:rFonts w:cs="Arial"/>
          <w:szCs w:val="20"/>
        </w:rPr>
        <w:t>to be</w:t>
      </w:r>
      <w:r w:rsidRPr="002265FE">
        <w:rPr>
          <w:rFonts w:cs="Arial"/>
          <w:szCs w:val="20"/>
        </w:rPr>
        <w:t xml:space="preserve"> used as </w:t>
      </w:r>
      <w:r>
        <w:rPr>
          <w:rFonts w:cs="Arial"/>
          <w:szCs w:val="20"/>
        </w:rPr>
        <w:t>a</w:t>
      </w:r>
      <w:r w:rsidRPr="002265FE">
        <w:rPr>
          <w:rFonts w:cs="Arial"/>
          <w:szCs w:val="20"/>
        </w:rPr>
        <w:t xml:space="preserve"> reference for the Commonwealth to determine its funding contribution</w:t>
      </w:r>
      <w:r>
        <w:rPr>
          <w:rFonts w:cs="Arial"/>
          <w:szCs w:val="20"/>
        </w:rPr>
        <w:t xml:space="preserve"> for Australian public hospital services. </w:t>
      </w:r>
    </w:p>
    <w:p w14:paraId="4C14281A" w14:textId="10677A4F" w:rsidR="008B0FE9" w:rsidRPr="007040C9" w:rsidRDefault="008B0FE9" w:rsidP="008B0FE9">
      <w:pPr>
        <w:tabs>
          <w:tab w:val="left" w:pos="1162"/>
        </w:tabs>
        <w:spacing w:line="240" w:lineRule="auto"/>
        <w:ind w:right="-28"/>
        <w:rPr>
          <w:rFonts w:cs="Arial"/>
          <w:szCs w:val="20"/>
        </w:rPr>
      </w:pPr>
      <w:r w:rsidRPr="00C6741D">
        <w:rPr>
          <w:rFonts w:cs="Arial"/>
          <w:szCs w:val="20"/>
        </w:rPr>
        <w:t xml:space="preserve">IHPA </w:t>
      </w:r>
      <w:r>
        <w:rPr>
          <w:rFonts w:cs="Arial"/>
          <w:szCs w:val="20"/>
        </w:rPr>
        <w:t>is a key element of the NHRA, responsible for the national implementation of an ABF system and in determining the annual NEP and NEC for Australian public hospital services. IHPA was established as an</w:t>
      </w:r>
      <w:r w:rsidRPr="00C6741D">
        <w:rPr>
          <w:rFonts w:cs="Arial"/>
          <w:szCs w:val="20"/>
        </w:rPr>
        <w:t xml:space="preserve"> independent government agency under Commonwealth legislation on 15</w:t>
      </w:r>
      <w:r>
        <w:rPr>
          <w:rFonts w:cs="Arial"/>
          <w:szCs w:val="20"/>
        </w:rPr>
        <w:t> </w:t>
      </w:r>
      <w:r w:rsidRPr="00C6741D">
        <w:rPr>
          <w:rFonts w:cs="Arial"/>
          <w:szCs w:val="20"/>
        </w:rPr>
        <w:t>December 201</w:t>
      </w:r>
      <w:r>
        <w:rPr>
          <w:rFonts w:cs="Arial"/>
          <w:szCs w:val="20"/>
        </w:rPr>
        <w:t>1</w:t>
      </w:r>
      <w:r w:rsidRPr="007040C9">
        <w:rPr>
          <w:rFonts w:cs="Arial"/>
          <w:szCs w:val="20"/>
        </w:rPr>
        <w:t xml:space="preserve">. It has issued </w:t>
      </w:r>
      <w:r w:rsidR="00801368">
        <w:rPr>
          <w:rFonts w:cs="Arial"/>
          <w:szCs w:val="20"/>
        </w:rPr>
        <w:t xml:space="preserve">ten </w:t>
      </w:r>
      <w:r>
        <w:rPr>
          <w:rFonts w:cs="Arial"/>
          <w:szCs w:val="20"/>
        </w:rPr>
        <w:t xml:space="preserve">NEP Determinations annually since 2012–13 (NEP12) and </w:t>
      </w:r>
      <w:r w:rsidR="00801368">
        <w:rPr>
          <w:rFonts w:cs="Arial"/>
          <w:szCs w:val="20"/>
        </w:rPr>
        <w:t xml:space="preserve">nine </w:t>
      </w:r>
      <w:r>
        <w:rPr>
          <w:rFonts w:cs="Arial"/>
          <w:szCs w:val="20"/>
        </w:rPr>
        <w:t>NEC Determinations since 2013–14 (NEC13).</w:t>
      </w:r>
    </w:p>
    <w:p w14:paraId="3C53487C" w14:textId="56642B1B" w:rsidR="008B0FE9" w:rsidRPr="007040C9" w:rsidRDefault="006308F1" w:rsidP="008B0FE9">
      <w:pPr>
        <w:tabs>
          <w:tab w:val="left" w:pos="1162"/>
        </w:tabs>
        <w:spacing w:before="240" w:line="240" w:lineRule="auto"/>
        <w:ind w:right="-28"/>
        <w:rPr>
          <w:rFonts w:cs="Arial"/>
          <w:szCs w:val="20"/>
        </w:rPr>
      </w:pPr>
      <w:r>
        <w:rPr>
          <w:rFonts w:cs="Arial"/>
          <w:szCs w:val="20"/>
        </w:rPr>
        <w:t>The</w:t>
      </w:r>
      <w:r w:rsidR="008B0FE9" w:rsidRPr="007040C9">
        <w:rPr>
          <w:rFonts w:cs="Arial"/>
          <w:szCs w:val="20"/>
        </w:rPr>
        <w:t xml:space="preserve"> published NEP and</w:t>
      </w:r>
      <w:r w:rsidR="008B0FE9">
        <w:rPr>
          <w:rFonts w:cs="Arial"/>
          <w:szCs w:val="20"/>
        </w:rPr>
        <w:t xml:space="preserve"> NEC,</w:t>
      </w:r>
      <w:r w:rsidR="008B0FE9" w:rsidRPr="002265FE">
        <w:rPr>
          <w:rFonts w:cs="Arial"/>
          <w:szCs w:val="20"/>
        </w:rPr>
        <w:t xml:space="preserve"> </w:t>
      </w:r>
      <w:r>
        <w:rPr>
          <w:rFonts w:cs="Arial"/>
          <w:szCs w:val="20"/>
        </w:rPr>
        <w:t>set</w:t>
      </w:r>
      <w:r w:rsidR="00590D88">
        <w:rPr>
          <w:rFonts w:cs="Arial"/>
          <w:szCs w:val="20"/>
        </w:rPr>
        <w:t>s</w:t>
      </w:r>
      <w:r>
        <w:rPr>
          <w:rFonts w:cs="Arial"/>
          <w:szCs w:val="20"/>
        </w:rPr>
        <w:t xml:space="preserve"> </w:t>
      </w:r>
      <w:r w:rsidR="008B0FE9" w:rsidRPr="007040C9">
        <w:rPr>
          <w:rFonts w:cs="Arial"/>
          <w:szCs w:val="20"/>
        </w:rPr>
        <w:t xml:space="preserve">out the determinations for </w:t>
      </w:r>
      <w:r w:rsidR="00801368">
        <w:rPr>
          <w:rFonts w:cs="Arial"/>
          <w:szCs w:val="20"/>
        </w:rPr>
        <w:t>2022</w:t>
      </w:r>
      <w:r w:rsidR="008B0FE9">
        <w:rPr>
          <w:rFonts w:cs="Arial"/>
          <w:szCs w:val="20"/>
        </w:rPr>
        <w:t>–</w:t>
      </w:r>
      <w:r w:rsidR="00801368">
        <w:rPr>
          <w:rFonts w:cs="Arial"/>
          <w:szCs w:val="20"/>
        </w:rPr>
        <w:t>23</w:t>
      </w:r>
      <w:r w:rsidR="00801368" w:rsidRPr="007040C9">
        <w:rPr>
          <w:rFonts w:cs="Arial"/>
          <w:szCs w:val="20"/>
        </w:rPr>
        <w:t xml:space="preserve"> </w:t>
      </w:r>
      <w:r w:rsidR="008B0FE9" w:rsidRPr="007040C9">
        <w:rPr>
          <w:rFonts w:cs="Arial"/>
          <w:szCs w:val="20"/>
        </w:rPr>
        <w:t xml:space="preserve">in relation to each of </w:t>
      </w:r>
      <w:r>
        <w:rPr>
          <w:rFonts w:cs="Arial"/>
          <w:szCs w:val="20"/>
        </w:rPr>
        <w:t>IHPA’</w:t>
      </w:r>
      <w:r w:rsidR="008B0FE9" w:rsidRPr="007040C9">
        <w:rPr>
          <w:rFonts w:cs="Arial"/>
          <w:szCs w:val="20"/>
        </w:rPr>
        <w:t>s legislative functions, namely:</w:t>
      </w:r>
    </w:p>
    <w:p w14:paraId="62108B1F" w14:textId="77777777" w:rsidR="008B0FE9" w:rsidRPr="00EC1F9C" w:rsidRDefault="008B0FE9" w:rsidP="00887853">
      <w:pPr>
        <w:pStyle w:val="ListBullet"/>
      </w:pPr>
      <w:r w:rsidRPr="00EC1F9C">
        <w:t>The NEP for health care services provided by public hospitals where the services are funded on an activity basis.</w:t>
      </w:r>
    </w:p>
    <w:p w14:paraId="2FB60871" w14:textId="77777777" w:rsidR="008B0FE9" w:rsidRPr="00F56F7E" w:rsidRDefault="008B0FE9" w:rsidP="00887853">
      <w:pPr>
        <w:pStyle w:val="ListBullet"/>
      </w:pPr>
      <w:r w:rsidRPr="00F56F7E">
        <w:t xml:space="preserve">The NEC for health care services provided by public hospitals where the services are funded on a </w:t>
      </w:r>
      <w:r w:rsidR="006C09A6">
        <w:t xml:space="preserve">block </w:t>
      </w:r>
      <w:r>
        <w:t>funded</w:t>
      </w:r>
      <w:r w:rsidRPr="00F56F7E">
        <w:t xml:space="preserve"> basis.</w:t>
      </w:r>
    </w:p>
    <w:p w14:paraId="756EAB44" w14:textId="77777777" w:rsidR="008B0FE9" w:rsidRPr="00166F1E" w:rsidRDefault="008B0FE9" w:rsidP="00887853">
      <w:pPr>
        <w:pStyle w:val="ListBullet"/>
      </w:pPr>
      <w:r w:rsidRPr="00166F1E">
        <w:t>The development and specification of classification systems for health care and other services provided by public hospitals.</w:t>
      </w:r>
    </w:p>
    <w:p w14:paraId="31AD5633" w14:textId="77777777" w:rsidR="008B0FE9" w:rsidRPr="00D95E7F" w:rsidRDefault="008B0FE9" w:rsidP="00887853">
      <w:pPr>
        <w:pStyle w:val="ListBullet"/>
      </w:pPr>
      <w:r w:rsidRPr="00D95E7F">
        <w:t>Adjustments to the NEP to reflect legitimate and unavoidable variations in the costs of delivering health care services.</w:t>
      </w:r>
    </w:p>
    <w:p w14:paraId="61D0BE2A" w14:textId="77777777" w:rsidR="008B0FE9" w:rsidRPr="00166F1E" w:rsidRDefault="008B0FE9" w:rsidP="00887853">
      <w:pPr>
        <w:pStyle w:val="ListBullet"/>
      </w:pPr>
      <w:r w:rsidRPr="00D95E7F">
        <w:t xml:space="preserve">Except where otherwise agreed between the Commonwealth and a state or a territory </w:t>
      </w:r>
      <w:r w:rsidRPr="00EC1F9C">
        <w:t xml:space="preserve">— </w:t>
      </w:r>
      <w:r w:rsidR="00392156">
        <w:t xml:space="preserve">to determine </w:t>
      </w:r>
      <w:r w:rsidRPr="00F56F7E">
        <w:t>the public hospital functions that are to be part-funded in that state or territory by the Commonwealth</w:t>
      </w:r>
      <w:r w:rsidRPr="00166F1E">
        <w:t>.</w:t>
      </w:r>
    </w:p>
    <w:p w14:paraId="201C30B8" w14:textId="77777777" w:rsidR="008B0FE9" w:rsidRPr="00D95E7F" w:rsidRDefault="008B0FE9" w:rsidP="00887853">
      <w:pPr>
        <w:pStyle w:val="ListBullet"/>
      </w:pPr>
      <w:r w:rsidRPr="00D95E7F">
        <w:t>Publication of a report setting out the NEP and NEC for the coming year and any other information that would support the efficient funding of public hospitals.</w:t>
      </w:r>
    </w:p>
    <w:p w14:paraId="7485C60D" w14:textId="7CAF0124" w:rsidR="008B0FE9" w:rsidRDefault="008B0FE9" w:rsidP="0067139D">
      <w:pPr>
        <w:pStyle w:val="Heading2"/>
        <w:numPr>
          <w:ilvl w:val="1"/>
          <w:numId w:val="30"/>
        </w:numPr>
      </w:pPr>
      <w:bookmarkStart w:id="48" w:name="_Toc466884134"/>
      <w:bookmarkStart w:id="49" w:name="_Toc467505163"/>
      <w:bookmarkStart w:id="50" w:name="_Toc467745539"/>
      <w:bookmarkStart w:id="51" w:name="_Toc467759569"/>
      <w:bookmarkStart w:id="52" w:name="_Toc468204008"/>
      <w:bookmarkStart w:id="53" w:name="_Toc499220986"/>
      <w:bookmarkStart w:id="54" w:name="_Toc499290885"/>
      <w:bookmarkStart w:id="55" w:name="_Toc26278326"/>
      <w:bookmarkStart w:id="56" w:name="_Toc26370504"/>
      <w:bookmarkStart w:id="57" w:name="_Toc65145937"/>
      <w:bookmarkStart w:id="58" w:name="_Toc98882287"/>
      <w:r w:rsidRPr="00331761">
        <w:t xml:space="preserve">National </w:t>
      </w:r>
      <w:r>
        <w:t>e</w:t>
      </w:r>
      <w:r w:rsidRPr="00331761">
        <w:t xml:space="preserve">fficient </w:t>
      </w:r>
      <w:r>
        <w:t>p</w:t>
      </w:r>
      <w:r w:rsidRPr="00331761">
        <w:t xml:space="preserve">rice </w:t>
      </w:r>
      <w:r w:rsidR="006D7017">
        <w:t>2022</w:t>
      </w:r>
      <w:r>
        <w:t>–</w:t>
      </w:r>
      <w:r w:rsidR="006D7017">
        <w:t>23</w:t>
      </w:r>
      <w:r w:rsidR="006D7017" w:rsidRPr="00331761">
        <w:t xml:space="preserve"> </w:t>
      </w:r>
      <w:r w:rsidRPr="00331761">
        <w:t>process</w:t>
      </w:r>
      <w:bookmarkEnd w:id="48"/>
      <w:bookmarkEnd w:id="49"/>
      <w:bookmarkEnd w:id="50"/>
      <w:bookmarkEnd w:id="51"/>
      <w:bookmarkEnd w:id="52"/>
      <w:bookmarkEnd w:id="53"/>
      <w:bookmarkEnd w:id="54"/>
      <w:bookmarkEnd w:id="55"/>
      <w:bookmarkEnd w:id="56"/>
      <w:bookmarkEnd w:id="57"/>
      <w:bookmarkEnd w:id="58"/>
    </w:p>
    <w:p w14:paraId="4B0BDE4D" w14:textId="239B6974" w:rsidR="008B0FE9" w:rsidRDefault="008B0FE9" w:rsidP="00F41C22">
      <w:pPr>
        <w:spacing w:before="0" w:after="0" w:line="240" w:lineRule="auto"/>
        <w:rPr>
          <w:b/>
        </w:rPr>
      </w:pPr>
      <w:r>
        <w:t xml:space="preserve">The figure below outlines the </w:t>
      </w:r>
      <w:r w:rsidR="006D7017">
        <w:t xml:space="preserve">NEP22 </w:t>
      </w:r>
      <w:r>
        <w:t>process from development of classification systems to publishing the NEP and NEC Determinations</w:t>
      </w:r>
      <w:r w:rsidR="004F2017">
        <w:t xml:space="preserve"> for </w:t>
      </w:r>
      <w:r w:rsidR="006D7017">
        <w:t>2022</w:t>
      </w:r>
      <w:r w:rsidR="004F2017">
        <w:t>–</w:t>
      </w:r>
      <w:r w:rsidR="006D7017">
        <w:t>23</w:t>
      </w:r>
      <w:r>
        <w:t>.</w:t>
      </w:r>
    </w:p>
    <w:p w14:paraId="6569A5C8" w14:textId="74C0635C" w:rsidR="008B0FE9" w:rsidRDefault="008B0FE9" w:rsidP="003956B9">
      <w:pPr>
        <w:keepNext/>
        <w:spacing w:after="0" w:line="240" w:lineRule="auto"/>
        <w:rPr>
          <w:b/>
        </w:rPr>
      </w:pPr>
      <w:r w:rsidRPr="001A793E">
        <w:rPr>
          <w:b/>
        </w:rPr>
        <w:lastRenderedPageBreak/>
        <w:t xml:space="preserve">Figure </w:t>
      </w:r>
      <w:r w:rsidRPr="001A793E">
        <w:rPr>
          <w:b/>
          <w:noProof/>
        </w:rPr>
        <w:t>1</w:t>
      </w:r>
      <w:r w:rsidRPr="001A793E">
        <w:rPr>
          <w:b/>
        </w:rPr>
        <w:t xml:space="preserve">: Process to determine the </w:t>
      </w:r>
      <w:r>
        <w:rPr>
          <w:b/>
        </w:rPr>
        <w:t>n</w:t>
      </w:r>
      <w:r w:rsidRPr="001A793E">
        <w:rPr>
          <w:b/>
        </w:rPr>
        <w:t xml:space="preserve">ational </w:t>
      </w:r>
      <w:r>
        <w:rPr>
          <w:b/>
        </w:rPr>
        <w:t>e</w:t>
      </w:r>
      <w:r w:rsidRPr="001A793E">
        <w:rPr>
          <w:b/>
        </w:rPr>
        <w:t xml:space="preserve">fficient </w:t>
      </w:r>
      <w:r>
        <w:rPr>
          <w:b/>
        </w:rPr>
        <w:t>p</w:t>
      </w:r>
      <w:r w:rsidRPr="001A793E">
        <w:rPr>
          <w:b/>
        </w:rPr>
        <w:t xml:space="preserve">rice </w:t>
      </w:r>
      <w:r w:rsidR="006D7017">
        <w:rPr>
          <w:b/>
        </w:rPr>
        <w:t>2022</w:t>
      </w:r>
      <w:r>
        <w:rPr>
          <w:b/>
        </w:rPr>
        <w:t>–</w:t>
      </w:r>
      <w:r w:rsidR="006D7017">
        <w:rPr>
          <w:b/>
        </w:rPr>
        <w:t>23</w:t>
      </w:r>
    </w:p>
    <w:p w14:paraId="0C0430E7" w14:textId="345A445C" w:rsidR="00BA3C78" w:rsidRPr="003956B9" w:rsidRDefault="005C192F" w:rsidP="003956B9">
      <w:pPr>
        <w:keepNext/>
        <w:spacing w:after="0" w:line="240" w:lineRule="auto"/>
        <w:rPr>
          <w:b/>
          <w:u w:val="single"/>
        </w:rPr>
      </w:pPr>
      <w:r w:rsidRPr="003956B9">
        <w:rPr>
          <w:noProof/>
          <w:color w:val="2B579A"/>
          <w:shd w:val="clear" w:color="auto" w:fill="E6E6E6"/>
        </w:rPr>
        <w:drawing>
          <wp:inline distT="0" distB="0" distL="0" distR="0" wp14:anchorId="05FD5E3C" wp14:editId="0E3110D5">
            <wp:extent cx="6377049" cy="2860726"/>
            <wp:effectExtent l="0" t="0" r="5080" b="0"/>
            <wp:docPr id="283" name="Picture 2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84592" cy="2864110"/>
                    </a:xfrm>
                    <a:prstGeom prst="rect">
                      <a:avLst/>
                    </a:prstGeom>
                  </pic:spPr>
                </pic:pic>
              </a:graphicData>
            </a:graphic>
          </wp:inline>
        </w:drawing>
      </w:r>
    </w:p>
    <w:p w14:paraId="2109D122" w14:textId="77777777" w:rsidR="008B0FE9" w:rsidRPr="00EC1F9C" w:rsidRDefault="008B0FE9" w:rsidP="0067139D">
      <w:pPr>
        <w:pStyle w:val="Heading3"/>
        <w:numPr>
          <w:ilvl w:val="2"/>
          <w:numId w:val="30"/>
        </w:numPr>
      </w:pPr>
      <w:bookmarkStart w:id="59" w:name="_Toc467505164"/>
      <w:bookmarkStart w:id="60" w:name="_Toc467505165"/>
      <w:bookmarkStart w:id="61" w:name="_Toc467505166"/>
      <w:bookmarkStart w:id="62" w:name="_Toc25749969"/>
      <w:bookmarkStart w:id="63" w:name="_Toc25750152"/>
      <w:bookmarkStart w:id="64" w:name="_Toc25750335"/>
      <w:bookmarkStart w:id="65" w:name="_Toc25750518"/>
      <w:bookmarkStart w:id="66" w:name="_Toc25750701"/>
      <w:bookmarkStart w:id="67" w:name="_Toc467505167"/>
      <w:bookmarkStart w:id="68" w:name="_Toc467745540"/>
      <w:bookmarkStart w:id="69" w:name="_Toc468204009"/>
      <w:bookmarkStart w:id="70" w:name="_Toc499290886"/>
      <w:bookmarkEnd w:id="59"/>
      <w:bookmarkEnd w:id="60"/>
      <w:bookmarkEnd w:id="61"/>
      <w:bookmarkEnd w:id="62"/>
      <w:bookmarkEnd w:id="63"/>
      <w:bookmarkEnd w:id="64"/>
      <w:bookmarkEnd w:id="65"/>
      <w:bookmarkEnd w:id="66"/>
      <w:r w:rsidRPr="00EC1F9C">
        <w:t xml:space="preserve">Classification </w:t>
      </w:r>
      <w:bookmarkEnd w:id="67"/>
      <w:bookmarkEnd w:id="68"/>
      <w:bookmarkEnd w:id="69"/>
      <w:bookmarkEnd w:id="70"/>
      <w:r w:rsidRPr="00EC1F9C">
        <w:t>systems</w:t>
      </w:r>
    </w:p>
    <w:p w14:paraId="10A8D946" w14:textId="7F61A5DD" w:rsidR="008B0FE9" w:rsidRPr="00855ECB" w:rsidRDefault="008B0FE9" w:rsidP="008B0FE9">
      <w:pPr>
        <w:tabs>
          <w:tab w:val="left" w:pos="1162"/>
        </w:tabs>
        <w:spacing w:line="240" w:lineRule="auto"/>
        <w:ind w:right="-28"/>
        <w:rPr>
          <w:rFonts w:cs="Arial"/>
          <w:szCs w:val="20"/>
        </w:rPr>
      </w:pPr>
      <w:r>
        <w:rPr>
          <w:rFonts w:cs="Arial"/>
          <w:szCs w:val="20"/>
        </w:rPr>
        <w:t>One of the first stages is to classify the hospital activity under various systems dependent on the ABF service stream.</w:t>
      </w:r>
      <w:r w:rsidRPr="00855ECB">
        <w:rPr>
          <w:rFonts w:cs="Arial"/>
          <w:szCs w:val="20"/>
        </w:rPr>
        <w:t xml:space="preserve"> IHPA has collated activity and cost data for each of the ABF service streams to be funded on an activity basis in </w:t>
      </w:r>
      <w:r w:rsidR="006D7017">
        <w:rPr>
          <w:rFonts w:cs="Arial"/>
          <w:szCs w:val="20"/>
        </w:rPr>
        <w:t>2022</w:t>
      </w:r>
      <w:r>
        <w:rPr>
          <w:rFonts w:cs="Arial"/>
          <w:szCs w:val="20"/>
        </w:rPr>
        <w:t>–</w:t>
      </w:r>
      <w:r w:rsidR="006D7017">
        <w:rPr>
          <w:rFonts w:cs="Arial"/>
          <w:szCs w:val="20"/>
        </w:rPr>
        <w:t>23</w:t>
      </w:r>
      <w:r w:rsidRPr="00855ECB">
        <w:rPr>
          <w:rFonts w:cs="Arial"/>
          <w:szCs w:val="20"/>
        </w:rPr>
        <w:t>, as follows:</w:t>
      </w:r>
    </w:p>
    <w:p w14:paraId="38A416B1" w14:textId="77777777" w:rsidR="008B0FE9" w:rsidRPr="00855ECB" w:rsidRDefault="008B0FE9" w:rsidP="00887853">
      <w:pPr>
        <w:pStyle w:val="ListBullet"/>
      </w:pPr>
      <w:r>
        <w:t>A</w:t>
      </w:r>
      <w:r w:rsidRPr="00855ECB">
        <w:t>dmitted acute</w:t>
      </w:r>
    </w:p>
    <w:p w14:paraId="0A0749FD" w14:textId="77777777" w:rsidR="008B0FE9" w:rsidRPr="00855ECB" w:rsidDel="00A31A5F" w:rsidRDefault="008B0FE9" w:rsidP="00887853">
      <w:pPr>
        <w:pStyle w:val="ListBullet"/>
      </w:pPr>
      <w:r>
        <w:t>A</w:t>
      </w:r>
      <w:r w:rsidRPr="00855ECB">
        <w:t xml:space="preserve">dmitted </w:t>
      </w:r>
      <w:r w:rsidRPr="00855ECB" w:rsidDel="00A31A5F">
        <w:t>mental health</w:t>
      </w:r>
      <w:r w:rsidRPr="00855ECB">
        <w:t xml:space="preserve"> care</w:t>
      </w:r>
    </w:p>
    <w:p w14:paraId="54AE1F8A" w14:textId="77777777" w:rsidR="008B0FE9" w:rsidRPr="00855ECB" w:rsidRDefault="008B0FE9" w:rsidP="00887853">
      <w:pPr>
        <w:pStyle w:val="ListBullet"/>
      </w:pPr>
      <w:r>
        <w:t>A</w:t>
      </w:r>
      <w:r w:rsidRPr="00855ECB">
        <w:t>dmitted subacute and non-acute</w:t>
      </w:r>
    </w:p>
    <w:p w14:paraId="36FCC68D" w14:textId="0AD2E018" w:rsidR="008B0FE9" w:rsidRPr="00855ECB" w:rsidDel="00A31A5F" w:rsidRDefault="008B0FE9" w:rsidP="00887853">
      <w:pPr>
        <w:pStyle w:val="ListBullet"/>
      </w:pPr>
      <w:r>
        <w:t>E</w:t>
      </w:r>
      <w:r w:rsidRPr="00855ECB" w:rsidDel="00A31A5F">
        <w:t xml:space="preserve">mergency </w:t>
      </w:r>
      <w:r w:rsidRPr="00855ECB">
        <w:t>care</w:t>
      </w:r>
    </w:p>
    <w:p w14:paraId="1A59EBC3" w14:textId="32CB4BCA" w:rsidR="00A5151A" w:rsidRDefault="008B0FE9" w:rsidP="00887853">
      <w:pPr>
        <w:pStyle w:val="ListBullet"/>
      </w:pPr>
      <w:r>
        <w:t>N</w:t>
      </w:r>
      <w:r w:rsidRPr="00855ECB" w:rsidDel="00A31A5F">
        <w:t>on-admitted</w:t>
      </w:r>
      <w:r w:rsidR="00D04BEF">
        <w:t xml:space="preserve"> care</w:t>
      </w:r>
      <w:r w:rsidR="00E77DDB">
        <w:t>.</w:t>
      </w:r>
    </w:p>
    <w:p w14:paraId="06B657D5" w14:textId="77777777" w:rsidR="008B0FE9" w:rsidRDefault="008B0FE9" w:rsidP="008B0FE9">
      <w:pPr>
        <w:tabs>
          <w:tab w:val="left" w:pos="1162"/>
        </w:tabs>
        <w:spacing w:before="240" w:line="240" w:lineRule="auto"/>
        <w:ind w:right="-28"/>
        <w:rPr>
          <w:rFonts w:cs="Arial"/>
          <w:szCs w:val="20"/>
        </w:rPr>
      </w:pPr>
      <w:r w:rsidRPr="00852DD1">
        <w:rPr>
          <w:rFonts w:cs="Arial"/>
          <w:szCs w:val="20"/>
        </w:rPr>
        <w:t xml:space="preserve">Classification systems within each service stream are applied uniformly across all available data. Although these systems </w:t>
      </w:r>
      <w:r w:rsidR="0083204D">
        <w:rPr>
          <w:rFonts w:cs="Arial"/>
          <w:szCs w:val="20"/>
        </w:rPr>
        <w:t xml:space="preserve">are </w:t>
      </w:r>
      <w:r w:rsidRPr="00852DD1">
        <w:rPr>
          <w:rFonts w:cs="Arial"/>
          <w:szCs w:val="20"/>
        </w:rPr>
        <w:t>developed in part to explain variation in cost between different outputs within the stream, additional systematic variation still occurs. To account for this, various adjustments are</w:t>
      </w:r>
      <w:r>
        <w:rPr>
          <w:rFonts w:cs="Arial"/>
          <w:szCs w:val="20"/>
        </w:rPr>
        <w:t xml:space="preserve"> </w:t>
      </w:r>
      <w:r w:rsidRPr="00852DD1">
        <w:rPr>
          <w:rFonts w:cs="Arial"/>
          <w:szCs w:val="20"/>
        </w:rPr>
        <w:t>modelled and where justified, implemented into the models</w:t>
      </w:r>
      <w:r>
        <w:rPr>
          <w:rFonts w:cs="Arial"/>
          <w:szCs w:val="20"/>
        </w:rPr>
        <w:t xml:space="preserve">. </w:t>
      </w:r>
      <w:r w:rsidRPr="00FC3AC6">
        <w:rPr>
          <w:rFonts w:cs="Arial"/>
          <w:szCs w:val="20"/>
        </w:rPr>
        <w:t xml:space="preserve">The classification systems for each service stream and the source of its cost and activity data </w:t>
      </w:r>
      <w:r>
        <w:rPr>
          <w:rFonts w:cs="Arial"/>
          <w:szCs w:val="20"/>
        </w:rPr>
        <w:t xml:space="preserve">are outlined in </w:t>
      </w:r>
      <w:r w:rsidRPr="001E4AE7">
        <w:rPr>
          <w:rFonts w:cs="Arial"/>
          <w:b/>
          <w:szCs w:val="20"/>
        </w:rPr>
        <w:t>Appendix A</w:t>
      </w:r>
      <w:r w:rsidRPr="001E4AE7">
        <w:rPr>
          <w:rFonts w:cs="Arial"/>
          <w:szCs w:val="20"/>
        </w:rPr>
        <w:t>.</w:t>
      </w:r>
    </w:p>
    <w:p w14:paraId="1C543E81" w14:textId="77777777" w:rsidR="008B0FE9" w:rsidRPr="00EC1F9C" w:rsidRDefault="008B0FE9" w:rsidP="0067139D">
      <w:pPr>
        <w:pStyle w:val="Heading3"/>
        <w:numPr>
          <w:ilvl w:val="2"/>
          <w:numId w:val="30"/>
        </w:numPr>
      </w:pPr>
      <w:bookmarkStart w:id="71" w:name="_Toc467505168"/>
      <w:bookmarkStart w:id="72" w:name="_Toc467745541"/>
      <w:bookmarkStart w:id="73" w:name="_Toc468204010"/>
      <w:bookmarkStart w:id="74" w:name="_Toc499290887"/>
      <w:r w:rsidRPr="00EC1F9C">
        <w:t xml:space="preserve">Data </w:t>
      </w:r>
      <w:bookmarkEnd w:id="71"/>
      <w:bookmarkEnd w:id="72"/>
      <w:bookmarkEnd w:id="73"/>
      <w:bookmarkEnd w:id="74"/>
      <w:r w:rsidRPr="00EC1F9C">
        <w:t>preparation</w:t>
      </w:r>
    </w:p>
    <w:p w14:paraId="66EE9036" w14:textId="77777777" w:rsidR="008B0FE9" w:rsidRPr="00C26DC4" w:rsidRDefault="008B0FE9" w:rsidP="008B0FE9">
      <w:pPr>
        <w:tabs>
          <w:tab w:val="left" w:pos="1162"/>
        </w:tabs>
        <w:spacing w:line="240" w:lineRule="auto"/>
        <w:ind w:right="-28"/>
        <w:rPr>
          <w:rFonts w:cs="Arial"/>
          <w:szCs w:val="20"/>
        </w:rPr>
      </w:pPr>
      <w:r w:rsidRPr="00C26DC4">
        <w:rPr>
          <w:rFonts w:cs="Arial"/>
          <w:szCs w:val="20"/>
        </w:rPr>
        <w:t>An important part of the modelling process is the preliminary preparation of both the costing and activity data</w:t>
      </w:r>
      <w:r>
        <w:rPr>
          <w:rFonts w:cs="Arial"/>
          <w:szCs w:val="20"/>
        </w:rPr>
        <w:t xml:space="preserve">. </w:t>
      </w:r>
      <w:r w:rsidRPr="00C26DC4">
        <w:rPr>
          <w:rFonts w:cs="Arial"/>
          <w:szCs w:val="20"/>
        </w:rPr>
        <w:t>The essential steps in the data preparation process are:</w:t>
      </w:r>
    </w:p>
    <w:p w14:paraId="691F4E0B" w14:textId="77777777" w:rsidR="008B0FE9" w:rsidRPr="005B6421" w:rsidRDefault="008B0FE9" w:rsidP="00FE1EA1">
      <w:pPr>
        <w:pStyle w:val="ListParagraph"/>
        <w:numPr>
          <w:ilvl w:val="0"/>
          <w:numId w:val="11"/>
        </w:numPr>
      </w:pPr>
      <w:r w:rsidRPr="00357255">
        <w:t>A substantial validation process undertaken as the data are received from jurisdictions</w:t>
      </w:r>
      <w:r w:rsidRPr="005B6421">
        <w:t>.</w:t>
      </w:r>
    </w:p>
    <w:p w14:paraId="7101E172" w14:textId="759778AF" w:rsidR="006308F1" w:rsidRPr="001A7F2F" w:rsidRDefault="006308F1" w:rsidP="00FE1EA1">
      <w:pPr>
        <w:pStyle w:val="ListParagraph"/>
        <w:numPr>
          <w:ilvl w:val="0"/>
          <w:numId w:val="11"/>
        </w:numPr>
      </w:pPr>
      <w:r w:rsidRPr="000074ED">
        <w:t>Linking the National Hospital Cost Data Collection (</w:t>
      </w:r>
      <w:r w:rsidRPr="002C5BC2">
        <w:t>NHCDC)</w:t>
      </w:r>
      <w:r w:rsidRPr="00340A0E">
        <w:t xml:space="preserve"> cost file with the </w:t>
      </w:r>
      <w:r>
        <w:t>a</w:t>
      </w:r>
      <w:r w:rsidRPr="00230D94">
        <w:t xml:space="preserve">dmitted </w:t>
      </w:r>
      <w:r>
        <w:t>p</w:t>
      </w:r>
      <w:r w:rsidRPr="00230D94">
        <w:t xml:space="preserve">atient </w:t>
      </w:r>
      <w:r>
        <w:t>c</w:t>
      </w:r>
      <w:r w:rsidRPr="00230D94">
        <w:t xml:space="preserve">are </w:t>
      </w:r>
      <w:r w:rsidRPr="003D21BC">
        <w:t xml:space="preserve">activity file at the patient level (which has recorded a success rate of over </w:t>
      </w:r>
      <w:r w:rsidRPr="002D4A0B">
        <w:t>9</w:t>
      </w:r>
      <w:r w:rsidR="005A2D04">
        <w:t>7</w:t>
      </w:r>
      <w:r w:rsidRPr="002D4A0B">
        <w:t> per cent).</w:t>
      </w:r>
    </w:p>
    <w:p w14:paraId="7032D05E" w14:textId="77777777" w:rsidR="008B0FE9" w:rsidRPr="000074ED" w:rsidRDefault="008B0FE9" w:rsidP="00FE1EA1">
      <w:pPr>
        <w:pStyle w:val="ListParagraph"/>
        <w:numPr>
          <w:ilvl w:val="0"/>
          <w:numId w:val="11"/>
        </w:numPr>
      </w:pPr>
      <w:r w:rsidRPr="005B6421">
        <w:t>Matching mothers with unqualified neonates</w:t>
      </w:r>
      <w:r w:rsidRPr="00591D8C">
        <w:rPr>
          <w:rStyle w:val="FootnoteReference"/>
        </w:rPr>
        <w:footnoteReference w:id="2"/>
      </w:r>
      <w:r w:rsidRPr="00272A40">
        <w:t xml:space="preserve"> to ensure costs are properly attributed to the mothers</w:t>
      </w:r>
      <w:r w:rsidRPr="00FB0CA2">
        <w:t>.</w:t>
      </w:r>
    </w:p>
    <w:p w14:paraId="68708D06" w14:textId="77777777" w:rsidR="008B0FE9" w:rsidRPr="005B6421" w:rsidRDefault="008B0FE9" w:rsidP="00FE1EA1">
      <w:pPr>
        <w:pStyle w:val="ListParagraph"/>
        <w:numPr>
          <w:ilvl w:val="0"/>
          <w:numId w:val="11"/>
        </w:numPr>
      </w:pPr>
      <w:r w:rsidRPr="00E13791">
        <w:lastRenderedPageBreak/>
        <w:t>Identifying any differences in patient characteristics or operational data recorded across the two data</w:t>
      </w:r>
      <w:r>
        <w:t xml:space="preserve"> </w:t>
      </w:r>
      <w:r w:rsidRPr="00E13791">
        <w:t>sets and reconciling these where appr</w:t>
      </w:r>
      <w:r w:rsidRPr="005B6421">
        <w:t>opriate</w:t>
      </w:r>
      <w:r>
        <w:t>.</w:t>
      </w:r>
    </w:p>
    <w:p w14:paraId="40DF0828" w14:textId="77777777" w:rsidR="008B0FE9" w:rsidRPr="005B6421" w:rsidRDefault="008B0FE9" w:rsidP="00FE1EA1">
      <w:pPr>
        <w:pStyle w:val="ListParagraph"/>
        <w:numPr>
          <w:ilvl w:val="0"/>
          <w:numId w:val="11"/>
        </w:numPr>
      </w:pPr>
      <w:r w:rsidRPr="005B6421">
        <w:t>Where reported, removing blood costs and/or any identified amounts related to Commonwealth pharmaceutical payments.</w:t>
      </w:r>
    </w:p>
    <w:p w14:paraId="4748AC5D" w14:textId="4A4C5C59" w:rsidR="008B0FE9" w:rsidRPr="00CA35D8" w:rsidRDefault="008B0FE9" w:rsidP="008B0FE9">
      <w:pPr>
        <w:tabs>
          <w:tab w:val="left" w:pos="1162"/>
        </w:tabs>
        <w:spacing w:line="240" w:lineRule="auto"/>
        <w:ind w:right="-28"/>
      </w:pPr>
      <w:r w:rsidRPr="00FC3AC6">
        <w:rPr>
          <w:rFonts w:cs="Arial"/>
          <w:szCs w:val="20"/>
        </w:rPr>
        <w:t xml:space="preserve">The activity and cost data is sourced by IHPA from various national data collections and is supplemented by additional data provided by the states and territories. </w:t>
      </w:r>
      <w:r w:rsidRPr="00855ECB">
        <w:rPr>
          <w:rFonts w:cs="Arial"/>
          <w:szCs w:val="20"/>
        </w:rPr>
        <w:t>In consultation with jurisdictions</w:t>
      </w:r>
      <w:r w:rsidRPr="006314A5">
        <w:t xml:space="preserve">, IHPA has identified </w:t>
      </w:r>
      <w:r w:rsidR="003047C2" w:rsidRPr="003047C2">
        <w:rPr>
          <w:rFonts w:cs="Arial"/>
          <w:szCs w:val="20"/>
        </w:rPr>
        <w:t>388</w:t>
      </w:r>
      <w:r w:rsidR="003047C2" w:rsidRPr="00CA35D8">
        <w:t xml:space="preserve"> </w:t>
      </w:r>
      <w:r w:rsidRPr="00CA35D8">
        <w:t xml:space="preserve">hospitals to make up the ABF price model and </w:t>
      </w:r>
      <w:r w:rsidR="005544C4" w:rsidRPr="001D2EF6">
        <w:rPr>
          <w:rFonts w:cs="Arial"/>
          <w:szCs w:val="20"/>
        </w:rPr>
        <w:t>40</w:t>
      </w:r>
      <w:r w:rsidR="005544C4">
        <w:rPr>
          <w:rFonts w:cs="Arial"/>
          <w:szCs w:val="20"/>
        </w:rPr>
        <w:t>3</w:t>
      </w:r>
      <w:r w:rsidR="005544C4" w:rsidRPr="00CA35D8">
        <w:t xml:space="preserve"> </w:t>
      </w:r>
      <w:r w:rsidRPr="00CA35D8">
        <w:t xml:space="preserve">hospitals designated for </w:t>
      </w:r>
      <w:r w:rsidR="006F1C5A">
        <w:t xml:space="preserve">block </w:t>
      </w:r>
      <w:r>
        <w:t>funding</w:t>
      </w:r>
      <w:r w:rsidRPr="00CA35D8">
        <w:t xml:space="preserve">. Of the </w:t>
      </w:r>
      <w:r>
        <w:t>block-funded</w:t>
      </w:r>
      <w:r w:rsidRPr="00CA35D8">
        <w:t xml:space="preserve"> hospitals:</w:t>
      </w:r>
    </w:p>
    <w:p w14:paraId="4A0950B7" w14:textId="4E307A0D" w:rsidR="008B0FE9" w:rsidRPr="00C073B0" w:rsidRDefault="00277D98" w:rsidP="0067139D">
      <w:pPr>
        <w:pStyle w:val="ListBullet"/>
        <w:numPr>
          <w:ilvl w:val="0"/>
          <w:numId w:val="29"/>
        </w:numPr>
      </w:pPr>
      <w:r w:rsidRPr="00C073B0">
        <w:t>2</w:t>
      </w:r>
      <w:r>
        <w:t>3</w:t>
      </w:r>
      <w:r w:rsidRPr="00C073B0">
        <w:t xml:space="preserve"> </w:t>
      </w:r>
      <w:r w:rsidR="008B0FE9" w:rsidRPr="00C073B0">
        <w:t>are being treated separately as specialist psychiatric establishments</w:t>
      </w:r>
      <w:r w:rsidR="006C09A6" w:rsidRPr="00C073B0">
        <w:t>.</w:t>
      </w:r>
    </w:p>
    <w:p w14:paraId="626A49A8" w14:textId="77777777" w:rsidR="008B0FE9" w:rsidRPr="00C073B0" w:rsidRDefault="00862A3F" w:rsidP="0067139D">
      <w:pPr>
        <w:pStyle w:val="ListBullet"/>
        <w:numPr>
          <w:ilvl w:val="0"/>
          <w:numId w:val="29"/>
        </w:numPr>
      </w:pPr>
      <w:r>
        <w:t>Nine</w:t>
      </w:r>
      <w:r w:rsidR="00C073B0" w:rsidRPr="00C073B0">
        <w:t xml:space="preserve"> </w:t>
      </w:r>
      <w:r w:rsidR="008B0FE9" w:rsidRPr="00C073B0">
        <w:t>are major city hospitals</w:t>
      </w:r>
      <w:r w:rsidR="006C09A6" w:rsidRPr="00C073B0">
        <w:t>.</w:t>
      </w:r>
    </w:p>
    <w:p w14:paraId="22988F52" w14:textId="589B6319" w:rsidR="008B0FE9" w:rsidRPr="00C073B0" w:rsidRDefault="003047C2" w:rsidP="0067139D">
      <w:pPr>
        <w:pStyle w:val="ListBullet"/>
        <w:numPr>
          <w:ilvl w:val="0"/>
          <w:numId w:val="29"/>
        </w:numPr>
      </w:pPr>
      <w:r>
        <w:t>One which</w:t>
      </w:r>
      <w:r w:rsidRPr="00C073B0">
        <w:t xml:space="preserve"> </w:t>
      </w:r>
      <w:r w:rsidR="008B0FE9" w:rsidRPr="00C073B0">
        <w:t>do</w:t>
      </w:r>
      <w:r>
        <w:t>es</w:t>
      </w:r>
      <w:r w:rsidR="008B0FE9" w:rsidRPr="00C073B0">
        <w:t xml:space="preserve"> not fit the cost model structure</w:t>
      </w:r>
      <w:r w:rsidR="006C09A6" w:rsidRPr="00C073B0">
        <w:t>.</w:t>
      </w:r>
    </w:p>
    <w:p w14:paraId="51BEF5BC" w14:textId="77777777" w:rsidR="008B0FE9" w:rsidRPr="00C073B0" w:rsidRDefault="00584BA6" w:rsidP="0067139D">
      <w:pPr>
        <w:pStyle w:val="ListBullet"/>
        <w:numPr>
          <w:ilvl w:val="0"/>
          <w:numId w:val="29"/>
        </w:numPr>
      </w:pPr>
      <w:r w:rsidRPr="00C073B0">
        <w:t>37</w:t>
      </w:r>
      <w:r w:rsidR="00C073B0" w:rsidRPr="00C073B0">
        <w:t>0</w:t>
      </w:r>
      <w:r w:rsidRPr="00C073B0">
        <w:t xml:space="preserve"> </w:t>
      </w:r>
      <w:r w:rsidR="008B0FE9" w:rsidRPr="00C073B0">
        <w:t xml:space="preserve">hospitals comprise the </w:t>
      </w:r>
      <w:r w:rsidR="00451785" w:rsidRPr="00C073B0">
        <w:t xml:space="preserve">block-funded </w:t>
      </w:r>
      <w:r w:rsidR="008B0FE9" w:rsidRPr="00C073B0">
        <w:t>cost model.</w:t>
      </w:r>
      <w:r w:rsidR="008B0FE9" w:rsidRPr="00C073B0">
        <w:rPr>
          <w:rStyle w:val="FootnoteReference"/>
        </w:rPr>
        <w:footnoteReference w:id="3"/>
      </w:r>
    </w:p>
    <w:p w14:paraId="25E608F0" w14:textId="3A8BE29B" w:rsidR="008B0FE9" w:rsidRPr="00746358" w:rsidRDefault="008B0FE9" w:rsidP="008B0FE9">
      <w:pPr>
        <w:tabs>
          <w:tab w:val="left" w:pos="1162"/>
        </w:tabs>
        <w:spacing w:before="240" w:line="240" w:lineRule="auto"/>
        <w:ind w:right="-28"/>
      </w:pPr>
      <w:r w:rsidRPr="001E4AE7">
        <w:rPr>
          <w:rFonts w:cs="Arial"/>
          <w:b/>
          <w:szCs w:val="20"/>
        </w:rPr>
        <w:t>Appendix C</w:t>
      </w:r>
      <w:r w:rsidRPr="001D1B19">
        <w:rPr>
          <w:rFonts w:cs="Arial"/>
          <w:szCs w:val="20"/>
        </w:rPr>
        <w:t xml:space="preserve"> provides a summary of the </w:t>
      </w:r>
      <w:r>
        <w:rPr>
          <w:rFonts w:cs="Arial"/>
          <w:szCs w:val="20"/>
        </w:rPr>
        <w:t>NHCDC</w:t>
      </w:r>
      <w:r w:rsidRPr="001D1B19">
        <w:rPr>
          <w:rFonts w:cs="Arial"/>
          <w:szCs w:val="20"/>
        </w:rPr>
        <w:t xml:space="preserve"> Round </w:t>
      </w:r>
      <w:r w:rsidR="00823636">
        <w:rPr>
          <w:rFonts w:cs="Arial"/>
          <w:szCs w:val="20"/>
        </w:rPr>
        <w:t>24</w:t>
      </w:r>
      <w:r w:rsidR="00823636" w:rsidRPr="001D1B19">
        <w:rPr>
          <w:rFonts w:cs="Arial"/>
          <w:szCs w:val="20"/>
        </w:rPr>
        <w:t xml:space="preserve"> </w:t>
      </w:r>
      <w:r w:rsidRPr="001D1B19">
        <w:rPr>
          <w:rFonts w:cs="Arial"/>
          <w:szCs w:val="20"/>
        </w:rPr>
        <w:t xml:space="preserve">cost data received for </w:t>
      </w:r>
      <w:r w:rsidR="00823636" w:rsidRPr="001D1B19">
        <w:rPr>
          <w:rFonts w:cs="Arial"/>
          <w:szCs w:val="20"/>
        </w:rPr>
        <w:t>201</w:t>
      </w:r>
      <w:r w:rsidR="00823636">
        <w:rPr>
          <w:rFonts w:cs="Arial"/>
          <w:szCs w:val="20"/>
        </w:rPr>
        <w:t>9</w:t>
      </w:r>
      <w:r>
        <w:rPr>
          <w:rFonts w:cs="Arial"/>
          <w:szCs w:val="20"/>
        </w:rPr>
        <w:t>–</w:t>
      </w:r>
      <w:r w:rsidR="00823636">
        <w:rPr>
          <w:rFonts w:cs="Arial"/>
          <w:szCs w:val="20"/>
        </w:rPr>
        <w:t>20</w:t>
      </w:r>
      <w:r>
        <w:rPr>
          <w:rFonts w:cs="Arial"/>
          <w:szCs w:val="20"/>
        </w:rPr>
        <w:t>.</w:t>
      </w:r>
    </w:p>
    <w:p w14:paraId="04F19849" w14:textId="2BA97270" w:rsidR="008B0FE9" w:rsidRDefault="008B0FE9" w:rsidP="008B0FE9">
      <w:pPr>
        <w:tabs>
          <w:tab w:val="left" w:pos="1162"/>
        </w:tabs>
        <w:spacing w:before="240" w:line="240" w:lineRule="auto"/>
        <w:ind w:right="-28"/>
        <w:rPr>
          <w:rFonts w:cs="Arial"/>
          <w:szCs w:val="20"/>
        </w:rPr>
      </w:pPr>
      <w:r>
        <w:rPr>
          <w:rFonts w:cs="Arial"/>
          <w:szCs w:val="20"/>
        </w:rPr>
        <w:t xml:space="preserve">The next stage in the process is to develop the </w:t>
      </w:r>
      <w:r w:rsidR="00823636">
        <w:rPr>
          <w:rFonts w:cs="Arial"/>
          <w:szCs w:val="20"/>
        </w:rPr>
        <w:t>2019</w:t>
      </w:r>
      <w:r>
        <w:rPr>
          <w:rFonts w:cs="Arial"/>
          <w:szCs w:val="20"/>
        </w:rPr>
        <w:t>–</w:t>
      </w:r>
      <w:r w:rsidR="00823636">
        <w:rPr>
          <w:rFonts w:cs="Arial"/>
          <w:szCs w:val="20"/>
        </w:rPr>
        <w:t xml:space="preserve">20 </w:t>
      </w:r>
      <w:r>
        <w:rPr>
          <w:rFonts w:cs="Arial"/>
          <w:szCs w:val="20"/>
        </w:rPr>
        <w:t xml:space="preserve">cost models. This process includes deriving the cost profiles, adjustments and relative weights of classes within each service stream. Development of the individual cost models are explained in further detail in the corresponding sections of this document. </w:t>
      </w:r>
    </w:p>
    <w:p w14:paraId="436BEBBB" w14:textId="77777777" w:rsidR="008B0FE9" w:rsidRPr="00EC1F9C" w:rsidRDefault="008B0FE9" w:rsidP="0067139D">
      <w:pPr>
        <w:pStyle w:val="Heading3"/>
        <w:numPr>
          <w:ilvl w:val="2"/>
          <w:numId w:val="30"/>
        </w:numPr>
      </w:pPr>
      <w:bookmarkStart w:id="75" w:name="_Toc468204011"/>
      <w:bookmarkStart w:id="76" w:name="_Toc499290888"/>
      <w:r w:rsidRPr="00EC1F9C">
        <w:t xml:space="preserve">Conversion to a pricing </w:t>
      </w:r>
      <w:bookmarkEnd w:id="75"/>
      <w:bookmarkEnd w:id="76"/>
      <w:r w:rsidRPr="00EC1F9C">
        <w:t xml:space="preserve">model </w:t>
      </w:r>
    </w:p>
    <w:p w14:paraId="1E3F3C27" w14:textId="77777777" w:rsidR="008B0FE9" w:rsidRPr="00033F91" w:rsidRDefault="008B0FE9" w:rsidP="008B0FE9">
      <w:pPr>
        <w:spacing w:line="240" w:lineRule="auto"/>
        <w:rPr>
          <w:rFonts w:eastAsia="Calibri" w:cstheme="minorHAnsi"/>
        </w:rPr>
      </w:pPr>
      <w:r w:rsidRPr="00033F91">
        <w:rPr>
          <w:rFonts w:eastAsia="Calibri" w:cstheme="minorHAnsi"/>
        </w:rPr>
        <w:t>There are four steps in the transformation of each year’s cost model into its associated pricing model, namely:</w:t>
      </w:r>
    </w:p>
    <w:p w14:paraId="7AF36820" w14:textId="31A7C376" w:rsidR="008B0FE9" w:rsidRPr="005B6421" w:rsidRDefault="008B0FE9" w:rsidP="00FE1EA1">
      <w:pPr>
        <w:pStyle w:val="ListParagraph"/>
        <w:numPr>
          <w:ilvl w:val="0"/>
          <w:numId w:val="12"/>
        </w:numPr>
      </w:pPr>
      <w:r w:rsidRPr="00357255">
        <w:t>Identification and exclusion of costs and activity regarded un</w:t>
      </w:r>
      <w:r w:rsidRPr="005B6421">
        <w:t>der the NHRA as out</w:t>
      </w:r>
      <w:r w:rsidR="00064C88">
        <w:t>-</w:t>
      </w:r>
      <w:r w:rsidRPr="005B6421">
        <w:t>of</w:t>
      </w:r>
      <w:r w:rsidR="00064C88">
        <w:t>-</w:t>
      </w:r>
      <w:r w:rsidRPr="005B6421">
        <w:t>scope for the purpose of ABF.</w:t>
      </w:r>
    </w:p>
    <w:p w14:paraId="66EE8A29" w14:textId="77777777" w:rsidR="008B0FE9" w:rsidRPr="005B6421" w:rsidRDefault="008B0FE9" w:rsidP="00FE1EA1">
      <w:pPr>
        <w:pStyle w:val="ListParagraph"/>
        <w:numPr>
          <w:ilvl w:val="0"/>
          <w:numId w:val="12"/>
        </w:numPr>
      </w:pPr>
      <w:r w:rsidRPr="005B6421">
        <w:t>Derivation of a reference cost (or standardised mean) used to transform the cost model into a cost weight model.</w:t>
      </w:r>
    </w:p>
    <w:p w14:paraId="68372E85" w14:textId="77777777" w:rsidR="008B0FE9" w:rsidRPr="00272A40" w:rsidRDefault="008B0FE9" w:rsidP="00FE1EA1">
      <w:pPr>
        <w:pStyle w:val="ListParagraph"/>
        <w:numPr>
          <w:ilvl w:val="0"/>
          <w:numId w:val="12"/>
        </w:numPr>
      </w:pPr>
      <w:r w:rsidRPr="003A0EE0">
        <w:t>Derivation of an annual indexation rate used to inflate the cost mode</w:t>
      </w:r>
      <w:r w:rsidRPr="00272A40">
        <w:t xml:space="preserve">l to a level reflective of the estimated cost of delivering hospital services in the year of the pricing model. </w:t>
      </w:r>
    </w:p>
    <w:p w14:paraId="2800862D" w14:textId="77777777" w:rsidR="008B0FE9" w:rsidRDefault="008B0FE9" w:rsidP="00FE1EA1">
      <w:pPr>
        <w:pStyle w:val="ListParagraph"/>
        <w:numPr>
          <w:ilvl w:val="0"/>
          <w:numId w:val="12"/>
        </w:numPr>
      </w:pPr>
      <w:r w:rsidRPr="00FB0CA2">
        <w:t>Transformation of the cost model to the pricing model using the results of the previous three steps.</w:t>
      </w:r>
    </w:p>
    <w:p w14:paraId="3728285E" w14:textId="77777777" w:rsidR="00550102" w:rsidRDefault="008B0FE9" w:rsidP="00F41C22">
      <w:pPr>
        <w:tabs>
          <w:tab w:val="left" w:pos="1162"/>
        </w:tabs>
        <w:spacing w:after="0" w:line="240" w:lineRule="auto"/>
        <w:ind w:right="-28"/>
      </w:pPr>
      <w:r>
        <w:t xml:space="preserve">This is explained in further detail in </w:t>
      </w:r>
      <w:r w:rsidRPr="001E4AE7">
        <w:t>Section 7.</w:t>
      </w:r>
      <w:r>
        <w:t xml:space="preserve"> </w:t>
      </w:r>
      <w:r w:rsidR="00550102">
        <w:br w:type="page"/>
      </w:r>
    </w:p>
    <w:p w14:paraId="1AA16495" w14:textId="77777777" w:rsidR="00550102" w:rsidRPr="007B0A91" w:rsidRDefault="00550102" w:rsidP="00A33F7B">
      <w:pPr>
        <w:pStyle w:val="Heading1"/>
      </w:pPr>
      <w:bookmarkStart w:id="77" w:name="_Toc499220987"/>
      <w:bookmarkStart w:id="78" w:name="_Toc499290889"/>
      <w:bookmarkStart w:id="79" w:name="_Toc26278327"/>
      <w:bookmarkStart w:id="80" w:name="_Toc26370505"/>
      <w:bookmarkStart w:id="81" w:name="_Toc65145938"/>
      <w:bookmarkStart w:id="82" w:name="_Ref89169569"/>
      <w:bookmarkStart w:id="83" w:name="_Toc98882288"/>
      <w:r w:rsidRPr="007B0A91">
        <w:lastRenderedPageBreak/>
        <w:t>Admitted acute care cost model</w:t>
      </w:r>
      <w:bookmarkEnd w:id="77"/>
      <w:bookmarkEnd w:id="78"/>
      <w:bookmarkEnd w:id="79"/>
      <w:bookmarkEnd w:id="80"/>
      <w:bookmarkEnd w:id="81"/>
      <w:bookmarkEnd w:id="82"/>
      <w:bookmarkEnd w:id="83"/>
    </w:p>
    <w:p w14:paraId="3C9C7814" w14:textId="77777777" w:rsidR="00550102" w:rsidRPr="00DF7079" w:rsidRDefault="00550102" w:rsidP="00755433">
      <w:pPr>
        <w:pStyle w:val="Heading2"/>
      </w:pPr>
      <w:bookmarkStart w:id="84" w:name="_Toc26278328"/>
      <w:bookmarkStart w:id="85" w:name="_Toc26370506"/>
      <w:bookmarkStart w:id="86" w:name="_Toc65145939"/>
      <w:bookmarkStart w:id="87" w:name="_Toc98882289"/>
      <w:r w:rsidRPr="00DF7079">
        <w:t>General issues</w:t>
      </w:r>
      <w:bookmarkEnd w:id="84"/>
      <w:bookmarkEnd w:id="85"/>
      <w:bookmarkEnd w:id="86"/>
      <w:bookmarkEnd w:id="87"/>
    </w:p>
    <w:p w14:paraId="59B769D6" w14:textId="77777777" w:rsidR="00550102" w:rsidRPr="00EC1F9C" w:rsidRDefault="00550102" w:rsidP="00755433">
      <w:pPr>
        <w:pStyle w:val="Heading3"/>
      </w:pPr>
      <w:r w:rsidRPr="00EC1F9C">
        <w:t>Cost unit</w:t>
      </w:r>
    </w:p>
    <w:p w14:paraId="6C641706"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An ‘episode of </w:t>
      </w:r>
      <w:r w:rsidR="007B0682">
        <w:rPr>
          <w:rFonts w:cs="Arial"/>
          <w:szCs w:val="20"/>
        </w:rPr>
        <w:t xml:space="preserve">admitted </w:t>
      </w:r>
      <w:r w:rsidRPr="00DF7079">
        <w:rPr>
          <w:rFonts w:cs="Arial"/>
          <w:szCs w:val="20"/>
        </w:rPr>
        <w:t xml:space="preserve">patient care’ is the cost unit for admitted acute patients. It is </w:t>
      </w:r>
      <w:r w:rsidRPr="004E168D">
        <w:rPr>
          <w:rFonts w:cs="Arial"/>
          <w:szCs w:val="20"/>
        </w:rPr>
        <w:t>‘</w:t>
      </w:r>
      <w:r w:rsidRPr="00EC1F9C">
        <w:rPr>
          <w:rFonts w:cs="Arial"/>
          <w:szCs w:val="20"/>
        </w:rPr>
        <w:t>the period of admitted patient care… characterised by only one care type</w:t>
      </w:r>
      <w:r w:rsidRPr="004E168D">
        <w:rPr>
          <w:rFonts w:cs="Arial"/>
          <w:szCs w:val="20"/>
        </w:rPr>
        <w:t>’</w:t>
      </w:r>
      <w:r w:rsidRPr="00DF7079">
        <w:rPr>
          <w:rFonts w:cs="Arial"/>
          <w:szCs w:val="20"/>
        </w:rPr>
        <w:t xml:space="preserve">, and covers the period of care from admission to </w:t>
      </w:r>
      <w:r w:rsidR="007B0682">
        <w:rPr>
          <w:rFonts w:cs="Arial"/>
          <w:szCs w:val="20"/>
        </w:rPr>
        <w:t xml:space="preserve">separation </w:t>
      </w:r>
      <w:r>
        <w:rPr>
          <w:rFonts w:cs="Arial"/>
          <w:szCs w:val="20"/>
        </w:rPr>
        <w:t xml:space="preserve">[see Australian Institute of Health and Welfare’s Metadata </w:t>
      </w:r>
      <w:r w:rsidRPr="00F81E7F">
        <w:rPr>
          <w:rFonts w:cs="Arial"/>
          <w:szCs w:val="20"/>
        </w:rPr>
        <w:t>Online Registry</w:t>
      </w:r>
      <w:r>
        <w:rPr>
          <w:rFonts w:cs="Arial"/>
          <w:szCs w:val="20"/>
        </w:rPr>
        <w:t xml:space="preserve"> (METeOR) identifier </w:t>
      </w:r>
      <w:r w:rsidRPr="009D17A8">
        <w:rPr>
          <w:rFonts w:cs="Arial"/>
          <w:szCs w:val="20"/>
        </w:rPr>
        <w:t>268956</w:t>
      </w:r>
      <w:r>
        <w:rPr>
          <w:rFonts w:cs="Arial"/>
          <w:szCs w:val="20"/>
        </w:rPr>
        <w:t>].</w:t>
      </w:r>
    </w:p>
    <w:p w14:paraId="56D42AAD" w14:textId="77777777" w:rsidR="00550102" w:rsidRPr="00EC1F9C" w:rsidRDefault="00550102" w:rsidP="00755433">
      <w:pPr>
        <w:pStyle w:val="Heading3"/>
      </w:pPr>
      <w:r w:rsidRPr="00EC1F9C">
        <w:t>In-scope activity</w:t>
      </w:r>
    </w:p>
    <w:p w14:paraId="24762576" w14:textId="1E9801D0" w:rsidR="00550102" w:rsidRDefault="00324ACB" w:rsidP="00550102">
      <w:pPr>
        <w:tabs>
          <w:tab w:val="left" w:pos="1162"/>
        </w:tabs>
        <w:spacing w:before="240" w:line="240" w:lineRule="auto"/>
        <w:ind w:right="-28"/>
        <w:rPr>
          <w:rFonts w:cs="Arial"/>
        </w:rPr>
      </w:pPr>
      <w:r>
        <w:rPr>
          <w:rFonts w:cs="Arial"/>
        </w:rPr>
        <w:t xml:space="preserve">There are </w:t>
      </w:r>
      <w:r w:rsidR="00F44456">
        <w:rPr>
          <w:rFonts w:cs="Arial"/>
        </w:rPr>
        <w:t xml:space="preserve">three </w:t>
      </w:r>
      <w:r>
        <w:rPr>
          <w:rFonts w:cs="Arial"/>
        </w:rPr>
        <w:t xml:space="preserve">care types </w:t>
      </w:r>
      <w:r w:rsidR="001A2269">
        <w:rPr>
          <w:rFonts w:cs="Arial"/>
        </w:rPr>
        <w:t>used to inform the</w:t>
      </w:r>
      <w:r>
        <w:rPr>
          <w:rFonts w:cs="Arial"/>
        </w:rPr>
        <w:t xml:space="preserve"> </w:t>
      </w:r>
      <w:r w:rsidR="001A2269">
        <w:rPr>
          <w:rFonts w:cs="Arial"/>
        </w:rPr>
        <w:t>a</w:t>
      </w:r>
      <w:r w:rsidR="00550102" w:rsidRPr="6149E25A">
        <w:rPr>
          <w:rFonts w:cs="Arial"/>
        </w:rPr>
        <w:t xml:space="preserve">dmitted </w:t>
      </w:r>
      <w:r w:rsidR="001A2269">
        <w:rPr>
          <w:rFonts w:cs="Arial"/>
        </w:rPr>
        <w:t>acute cost model</w:t>
      </w:r>
      <w:r>
        <w:rPr>
          <w:rStyle w:val="FootnoteReference"/>
          <w:rFonts w:cs="Arial"/>
        </w:rPr>
        <w:footnoteReference w:id="4"/>
      </w:r>
      <w:r>
        <w:rPr>
          <w:rFonts w:cs="Arial"/>
        </w:rPr>
        <w:t>:</w:t>
      </w:r>
    </w:p>
    <w:p w14:paraId="6387E7F2" w14:textId="77777777" w:rsidR="00324ACB" w:rsidRPr="00324ACB" w:rsidRDefault="00324ACB" w:rsidP="00887853">
      <w:pPr>
        <w:pStyle w:val="ListBullet"/>
      </w:pPr>
      <w:r w:rsidRPr="00324ACB">
        <w:t>Acute care</w:t>
      </w:r>
    </w:p>
    <w:p w14:paraId="6FDA2513" w14:textId="77777777" w:rsidR="00324ACB" w:rsidRDefault="00324ACB" w:rsidP="00887853">
      <w:pPr>
        <w:pStyle w:val="ListBullet"/>
      </w:pPr>
      <w:r w:rsidRPr="00BE0AEB">
        <w:t>Newborn care</w:t>
      </w:r>
    </w:p>
    <w:p w14:paraId="41734414" w14:textId="77777777" w:rsidR="00324ACB" w:rsidRPr="00324ACB" w:rsidRDefault="00324ACB" w:rsidP="00887853">
      <w:pPr>
        <w:pStyle w:val="ListBullet"/>
      </w:pPr>
      <w:r w:rsidRPr="004926BD">
        <w:t>Other admitted patient care</w:t>
      </w:r>
      <w:r>
        <w:t>.</w:t>
      </w:r>
    </w:p>
    <w:p w14:paraId="7E079C03"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 xml:space="preserve">All episodes from all funding sources are included in the calculation of the cost weights. This approach is taken to ensure </w:t>
      </w:r>
      <w:r>
        <w:rPr>
          <w:rFonts w:cs="Arial"/>
          <w:szCs w:val="20"/>
        </w:rPr>
        <w:t xml:space="preserve">that </w:t>
      </w:r>
      <w:r w:rsidRPr="00DF7079">
        <w:rPr>
          <w:rFonts w:cs="Arial"/>
          <w:szCs w:val="20"/>
        </w:rPr>
        <w:t xml:space="preserve">the sample used for the development of </w:t>
      </w:r>
      <w:r>
        <w:rPr>
          <w:rFonts w:cs="Arial"/>
          <w:szCs w:val="20"/>
        </w:rPr>
        <w:t>national weighted activity unit (</w:t>
      </w:r>
      <w:r w:rsidRPr="00DF7079">
        <w:rPr>
          <w:rFonts w:cs="Arial"/>
          <w:szCs w:val="20"/>
        </w:rPr>
        <w:t>NWAU</w:t>
      </w:r>
      <w:r>
        <w:rPr>
          <w:rFonts w:cs="Arial"/>
          <w:szCs w:val="20"/>
        </w:rPr>
        <w:t>)</w:t>
      </w:r>
      <w:r w:rsidRPr="00DF7079">
        <w:rPr>
          <w:rFonts w:cs="Arial"/>
          <w:szCs w:val="20"/>
        </w:rPr>
        <w:t xml:space="preserve"> is maximised and reflects the overall costs for the hospital. Only in-scope </w:t>
      </w:r>
      <w:r>
        <w:rPr>
          <w:rFonts w:cs="Arial"/>
          <w:szCs w:val="20"/>
        </w:rPr>
        <w:t xml:space="preserve">admitted acute episodes and associated relevant costs </w:t>
      </w:r>
      <w:r w:rsidRPr="00DF7079">
        <w:rPr>
          <w:rFonts w:cs="Arial"/>
          <w:szCs w:val="20"/>
        </w:rPr>
        <w:t>are included in the calculation of the NEP</w:t>
      </w:r>
      <w:r>
        <w:rPr>
          <w:rFonts w:cs="Arial"/>
          <w:szCs w:val="20"/>
        </w:rPr>
        <w:t xml:space="preserve">, as described in </w:t>
      </w:r>
      <w:r w:rsidRPr="00FA6B46">
        <w:rPr>
          <w:rFonts w:cs="Arial"/>
          <w:szCs w:val="20"/>
        </w:rPr>
        <w:t>Section 7.</w:t>
      </w:r>
    </w:p>
    <w:p w14:paraId="04F91CC0" w14:textId="77777777" w:rsidR="00550102" w:rsidRPr="00EC1F9C" w:rsidRDefault="00550102" w:rsidP="00550102">
      <w:pPr>
        <w:spacing w:before="240" w:after="200" w:line="240" w:lineRule="auto"/>
        <w:rPr>
          <w:rFonts w:eastAsia="Arial"/>
          <w:b/>
          <w:color w:val="004220" w:themeColor="accent2" w:themeShade="80"/>
        </w:rPr>
      </w:pPr>
      <w:r w:rsidRPr="00EC1F9C">
        <w:rPr>
          <w:rFonts w:eastAsia="Arial"/>
          <w:b/>
          <w:color w:val="004220" w:themeColor="accent2" w:themeShade="80"/>
        </w:rPr>
        <w:t xml:space="preserve">In-scope costs </w:t>
      </w:r>
    </w:p>
    <w:p w14:paraId="63D09663" w14:textId="77777777" w:rsidR="00550102" w:rsidRPr="00DF7079" w:rsidRDefault="00550102" w:rsidP="00550102">
      <w:pPr>
        <w:tabs>
          <w:tab w:val="left" w:pos="1162"/>
        </w:tabs>
        <w:spacing w:line="240" w:lineRule="auto"/>
        <w:ind w:right="-28"/>
        <w:rPr>
          <w:rFonts w:cs="Arial"/>
          <w:szCs w:val="20"/>
        </w:rPr>
      </w:pPr>
      <w:r>
        <w:rPr>
          <w:rFonts w:cs="Arial"/>
          <w:szCs w:val="20"/>
        </w:rPr>
        <w:t xml:space="preserve">Factors impacting </w:t>
      </w:r>
      <w:r w:rsidRPr="00DF7079">
        <w:rPr>
          <w:rFonts w:cs="Arial"/>
          <w:szCs w:val="20"/>
        </w:rPr>
        <w:t>scope of costs include:</w:t>
      </w:r>
    </w:p>
    <w:p w14:paraId="54264D59" w14:textId="77777777" w:rsidR="00550102" w:rsidRPr="005479DC" w:rsidRDefault="00550102" w:rsidP="00887853">
      <w:pPr>
        <w:pStyle w:val="ListBullet"/>
      </w:pPr>
      <w:r w:rsidRPr="005479DC">
        <w:t>Costs associated with the admitted episode where a patient is admitted through an emergency department that is within the scope of ABF for emergency care. This component of cost is separated from the acute episode and funded through the emergency care funding model</w:t>
      </w:r>
      <w:r w:rsidR="006F1C5A" w:rsidRPr="005479DC">
        <w:t>.</w:t>
      </w:r>
    </w:p>
    <w:p w14:paraId="5C72330F" w14:textId="77777777" w:rsidR="00550102" w:rsidRPr="005479DC" w:rsidRDefault="00550102" w:rsidP="00887853">
      <w:pPr>
        <w:pStyle w:val="ListBullet"/>
      </w:pPr>
      <w:r w:rsidRPr="005479DC">
        <w:t>Depreciation and other capital costs</w:t>
      </w:r>
      <w:r w:rsidR="00BE0AEB" w:rsidRPr="005479DC" w:rsidDel="00BE0AEB">
        <w:t xml:space="preserve"> </w:t>
      </w:r>
      <w:r w:rsidRPr="005479DC">
        <w:t>(</w:t>
      </w:r>
      <w:r w:rsidR="006308F1">
        <w:t>including leases) where reported,</w:t>
      </w:r>
      <w:r w:rsidRPr="005479DC">
        <w:t xml:space="preserve"> are removed</w:t>
      </w:r>
      <w:r w:rsidR="006F1C5A" w:rsidRPr="005479DC">
        <w:t>.</w:t>
      </w:r>
    </w:p>
    <w:p w14:paraId="241DBD96" w14:textId="77777777" w:rsidR="00550102" w:rsidRPr="005479DC" w:rsidRDefault="00550102" w:rsidP="00887853">
      <w:pPr>
        <w:pStyle w:val="ListBullet"/>
      </w:pPr>
      <w:r w:rsidRPr="005479DC">
        <w:t>Indirect costs for teaching, training and research (TTR) are included, but an</w:t>
      </w:r>
      <w:r w:rsidR="006308F1">
        <w:t>y direct TTR costs are excluded</w:t>
      </w:r>
      <w:r w:rsidR="006F1C5A" w:rsidRPr="005479DC">
        <w:t>.</w:t>
      </w:r>
    </w:p>
    <w:p w14:paraId="7A9DEFCD" w14:textId="1BBCF455" w:rsidR="00550102" w:rsidRPr="005479DC" w:rsidRDefault="00550102" w:rsidP="00887853">
      <w:pPr>
        <w:pStyle w:val="ListBullet"/>
      </w:pPr>
      <w:r w:rsidRPr="005479DC">
        <w:t xml:space="preserve">Identified blood costs and Commonwealth </w:t>
      </w:r>
      <w:r w:rsidR="006308F1">
        <w:t>pharmaceutical payments are</w:t>
      </w:r>
      <w:r w:rsidRPr="005479DC">
        <w:t xml:space="preserve"> removed.</w:t>
      </w:r>
    </w:p>
    <w:p w14:paraId="23FEF5FE" w14:textId="15872B82" w:rsidR="00550102" w:rsidRPr="005479DC" w:rsidRDefault="323DEB60" w:rsidP="00887853">
      <w:pPr>
        <w:pStyle w:val="ListBullet"/>
      </w:pPr>
      <w:r>
        <w:t xml:space="preserve">State </w:t>
      </w:r>
      <w:r w:rsidR="00F979A4">
        <w:t>P</w:t>
      </w:r>
      <w:r>
        <w:t xml:space="preserve">ublic </w:t>
      </w:r>
      <w:r w:rsidR="00F979A4">
        <w:t>H</w:t>
      </w:r>
      <w:r>
        <w:t xml:space="preserve">ealth </w:t>
      </w:r>
      <w:r w:rsidR="00F979A4">
        <w:t>P</w:t>
      </w:r>
      <w:r>
        <w:t xml:space="preserve">ayments are removed. </w:t>
      </w:r>
    </w:p>
    <w:p w14:paraId="072FC43A" w14:textId="77777777" w:rsidR="00550102" w:rsidRPr="00EC1F9C" w:rsidRDefault="00550102" w:rsidP="00755433">
      <w:pPr>
        <w:pStyle w:val="Heading3"/>
      </w:pPr>
      <w:r w:rsidRPr="00EC1F9C">
        <w:t>Classification</w:t>
      </w:r>
    </w:p>
    <w:p w14:paraId="4E87AC54" w14:textId="32F8323C" w:rsidR="00550102" w:rsidRPr="00DF7079" w:rsidRDefault="00550102" w:rsidP="00550102">
      <w:pPr>
        <w:tabs>
          <w:tab w:val="left" w:pos="1162"/>
        </w:tabs>
        <w:spacing w:line="240" w:lineRule="auto"/>
        <w:ind w:right="-28"/>
        <w:rPr>
          <w:rFonts w:cs="Arial"/>
          <w:szCs w:val="20"/>
        </w:rPr>
      </w:pPr>
      <w:r w:rsidRPr="00DF7079">
        <w:rPr>
          <w:rFonts w:cs="Arial"/>
          <w:szCs w:val="20"/>
        </w:rPr>
        <w:t>Australian Refined Diagnosis Related Groups (AR-DRGs) are used to classify admitted acute care. The version appli</w:t>
      </w:r>
      <w:r>
        <w:rPr>
          <w:rFonts w:cs="Arial"/>
          <w:szCs w:val="20"/>
        </w:rPr>
        <w:t>ed</w:t>
      </w:r>
      <w:r w:rsidRPr="00DF7079">
        <w:rPr>
          <w:rFonts w:cs="Arial"/>
          <w:szCs w:val="20"/>
        </w:rPr>
        <w:t xml:space="preserve"> for pricing in </w:t>
      </w:r>
      <w:r w:rsidR="009D271E" w:rsidRPr="00DF7079">
        <w:rPr>
          <w:rFonts w:cs="Arial"/>
          <w:szCs w:val="20"/>
        </w:rPr>
        <w:t>202</w:t>
      </w:r>
      <w:r w:rsidR="009D271E">
        <w:rPr>
          <w:rFonts w:cs="Arial"/>
          <w:szCs w:val="20"/>
        </w:rPr>
        <w:t>2</w:t>
      </w:r>
      <w:r>
        <w:rPr>
          <w:rFonts w:cs="Arial"/>
          <w:szCs w:val="20"/>
        </w:rPr>
        <w:t>–</w:t>
      </w:r>
      <w:r w:rsidR="009D271E">
        <w:rPr>
          <w:rFonts w:cs="Arial"/>
          <w:szCs w:val="20"/>
        </w:rPr>
        <w:t>23</w:t>
      </w:r>
      <w:r w:rsidR="009D271E" w:rsidRPr="00DF7079">
        <w:rPr>
          <w:rFonts w:cs="Arial"/>
          <w:szCs w:val="20"/>
        </w:rPr>
        <w:t xml:space="preserve"> </w:t>
      </w:r>
      <w:r w:rsidRPr="00DF7079">
        <w:rPr>
          <w:rFonts w:cs="Arial"/>
          <w:szCs w:val="20"/>
        </w:rPr>
        <w:t xml:space="preserve">is AR-DRG </w:t>
      </w:r>
      <w:r>
        <w:rPr>
          <w:rFonts w:cs="Arial"/>
          <w:szCs w:val="20"/>
        </w:rPr>
        <w:t>Version 10.0</w:t>
      </w:r>
      <w:r w:rsidRPr="00DF7079">
        <w:rPr>
          <w:rFonts w:cs="Arial"/>
          <w:szCs w:val="20"/>
        </w:rPr>
        <w:t>.</w:t>
      </w:r>
    </w:p>
    <w:p w14:paraId="45EAE264" w14:textId="77777777" w:rsidR="00550102" w:rsidRPr="00C95688" w:rsidRDefault="00550102" w:rsidP="00755433">
      <w:pPr>
        <w:pStyle w:val="Heading2"/>
      </w:pPr>
      <w:bookmarkStart w:id="88" w:name="_Toc26278329"/>
      <w:bookmarkStart w:id="89" w:name="_Toc26370507"/>
      <w:bookmarkStart w:id="90" w:name="_Toc65145940"/>
      <w:bookmarkStart w:id="91" w:name="_Toc98882290"/>
      <w:r w:rsidRPr="000A4A79">
        <w:lastRenderedPageBreak/>
        <w:t>Analysis</w:t>
      </w:r>
      <w:r w:rsidRPr="00C95688">
        <w:t xml:space="preserve"> of costs to derive NWAU for admitted acute care</w:t>
      </w:r>
      <w:bookmarkEnd w:id="88"/>
      <w:bookmarkEnd w:id="89"/>
      <w:bookmarkEnd w:id="90"/>
      <w:bookmarkEnd w:id="91"/>
    </w:p>
    <w:p w14:paraId="5EFBE1EE"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This section provides an overview of the steps involved in developing the NWAU for admitted acute care. Detailed information in relation to each of the components of the model is included below. In summary, the steps involved in developing the NWAU for admitted acute care are:</w:t>
      </w:r>
    </w:p>
    <w:p w14:paraId="00174BDE" w14:textId="77777777" w:rsidR="00550102" w:rsidRPr="00DF7079" w:rsidRDefault="00550102" w:rsidP="004D01E2">
      <w:pPr>
        <w:pStyle w:val="ListParagraph"/>
        <w:numPr>
          <w:ilvl w:val="0"/>
          <w:numId w:val="40"/>
        </w:numPr>
      </w:pPr>
      <w:r w:rsidRPr="00DF7079">
        <w:t>Prepare data</w:t>
      </w:r>
      <w:r>
        <w:t>,</w:t>
      </w:r>
      <w:r w:rsidRPr="00DF7079">
        <w:t xml:space="preserve"> including the removal of other Commonwealth expenditure (in particular the pharmaceutical and blood programs)</w:t>
      </w:r>
      <w:r w:rsidR="006F1C5A">
        <w:t>.</w:t>
      </w:r>
    </w:p>
    <w:p w14:paraId="18C6466A" w14:textId="77777777" w:rsidR="00550102" w:rsidRPr="00DF7079" w:rsidRDefault="00550102" w:rsidP="004D01E2">
      <w:pPr>
        <w:pStyle w:val="ListParagraph"/>
        <w:numPr>
          <w:ilvl w:val="0"/>
          <w:numId w:val="40"/>
        </w:numPr>
      </w:pPr>
      <w:r w:rsidRPr="00DF7079">
        <w:t>Incorporate posthumous organ donation activity costs</w:t>
      </w:r>
      <w:r w:rsidR="006F1C5A">
        <w:t>.</w:t>
      </w:r>
    </w:p>
    <w:p w14:paraId="0987FDEB" w14:textId="77777777" w:rsidR="00550102" w:rsidRPr="00DF7079" w:rsidRDefault="00550102" w:rsidP="004D01E2">
      <w:pPr>
        <w:pStyle w:val="ListParagraph"/>
        <w:numPr>
          <w:ilvl w:val="0"/>
          <w:numId w:val="40"/>
        </w:numPr>
      </w:pPr>
      <w:r w:rsidRPr="00DF7079">
        <w:t>In</w:t>
      </w:r>
      <w:r>
        <w:t xml:space="preserve">corporate private patient costs </w:t>
      </w:r>
      <w:r w:rsidR="00C74658">
        <w:t xml:space="preserve">from </w:t>
      </w:r>
      <w:r w:rsidR="002C66DC" w:rsidRPr="004D01E2">
        <w:rPr>
          <w:rFonts w:cs="Arial"/>
        </w:rPr>
        <w:t xml:space="preserve">hospital casemix protocol (HCP) </w:t>
      </w:r>
      <w:r w:rsidR="00C74658">
        <w:t xml:space="preserve">data </w:t>
      </w:r>
      <w:r>
        <w:t>where there is eviden</w:t>
      </w:r>
      <w:r w:rsidR="00034D37">
        <w:t xml:space="preserve">ce they have not been provided </w:t>
      </w:r>
      <w:r>
        <w:t>as part of the NHCDC</w:t>
      </w:r>
      <w:r w:rsidR="006F1C5A">
        <w:t>.</w:t>
      </w:r>
    </w:p>
    <w:p w14:paraId="4124E45A" w14:textId="77777777" w:rsidR="00550102" w:rsidRPr="00DF7079" w:rsidRDefault="00550102" w:rsidP="004D01E2">
      <w:pPr>
        <w:pStyle w:val="ListParagraph"/>
        <w:numPr>
          <w:ilvl w:val="0"/>
          <w:numId w:val="40"/>
        </w:numPr>
      </w:pPr>
      <w:r w:rsidRPr="00DF7079">
        <w:t>Stratify and weight cost data to activity data</w:t>
      </w:r>
      <w:r w:rsidR="006F1C5A">
        <w:t>.</w:t>
      </w:r>
    </w:p>
    <w:p w14:paraId="3F591905" w14:textId="77777777" w:rsidR="00550102" w:rsidRPr="00DF7079" w:rsidRDefault="00550102" w:rsidP="004D01E2">
      <w:pPr>
        <w:pStyle w:val="ListParagraph"/>
        <w:numPr>
          <w:ilvl w:val="0"/>
          <w:numId w:val="40"/>
        </w:numPr>
      </w:pPr>
      <w:r w:rsidRPr="00DF7079">
        <w:t>Calculate inlier bounds from activity data</w:t>
      </w:r>
      <w:r w:rsidR="006F1C5A">
        <w:t>.</w:t>
      </w:r>
    </w:p>
    <w:p w14:paraId="5821B1A7" w14:textId="77777777" w:rsidR="00550102" w:rsidRPr="00DF7079" w:rsidRDefault="00550102" w:rsidP="004D01E2">
      <w:pPr>
        <w:pStyle w:val="ListParagraph"/>
        <w:numPr>
          <w:ilvl w:val="0"/>
          <w:numId w:val="40"/>
        </w:numPr>
      </w:pPr>
      <w:r w:rsidRPr="00DF7079">
        <w:t>Classify episodes into relevant categories including inliers, short-stay and long-stay outliers, designated same-day AR-DRGs, paediatric status, Indigenous status and remoteness area status, and establishments reporting radiotherapy procedures</w:t>
      </w:r>
      <w:r w:rsidR="006F1C5A">
        <w:t>.</w:t>
      </w:r>
    </w:p>
    <w:p w14:paraId="1FA92F88" w14:textId="77777777" w:rsidR="00550102" w:rsidRPr="00DF7079" w:rsidRDefault="00550102" w:rsidP="004D01E2">
      <w:pPr>
        <w:pStyle w:val="ListParagraph"/>
        <w:numPr>
          <w:ilvl w:val="0"/>
          <w:numId w:val="40"/>
        </w:numPr>
      </w:pPr>
      <w:r w:rsidRPr="00DF7079">
        <w:t xml:space="preserve">Determine cost level for </w:t>
      </w:r>
      <w:r>
        <w:t>intensive care unit (</w:t>
      </w:r>
      <w:r w:rsidRPr="00DF7079">
        <w:t>ICU</w:t>
      </w:r>
      <w:r>
        <w:t>)</w:t>
      </w:r>
      <w:r w:rsidRPr="00DF7079">
        <w:t xml:space="preserve"> adjustment and deduct associated costs</w:t>
      </w:r>
      <w:r w:rsidR="006F1C5A">
        <w:t>.</w:t>
      </w:r>
    </w:p>
    <w:p w14:paraId="38914268" w14:textId="77777777" w:rsidR="00550102" w:rsidRPr="00DF7079" w:rsidRDefault="00550102" w:rsidP="004D01E2">
      <w:pPr>
        <w:pStyle w:val="ListParagraph"/>
        <w:numPr>
          <w:ilvl w:val="0"/>
          <w:numId w:val="40"/>
        </w:numPr>
      </w:pPr>
      <w:r w:rsidRPr="00DF7079">
        <w:t>Derive initial parameters for AR-DRG inlier/outlier model and ensure predicted costs align with actual costs by AR-DRG</w:t>
      </w:r>
      <w:r w:rsidR="006F1C5A">
        <w:t>.</w:t>
      </w:r>
    </w:p>
    <w:p w14:paraId="37AD6CFE" w14:textId="1FFF6F44" w:rsidR="00550102" w:rsidRPr="00DF7079" w:rsidRDefault="00550102" w:rsidP="004D01E2">
      <w:pPr>
        <w:pStyle w:val="ListParagraph"/>
        <w:numPr>
          <w:ilvl w:val="0"/>
          <w:numId w:val="40"/>
        </w:numPr>
      </w:pPr>
      <w:r w:rsidRPr="00DF7079">
        <w:t>Derive paediatric adjustment, Indigenous adjustment, remoteness adjustment, radiotherapy adjustment and dialysis adjustment</w:t>
      </w:r>
      <w:r w:rsidR="006F1C5A">
        <w:t>.</w:t>
      </w:r>
    </w:p>
    <w:p w14:paraId="133B249E" w14:textId="77777777" w:rsidR="00550102" w:rsidRPr="00DF7079" w:rsidRDefault="00550102" w:rsidP="004D01E2">
      <w:pPr>
        <w:pStyle w:val="ListParagraph"/>
        <w:numPr>
          <w:ilvl w:val="0"/>
          <w:numId w:val="40"/>
        </w:numPr>
      </w:pPr>
      <w:r w:rsidRPr="00DF7079">
        <w:t>Derive private patient service adjustment and private patient accommodation adjustment</w:t>
      </w:r>
      <w:r w:rsidR="006F1C5A">
        <w:t>.</w:t>
      </w:r>
    </w:p>
    <w:p w14:paraId="5EF87ACB" w14:textId="77777777" w:rsidR="00550102" w:rsidRPr="00DF7079" w:rsidRDefault="00550102" w:rsidP="004D01E2">
      <w:pPr>
        <w:pStyle w:val="ListParagraph"/>
        <w:numPr>
          <w:ilvl w:val="0"/>
          <w:numId w:val="40"/>
        </w:numPr>
      </w:pPr>
      <w:r w:rsidRPr="00DF7079">
        <w:t>Incorporate data trimmed in data preparation process (outlier samples of cost data)</w:t>
      </w:r>
      <w:r w:rsidR="006F1C5A">
        <w:t>.</w:t>
      </w:r>
    </w:p>
    <w:p w14:paraId="7D8B9CD4" w14:textId="77777777" w:rsidR="00550102" w:rsidRPr="00DF7079" w:rsidRDefault="00550102" w:rsidP="004D01E2">
      <w:pPr>
        <w:pStyle w:val="ListParagraph"/>
        <w:numPr>
          <w:ilvl w:val="0"/>
          <w:numId w:val="40"/>
        </w:numPr>
      </w:pPr>
      <w:r w:rsidRPr="00DF7079">
        <w:t xml:space="preserve">Convert </w:t>
      </w:r>
      <w:r>
        <w:t>price weight</w:t>
      </w:r>
      <w:r w:rsidRPr="00DF7079">
        <w:t>s and assign NWAU</w:t>
      </w:r>
      <w:r w:rsidR="006F1C5A">
        <w:t>.</w:t>
      </w:r>
    </w:p>
    <w:p w14:paraId="700C5E1C" w14:textId="77777777" w:rsidR="00550102" w:rsidRPr="00DF7079" w:rsidRDefault="00550102" w:rsidP="004D01E2">
      <w:pPr>
        <w:pStyle w:val="ListParagraph"/>
        <w:numPr>
          <w:ilvl w:val="0"/>
          <w:numId w:val="40"/>
        </w:numPr>
      </w:pPr>
      <w:r w:rsidRPr="00DF7079">
        <w:t>Apply stabilisation of acute weights.</w:t>
      </w:r>
    </w:p>
    <w:p w14:paraId="258343FF" w14:textId="77777777" w:rsidR="00550102" w:rsidRDefault="00550102" w:rsidP="00550102">
      <w:pPr>
        <w:tabs>
          <w:tab w:val="left" w:pos="1162"/>
        </w:tabs>
        <w:spacing w:before="240"/>
        <w:ind w:right="-28"/>
        <w:rPr>
          <w:rFonts w:cs="Arial"/>
          <w:szCs w:val="20"/>
        </w:rPr>
      </w:pPr>
      <w:r w:rsidRPr="00DF7079">
        <w:rPr>
          <w:rFonts w:cs="Arial"/>
          <w:szCs w:val="20"/>
        </w:rPr>
        <w:t xml:space="preserve">These steps are described in further detail </w:t>
      </w:r>
      <w:r w:rsidR="004808C2">
        <w:rPr>
          <w:rFonts w:cs="Arial"/>
          <w:szCs w:val="20"/>
        </w:rPr>
        <w:t>in the following sections</w:t>
      </w:r>
      <w:r>
        <w:rPr>
          <w:rFonts w:cs="Arial"/>
          <w:szCs w:val="20"/>
        </w:rPr>
        <w:t>.</w:t>
      </w:r>
    </w:p>
    <w:p w14:paraId="37D44FCD" w14:textId="77777777" w:rsidR="00550102" w:rsidRPr="00EC1F9C" w:rsidRDefault="00550102" w:rsidP="00755433">
      <w:pPr>
        <w:pStyle w:val="Heading3"/>
      </w:pPr>
      <w:r w:rsidRPr="00EC1F9C">
        <w:t>Data preparation</w:t>
      </w:r>
    </w:p>
    <w:p w14:paraId="67062DDB" w14:textId="56E02B95" w:rsidR="00550102" w:rsidRPr="00C10A78" w:rsidRDefault="00550102" w:rsidP="00550102">
      <w:pPr>
        <w:tabs>
          <w:tab w:val="left" w:pos="1162"/>
        </w:tabs>
        <w:spacing w:after="240" w:line="240" w:lineRule="auto"/>
        <w:ind w:right="-28"/>
        <w:rPr>
          <w:rFonts w:cs="Arial"/>
          <w:szCs w:val="20"/>
        </w:rPr>
      </w:pPr>
      <w:r w:rsidRPr="00DF7079">
        <w:rPr>
          <w:rFonts w:cs="Arial"/>
          <w:szCs w:val="20"/>
        </w:rPr>
        <w:t xml:space="preserve">The </w:t>
      </w:r>
      <w:r w:rsidR="00DE5307">
        <w:rPr>
          <w:rFonts w:cs="Arial"/>
          <w:szCs w:val="20"/>
        </w:rPr>
        <w:t>2019</w:t>
      </w:r>
      <w:r w:rsidR="00C10A78">
        <w:rPr>
          <w:rFonts w:cs="Arial"/>
          <w:szCs w:val="20"/>
        </w:rPr>
        <w:t>–</w:t>
      </w:r>
      <w:r w:rsidR="00DE5307">
        <w:rPr>
          <w:rFonts w:cs="Arial"/>
          <w:szCs w:val="20"/>
        </w:rPr>
        <w:t xml:space="preserve">20 </w:t>
      </w:r>
      <w:r w:rsidR="00C10A78">
        <w:rPr>
          <w:rFonts w:cs="Arial"/>
          <w:szCs w:val="20"/>
        </w:rPr>
        <w:t>NHCDC data are</w:t>
      </w:r>
      <w:r w:rsidRPr="00DF7079">
        <w:rPr>
          <w:rFonts w:cs="Arial"/>
          <w:szCs w:val="20"/>
        </w:rPr>
        <w:t xml:space="preserve"> first adjusted to remove those costs associated with spending under other Commonwealth programs. Costs associated with the Commonwea</w:t>
      </w:r>
      <w:r>
        <w:rPr>
          <w:rFonts w:cs="Arial"/>
          <w:szCs w:val="20"/>
        </w:rPr>
        <w:t>lth’s pharmaceutical programs a</w:t>
      </w:r>
      <w:r w:rsidRPr="00DF7079">
        <w:rPr>
          <w:rFonts w:cs="Arial"/>
          <w:szCs w:val="20"/>
        </w:rPr>
        <w:t>re identified by matching the NHCDC at the patient level with a record of the Commonwealth pharmaceutical payments. Th</w:t>
      </w:r>
      <w:r>
        <w:rPr>
          <w:rFonts w:cs="Arial"/>
          <w:szCs w:val="20"/>
        </w:rPr>
        <w:t>e residual unmatched payments a</w:t>
      </w:r>
      <w:r w:rsidRPr="00DF7079">
        <w:rPr>
          <w:rFonts w:cs="Arial"/>
          <w:szCs w:val="20"/>
        </w:rPr>
        <w:t>re apportioned according to the distribution of costs associated with the matched reco</w:t>
      </w:r>
      <w:r>
        <w:rPr>
          <w:rFonts w:cs="Arial"/>
          <w:szCs w:val="20"/>
        </w:rPr>
        <w:t>rds. All reported blood costs a</w:t>
      </w:r>
      <w:r w:rsidRPr="00DF7079">
        <w:rPr>
          <w:rFonts w:cs="Arial"/>
          <w:szCs w:val="20"/>
        </w:rPr>
        <w:t xml:space="preserve">re removed from the NHCDC. The amounts deducted from the reported costs are identified in Chapter 2 of the </w:t>
      </w:r>
      <w:r w:rsidRPr="00C10A78">
        <w:rPr>
          <w:rFonts w:cs="Arial"/>
          <w:szCs w:val="20"/>
        </w:rPr>
        <w:t xml:space="preserve">National Efficient Price Determination </w:t>
      </w:r>
      <w:r w:rsidR="00F17654" w:rsidRPr="00C10A78">
        <w:rPr>
          <w:rFonts w:cs="Arial"/>
          <w:szCs w:val="20"/>
        </w:rPr>
        <w:t>202</w:t>
      </w:r>
      <w:r w:rsidR="00F17654">
        <w:rPr>
          <w:rFonts w:cs="Arial"/>
          <w:szCs w:val="20"/>
        </w:rPr>
        <w:t>2</w:t>
      </w:r>
      <w:r w:rsidRPr="00C10A78">
        <w:rPr>
          <w:rFonts w:cs="Arial"/>
          <w:szCs w:val="20"/>
        </w:rPr>
        <w:t>–</w:t>
      </w:r>
      <w:r w:rsidR="00F17654" w:rsidRPr="00C10A78">
        <w:rPr>
          <w:rFonts w:cs="Arial"/>
          <w:szCs w:val="20"/>
        </w:rPr>
        <w:t>2</w:t>
      </w:r>
      <w:r w:rsidR="00F17654">
        <w:rPr>
          <w:rFonts w:cs="Arial"/>
          <w:szCs w:val="20"/>
        </w:rPr>
        <w:t>3</w:t>
      </w:r>
      <w:r w:rsidRPr="00C10A78">
        <w:rPr>
          <w:rFonts w:cs="Arial"/>
          <w:szCs w:val="20"/>
        </w:rPr>
        <w:t>.</w:t>
      </w:r>
    </w:p>
    <w:p w14:paraId="731A2836" w14:textId="77777777" w:rsidR="00550102" w:rsidRDefault="00550102" w:rsidP="005F1382">
      <w:pPr>
        <w:tabs>
          <w:tab w:val="left" w:pos="1162"/>
        </w:tabs>
        <w:spacing w:after="240" w:line="240" w:lineRule="auto"/>
        <w:ind w:right="-28"/>
        <w:rPr>
          <w:b/>
          <w:szCs w:val="20"/>
        </w:rPr>
      </w:pPr>
      <w:r w:rsidRPr="00DF7079">
        <w:t>Table</w:t>
      </w:r>
      <w:r>
        <w:rPr>
          <w:noProof/>
        </w:rPr>
        <w:t xml:space="preserve"> 1</w:t>
      </w:r>
      <w:r w:rsidRPr="00DF7079">
        <w:rPr>
          <w:rFonts w:cs="Arial"/>
          <w:szCs w:val="20"/>
        </w:rPr>
        <w:t xml:space="preserve"> shows the trimming stages and the number of episodes trimmed at each stage of the data preparation process.</w:t>
      </w:r>
    </w:p>
    <w:p w14:paraId="4D8590E9" w14:textId="77777777" w:rsidR="00550102" w:rsidRPr="005F4928" w:rsidRDefault="00550102" w:rsidP="00836FC5">
      <w:pPr>
        <w:pStyle w:val="TableHeading"/>
      </w:pPr>
      <w:r w:rsidRPr="005F4928">
        <w:lastRenderedPageBreak/>
        <w:t>Table 1: Number of episodes trimmed at each data preparation stage</w:t>
      </w:r>
    </w:p>
    <w:tbl>
      <w:tblPr>
        <w:tblStyle w:val="TableGrid"/>
        <w:tblW w:w="0" w:type="auto"/>
        <w:tblLook w:val="04A0" w:firstRow="1" w:lastRow="0" w:firstColumn="1" w:lastColumn="0" w:noHBand="0" w:noVBand="1"/>
        <w:tblCaption w:val="Table 2: Number of episodes trimmed at each data preparation stage."/>
      </w:tblPr>
      <w:tblGrid>
        <w:gridCol w:w="330"/>
        <w:gridCol w:w="6378"/>
        <w:gridCol w:w="1818"/>
      </w:tblGrid>
      <w:tr w:rsidR="00550102" w:rsidRPr="005F4928" w14:paraId="4069125A" w14:textId="77777777" w:rsidTr="00D7003C">
        <w:trPr>
          <w:trHeight w:val="288"/>
          <w:tblHeader/>
        </w:trPr>
        <w:tc>
          <w:tcPr>
            <w:tcW w:w="6708" w:type="dxa"/>
            <w:gridSpan w:val="2"/>
            <w:shd w:val="clear" w:color="auto" w:fill="288A32"/>
            <w:hideMark/>
          </w:tcPr>
          <w:p w14:paraId="181506B3" w14:textId="77777777" w:rsidR="00550102" w:rsidRPr="005F4928" w:rsidRDefault="00550102" w:rsidP="00550102">
            <w:pPr>
              <w:tabs>
                <w:tab w:val="left" w:pos="1162"/>
              </w:tabs>
              <w:spacing w:line="240" w:lineRule="auto"/>
              <w:ind w:right="-28"/>
              <w:rPr>
                <w:rFonts w:cs="Arial"/>
                <w:b/>
                <w:bCs/>
                <w:color w:val="FFFFFF"/>
                <w:sz w:val="20"/>
                <w:szCs w:val="20"/>
              </w:rPr>
            </w:pPr>
            <w:r w:rsidRPr="005F4928">
              <w:rPr>
                <w:rFonts w:cs="Arial"/>
                <w:b/>
                <w:bCs/>
                <w:color w:val="FFFFFF"/>
                <w:sz w:val="20"/>
                <w:szCs w:val="20"/>
              </w:rPr>
              <w:t>Trimming stage</w:t>
            </w:r>
          </w:p>
        </w:tc>
        <w:tc>
          <w:tcPr>
            <w:tcW w:w="1818" w:type="dxa"/>
            <w:shd w:val="clear" w:color="auto" w:fill="288A32"/>
            <w:hideMark/>
          </w:tcPr>
          <w:p w14:paraId="79AEC283" w14:textId="77777777" w:rsidR="00550102" w:rsidRPr="005F4928" w:rsidRDefault="00550102" w:rsidP="00550102">
            <w:pPr>
              <w:tabs>
                <w:tab w:val="left" w:pos="1162"/>
              </w:tabs>
              <w:spacing w:line="240" w:lineRule="auto"/>
              <w:ind w:right="-28"/>
              <w:jc w:val="center"/>
              <w:rPr>
                <w:rFonts w:cs="Calibri"/>
                <w:b/>
                <w:bCs/>
                <w:color w:val="FFFFFF"/>
                <w:sz w:val="20"/>
                <w:szCs w:val="20"/>
              </w:rPr>
            </w:pPr>
            <w:r w:rsidRPr="005F4928">
              <w:rPr>
                <w:rFonts w:cs="Calibri"/>
                <w:b/>
                <w:bCs/>
                <w:color w:val="FFFFFF"/>
                <w:sz w:val="20"/>
                <w:szCs w:val="20"/>
              </w:rPr>
              <w:t>Episodes</w:t>
            </w:r>
          </w:p>
        </w:tc>
      </w:tr>
      <w:tr w:rsidR="00550102" w:rsidRPr="005F4928" w14:paraId="70F94EE8" w14:textId="77777777" w:rsidTr="00D7003C">
        <w:trPr>
          <w:trHeight w:val="300"/>
          <w:tblHeader/>
        </w:trPr>
        <w:tc>
          <w:tcPr>
            <w:tcW w:w="6708" w:type="dxa"/>
            <w:gridSpan w:val="2"/>
            <w:hideMark/>
          </w:tcPr>
          <w:p w14:paraId="19F1DCCA"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(a) Initial activity-level cost sample of admitted acute records</w:t>
            </w:r>
          </w:p>
        </w:tc>
        <w:tc>
          <w:tcPr>
            <w:tcW w:w="1818" w:type="dxa"/>
          </w:tcPr>
          <w:p w14:paraId="6EAFFFE8" w14:textId="7D9CDE68" w:rsidR="00550102" w:rsidRPr="005F4928" w:rsidRDefault="1DD6E2B0" w:rsidP="005F4928">
            <w:pPr>
              <w:tabs>
                <w:tab w:val="left" w:pos="1162"/>
              </w:tabs>
              <w:spacing w:line="240" w:lineRule="auto"/>
              <w:ind w:right="-28"/>
              <w:jc w:val="center"/>
              <w:rPr>
                <w:rFonts w:eastAsia="Arial"/>
                <w:szCs w:val="22"/>
              </w:rPr>
            </w:pPr>
            <w:r w:rsidRPr="1DD6E2B0">
              <w:rPr>
                <w:rFonts w:cs="Arial"/>
                <w:b/>
                <w:bCs/>
                <w:sz w:val="20"/>
                <w:szCs w:val="20"/>
              </w:rPr>
              <w:t>6,072,745</w:t>
            </w:r>
          </w:p>
        </w:tc>
      </w:tr>
      <w:tr w:rsidR="00550102" w:rsidRPr="005F4928" w14:paraId="339BA847" w14:textId="77777777" w:rsidTr="00D7003C">
        <w:trPr>
          <w:trHeight w:val="300"/>
          <w:tblHeader/>
        </w:trPr>
        <w:tc>
          <w:tcPr>
            <w:tcW w:w="6708" w:type="dxa"/>
            <w:gridSpan w:val="2"/>
            <w:hideMark/>
          </w:tcPr>
          <w:p w14:paraId="2754FC37"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  </w:t>
            </w:r>
            <w:r w:rsidRPr="005F4928">
              <w:rPr>
                <w:rFonts w:cs="Arial"/>
                <w:b/>
                <w:iCs/>
                <w:sz w:val="20"/>
                <w:szCs w:val="20"/>
              </w:rPr>
              <w:t>Less</w:t>
            </w:r>
            <w:r w:rsidRPr="005F4928">
              <w:rPr>
                <w:rFonts w:cs="Arial"/>
                <w:b/>
                <w:sz w:val="20"/>
                <w:szCs w:val="20"/>
              </w:rPr>
              <w:t xml:space="preserve"> </w:t>
            </w:r>
            <w:r w:rsidRPr="005F4928">
              <w:rPr>
                <w:sz w:val="20"/>
                <w:szCs w:val="20"/>
              </w:rPr>
              <w:t>–</w:t>
            </w:r>
            <w:r w:rsidRPr="005F4928">
              <w:rPr>
                <w:rFonts w:cs="Arial"/>
                <w:sz w:val="20"/>
                <w:szCs w:val="20"/>
              </w:rPr>
              <w:t xml:space="preserve"> Total trimmed episodes</w:t>
            </w:r>
          </w:p>
        </w:tc>
        <w:tc>
          <w:tcPr>
            <w:tcW w:w="1818" w:type="dxa"/>
          </w:tcPr>
          <w:p w14:paraId="025C8D0C" w14:textId="060D473A" w:rsidR="00550102" w:rsidRPr="005F4928" w:rsidRDefault="2653E906" w:rsidP="3E62FDA7">
            <w:pPr>
              <w:tabs>
                <w:tab w:val="left" w:pos="1162"/>
              </w:tabs>
              <w:spacing w:line="240" w:lineRule="auto"/>
              <w:ind w:right="-28"/>
              <w:jc w:val="center"/>
              <w:rPr>
                <w:rFonts w:eastAsia="Arial"/>
                <w:szCs w:val="22"/>
              </w:rPr>
            </w:pPr>
            <w:r w:rsidRPr="0BD3AA55">
              <w:rPr>
                <w:rFonts w:cs="Arial"/>
                <w:b/>
                <w:bCs/>
                <w:sz w:val="20"/>
                <w:szCs w:val="20"/>
              </w:rPr>
              <w:t>-28,9</w:t>
            </w:r>
            <w:r w:rsidR="0BD3AA55" w:rsidRPr="0BD3AA55">
              <w:rPr>
                <w:rFonts w:cs="Arial"/>
                <w:b/>
                <w:bCs/>
                <w:sz w:val="20"/>
                <w:szCs w:val="20"/>
              </w:rPr>
              <w:t>23</w:t>
            </w:r>
          </w:p>
        </w:tc>
      </w:tr>
      <w:tr w:rsidR="00550102" w:rsidRPr="005F4928" w14:paraId="052E3F2B" w14:textId="77777777" w:rsidTr="00D7003C">
        <w:trPr>
          <w:trHeight w:val="576"/>
          <w:tblHeader/>
        </w:trPr>
        <w:tc>
          <w:tcPr>
            <w:tcW w:w="330" w:type="dxa"/>
            <w:vMerge w:val="restart"/>
            <w:noWrap/>
            <w:hideMark/>
          </w:tcPr>
          <w:p w14:paraId="759377FF"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w:t>
            </w:r>
          </w:p>
        </w:tc>
        <w:tc>
          <w:tcPr>
            <w:tcW w:w="6378" w:type="dxa"/>
            <w:hideMark/>
          </w:tcPr>
          <w:p w14:paraId="356F5811"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(b) Patient level cost data trimmed under jurisdictional advice</w:t>
            </w:r>
          </w:p>
        </w:tc>
        <w:tc>
          <w:tcPr>
            <w:tcW w:w="1818" w:type="dxa"/>
          </w:tcPr>
          <w:p w14:paraId="0B924358" w14:textId="467230E5" w:rsidR="00550102" w:rsidRPr="005F4928" w:rsidRDefault="2653E906" w:rsidP="3E62FDA7">
            <w:pPr>
              <w:tabs>
                <w:tab w:val="left" w:pos="1162"/>
              </w:tabs>
              <w:spacing w:line="240" w:lineRule="auto"/>
              <w:ind w:right="-28"/>
              <w:jc w:val="center"/>
              <w:rPr>
                <w:rFonts w:eastAsia="Arial"/>
                <w:szCs w:val="22"/>
              </w:rPr>
            </w:pPr>
            <w:r w:rsidRPr="2653E906">
              <w:rPr>
                <w:rFonts w:cs="Arial"/>
                <w:b/>
                <w:bCs/>
                <w:sz w:val="20"/>
                <w:szCs w:val="20"/>
              </w:rPr>
              <w:t>0</w:t>
            </w:r>
          </w:p>
        </w:tc>
      </w:tr>
      <w:tr w:rsidR="00550102" w:rsidRPr="005F4928" w14:paraId="4D6AE404" w14:textId="77777777" w:rsidTr="00D7003C">
        <w:trPr>
          <w:trHeight w:val="576"/>
          <w:tblHeader/>
        </w:trPr>
        <w:tc>
          <w:tcPr>
            <w:tcW w:w="330" w:type="dxa"/>
            <w:vMerge/>
            <w:hideMark/>
          </w:tcPr>
          <w:p w14:paraId="5A3A10F0" w14:textId="77777777" w:rsidR="00550102" w:rsidRPr="005F4928" w:rsidRDefault="00550102" w:rsidP="00550102">
            <w:pPr>
              <w:tabs>
                <w:tab w:val="left" w:pos="1162"/>
              </w:tabs>
              <w:spacing w:line="240" w:lineRule="auto"/>
              <w:ind w:right="-28"/>
              <w:rPr>
                <w:rFonts w:cs="Arial"/>
                <w:sz w:val="20"/>
                <w:szCs w:val="20"/>
              </w:rPr>
            </w:pPr>
          </w:p>
        </w:tc>
        <w:tc>
          <w:tcPr>
            <w:tcW w:w="6378" w:type="dxa"/>
            <w:hideMark/>
          </w:tcPr>
          <w:p w14:paraId="00A8A97F"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(c) Episodes from hospital-DRG combinations with extremely high or low cost-to-price ratios</w:t>
            </w:r>
          </w:p>
        </w:tc>
        <w:tc>
          <w:tcPr>
            <w:tcW w:w="1818" w:type="dxa"/>
          </w:tcPr>
          <w:p w14:paraId="617B2C99" w14:textId="25CA9D35" w:rsidR="00550102" w:rsidRPr="005F4928" w:rsidRDefault="2653E906" w:rsidP="3E62FDA7">
            <w:pPr>
              <w:tabs>
                <w:tab w:val="left" w:pos="1162"/>
              </w:tabs>
              <w:spacing w:line="240" w:lineRule="auto"/>
              <w:ind w:right="-28"/>
              <w:jc w:val="center"/>
              <w:rPr>
                <w:szCs w:val="22"/>
              </w:rPr>
            </w:pPr>
            <w:r w:rsidRPr="2653E906">
              <w:rPr>
                <w:rFonts w:cs="Arial"/>
                <w:b/>
                <w:bCs/>
                <w:sz w:val="20"/>
                <w:szCs w:val="20"/>
              </w:rPr>
              <w:t>-7,788</w:t>
            </w:r>
          </w:p>
        </w:tc>
      </w:tr>
      <w:tr w:rsidR="00550102" w:rsidRPr="005F4928" w14:paraId="48883268" w14:textId="77777777" w:rsidTr="00D7003C">
        <w:trPr>
          <w:trHeight w:val="288"/>
          <w:tblHeader/>
        </w:trPr>
        <w:tc>
          <w:tcPr>
            <w:tcW w:w="330" w:type="dxa"/>
            <w:vMerge/>
            <w:hideMark/>
          </w:tcPr>
          <w:p w14:paraId="18BA4B1E" w14:textId="77777777" w:rsidR="00550102" w:rsidRPr="005F4928" w:rsidRDefault="00550102" w:rsidP="00550102">
            <w:pPr>
              <w:tabs>
                <w:tab w:val="left" w:pos="1162"/>
              </w:tabs>
              <w:spacing w:line="240" w:lineRule="auto"/>
              <w:ind w:right="-28"/>
              <w:rPr>
                <w:rFonts w:cs="Arial"/>
                <w:sz w:val="20"/>
                <w:szCs w:val="20"/>
              </w:rPr>
            </w:pPr>
          </w:p>
        </w:tc>
        <w:tc>
          <w:tcPr>
            <w:tcW w:w="6378" w:type="dxa"/>
            <w:hideMark/>
          </w:tcPr>
          <w:p w14:paraId="3DE07353"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(d) Removal of records with total in-scope costs ≤ $23 </w:t>
            </w:r>
          </w:p>
        </w:tc>
        <w:tc>
          <w:tcPr>
            <w:tcW w:w="1818" w:type="dxa"/>
          </w:tcPr>
          <w:p w14:paraId="66B4FE2F" w14:textId="68FDAFD3" w:rsidR="00550102" w:rsidRPr="005F4928" w:rsidRDefault="2691EF89" w:rsidP="3E62FDA7">
            <w:pPr>
              <w:tabs>
                <w:tab w:val="left" w:pos="1162"/>
              </w:tabs>
              <w:spacing w:line="240" w:lineRule="auto"/>
              <w:ind w:right="-28"/>
              <w:jc w:val="center"/>
              <w:rPr>
                <w:szCs w:val="22"/>
              </w:rPr>
            </w:pPr>
            <w:r w:rsidRPr="2691EF89">
              <w:rPr>
                <w:rFonts w:cs="Arial"/>
                <w:b/>
                <w:bCs/>
                <w:sz w:val="20"/>
                <w:szCs w:val="20"/>
              </w:rPr>
              <w:t>-20,685</w:t>
            </w:r>
          </w:p>
        </w:tc>
      </w:tr>
      <w:tr w:rsidR="00550102" w:rsidRPr="005F4928" w14:paraId="79D79EA2" w14:textId="77777777" w:rsidTr="00D7003C">
        <w:trPr>
          <w:trHeight w:val="398"/>
          <w:tblHeader/>
        </w:trPr>
        <w:tc>
          <w:tcPr>
            <w:tcW w:w="330" w:type="dxa"/>
            <w:vMerge/>
            <w:hideMark/>
          </w:tcPr>
          <w:p w14:paraId="2C0297C0" w14:textId="77777777" w:rsidR="00550102" w:rsidRPr="005F4928" w:rsidRDefault="00550102" w:rsidP="00550102">
            <w:pPr>
              <w:tabs>
                <w:tab w:val="left" w:pos="1162"/>
              </w:tabs>
              <w:spacing w:line="240" w:lineRule="auto"/>
              <w:ind w:right="-28"/>
              <w:rPr>
                <w:rFonts w:cs="Arial"/>
                <w:sz w:val="20"/>
                <w:szCs w:val="20"/>
              </w:rPr>
            </w:pPr>
          </w:p>
        </w:tc>
        <w:tc>
          <w:tcPr>
            <w:tcW w:w="6378" w:type="dxa"/>
            <w:hideMark/>
          </w:tcPr>
          <w:p w14:paraId="7A845DAA"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(e) Observations with extreme outlier costs</w:t>
            </w:r>
          </w:p>
        </w:tc>
        <w:tc>
          <w:tcPr>
            <w:tcW w:w="1818" w:type="dxa"/>
          </w:tcPr>
          <w:p w14:paraId="430A3672" w14:textId="637D98A3" w:rsidR="00550102" w:rsidRPr="005F4928" w:rsidRDefault="2691EF89" w:rsidP="3E62FDA7">
            <w:pPr>
              <w:tabs>
                <w:tab w:val="left" w:pos="1162"/>
              </w:tabs>
              <w:spacing w:line="240" w:lineRule="auto"/>
              <w:ind w:right="-28"/>
              <w:jc w:val="center"/>
              <w:rPr>
                <w:szCs w:val="22"/>
              </w:rPr>
            </w:pPr>
            <w:r w:rsidRPr="2691EF89">
              <w:rPr>
                <w:rFonts w:cs="Arial"/>
                <w:b/>
                <w:bCs/>
                <w:sz w:val="20"/>
                <w:szCs w:val="20"/>
              </w:rPr>
              <w:t>-99</w:t>
            </w:r>
          </w:p>
        </w:tc>
      </w:tr>
      <w:tr w:rsidR="00550102" w:rsidRPr="005F4928" w14:paraId="1213C928" w14:textId="77777777" w:rsidTr="00D7003C">
        <w:trPr>
          <w:trHeight w:val="576"/>
          <w:tblHeader/>
        </w:trPr>
        <w:tc>
          <w:tcPr>
            <w:tcW w:w="330" w:type="dxa"/>
            <w:vMerge/>
          </w:tcPr>
          <w:p w14:paraId="5FEDAA48" w14:textId="77777777" w:rsidR="00550102" w:rsidRPr="005F4928" w:rsidRDefault="00550102" w:rsidP="00550102">
            <w:pPr>
              <w:tabs>
                <w:tab w:val="left" w:pos="1162"/>
              </w:tabs>
              <w:spacing w:line="240" w:lineRule="auto"/>
              <w:ind w:right="-28"/>
              <w:rPr>
                <w:rFonts w:cs="Arial"/>
                <w:sz w:val="20"/>
                <w:szCs w:val="20"/>
              </w:rPr>
            </w:pPr>
          </w:p>
        </w:tc>
        <w:tc>
          <w:tcPr>
            <w:tcW w:w="6378" w:type="dxa"/>
          </w:tcPr>
          <w:p w14:paraId="3BAA68B1"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(f) Extremely high or low cost ratios removed after deriving the preliminary regression model </w:t>
            </w:r>
          </w:p>
        </w:tc>
        <w:tc>
          <w:tcPr>
            <w:tcW w:w="1818" w:type="dxa"/>
          </w:tcPr>
          <w:p w14:paraId="137F34A8" w14:textId="3ECCEFB3" w:rsidR="00550102" w:rsidRPr="005F4928" w:rsidRDefault="2691EF89" w:rsidP="3E62FDA7">
            <w:pPr>
              <w:tabs>
                <w:tab w:val="left" w:pos="1162"/>
              </w:tabs>
              <w:spacing w:line="240" w:lineRule="auto"/>
              <w:ind w:right="-28"/>
              <w:jc w:val="center"/>
              <w:rPr>
                <w:szCs w:val="22"/>
              </w:rPr>
            </w:pPr>
            <w:r w:rsidRPr="2691EF89">
              <w:rPr>
                <w:rFonts w:cs="Arial"/>
                <w:b/>
                <w:bCs/>
                <w:sz w:val="20"/>
                <w:szCs w:val="20"/>
              </w:rPr>
              <w:t>-340</w:t>
            </w:r>
          </w:p>
        </w:tc>
      </w:tr>
      <w:tr w:rsidR="00550102" w:rsidRPr="005F4928" w14:paraId="72BC33DB" w14:textId="77777777" w:rsidTr="00D7003C">
        <w:trPr>
          <w:trHeight w:val="576"/>
          <w:tblHeader/>
        </w:trPr>
        <w:tc>
          <w:tcPr>
            <w:tcW w:w="330" w:type="dxa"/>
            <w:vMerge/>
            <w:hideMark/>
          </w:tcPr>
          <w:p w14:paraId="1C18B8E2" w14:textId="77777777" w:rsidR="00550102" w:rsidRPr="005F4928" w:rsidRDefault="00550102" w:rsidP="00550102">
            <w:pPr>
              <w:tabs>
                <w:tab w:val="left" w:pos="1162"/>
              </w:tabs>
              <w:spacing w:line="240" w:lineRule="auto"/>
              <w:ind w:right="-28"/>
              <w:rPr>
                <w:rFonts w:cs="Arial"/>
                <w:sz w:val="20"/>
                <w:szCs w:val="20"/>
              </w:rPr>
            </w:pPr>
          </w:p>
        </w:tc>
        <w:tc>
          <w:tcPr>
            <w:tcW w:w="6378" w:type="dxa"/>
          </w:tcPr>
          <w:p w14:paraId="7B797629"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(g) Multi-day </w:t>
            </w:r>
            <w:r w:rsidR="00034D37" w:rsidRPr="005F4928">
              <w:rPr>
                <w:rFonts w:cs="Arial"/>
                <w:sz w:val="20"/>
                <w:szCs w:val="20"/>
              </w:rPr>
              <w:t xml:space="preserve">AR-DRG </w:t>
            </w:r>
            <w:r w:rsidRPr="005F4928">
              <w:rPr>
                <w:rFonts w:cs="Arial"/>
                <w:sz w:val="20"/>
                <w:szCs w:val="20"/>
              </w:rPr>
              <w:t>R63Z episodes</w:t>
            </w:r>
          </w:p>
        </w:tc>
        <w:tc>
          <w:tcPr>
            <w:tcW w:w="1818" w:type="dxa"/>
          </w:tcPr>
          <w:p w14:paraId="7DB70EB5" w14:textId="462CF3D5" w:rsidR="00550102" w:rsidRPr="005F4928" w:rsidRDefault="5F551D9F" w:rsidP="3E62FDA7">
            <w:pPr>
              <w:tabs>
                <w:tab w:val="left" w:pos="1162"/>
              </w:tabs>
              <w:spacing w:line="240" w:lineRule="auto"/>
              <w:ind w:right="-28"/>
              <w:jc w:val="center"/>
              <w:rPr>
                <w:szCs w:val="22"/>
              </w:rPr>
            </w:pPr>
            <w:r w:rsidRPr="005F4928">
              <w:rPr>
                <w:rFonts w:cs="Arial"/>
                <w:b/>
                <w:bCs/>
                <w:sz w:val="20"/>
                <w:szCs w:val="20"/>
              </w:rPr>
              <w:t>-</w:t>
            </w:r>
            <w:r w:rsidR="3D4DE67E" w:rsidRPr="3550EFAC">
              <w:rPr>
                <w:rFonts w:cs="Arial"/>
                <w:b/>
                <w:bCs/>
                <w:sz w:val="20"/>
                <w:szCs w:val="20"/>
              </w:rPr>
              <w:t>11</w:t>
            </w:r>
          </w:p>
        </w:tc>
      </w:tr>
      <w:tr w:rsidR="00550102" w:rsidRPr="00DF7079" w14:paraId="24E13579" w14:textId="77777777" w:rsidTr="00D7003C">
        <w:trPr>
          <w:trHeight w:val="675"/>
          <w:tblHeader/>
        </w:trPr>
        <w:tc>
          <w:tcPr>
            <w:tcW w:w="6708" w:type="dxa"/>
            <w:gridSpan w:val="2"/>
            <w:hideMark/>
          </w:tcPr>
          <w:p w14:paraId="391E4D5F"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(h) Resulting sample size of separations used to create AR-DRG cost profiles</w:t>
            </w:r>
          </w:p>
        </w:tc>
        <w:tc>
          <w:tcPr>
            <w:tcW w:w="1818" w:type="dxa"/>
            <w:noWrap/>
          </w:tcPr>
          <w:p w14:paraId="5A8B163E" w14:textId="45930C98" w:rsidR="00550102" w:rsidRPr="004A03A2" w:rsidRDefault="39653BA1" w:rsidP="005F4928">
            <w:pPr>
              <w:tabs>
                <w:tab w:val="left" w:pos="1162"/>
              </w:tabs>
              <w:spacing w:line="240" w:lineRule="auto"/>
              <w:ind w:right="-28"/>
              <w:jc w:val="center"/>
              <w:rPr>
                <w:szCs w:val="22"/>
              </w:rPr>
            </w:pPr>
            <w:r w:rsidRPr="39653BA1">
              <w:rPr>
                <w:rFonts w:cs="Arial"/>
                <w:b/>
                <w:bCs/>
                <w:sz w:val="20"/>
                <w:szCs w:val="20"/>
              </w:rPr>
              <w:t>6,043,822</w:t>
            </w:r>
          </w:p>
        </w:tc>
      </w:tr>
    </w:tbl>
    <w:p w14:paraId="6ECD1A7A" w14:textId="378553A8" w:rsidR="00550102" w:rsidRDefault="00550102" w:rsidP="00550102">
      <w:pPr>
        <w:spacing w:before="240" w:line="240" w:lineRule="auto"/>
      </w:pPr>
      <w:r w:rsidRPr="00DF7079">
        <w:t xml:space="preserve">For the financial year </w:t>
      </w:r>
      <w:r w:rsidR="00F17654">
        <w:t>2019</w:t>
      </w:r>
      <w:r>
        <w:t>–</w:t>
      </w:r>
      <w:r w:rsidR="00F17654">
        <w:t>20</w:t>
      </w:r>
      <w:r>
        <w:t>:</w:t>
      </w:r>
    </w:p>
    <w:p w14:paraId="4D7DAB03" w14:textId="3C114F3B" w:rsidR="00550102" w:rsidRPr="00DF7079" w:rsidRDefault="00550102" w:rsidP="004D01E2">
      <w:pPr>
        <w:pStyle w:val="ListParagraph"/>
        <w:numPr>
          <w:ilvl w:val="0"/>
          <w:numId w:val="41"/>
        </w:numPr>
      </w:pPr>
      <w:r>
        <w:t>An activity-level cost sample of</w:t>
      </w:r>
      <w:r w:rsidR="009A5884">
        <w:t xml:space="preserve"> </w:t>
      </w:r>
      <w:r w:rsidR="00C63636">
        <w:t>6,072,745</w:t>
      </w:r>
      <w:r w:rsidR="007D4DB3">
        <w:t xml:space="preserve"> </w:t>
      </w:r>
      <w:r>
        <w:t>admitted acute records (with both the admission and separation dates within this period) were partitioned into two groups for modelling purposes. The first group is evaluated as fit for use to develop AR</w:t>
      </w:r>
      <w:r w:rsidR="00C76CB2">
        <w:t>-</w:t>
      </w:r>
      <w:r>
        <w:t xml:space="preserve">DRG cost profiles for the </w:t>
      </w:r>
      <w:r w:rsidR="002A01E9">
        <w:t>2019</w:t>
      </w:r>
      <w:r>
        <w:t>–</w:t>
      </w:r>
      <w:r w:rsidR="002A01E9">
        <w:t xml:space="preserve">20 </w:t>
      </w:r>
      <w:r>
        <w:t>cost model, and a second group identified as not fit for this purpose. The second group is later incorporated into the cost model to calibrate the overall level of costs within the model.</w:t>
      </w:r>
    </w:p>
    <w:p w14:paraId="6916731F" w14:textId="77777777" w:rsidR="00550102" w:rsidRPr="00DF7079" w:rsidRDefault="00550102" w:rsidP="004D01E2">
      <w:pPr>
        <w:pStyle w:val="ListParagraph"/>
        <w:numPr>
          <w:ilvl w:val="0"/>
          <w:numId w:val="41"/>
        </w:numPr>
      </w:pPr>
      <w:r>
        <w:t>No p</w:t>
      </w:r>
      <w:r w:rsidRPr="00DF7079">
        <w:t>atient level cost data was removed from the sample based on jurisdictional advice. A preliminary</w:t>
      </w:r>
      <w:r w:rsidR="00A8551B">
        <w:t xml:space="preserve"> model with length of stay</w:t>
      </w:r>
      <w:r w:rsidRPr="00DF7079">
        <w:t xml:space="preserve"> and DRG as explanatory variables of patient cost w</w:t>
      </w:r>
      <w:r>
        <w:t>as</w:t>
      </w:r>
      <w:r w:rsidRPr="00DF7079">
        <w:t xml:space="preserve"> derived and applied to the remaining sample. </w:t>
      </w:r>
    </w:p>
    <w:p w14:paraId="1D4B4EB8" w14:textId="1B700544" w:rsidR="00550102" w:rsidRPr="00DF7079" w:rsidRDefault="00550102" w:rsidP="004D01E2">
      <w:pPr>
        <w:pStyle w:val="ListParagraph"/>
        <w:numPr>
          <w:ilvl w:val="0"/>
          <w:numId w:val="41"/>
        </w:numPr>
      </w:pPr>
      <w:r>
        <w:t>The 584</w:t>
      </w:r>
      <w:r w:rsidR="005A1A68">
        <w:t xml:space="preserve"> </w:t>
      </w:r>
      <w:r>
        <w:t>hospital-DRG combinations with extremely high or low cost-to-price ratios were also excluded from the patient level modelling.</w:t>
      </w:r>
    </w:p>
    <w:p w14:paraId="6D17B63E" w14:textId="3386B362" w:rsidR="00550102" w:rsidRPr="00DF7079" w:rsidRDefault="00550102" w:rsidP="004D01E2">
      <w:pPr>
        <w:pStyle w:val="ListParagraph"/>
        <w:numPr>
          <w:ilvl w:val="0"/>
          <w:numId w:val="41"/>
        </w:numPr>
      </w:pPr>
      <w:r>
        <w:t xml:space="preserve">The sample was further reduced by </w:t>
      </w:r>
      <w:r w:rsidR="00C63636">
        <w:t>20,685</w:t>
      </w:r>
      <w:r>
        <w:t xml:space="preserve"> episodes as a result of removing records with total in-scope costs of </w:t>
      </w:r>
      <w:r w:rsidR="005A1A68">
        <w:t>$23</w:t>
      </w:r>
      <w:r>
        <w:t xml:space="preserve"> or less.</w:t>
      </w:r>
    </w:p>
    <w:p w14:paraId="41B75AB7" w14:textId="7B13D69D" w:rsidR="00550102" w:rsidRPr="00DF7079" w:rsidRDefault="00550102" w:rsidP="004D01E2">
      <w:pPr>
        <w:pStyle w:val="ListParagraph"/>
        <w:numPr>
          <w:ilvl w:val="0"/>
          <w:numId w:val="41"/>
        </w:numPr>
      </w:pPr>
      <w:r>
        <w:t xml:space="preserve">The remaining sample was then analysed by AR-DRG, and observations with extreme outlier costs were identified and removed. This was done by ranking observations by cost and identifying those values that recorded an extreme increase in cost of over </w:t>
      </w:r>
      <w:r w:rsidR="005A1A68">
        <w:t xml:space="preserve">200 </w:t>
      </w:r>
      <w:r>
        <w:t xml:space="preserve">per cent (or a decrease in cost of over </w:t>
      </w:r>
      <w:r w:rsidR="00880B61">
        <w:t xml:space="preserve">75 </w:t>
      </w:r>
      <w:r>
        <w:t>per cent) from the previous observation. In total,</w:t>
      </w:r>
      <w:r w:rsidR="5B72F2E9" w:rsidRPr="004A03A2">
        <w:t xml:space="preserve"> </w:t>
      </w:r>
      <w:r w:rsidR="00A75343">
        <w:t xml:space="preserve">99 </w:t>
      </w:r>
      <w:r>
        <w:t xml:space="preserve">records were removed at this stage. </w:t>
      </w:r>
    </w:p>
    <w:p w14:paraId="321FF16D" w14:textId="431D30A2" w:rsidR="00550102" w:rsidRDefault="00550102" w:rsidP="004D01E2">
      <w:pPr>
        <w:pStyle w:val="ListParagraph"/>
        <w:numPr>
          <w:ilvl w:val="0"/>
          <w:numId w:val="41"/>
        </w:numPr>
      </w:pPr>
      <w:r>
        <w:t xml:space="preserve">The extreme outlier identification stage was undertaken by first deriving a preliminary regression model using </w:t>
      </w:r>
      <w:r w:rsidR="00A8551B">
        <w:t>length of stay</w:t>
      </w:r>
      <w:r>
        <w:t xml:space="preserve"> and DRG, and analysing the resulting cost ratios. Following this, another </w:t>
      </w:r>
      <w:r w:rsidR="00C63636">
        <w:t xml:space="preserve">340 </w:t>
      </w:r>
      <w:r>
        <w:t xml:space="preserve">individual records with extremely high or low cost ratios were removed. </w:t>
      </w:r>
    </w:p>
    <w:p w14:paraId="0E7DBF5D" w14:textId="07CD32D7" w:rsidR="00550102" w:rsidRPr="00DF7079" w:rsidRDefault="00550102" w:rsidP="004D01E2">
      <w:pPr>
        <w:pStyle w:val="ListParagraph"/>
        <w:numPr>
          <w:ilvl w:val="0"/>
          <w:numId w:val="41"/>
        </w:numPr>
      </w:pPr>
      <w:r>
        <w:lastRenderedPageBreak/>
        <w:t xml:space="preserve">In this final stage, multi-day chemotherapy </w:t>
      </w:r>
      <w:r w:rsidR="00170F9B">
        <w:t xml:space="preserve">AR-DRG R63Z </w:t>
      </w:r>
      <w:r>
        <w:t xml:space="preserve">episodes were trimmed out. The Australian Coding Standards state that the principal diagnosis code Z51.1 – Pharmacotherapy session for neoplasm which informs DRG of R63Z may only be assigned to same-day episodes. The </w:t>
      </w:r>
      <w:r w:rsidR="00C63636">
        <w:t>11</w:t>
      </w:r>
      <w:r w:rsidR="005A1A68">
        <w:t xml:space="preserve"> </w:t>
      </w:r>
      <w:r>
        <w:t xml:space="preserve">multi-day episodes with this code were trimmed from the cost model. </w:t>
      </w:r>
    </w:p>
    <w:p w14:paraId="09230152" w14:textId="116E0607" w:rsidR="00550102" w:rsidRPr="00DF7079" w:rsidRDefault="00550102" w:rsidP="004D01E2">
      <w:pPr>
        <w:pStyle w:val="ListParagraph"/>
        <w:numPr>
          <w:ilvl w:val="0"/>
          <w:numId w:val="41"/>
        </w:numPr>
      </w:pPr>
      <w:r w:rsidRPr="00DF7079">
        <w:t xml:space="preserve">The resulting sample of </w:t>
      </w:r>
      <w:r w:rsidR="00C63636" w:rsidRPr="00C63636">
        <w:t>6,043,822</w:t>
      </w:r>
      <w:r>
        <w:t xml:space="preserve"> </w:t>
      </w:r>
      <w:r w:rsidRPr="00DF7079">
        <w:t>separations w</w:t>
      </w:r>
      <w:r>
        <w:t>ere</w:t>
      </w:r>
      <w:r w:rsidRPr="00DF7079">
        <w:t xml:space="preserve"> identified for use in creating AR</w:t>
      </w:r>
      <w:r>
        <w:noBreakHyphen/>
      </w:r>
      <w:r w:rsidRPr="00DF7079">
        <w:t>DRG cost profiles.</w:t>
      </w:r>
    </w:p>
    <w:p w14:paraId="1EF6528D" w14:textId="77777777" w:rsidR="00550102" w:rsidRPr="00EC1F9C" w:rsidRDefault="00550102" w:rsidP="00755433">
      <w:pPr>
        <w:pStyle w:val="Heading3"/>
      </w:pPr>
      <w:r w:rsidRPr="00EC1F9C">
        <w:t>Posthumous organ donation activity costs</w:t>
      </w:r>
    </w:p>
    <w:p w14:paraId="6AC9A1B1" w14:textId="44E9FB35" w:rsidR="00550102" w:rsidRPr="00DF7079" w:rsidRDefault="00550102" w:rsidP="00550102">
      <w:pPr>
        <w:tabs>
          <w:tab w:val="left" w:pos="1162"/>
        </w:tabs>
        <w:spacing w:line="240" w:lineRule="auto"/>
        <w:ind w:right="-28"/>
        <w:rPr>
          <w:rFonts w:cs="Arial"/>
        </w:rPr>
      </w:pPr>
      <w:r w:rsidRPr="76ABC984">
        <w:rPr>
          <w:rFonts w:cs="Arial"/>
        </w:rPr>
        <w:t xml:space="preserve">Posthumous organ donation activity was accounted for in the NEP for the first time in NEP16. This followed advice from the Organ and Tissue Authority (OTA) that funding provided from the OTA to jurisdictions contributes towards the cost of preparing a patient for organ donation, but not for all costs incurred thereafter. This advice from the OTA means that some of the costs of posthumous organ donation are not funded by the Commonwealth and should be in-scope for pricing under the NHRA. This has not changed for </w:t>
      </w:r>
      <w:r w:rsidR="660B0B47" w:rsidRPr="76ABC984">
        <w:rPr>
          <w:rFonts w:cs="Arial"/>
        </w:rPr>
        <w:t>NEP22</w:t>
      </w:r>
      <w:r w:rsidR="21C13A52" w:rsidRPr="76ABC984">
        <w:rPr>
          <w:rFonts w:cs="Arial"/>
        </w:rPr>
        <w:t>.</w:t>
      </w:r>
    </w:p>
    <w:p w14:paraId="544D0586"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IHPA takes the costs reported against donors in ‘care type 9’ and redistributes these costs to recipient transplant AR-DRGs in the admitted acute model. The total cost associated with each organ procurement is accounted for by inflating the in-scope cost of patients in AR-DRGs</w:t>
      </w:r>
      <w:r>
        <w:rPr>
          <w:rFonts w:cs="Arial"/>
          <w:szCs w:val="20"/>
        </w:rPr>
        <w:t>,</w:t>
      </w:r>
      <w:r w:rsidRPr="00DF7079">
        <w:rPr>
          <w:rFonts w:cs="Arial"/>
          <w:szCs w:val="20"/>
        </w:rPr>
        <w:t xml:space="preserve"> which typically involve</w:t>
      </w:r>
      <w:r>
        <w:rPr>
          <w:rFonts w:cs="Arial"/>
          <w:szCs w:val="20"/>
        </w:rPr>
        <w:t>s</w:t>
      </w:r>
      <w:r w:rsidRPr="00DF7079">
        <w:rPr>
          <w:rFonts w:cs="Arial"/>
          <w:szCs w:val="20"/>
        </w:rPr>
        <w:t xml:space="preserve"> </w:t>
      </w:r>
      <w:r>
        <w:rPr>
          <w:rFonts w:cs="Arial"/>
          <w:szCs w:val="20"/>
        </w:rPr>
        <w:t xml:space="preserve">the </w:t>
      </w:r>
      <w:r w:rsidRPr="00DF7079">
        <w:rPr>
          <w:rFonts w:cs="Arial"/>
          <w:szCs w:val="20"/>
        </w:rPr>
        <w:t>transplant of relevant organ</w:t>
      </w:r>
      <w:r>
        <w:rPr>
          <w:rFonts w:cs="Arial"/>
          <w:szCs w:val="20"/>
        </w:rPr>
        <w:t>s</w:t>
      </w:r>
      <w:r w:rsidRPr="00DF7079">
        <w:rPr>
          <w:rFonts w:cs="Arial"/>
          <w:szCs w:val="20"/>
        </w:rPr>
        <w:t xml:space="preserve">. Note there is no mechanism to link donors with recipients or </w:t>
      </w:r>
      <w:r>
        <w:rPr>
          <w:rFonts w:cs="Arial"/>
          <w:szCs w:val="20"/>
        </w:rPr>
        <w:t>to</w:t>
      </w:r>
      <w:r w:rsidRPr="00DF7079">
        <w:rPr>
          <w:rFonts w:cs="Arial"/>
          <w:szCs w:val="20"/>
        </w:rPr>
        <w:t xml:space="preserve"> gaug</w:t>
      </w:r>
      <w:r>
        <w:rPr>
          <w:rFonts w:cs="Arial"/>
          <w:szCs w:val="20"/>
        </w:rPr>
        <w:t>e</w:t>
      </w:r>
      <w:r w:rsidRPr="00DF7079">
        <w:rPr>
          <w:rFonts w:cs="Arial"/>
          <w:szCs w:val="20"/>
        </w:rPr>
        <w:t xml:space="preserve"> the </w:t>
      </w:r>
      <w:r w:rsidR="00A8551B">
        <w:rPr>
          <w:rFonts w:cs="Arial"/>
          <w:szCs w:val="20"/>
        </w:rPr>
        <w:t>outcome</w:t>
      </w:r>
      <w:r w:rsidRPr="00DF7079">
        <w:rPr>
          <w:rFonts w:cs="Arial"/>
          <w:szCs w:val="20"/>
        </w:rPr>
        <w:t xml:space="preserve"> of </w:t>
      </w:r>
      <w:r>
        <w:rPr>
          <w:rFonts w:cs="Arial"/>
          <w:szCs w:val="20"/>
        </w:rPr>
        <w:t xml:space="preserve">a </w:t>
      </w:r>
      <w:r w:rsidRPr="00DF7079">
        <w:rPr>
          <w:rFonts w:cs="Arial"/>
          <w:szCs w:val="20"/>
        </w:rPr>
        <w:t>procurement or transplant.</w:t>
      </w:r>
    </w:p>
    <w:p w14:paraId="29D9DA32" w14:textId="255DEC8F" w:rsidR="00550102" w:rsidRPr="00992F61" w:rsidRDefault="00550102" w:rsidP="00550102">
      <w:pPr>
        <w:tabs>
          <w:tab w:val="left" w:pos="1162"/>
        </w:tabs>
        <w:spacing w:line="240" w:lineRule="auto"/>
        <w:ind w:right="-28"/>
        <w:rPr>
          <w:rFonts w:cs="Arial"/>
        </w:rPr>
      </w:pPr>
      <w:r w:rsidRPr="6886BF09">
        <w:rPr>
          <w:rFonts w:cs="Arial"/>
        </w:rPr>
        <w:t xml:space="preserve">The total cost reported against posthumous organ donors in </w:t>
      </w:r>
      <w:r w:rsidR="002A01E9" w:rsidRPr="6886BF09">
        <w:rPr>
          <w:rFonts w:cs="Arial"/>
        </w:rPr>
        <w:t>201</w:t>
      </w:r>
      <w:r w:rsidR="002A01E9">
        <w:rPr>
          <w:rFonts w:cs="Arial"/>
        </w:rPr>
        <w:t>9</w:t>
      </w:r>
      <w:r w:rsidRPr="6886BF09">
        <w:rPr>
          <w:rFonts w:cs="Arial"/>
        </w:rPr>
        <w:t>–</w:t>
      </w:r>
      <w:r w:rsidR="002A01E9">
        <w:rPr>
          <w:rFonts w:cs="Arial"/>
        </w:rPr>
        <w:t>20</w:t>
      </w:r>
      <w:r w:rsidR="002A01E9" w:rsidRPr="6886BF09">
        <w:rPr>
          <w:rFonts w:cs="Arial"/>
        </w:rPr>
        <w:t xml:space="preserve"> </w:t>
      </w:r>
      <w:r w:rsidRPr="6886BF09">
        <w:rPr>
          <w:rFonts w:cs="Arial"/>
        </w:rPr>
        <w:t xml:space="preserve">is </w:t>
      </w:r>
      <w:r w:rsidR="009570E6">
        <w:rPr>
          <w:rFonts w:cs="Arial"/>
        </w:rPr>
        <w:t>$</w:t>
      </w:r>
      <w:r w:rsidR="009570E6" w:rsidRPr="17734D58">
        <w:rPr>
          <w:rFonts w:cs="Arial"/>
        </w:rPr>
        <w:t>4,295,040</w:t>
      </w:r>
      <w:r w:rsidRPr="6886BF09">
        <w:rPr>
          <w:rFonts w:cs="Arial"/>
        </w:rPr>
        <w:t>. This results in a national cost inflation in the admitted acute stream of</w:t>
      </w:r>
      <w:r w:rsidR="004D15C4">
        <w:rPr>
          <w:rFonts w:cs="Arial"/>
        </w:rPr>
        <w:t xml:space="preserve"> </w:t>
      </w:r>
      <w:r w:rsidR="009570E6" w:rsidRPr="17734D58">
        <w:rPr>
          <w:rFonts w:cs="Arial"/>
        </w:rPr>
        <w:t>0.013</w:t>
      </w:r>
      <w:r w:rsidRPr="6886BF09">
        <w:rPr>
          <w:rFonts w:cs="Arial"/>
        </w:rPr>
        <w:t xml:space="preserve"> per cent.</w:t>
      </w:r>
    </w:p>
    <w:p w14:paraId="259474F3" w14:textId="77777777" w:rsidR="00550102" w:rsidRPr="00EC1F9C" w:rsidRDefault="00550102" w:rsidP="00755433">
      <w:pPr>
        <w:pStyle w:val="Heading3"/>
      </w:pPr>
      <w:bookmarkStart w:id="92" w:name="_Ref57027769"/>
      <w:r w:rsidRPr="00EC1F9C">
        <w:t>Private patient costs</w:t>
      </w:r>
      <w:bookmarkEnd w:id="92"/>
    </w:p>
    <w:p w14:paraId="4B575E60" w14:textId="75F83238" w:rsidR="00550102" w:rsidRPr="00DF7079" w:rsidRDefault="00550102" w:rsidP="00550102">
      <w:pPr>
        <w:tabs>
          <w:tab w:val="left" w:pos="1162"/>
        </w:tabs>
        <w:spacing w:line="240" w:lineRule="auto"/>
        <w:ind w:right="-28"/>
        <w:rPr>
          <w:rFonts w:cs="Arial"/>
        </w:rPr>
      </w:pPr>
      <w:r w:rsidRPr="724E9479">
        <w:rPr>
          <w:rFonts w:cs="Arial"/>
        </w:rPr>
        <w:t xml:space="preserve">Private patient episodes in-scope for ABF include those episodes occurring in a public hospital with a funding source of either ‘09 Private health insurance’ or ‘13 self-funded’ in the </w:t>
      </w:r>
      <w:r w:rsidR="002A01E9" w:rsidRPr="724E9479">
        <w:rPr>
          <w:rFonts w:cs="Arial"/>
        </w:rPr>
        <w:t>201</w:t>
      </w:r>
      <w:r w:rsidR="002A01E9">
        <w:rPr>
          <w:rFonts w:cs="Arial"/>
        </w:rPr>
        <w:t>9</w:t>
      </w:r>
      <w:r w:rsidRPr="724E9479">
        <w:rPr>
          <w:rFonts w:cs="Arial"/>
        </w:rPr>
        <w:t>–</w:t>
      </w:r>
      <w:r w:rsidR="002A01E9">
        <w:rPr>
          <w:rFonts w:cs="Arial"/>
        </w:rPr>
        <w:t>20</w:t>
      </w:r>
      <w:r w:rsidR="002A01E9" w:rsidRPr="724E9479">
        <w:rPr>
          <w:rFonts w:cs="Arial"/>
        </w:rPr>
        <w:t xml:space="preserve"> </w:t>
      </w:r>
      <w:r w:rsidR="00A53159" w:rsidRPr="724E9479">
        <w:rPr>
          <w:rFonts w:cs="Arial"/>
        </w:rPr>
        <w:t>Admitted Patient Care (</w:t>
      </w:r>
      <w:r w:rsidRPr="724E9479">
        <w:rPr>
          <w:rFonts w:cs="Arial"/>
        </w:rPr>
        <w:t>APC</w:t>
      </w:r>
      <w:r w:rsidR="00A53159" w:rsidRPr="724E9479">
        <w:rPr>
          <w:rFonts w:cs="Arial"/>
        </w:rPr>
        <w:t>)</w:t>
      </w:r>
      <w:r w:rsidRPr="724E9479">
        <w:rPr>
          <w:rFonts w:cs="Arial"/>
        </w:rPr>
        <w:t xml:space="preserve"> data sets. The NHRA requires that in setting </w:t>
      </w:r>
      <w:r w:rsidR="002A01E9" w:rsidRPr="724E9479">
        <w:rPr>
          <w:rFonts w:cs="Arial"/>
        </w:rPr>
        <w:t>NEP2</w:t>
      </w:r>
      <w:r w:rsidR="002A01E9">
        <w:rPr>
          <w:rFonts w:cs="Arial"/>
        </w:rPr>
        <w:t>2</w:t>
      </w:r>
      <w:r w:rsidRPr="724E9479">
        <w:rPr>
          <w:rFonts w:cs="Arial"/>
        </w:rPr>
        <w:t xml:space="preserve">, IHPA must take into account the costs of private patients that are met through alternative funding sources. These alternative sources include medical benefits payments by the Australian Government, private health insurance benefits payments, and payments made by patients. </w:t>
      </w:r>
    </w:p>
    <w:p w14:paraId="71CC6961" w14:textId="1F48ED63" w:rsidR="00550102" w:rsidRPr="00DF7079" w:rsidRDefault="00550102" w:rsidP="00550102">
      <w:pPr>
        <w:tabs>
          <w:tab w:val="left" w:pos="1162"/>
        </w:tabs>
        <w:spacing w:line="240" w:lineRule="auto"/>
        <w:ind w:right="-28"/>
        <w:rPr>
          <w:rFonts w:cs="Arial"/>
        </w:rPr>
      </w:pPr>
      <w:r w:rsidRPr="6886BF09">
        <w:rPr>
          <w:rFonts w:cs="Arial"/>
        </w:rPr>
        <w:t>Since NEP14, the</w:t>
      </w:r>
      <w:r w:rsidR="002C66DC" w:rsidRPr="6886BF09">
        <w:rPr>
          <w:rFonts w:cs="Arial"/>
        </w:rPr>
        <w:t xml:space="preserve"> HCP</w:t>
      </w:r>
      <w:r w:rsidRPr="6886BF09">
        <w:rPr>
          <w:rFonts w:cs="Arial"/>
        </w:rPr>
        <w:t xml:space="preserve"> dataset, which is reported by private insurance companies, has been used to identify these costs. HCP data identifies both the charges and benefits paid for private pati</w:t>
      </w:r>
      <w:r w:rsidRPr="00AF6C42">
        <w:rPr>
          <w:rFonts w:cs="Arial"/>
        </w:rPr>
        <w:t xml:space="preserve">ents receiving public hospital services. For </w:t>
      </w:r>
      <w:r w:rsidR="006938BD" w:rsidRPr="00AF6C42">
        <w:rPr>
          <w:rFonts w:cs="Arial"/>
        </w:rPr>
        <w:t>NEP2</w:t>
      </w:r>
      <w:r w:rsidR="006938BD">
        <w:rPr>
          <w:rFonts w:cs="Arial"/>
        </w:rPr>
        <w:t>2</w:t>
      </w:r>
      <w:r w:rsidRPr="00FF4589">
        <w:rPr>
          <w:rFonts w:cs="Arial"/>
        </w:rPr>
        <w:t>, the private patient records in the HCP dataset were matched with the records in the APC and NHCDC datasets, resulting in a sample of</w:t>
      </w:r>
      <w:r w:rsidR="008A7F56" w:rsidRPr="004A03A2">
        <w:rPr>
          <w:rFonts w:cs="Arial"/>
        </w:rPr>
        <w:t xml:space="preserve"> </w:t>
      </w:r>
      <w:r w:rsidR="0029560F" w:rsidRPr="59AFD596">
        <w:rPr>
          <w:rFonts w:cs="Arial"/>
        </w:rPr>
        <w:t>76.8</w:t>
      </w:r>
      <w:r w:rsidR="1417D5E3" w:rsidRPr="004A03A2">
        <w:rPr>
          <w:rFonts w:cs="Arial"/>
        </w:rPr>
        <w:t xml:space="preserve"> </w:t>
      </w:r>
      <w:r w:rsidRPr="004A03A2">
        <w:rPr>
          <w:rFonts w:cs="Arial"/>
        </w:rPr>
        <w:t>per</w:t>
      </w:r>
      <w:r w:rsidRPr="6886BF09">
        <w:rPr>
          <w:rFonts w:cs="Arial"/>
        </w:rPr>
        <w:t xml:space="preserve"> cent match of relevant records. Those private patient records in the NHCDC that were not matched to the HCP data were assumed to have similar characteristics to the matched dataset.</w:t>
      </w:r>
    </w:p>
    <w:p w14:paraId="49F3ACA4" w14:textId="4BC7B4B9" w:rsidR="00550102" w:rsidRPr="00DF7079" w:rsidRDefault="00550102" w:rsidP="3E62FDA7">
      <w:pPr>
        <w:tabs>
          <w:tab w:val="left" w:pos="1162"/>
        </w:tabs>
        <w:spacing w:after="240" w:line="240" w:lineRule="auto"/>
        <w:ind w:right="-28"/>
        <w:rPr>
          <w:rFonts w:cs="Arial"/>
          <w:b/>
          <w:bCs/>
          <w:color w:val="000000"/>
          <w:sz w:val="20"/>
          <w:szCs w:val="20"/>
        </w:rPr>
      </w:pPr>
      <w:r w:rsidRPr="6886BF09">
        <w:rPr>
          <w:rFonts w:cs="Arial"/>
        </w:rPr>
        <w:t>In using the HCP data, a more accurate estimate can be made for the amount of private patient costs not included in the NHCDC data and need a correction factor a</w:t>
      </w:r>
      <w:r w:rsidR="008E2878" w:rsidRPr="6886BF09">
        <w:rPr>
          <w:rFonts w:cs="Arial"/>
        </w:rPr>
        <w:t xml:space="preserve">pplied. A correction factor of </w:t>
      </w:r>
      <w:r w:rsidR="0029560F" w:rsidRPr="420B763B">
        <w:rPr>
          <w:rFonts w:cs="Arial"/>
        </w:rPr>
        <w:t>1.2</w:t>
      </w:r>
      <w:r w:rsidR="67214DD5" w:rsidRPr="6886BF09">
        <w:rPr>
          <w:rFonts w:cs="Arial"/>
        </w:rPr>
        <w:t xml:space="preserve"> </w:t>
      </w:r>
      <w:r w:rsidRPr="6886BF09">
        <w:rPr>
          <w:rFonts w:cs="Arial"/>
        </w:rPr>
        <w:t xml:space="preserve">per cent was determined for </w:t>
      </w:r>
      <w:r w:rsidR="006938BD" w:rsidRPr="6886BF09">
        <w:rPr>
          <w:rFonts w:cs="Arial"/>
        </w:rPr>
        <w:t>NEP2</w:t>
      </w:r>
      <w:r w:rsidR="006938BD">
        <w:rPr>
          <w:rFonts w:cs="Arial"/>
        </w:rPr>
        <w:t>2</w:t>
      </w:r>
      <w:r w:rsidRPr="6886BF09">
        <w:rPr>
          <w:rFonts w:cs="Arial"/>
        </w:rPr>
        <w:t xml:space="preserve">. </w:t>
      </w:r>
    </w:p>
    <w:p w14:paraId="2432F9E7" w14:textId="77777777" w:rsidR="00550102" w:rsidRPr="00EC1F9C" w:rsidRDefault="00550102" w:rsidP="00755433">
      <w:pPr>
        <w:pStyle w:val="Heading3"/>
      </w:pPr>
      <w:r w:rsidRPr="00EC1F9C">
        <w:t>Stratification and weighting</w:t>
      </w:r>
    </w:p>
    <w:p w14:paraId="52A9E317" w14:textId="476CFB2B" w:rsidR="00550102" w:rsidRPr="00DF7079" w:rsidRDefault="00550102" w:rsidP="00550102">
      <w:pPr>
        <w:tabs>
          <w:tab w:val="left" w:pos="1162"/>
        </w:tabs>
        <w:spacing w:line="240" w:lineRule="auto"/>
        <w:ind w:right="-28"/>
        <w:rPr>
          <w:rFonts w:cs="Arial"/>
        </w:rPr>
      </w:pPr>
      <w:r w:rsidRPr="724E9479">
        <w:rPr>
          <w:rFonts w:cs="Arial"/>
        </w:rPr>
        <w:t xml:space="preserve">The sample of costed activity from ABF establishments make </w:t>
      </w:r>
      <w:r w:rsidRPr="00FA6B46">
        <w:rPr>
          <w:rFonts w:cs="Arial"/>
        </w:rPr>
        <w:t>u</w:t>
      </w:r>
      <w:r w:rsidRPr="00FF4589">
        <w:rPr>
          <w:rFonts w:cs="Arial"/>
        </w:rPr>
        <w:t xml:space="preserve">p </w:t>
      </w:r>
      <w:r w:rsidR="0029560F" w:rsidRPr="420B763B">
        <w:rPr>
          <w:rFonts w:cs="Arial"/>
        </w:rPr>
        <w:t>96.8</w:t>
      </w:r>
      <w:r w:rsidR="008A7F56" w:rsidRPr="00FF4589">
        <w:rPr>
          <w:rFonts w:cs="Arial"/>
        </w:rPr>
        <w:t xml:space="preserve"> </w:t>
      </w:r>
      <w:r w:rsidRPr="00FF4589">
        <w:rPr>
          <w:rFonts w:cs="Arial"/>
        </w:rPr>
        <w:t>per</w:t>
      </w:r>
      <w:r w:rsidRPr="724E9479">
        <w:rPr>
          <w:rFonts w:cs="Arial"/>
        </w:rPr>
        <w:t xml:space="preserve"> cent of all in-scope admitted acute activity (population). To take account of the un-costed activity, IHPA weights the costed sample to the population. Weighting of the costed sample is applied to ensure a true representation of the entire population. This weighting process is performed in two stages, as outlined below.</w:t>
      </w:r>
    </w:p>
    <w:p w14:paraId="5A79D0D5" w14:textId="58F85092" w:rsidR="00550102" w:rsidRPr="00EC1F9C" w:rsidRDefault="00550102" w:rsidP="00EA14EF">
      <w:pPr>
        <w:keepNext/>
        <w:tabs>
          <w:tab w:val="left" w:pos="1162"/>
        </w:tabs>
        <w:spacing w:line="240" w:lineRule="auto"/>
        <w:ind w:right="-28"/>
        <w:rPr>
          <w:rFonts w:cs="Arial"/>
          <w:b/>
        </w:rPr>
      </w:pPr>
      <w:r w:rsidRPr="724E9479">
        <w:rPr>
          <w:rFonts w:cs="Arial"/>
          <w:b/>
        </w:rPr>
        <w:lastRenderedPageBreak/>
        <w:t xml:space="preserve">Stage 1 (episodes admitted on or after 1 July </w:t>
      </w:r>
      <w:r w:rsidR="006938BD" w:rsidRPr="724E9479">
        <w:rPr>
          <w:rFonts w:cs="Arial"/>
          <w:b/>
        </w:rPr>
        <w:t>201</w:t>
      </w:r>
      <w:r w:rsidR="006938BD">
        <w:rPr>
          <w:rFonts w:cs="Arial"/>
          <w:b/>
          <w:bCs/>
        </w:rPr>
        <w:t>8</w:t>
      </w:r>
      <w:r w:rsidR="006938BD" w:rsidRPr="724E9479">
        <w:rPr>
          <w:rFonts w:cs="Arial"/>
          <w:b/>
        </w:rPr>
        <w:t xml:space="preserve"> </w:t>
      </w:r>
      <w:r w:rsidRPr="724E9479">
        <w:rPr>
          <w:rFonts w:cs="Arial"/>
          <w:b/>
        </w:rPr>
        <w:t>and separated on or before 30</w:t>
      </w:r>
      <w:r w:rsidR="00392156" w:rsidRPr="724E9479">
        <w:rPr>
          <w:rFonts w:cs="Arial"/>
          <w:b/>
        </w:rPr>
        <w:t> </w:t>
      </w:r>
      <w:r w:rsidRPr="724E9479">
        <w:rPr>
          <w:rFonts w:cs="Arial"/>
          <w:b/>
        </w:rPr>
        <w:t>June</w:t>
      </w:r>
      <w:r w:rsidR="00392156" w:rsidRPr="724E9479">
        <w:rPr>
          <w:rFonts w:cs="Arial"/>
          <w:b/>
        </w:rPr>
        <w:t> </w:t>
      </w:r>
      <w:r w:rsidR="006938BD" w:rsidRPr="724E9479">
        <w:rPr>
          <w:rFonts w:cs="Arial"/>
          <w:b/>
        </w:rPr>
        <w:t>20</w:t>
      </w:r>
      <w:r w:rsidR="006938BD">
        <w:rPr>
          <w:rFonts w:cs="Arial"/>
          <w:b/>
        </w:rPr>
        <w:t>20</w:t>
      </w:r>
    </w:p>
    <w:p w14:paraId="0E4D4F4D" w14:textId="65B2A654" w:rsidR="00550102" w:rsidRPr="00DF7079" w:rsidRDefault="00550102" w:rsidP="00550102">
      <w:pPr>
        <w:tabs>
          <w:tab w:val="left" w:pos="1162"/>
        </w:tabs>
        <w:spacing w:line="240" w:lineRule="auto"/>
        <w:ind w:right="-28"/>
        <w:rPr>
          <w:rFonts w:cs="Arial"/>
        </w:rPr>
      </w:pPr>
      <w:r w:rsidRPr="724E9479">
        <w:rPr>
          <w:rFonts w:cs="Arial"/>
        </w:rPr>
        <w:t xml:space="preserve">The first stage of the weighting process stratified and weighted the ABF sample to reflect the population of all </w:t>
      </w:r>
      <w:r w:rsidR="00ED7CB1" w:rsidRPr="724E9479">
        <w:rPr>
          <w:rFonts w:cs="Arial"/>
        </w:rPr>
        <w:t>201</w:t>
      </w:r>
      <w:r w:rsidR="00ED7CB1">
        <w:rPr>
          <w:rFonts w:cs="Arial"/>
        </w:rPr>
        <w:t>9</w:t>
      </w:r>
      <w:r w:rsidRPr="724E9479">
        <w:rPr>
          <w:rFonts w:cs="Arial"/>
        </w:rPr>
        <w:t>–</w:t>
      </w:r>
      <w:r w:rsidR="00ED7CB1">
        <w:rPr>
          <w:rFonts w:cs="Arial"/>
        </w:rPr>
        <w:t>20</w:t>
      </w:r>
      <w:r w:rsidR="00ED7CB1" w:rsidRPr="724E9479">
        <w:rPr>
          <w:rFonts w:cs="Arial"/>
        </w:rPr>
        <w:t xml:space="preserve"> </w:t>
      </w:r>
      <w:r w:rsidRPr="724E9479">
        <w:rPr>
          <w:rFonts w:cs="Arial"/>
        </w:rPr>
        <w:t xml:space="preserve">ABF admitted acute activity with an admission date </w:t>
      </w:r>
      <w:r w:rsidRPr="724E9479">
        <w:rPr>
          <w:rFonts w:cs="Arial"/>
          <w:i/>
        </w:rPr>
        <w:t>on or after</w:t>
      </w:r>
      <w:r w:rsidRPr="724E9479">
        <w:rPr>
          <w:rFonts w:cs="Arial"/>
        </w:rPr>
        <w:t xml:space="preserve"> 1</w:t>
      </w:r>
      <w:r w:rsidR="00392156" w:rsidRPr="724E9479">
        <w:rPr>
          <w:rFonts w:cs="Arial"/>
        </w:rPr>
        <w:t> </w:t>
      </w:r>
      <w:r w:rsidRPr="724E9479">
        <w:rPr>
          <w:rFonts w:cs="Arial"/>
        </w:rPr>
        <w:t>July</w:t>
      </w:r>
      <w:r w:rsidR="00392156" w:rsidRPr="724E9479">
        <w:rPr>
          <w:rFonts w:cs="Arial"/>
        </w:rPr>
        <w:t> </w:t>
      </w:r>
      <w:r w:rsidR="00ED7CB1" w:rsidRPr="724E9479">
        <w:rPr>
          <w:rFonts w:cs="Arial"/>
        </w:rPr>
        <w:t>201</w:t>
      </w:r>
      <w:r w:rsidR="00ED7CB1">
        <w:rPr>
          <w:rFonts w:cs="Arial"/>
        </w:rPr>
        <w:t>8</w:t>
      </w:r>
      <w:r w:rsidRPr="724E9479">
        <w:rPr>
          <w:rFonts w:cs="Arial"/>
        </w:rPr>
        <w:t xml:space="preserve">. The stratification is based on establishment state/territory, size, location and paediatric specialty. Establishments are classified by size using </w:t>
      </w:r>
      <w:r w:rsidR="00ED7CB1" w:rsidRPr="724E9479">
        <w:rPr>
          <w:rFonts w:cs="Arial"/>
        </w:rPr>
        <w:t>202</w:t>
      </w:r>
      <w:r w:rsidR="00ED7CB1">
        <w:rPr>
          <w:rFonts w:cs="Arial"/>
        </w:rPr>
        <w:t>1</w:t>
      </w:r>
      <w:r w:rsidRPr="724E9479">
        <w:rPr>
          <w:rFonts w:cs="Arial"/>
        </w:rPr>
        <w:t>–</w:t>
      </w:r>
      <w:r w:rsidR="00ED7CB1" w:rsidRPr="724E9479">
        <w:rPr>
          <w:rFonts w:cs="Arial"/>
        </w:rPr>
        <w:t>2</w:t>
      </w:r>
      <w:r w:rsidR="00ED7CB1">
        <w:rPr>
          <w:rFonts w:cs="Arial"/>
        </w:rPr>
        <w:t>2</w:t>
      </w:r>
      <w:r w:rsidR="00ED7CB1" w:rsidRPr="724E9479">
        <w:rPr>
          <w:rFonts w:cs="Arial"/>
        </w:rPr>
        <w:t xml:space="preserve"> </w:t>
      </w:r>
      <w:r w:rsidRPr="724E9479">
        <w:rPr>
          <w:rFonts w:cs="Arial"/>
        </w:rPr>
        <w:t xml:space="preserve">admitted acute NWAU, calculated on </w:t>
      </w:r>
      <w:r w:rsidR="00ED7CB1" w:rsidRPr="724E9479">
        <w:rPr>
          <w:rFonts w:cs="Arial"/>
        </w:rPr>
        <w:t>201</w:t>
      </w:r>
      <w:r w:rsidR="00ED7CB1">
        <w:rPr>
          <w:rFonts w:cs="Arial"/>
        </w:rPr>
        <w:t>9</w:t>
      </w:r>
      <w:r w:rsidRPr="724E9479">
        <w:rPr>
          <w:rFonts w:cs="Arial"/>
        </w:rPr>
        <w:t>–</w:t>
      </w:r>
      <w:r w:rsidR="00ED7CB1">
        <w:rPr>
          <w:rFonts w:cs="Arial"/>
        </w:rPr>
        <w:t>20</w:t>
      </w:r>
      <w:r w:rsidR="00ED7CB1" w:rsidRPr="724E9479">
        <w:rPr>
          <w:rFonts w:cs="Arial"/>
        </w:rPr>
        <w:t xml:space="preserve"> </w:t>
      </w:r>
      <w:r w:rsidRPr="724E9479">
        <w:rPr>
          <w:rFonts w:cs="Arial"/>
        </w:rPr>
        <w:t xml:space="preserve">activity data (that is, </w:t>
      </w:r>
      <w:r w:rsidR="00ED7CB1" w:rsidRPr="724E9479">
        <w:rPr>
          <w:rFonts w:cs="Arial"/>
        </w:rPr>
        <w:t>NWAU2</w:t>
      </w:r>
      <w:r w:rsidR="00ED7CB1">
        <w:rPr>
          <w:rFonts w:cs="Arial"/>
        </w:rPr>
        <w:t>1</w:t>
      </w:r>
      <w:r w:rsidR="00ED7CB1" w:rsidRPr="724E9479">
        <w:rPr>
          <w:rFonts w:cs="Arial"/>
        </w:rPr>
        <w:t xml:space="preserve"> </w:t>
      </w:r>
      <w:r w:rsidRPr="724E9479">
        <w:rPr>
          <w:rFonts w:cs="Arial"/>
        </w:rPr>
        <w:t xml:space="preserve">calculator applied to </w:t>
      </w:r>
      <w:r w:rsidR="00ED7CB1" w:rsidRPr="724E9479">
        <w:rPr>
          <w:rFonts w:cs="Arial"/>
        </w:rPr>
        <w:t>201</w:t>
      </w:r>
      <w:r w:rsidR="00ED7CB1">
        <w:rPr>
          <w:rFonts w:cs="Arial"/>
        </w:rPr>
        <w:t>9</w:t>
      </w:r>
      <w:r w:rsidRPr="724E9479">
        <w:rPr>
          <w:rFonts w:cs="Arial"/>
        </w:rPr>
        <w:t>–</w:t>
      </w:r>
      <w:r w:rsidR="00ED7CB1">
        <w:rPr>
          <w:rFonts w:cs="Arial"/>
        </w:rPr>
        <w:t>20</w:t>
      </w:r>
      <w:r w:rsidR="00ED7CB1" w:rsidRPr="724E9479">
        <w:rPr>
          <w:rFonts w:cs="Arial"/>
        </w:rPr>
        <w:t xml:space="preserve"> </w:t>
      </w:r>
      <w:r w:rsidRPr="724E9479">
        <w:rPr>
          <w:rFonts w:cs="Arial"/>
        </w:rPr>
        <w:t xml:space="preserve">data). </w:t>
      </w:r>
    </w:p>
    <w:p w14:paraId="46E8013B" w14:textId="550095BE" w:rsidR="00550102" w:rsidRPr="00EC1F9C" w:rsidRDefault="00550102" w:rsidP="00550102">
      <w:pPr>
        <w:tabs>
          <w:tab w:val="left" w:pos="1162"/>
        </w:tabs>
        <w:spacing w:line="240" w:lineRule="auto"/>
        <w:ind w:right="-28"/>
        <w:rPr>
          <w:rFonts w:cs="Arial"/>
          <w:b/>
        </w:rPr>
      </w:pPr>
      <w:r w:rsidRPr="724E9479">
        <w:rPr>
          <w:rFonts w:cs="Arial"/>
          <w:b/>
        </w:rPr>
        <w:t xml:space="preserve">Stage 2 (episodes </w:t>
      </w:r>
      <w:r w:rsidR="00A8551B" w:rsidRPr="724E9479">
        <w:rPr>
          <w:rFonts w:cs="Arial"/>
          <w:b/>
        </w:rPr>
        <w:t xml:space="preserve">admitted </w:t>
      </w:r>
      <w:r w:rsidRPr="724E9479">
        <w:rPr>
          <w:rFonts w:cs="Arial"/>
          <w:b/>
        </w:rPr>
        <w:t xml:space="preserve">prior to 1 July </w:t>
      </w:r>
      <w:r w:rsidR="00ED7CB1" w:rsidRPr="724E9479">
        <w:rPr>
          <w:rFonts w:cs="Arial"/>
          <w:b/>
        </w:rPr>
        <w:t>201</w:t>
      </w:r>
      <w:r w:rsidR="00ED7CB1">
        <w:rPr>
          <w:rFonts w:cs="Arial"/>
          <w:b/>
          <w:bCs/>
        </w:rPr>
        <w:t>8</w:t>
      </w:r>
      <w:r w:rsidRPr="724E9479">
        <w:rPr>
          <w:rFonts w:cs="Arial"/>
          <w:b/>
        </w:rPr>
        <w:t>)</w:t>
      </w:r>
    </w:p>
    <w:p w14:paraId="4D84207B" w14:textId="28F1AB37" w:rsidR="00550102" w:rsidRPr="00DF7079" w:rsidRDefault="00550102" w:rsidP="00550102">
      <w:pPr>
        <w:tabs>
          <w:tab w:val="left" w:pos="1162"/>
        </w:tabs>
        <w:spacing w:line="240" w:lineRule="auto"/>
        <w:ind w:right="-28"/>
        <w:rPr>
          <w:rFonts w:cs="Arial"/>
        </w:rPr>
      </w:pPr>
      <w:r w:rsidRPr="724E9479">
        <w:rPr>
          <w:rFonts w:cs="Arial"/>
        </w:rPr>
        <w:t>The second stage o</w:t>
      </w:r>
      <w:r w:rsidR="00A8551B" w:rsidRPr="724E9479">
        <w:rPr>
          <w:rFonts w:cs="Arial"/>
        </w:rPr>
        <w:t>f the weighting process weights</w:t>
      </w:r>
      <w:r w:rsidRPr="724E9479">
        <w:rPr>
          <w:rFonts w:cs="Arial"/>
        </w:rPr>
        <w:t xml:space="preserve"> the </w:t>
      </w:r>
      <w:r w:rsidR="00ED7CB1" w:rsidRPr="724E9479">
        <w:rPr>
          <w:rFonts w:cs="Arial"/>
        </w:rPr>
        <w:t>201</w:t>
      </w:r>
      <w:r w:rsidR="00ED7CB1">
        <w:rPr>
          <w:rFonts w:cs="Arial"/>
        </w:rPr>
        <w:t>9</w:t>
      </w:r>
      <w:r w:rsidRPr="724E9479">
        <w:rPr>
          <w:rFonts w:cs="Arial"/>
        </w:rPr>
        <w:t>–</w:t>
      </w:r>
      <w:r w:rsidR="00ED7CB1">
        <w:rPr>
          <w:rFonts w:cs="Arial"/>
        </w:rPr>
        <w:t>20</w:t>
      </w:r>
      <w:r w:rsidR="00ED7CB1" w:rsidRPr="724E9479">
        <w:rPr>
          <w:rFonts w:cs="Arial"/>
        </w:rPr>
        <w:t xml:space="preserve"> </w:t>
      </w:r>
      <w:r w:rsidRPr="724E9479">
        <w:rPr>
          <w:rFonts w:cs="Arial"/>
        </w:rPr>
        <w:t xml:space="preserve">activity with an admission date </w:t>
      </w:r>
      <w:r w:rsidRPr="724E9479">
        <w:rPr>
          <w:rFonts w:cs="Arial"/>
          <w:i/>
        </w:rPr>
        <w:t>prior</w:t>
      </w:r>
      <w:r w:rsidRPr="724E9479">
        <w:rPr>
          <w:rFonts w:cs="Arial"/>
        </w:rPr>
        <w:t xml:space="preserve"> to 1 July </w:t>
      </w:r>
      <w:r w:rsidR="00ED7CB1" w:rsidRPr="724E9479">
        <w:rPr>
          <w:rFonts w:cs="Arial"/>
        </w:rPr>
        <w:t>201</w:t>
      </w:r>
      <w:r w:rsidR="00ED7CB1">
        <w:rPr>
          <w:rFonts w:cs="Arial"/>
        </w:rPr>
        <w:t>8</w:t>
      </w:r>
      <w:r w:rsidRPr="724E9479">
        <w:rPr>
          <w:rFonts w:cs="Arial"/>
        </w:rPr>
        <w:t xml:space="preserve">, up to all activity with separation dates within </w:t>
      </w:r>
      <w:r w:rsidR="0063441F" w:rsidRPr="724E9479">
        <w:rPr>
          <w:rFonts w:cs="Arial"/>
        </w:rPr>
        <w:t>201</w:t>
      </w:r>
      <w:r w:rsidR="0063441F">
        <w:rPr>
          <w:rFonts w:cs="Arial"/>
        </w:rPr>
        <w:t>8</w:t>
      </w:r>
      <w:r w:rsidRPr="724E9479">
        <w:rPr>
          <w:rFonts w:cs="Arial"/>
        </w:rPr>
        <w:t>–</w:t>
      </w:r>
      <w:r w:rsidR="0063441F">
        <w:rPr>
          <w:rFonts w:cs="Arial"/>
        </w:rPr>
        <w:t>20</w:t>
      </w:r>
      <w:r w:rsidRPr="724E9479">
        <w:rPr>
          <w:rFonts w:cs="Arial"/>
        </w:rPr>
        <w:t xml:space="preserve">. This weighting is done by </w:t>
      </w:r>
      <w:r w:rsidR="00A8551B" w:rsidRPr="00DF7079">
        <w:t>length of stay</w:t>
      </w:r>
      <w:r w:rsidRPr="724E9479">
        <w:rPr>
          <w:rFonts w:cs="Arial"/>
        </w:rPr>
        <w:t xml:space="preserve"> quartiles within the AR-DRG. </w:t>
      </w:r>
      <w:r w:rsidRPr="007D1846">
        <w:rPr>
          <w:rFonts w:cs="Arial"/>
        </w:rPr>
        <w:t>Same-day activity received a weight of 1</w:t>
      </w:r>
      <w:r w:rsidR="001D2EF6">
        <w:rPr>
          <w:rFonts w:cs="Arial"/>
        </w:rPr>
        <w:t>.0</w:t>
      </w:r>
      <w:r w:rsidRPr="007D1846">
        <w:rPr>
          <w:rFonts w:cs="Arial"/>
        </w:rPr>
        <w:t xml:space="preserve"> in this process, as there are no </w:t>
      </w:r>
      <w:r w:rsidR="0063441F" w:rsidRPr="007D1846">
        <w:rPr>
          <w:rFonts w:cs="Arial"/>
        </w:rPr>
        <w:t>201</w:t>
      </w:r>
      <w:r w:rsidR="0063441F">
        <w:rPr>
          <w:rFonts w:cs="Arial"/>
        </w:rPr>
        <w:t>9</w:t>
      </w:r>
      <w:r w:rsidRPr="007D1846">
        <w:rPr>
          <w:rFonts w:cs="Arial"/>
        </w:rPr>
        <w:t>–</w:t>
      </w:r>
      <w:r w:rsidR="0063441F">
        <w:rPr>
          <w:rFonts w:cs="Arial"/>
        </w:rPr>
        <w:t>20</w:t>
      </w:r>
      <w:r w:rsidR="0063441F" w:rsidRPr="007D1846">
        <w:rPr>
          <w:rFonts w:cs="Arial"/>
        </w:rPr>
        <w:t xml:space="preserve"> </w:t>
      </w:r>
      <w:r w:rsidRPr="007D1846">
        <w:rPr>
          <w:rFonts w:cs="Arial"/>
        </w:rPr>
        <w:t>same-day separations with admission dates prior to 1</w:t>
      </w:r>
      <w:r w:rsidR="00392156" w:rsidRPr="007D1846">
        <w:rPr>
          <w:rFonts w:cs="Arial"/>
        </w:rPr>
        <w:t> </w:t>
      </w:r>
      <w:r w:rsidRPr="007D1846">
        <w:rPr>
          <w:rFonts w:cs="Arial"/>
        </w:rPr>
        <w:t>July</w:t>
      </w:r>
      <w:r w:rsidR="00392156" w:rsidRPr="007D1846">
        <w:rPr>
          <w:rFonts w:cs="Arial"/>
        </w:rPr>
        <w:t> </w:t>
      </w:r>
      <w:r w:rsidR="003853B8" w:rsidRPr="007D1846">
        <w:rPr>
          <w:rFonts w:cs="Arial"/>
        </w:rPr>
        <w:t>201</w:t>
      </w:r>
      <w:r w:rsidR="003853B8">
        <w:rPr>
          <w:rFonts w:cs="Arial"/>
        </w:rPr>
        <w:t>9</w:t>
      </w:r>
      <w:r w:rsidRPr="007D1846">
        <w:rPr>
          <w:rFonts w:cs="Arial"/>
        </w:rPr>
        <w:t>.</w:t>
      </w:r>
    </w:p>
    <w:p w14:paraId="60DEE5AC" w14:textId="77777777" w:rsidR="00550102" w:rsidRPr="00DF7079" w:rsidRDefault="00550102" w:rsidP="00550102">
      <w:pPr>
        <w:tabs>
          <w:tab w:val="left" w:pos="1162"/>
        </w:tabs>
        <w:spacing w:line="240" w:lineRule="auto"/>
        <w:ind w:right="-28"/>
        <w:rPr>
          <w:rFonts w:cs="Arial"/>
        </w:rPr>
      </w:pPr>
      <w:r w:rsidRPr="00DF7079">
        <w:rPr>
          <w:rFonts w:cs="Arial"/>
        </w:rPr>
        <w:t>The resulting sample-to-population weights were used throughout all stages of the cost model development.</w:t>
      </w:r>
    </w:p>
    <w:p w14:paraId="621DF344" w14:textId="77777777" w:rsidR="00550102" w:rsidRPr="000A4A79" w:rsidRDefault="00550102" w:rsidP="00755433">
      <w:pPr>
        <w:pStyle w:val="Heading3"/>
      </w:pPr>
      <w:bookmarkStart w:id="93" w:name="_Ref57029192"/>
      <w:r w:rsidRPr="000A4A79">
        <w:t>Inlier bounds</w:t>
      </w:r>
      <w:bookmarkEnd w:id="93"/>
    </w:p>
    <w:p w14:paraId="320A543E" w14:textId="77777777" w:rsidR="00550102" w:rsidRDefault="00550102" w:rsidP="00550102">
      <w:pPr>
        <w:tabs>
          <w:tab w:val="left" w:pos="1162"/>
        </w:tabs>
        <w:spacing w:line="240" w:lineRule="auto"/>
        <w:ind w:right="-28"/>
        <w:rPr>
          <w:rFonts w:cs="Arial"/>
          <w:szCs w:val="20"/>
        </w:rPr>
      </w:pPr>
      <w:r>
        <w:rPr>
          <w:rFonts w:cs="Arial"/>
          <w:szCs w:val="20"/>
        </w:rPr>
        <w:t>Admitted episodes with length of stay between one-third and three times the average length of stay for a particular AR-DRG are classed as inliers. This methodology is referred to as L3H3, and results in the vast majority of admitted episodes being classed as inliers.</w:t>
      </w:r>
    </w:p>
    <w:p w14:paraId="514E8E83" w14:textId="77777777" w:rsidR="00EA14EF" w:rsidRDefault="00550102" w:rsidP="3E62FDA7">
      <w:pPr>
        <w:tabs>
          <w:tab w:val="left" w:pos="1162"/>
        </w:tabs>
        <w:spacing w:line="240" w:lineRule="auto"/>
        <w:ind w:right="-28"/>
        <w:rPr>
          <w:rFonts w:cs="Arial"/>
        </w:rPr>
      </w:pPr>
      <w:r w:rsidRPr="6886BF09">
        <w:rPr>
          <w:rFonts w:cs="Arial"/>
        </w:rPr>
        <w:t xml:space="preserve">The L3H3 method is applied to the population of in-scope activity from ABF establishments to identify inlier bounds outside of which are short-stay and long-stay outliers. This is illustrated in </w:t>
      </w:r>
      <w:r>
        <w:t xml:space="preserve">Figure </w:t>
      </w:r>
      <w:r w:rsidRPr="6886BF09">
        <w:rPr>
          <w:noProof/>
        </w:rPr>
        <w:t>2</w:t>
      </w:r>
      <w:r w:rsidRPr="6886BF09">
        <w:rPr>
          <w:rFonts w:cs="Arial"/>
        </w:rPr>
        <w:t>. The method excludes same-day episodes occurring in AR</w:t>
      </w:r>
      <w:r w:rsidR="6DF6ACE3" w:rsidRPr="6886BF09">
        <w:rPr>
          <w:rFonts w:cs="Arial"/>
        </w:rPr>
        <w:t>-</w:t>
      </w:r>
      <w:r w:rsidRPr="6886BF09">
        <w:rPr>
          <w:rFonts w:cs="Arial"/>
        </w:rPr>
        <w:t xml:space="preserve">DRGs designated for a separate same-day payment, and uses </w:t>
      </w:r>
      <w:r w:rsidR="00A8551B">
        <w:t>length of stay</w:t>
      </w:r>
      <w:r w:rsidRPr="6886BF09">
        <w:rPr>
          <w:rFonts w:cs="Arial"/>
        </w:rPr>
        <w:t xml:space="preserve"> adjusted to remove ICU days for </w:t>
      </w:r>
      <w:r w:rsidR="00A8551B" w:rsidRPr="6886BF09">
        <w:rPr>
          <w:rFonts w:cs="Arial"/>
        </w:rPr>
        <w:t xml:space="preserve">ICU </w:t>
      </w:r>
      <w:r w:rsidRPr="6886BF09">
        <w:rPr>
          <w:rFonts w:cs="Arial"/>
        </w:rPr>
        <w:t xml:space="preserve">unbundled AR-DRGs. </w:t>
      </w:r>
    </w:p>
    <w:p w14:paraId="4DBE1613" w14:textId="77777777" w:rsidR="00550102" w:rsidRPr="00DF7079" w:rsidRDefault="00550102" w:rsidP="00EA14EF">
      <w:pPr>
        <w:tabs>
          <w:tab w:val="left" w:pos="1162"/>
        </w:tabs>
        <w:spacing w:line="240" w:lineRule="auto"/>
        <w:ind w:right="-28"/>
        <w:rPr>
          <w:b/>
        </w:rPr>
      </w:pPr>
      <w:r w:rsidRPr="00DF7079">
        <w:rPr>
          <w:b/>
        </w:rPr>
        <w:t xml:space="preserve">Figure </w:t>
      </w:r>
      <w:r w:rsidRPr="00DF7079">
        <w:rPr>
          <w:b/>
          <w:noProof/>
        </w:rPr>
        <w:t>2</w:t>
      </w:r>
      <w:r w:rsidRPr="00DF7079">
        <w:rPr>
          <w:b/>
        </w:rPr>
        <w:t>: Inlier bound calculations</w:t>
      </w:r>
    </w:p>
    <w:p w14:paraId="1061B29E" w14:textId="77777777" w:rsidR="00550102" w:rsidRPr="00DF7079" w:rsidRDefault="34FCF22F" w:rsidP="00550102">
      <w:pPr>
        <w:tabs>
          <w:tab w:val="left" w:pos="1162"/>
        </w:tabs>
        <w:spacing w:after="360" w:line="240" w:lineRule="auto"/>
        <w:ind w:right="-28"/>
        <w:rPr>
          <w:rFonts w:cs="Arial"/>
          <w:highlight w:val="lightGray"/>
        </w:rPr>
      </w:pPr>
      <w:r>
        <w:rPr>
          <w:noProof/>
        </w:rPr>
        <w:drawing>
          <wp:inline distT="0" distB="0" distL="0" distR="0" wp14:anchorId="3CB9AC42" wp14:editId="297841BF">
            <wp:extent cx="5036401" cy="3913200"/>
            <wp:effectExtent l="19050" t="19050" r="12065" b="11430"/>
            <wp:docPr id="13" name="Picture 13" title="Figure 2: Inlier bound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0">
                      <a:extLst>
                        <a:ext uri="{28A0092B-C50C-407E-A947-70E740481C1C}">
                          <a14:useLocalDpi xmlns:a14="http://schemas.microsoft.com/office/drawing/2010/main" val="0"/>
                        </a:ext>
                      </a:extLst>
                    </a:blip>
                    <a:srcRect b="6772"/>
                    <a:stretch>
                      <a:fillRect/>
                    </a:stretch>
                  </pic:blipFill>
                  <pic:spPr>
                    <a:xfrm>
                      <a:off x="0" y="0"/>
                      <a:ext cx="5036401" cy="3913200"/>
                    </a:xfrm>
                    <a:prstGeom prst="rect">
                      <a:avLst/>
                    </a:prstGeom>
                    <a:ln>
                      <a:solidFill>
                        <a:schemeClr val="accent1"/>
                      </a:solidFill>
                    </a:ln>
                  </pic:spPr>
                </pic:pic>
              </a:graphicData>
            </a:graphic>
          </wp:inline>
        </w:drawing>
      </w:r>
    </w:p>
    <w:p w14:paraId="0F0E1777" w14:textId="1BDB2149" w:rsidR="00550102" w:rsidRPr="00DF7079" w:rsidRDefault="00550102" w:rsidP="6D61DF91">
      <w:pPr>
        <w:tabs>
          <w:tab w:val="left" w:pos="1162"/>
        </w:tabs>
        <w:spacing w:line="240" w:lineRule="auto"/>
        <w:ind w:right="-28"/>
        <w:rPr>
          <w:rFonts w:cs="Arial"/>
          <w:highlight w:val="yellow"/>
        </w:rPr>
      </w:pPr>
      <w:r w:rsidRPr="6D61DF91">
        <w:rPr>
          <w:rFonts w:cs="Arial"/>
        </w:rPr>
        <w:lastRenderedPageBreak/>
        <w:t>The L1.5H1.5 method is used for mental health major diagnostic categories</w:t>
      </w:r>
      <w:r w:rsidR="00B02863" w:rsidRPr="6D61DF91">
        <w:rPr>
          <w:rFonts w:cs="Arial"/>
        </w:rPr>
        <w:t xml:space="preserve"> (MDCs)</w:t>
      </w:r>
      <w:r w:rsidRPr="6D61DF91">
        <w:rPr>
          <w:rFonts w:cs="Arial"/>
        </w:rPr>
        <w:t xml:space="preserve"> 19 and 20, as well as </w:t>
      </w:r>
      <w:r w:rsidR="21C13A52" w:rsidRPr="76ABC984">
        <w:rPr>
          <w:rFonts w:cs="Arial"/>
        </w:rPr>
        <w:t>13</w:t>
      </w:r>
      <w:r w:rsidRPr="6D61DF91">
        <w:rPr>
          <w:rFonts w:cs="Arial"/>
        </w:rPr>
        <w:t xml:space="preserve"> </w:t>
      </w:r>
      <w:r w:rsidR="00092CBA" w:rsidRPr="6D61DF91">
        <w:rPr>
          <w:rFonts w:cs="Arial"/>
        </w:rPr>
        <w:t>AR-</w:t>
      </w:r>
      <w:r w:rsidRPr="6D61DF91">
        <w:rPr>
          <w:rFonts w:cs="Arial"/>
        </w:rPr>
        <w:t xml:space="preserve">DRGs that have very high cost long-stay outliers. The list of 13 </w:t>
      </w:r>
      <w:r w:rsidR="00092CBA" w:rsidRPr="6D61DF91">
        <w:rPr>
          <w:rFonts w:cs="Arial"/>
        </w:rPr>
        <w:t>AR-</w:t>
      </w:r>
      <w:r w:rsidRPr="6D61DF91">
        <w:rPr>
          <w:rFonts w:cs="Arial"/>
        </w:rPr>
        <w:t xml:space="preserve">DRGs where the L1.5H1.5 method is used to determine the inlier bounds is provided in </w:t>
      </w:r>
      <w:r w:rsidRPr="6D61DF91">
        <w:rPr>
          <w:rFonts w:cs="Arial"/>
          <w:b/>
          <w:bCs/>
        </w:rPr>
        <w:t>Appendix D</w:t>
      </w:r>
      <w:r w:rsidRPr="6D61DF91">
        <w:rPr>
          <w:rFonts w:cs="Arial"/>
        </w:rPr>
        <w:t>.</w:t>
      </w:r>
    </w:p>
    <w:p w14:paraId="2AA6EF52"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steps </w:t>
      </w:r>
      <w:r>
        <w:rPr>
          <w:rFonts w:cs="Arial"/>
          <w:szCs w:val="20"/>
        </w:rPr>
        <w:t xml:space="preserve">for this process </w:t>
      </w:r>
      <w:r w:rsidRPr="00DF7079">
        <w:rPr>
          <w:rFonts w:cs="Arial"/>
          <w:szCs w:val="20"/>
        </w:rPr>
        <w:t>are:</w:t>
      </w:r>
    </w:p>
    <w:p w14:paraId="6137F461" w14:textId="77777777" w:rsidR="00550102" w:rsidRPr="00DF7079" w:rsidRDefault="00550102" w:rsidP="00FE1EA1">
      <w:pPr>
        <w:pStyle w:val="ListParagraph"/>
        <w:numPr>
          <w:ilvl w:val="0"/>
          <w:numId w:val="18"/>
        </w:numPr>
      </w:pPr>
      <w:r w:rsidRPr="00DF7079">
        <w:t>Calculate the nation</w:t>
      </w:r>
      <w:r w:rsidR="00A8551B">
        <w:t>al average length of stay</w:t>
      </w:r>
      <w:r w:rsidRPr="00DF7079">
        <w:t xml:space="preserve"> for each AR-DRG. </w:t>
      </w:r>
    </w:p>
    <w:p w14:paraId="3AA7140A" w14:textId="4098A9FD" w:rsidR="00550102" w:rsidRPr="00DF7079" w:rsidRDefault="00550102" w:rsidP="00FE1EA1">
      <w:pPr>
        <w:pStyle w:val="ListParagraph"/>
        <w:numPr>
          <w:ilvl w:val="0"/>
          <w:numId w:val="18"/>
        </w:numPr>
      </w:pPr>
      <w:r>
        <w:t xml:space="preserve">Calculate the inlier lower bound for each AR-DRG. This is based on the calculation: national average length of stay divided by three (1.5 for mental health and the 13 specified </w:t>
      </w:r>
      <w:r w:rsidR="11CE4A16">
        <w:t>AR-</w:t>
      </w:r>
      <w:r>
        <w:t xml:space="preserve">DRGs). The inlier lower bound is equal to </w:t>
      </w:r>
      <w:r w:rsidR="00A8551B">
        <w:t>average length of stay</w:t>
      </w:r>
      <w:r>
        <w:t xml:space="preserve"> divided by three.</w:t>
      </w:r>
    </w:p>
    <w:p w14:paraId="36B8A591" w14:textId="77777777" w:rsidR="00550102" w:rsidRPr="00DF7079" w:rsidRDefault="00550102" w:rsidP="00FE1EA1">
      <w:pPr>
        <w:pStyle w:val="ListParagraph"/>
        <w:numPr>
          <w:ilvl w:val="0"/>
          <w:numId w:val="18"/>
        </w:numPr>
      </w:pPr>
      <w:r w:rsidRPr="00DF7079">
        <w:t xml:space="preserve">The result </w:t>
      </w:r>
      <w:r>
        <w:t>i</w:t>
      </w:r>
      <w:r w:rsidRPr="00DF7079">
        <w:t xml:space="preserve">s </w:t>
      </w:r>
      <w:r>
        <w:t xml:space="preserve">then </w:t>
      </w:r>
      <w:r w:rsidRPr="00DF7079">
        <w:t>truncated</w:t>
      </w:r>
      <w:r>
        <w:t>.</w:t>
      </w:r>
      <w:r w:rsidRPr="00DF7079">
        <w:t xml:space="preserve"> </w:t>
      </w:r>
      <w:r>
        <w:t>T</w:t>
      </w:r>
      <w:r w:rsidRPr="00DF7079">
        <w:t xml:space="preserve">his means that it </w:t>
      </w:r>
      <w:r>
        <w:t>i</w:t>
      </w:r>
      <w:r w:rsidRPr="00DF7079">
        <w:t>s rounded down to the next lowest integer (</w:t>
      </w:r>
      <w:r>
        <w:t>for example,</w:t>
      </w:r>
      <w:r w:rsidRPr="00DF7079">
        <w:t xml:space="preserve"> if the result was 3.6, the inlier lower bound </w:t>
      </w:r>
      <w:r>
        <w:t>i</w:t>
      </w:r>
      <w:r w:rsidRPr="00DF7079">
        <w:t xml:space="preserve">s set to </w:t>
      </w:r>
      <w:r>
        <w:t>three</w:t>
      </w:r>
      <w:r w:rsidRPr="00DF7079">
        <w:t>).</w:t>
      </w:r>
    </w:p>
    <w:p w14:paraId="64B46EA9" w14:textId="3BBE18CA" w:rsidR="00550102" w:rsidRPr="00DF7079" w:rsidRDefault="00550102" w:rsidP="00FE1EA1">
      <w:pPr>
        <w:pStyle w:val="ListParagraph"/>
        <w:numPr>
          <w:ilvl w:val="0"/>
          <w:numId w:val="18"/>
        </w:numPr>
      </w:pPr>
      <w:r>
        <w:t xml:space="preserve">Calculate the inlier upper bound for each AR-DRG. This is based on the calculation: national </w:t>
      </w:r>
      <w:r w:rsidR="00A8551B">
        <w:t>average length of stay</w:t>
      </w:r>
      <w:r>
        <w:t xml:space="preserve"> multiplied by three (1.5 for mental health and the 13 specified </w:t>
      </w:r>
      <w:r w:rsidR="3E3730C2">
        <w:t>AR-</w:t>
      </w:r>
      <w:r>
        <w:t xml:space="preserve">DRGs). </w:t>
      </w:r>
    </w:p>
    <w:p w14:paraId="79063211" w14:textId="77777777" w:rsidR="00550102" w:rsidRPr="00DF7079" w:rsidRDefault="00550102" w:rsidP="00FE1EA1">
      <w:pPr>
        <w:pStyle w:val="ListParagraph"/>
        <w:numPr>
          <w:ilvl w:val="0"/>
          <w:numId w:val="18"/>
        </w:numPr>
      </w:pPr>
      <w:r w:rsidRPr="00DF7079">
        <w:t>The result was rounded to the nearest integer (</w:t>
      </w:r>
      <w:r>
        <w:t>for example,</w:t>
      </w:r>
      <w:r w:rsidRPr="00DF7079">
        <w:t xml:space="preserve"> 10.2 would result in the upper bound being set to 10, whereas 10.7 would result in the upper bound being set to 11).</w:t>
      </w:r>
    </w:p>
    <w:p w14:paraId="7DBBACDC" w14:textId="77777777" w:rsidR="00550102" w:rsidRPr="00DF7079" w:rsidRDefault="00550102" w:rsidP="00FE1EA1">
      <w:pPr>
        <w:pStyle w:val="ListParagraph"/>
        <w:numPr>
          <w:ilvl w:val="0"/>
          <w:numId w:val="18"/>
        </w:numPr>
      </w:pPr>
      <w:r w:rsidRPr="00DF7079">
        <w:t>Episodes with an ICU</w:t>
      </w:r>
      <w:r>
        <w:t xml:space="preserve"> </w:t>
      </w:r>
      <w:r w:rsidRPr="00DF7079">
        <w:t xml:space="preserve">adjusted </w:t>
      </w:r>
      <w:r w:rsidR="00A8551B" w:rsidRPr="00DF7079">
        <w:t>length of stay</w:t>
      </w:r>
      <w:r w:rsidRPr="00DF7079">
        <w:t xml:space="preserve"> equal to or between the two inlier bounds of the AR</w:t>
      </w:r>
      <w:r w:rsidRPr="00DF7079">
        <w:noBreakHyphen/>
        <w:t>DRG are considered inlier episodes.</w:t>
      </w:r>
    </w:p>
    <w:p w14:paraId="23E36956" w14:textId="1B41F1F3" w:rsidR="00550102" w:rsidRPr="00DF7079" w:rsidRDefault="00550102" w:rsidP="00270214">
      <w:pPr>
        <w:rPr>
          <w:rFonts w:cs="Arial"/>
        </w:rPr>
      </w:pPr>
      <w:r w:rsidRPr="6886BF09">
        <w:rPr>
          <w:rFonts w:cs="Arial"/>
        </w:rPr>
        <w:t xml:space="preserve">Further to the above process, changes to the inlier bounds from the </w:t>
      </w:r>
      <w:r w:rsidR="003853B8" w:rsidRPr="6886BF09">
        <w:rPr>
          <w:rFonts w:cs="Arial"/>
        </w:rPr>
        <w:t>201</w:t>
      </w:r>
      <w:r w:rsidR="003853B8">
        <w:rPr>
          <w:rFonts w:cs="Arial"/>
        </w:rPr>
        <w:t>9</w:t>
      </w:r>
      <w:r w:rsidRPr="6886BF09">
        <w:rPr>
          <w:rFonts w:cs="Arial"/>
        </w:rPr>
        <w:t>–</w:t>
      </w:r>
      <w:r w:rsidR="003853B8">
        <w:rPr>
          <w:rFonts w:cs="Arial"/>
        </w:rPr>
        <w:t>20</w:t>
      </w:r>
      <w:r w:rsidR="003853B8" w:rsidRPr="6886BF09">
        <w:rPr>
          <w:rFonts w:cs="Arial"/>
        </w:rPr>
        <w:t xml:space="preserve"> </w:t>
      </w:r>
      <w:r w:rsidRPr="6886BF09">
        <w:rPr>
          <w:rFonts w:cs="Arial"/>
        </w:rPr>
        <w:t xml:space="preserve">cost model are monitored to ensure they are the result of real change and not due to ‘statistical noise’.  </w:t>
      </w:r>
      <w:r w:rsidR="00092CBA" w:rsidRPr="6886BF09">
        <w:rPr>
          <w:rFonts w:cs="Arial"/>
        </w:rPr>
        <w:t xml:space="preserve">To evaluate </w:t>
      </w:r>
      <w:r w:rsidR="00234076" w:rsidRPr="6886BF09">
        <w:rPr>
          <w:rFonts w:cs="Arial"/>
        </w:rPr>
        <w:t xml:space="preserve">whether a change to an AR-DRG is considered significant or not, </w:t>
      </w:r>
      <w:r w:rsidRPr="6886BF09">
        <w:rPr>
          <w:rFonts w:cs="Arial"/>
        </w:rPr>
        <w:t>95 per cent confidence intervals around bounds are used. Changes are also evaluated in terms of their materiality (required to affect at least one per cent of an AR</w:t>
      </w:r>
      <w:r w:rsidR="5DC9F678" w:rsidRPr="6886BF09">
        <w:rPr>
          <w:rFonts w:cs="Arial"/>
        </w:rPr>
        <w:t>-</w:t>
      </w:r>
      <w:r w:rsidRPr="6886BF09">
        <w:rPr>
          <w:rFonts w:cs="Arial"/>
        </w:rPr>
        <w:t>DRG’s separations and at least 10</w:t>
      </w:r>
      <w:r>
        <w:t> </w:t>
      </w:r>
      <w:r w:rsidRPr="6886BF09">
        <w:rPr>
          <w:rFonts w:cs="Arial"/>
        </w:rPr>
        <w:t>separations).</w:t>
      </w:r>
      <w:r w:rsidR="00E10A4D" w:rsidRPr="00E10A4D">
        <w:t xml:space="preserve"> </w:t>
      </w:r>
      <w:r w:rsidR="00E10A4D">
        <w:t>If the average length of stay of a particular end-class falls outside the inlier lower and upper bounds, then the changes in bounds will be implemented even if they do not meet the stability and materiality considerations above.</w:t>
      </w:r>
    </w:p>
    <w:p w14:paraId="664CD3FE" w14:textId="77777777" w:rsidR="00550102" w:rsidRPr="000A4A79" w:rsidRDefault="00550102" w:rsidP="00755433">
      <w:pPr>
        <w:pStyle w:val="Heading3"/>
      </w:pPr>
      <w:r w:rsidRPr="000A4A79">
        <w:t>Classification of patient-level cost data in relevant categories</w:t>
      </w:r>
    </w:p>
    <w:p w14:paraId="2C6DA99E" w14:textId="0B17A661" w:rsidR="00550102" w:rsidRPr="00DF7079" w:rsidRDefault="00550102" w:rsidP="75429575">
      <w:pPr>
        <w:tabs>
          <w:tab w:val="left" w:pos="1162"/>
        </w:tabs>
        <w:spacing w:after="240" w:line="240" w:lineRule="auto"/>
        <w:ind w:right="-28"/>
        <w:rPr>
          <w:rFonts w:cs="Arial"/>
        </w:rPr>
      </w:pPr>
      <w:r w:rsidRPr="75429575">
        <w:rPr>
          <w:rFonts w:cs="Arial"/>
        </w:rPr>
        <w:t xml:space="preserve">Prior to analysing costs, episodes are assigned to categories reflecting the relevant adjustments to be made through the </w:t>
      </w:r>
      <w:r w:rsidR="008D140A" w:rsidRPr="75429575">
        <w:rPr>
          <w:rFonts w:cs="Arial"/>
        </w:rPr>
        <w:t>201</w:t>
      </w:r>
      <w:r w:rsidR="008D140A">
        <w:rPr>
          <w:rFonts w:cs="Arial"/>
        </w:rPr>
        <w:t>9</w:t>
      </w:r>
      <w:r w:rsidRPr="75429575">
        <w:rPr>
          <w:rFonts w:cs="Arial"/>
        </w:rPr>
        <w:t>–</w:t>
      </w:r>
      <w:r w:rsidR="008D140A">
        <w:rPr>
          <w:rFonts w:cs="Arial"/>
        </w:rPr>
        <w:t>20</w:t>
      </w:r>
      <w:r w:rsidR="008D140A" w:rsidRPr="75429575">
        <w:rPr>
          <w:rFonts w:cs="Arial"/>
        </w:rPr>
        <w:t xml:space="preserve"> </w:t>
      </w:r>
      <w:r w:rsidRPr="75429575">
        <w:rPr>
          <w:rFonts w:cs="Arial"/>
        </w:rPr>
        <w:t>cost model. The steps involved are:</w:t>
      </w:r>
    </w:p>
    <w:p w14:paraId="0610CCEC" w14:textId="77777777" w:rsidR="00550102" w:rsidRPr="00EC1F9C" w:rsidRDefault="00550102" w:rsidP="0067139D">
      <w:pPr>
        <w:numPr>
          <w:ilvl w:val="0"/>
          <w:numId w:val="15"/>
        </w:numPr>
        <w:tabs>
          <w:tab w:val="left" w:pos="1162"/>
        </w:tabs>
        <w:spacing w:before="80" w:line="240" w:lineRule="auto"/>
        <w:ind w:right="-28"/>
        <w:rPr>
          <w:rFonts w:cs="Arial"/>
          <w:szCs w:val="20"/>
        </w:rPr>
      </w:pPr>
      <w:r w:rsidRPr="00EC1F9C">
        <w:rPr>
          <w:rFonts w:cs="Arial"/>
          <w:szCs w:val="20"/>
        </w:rPr>
        <w:t>Assigning one of the following categories to each episode:</w:t>
      </w:r>
    </w:p>
    <w:p w14:paraId="4D9227E4" w14:textId="77777777" w:rsidR="00550102" w:rsidRPr="00DF7079" w:rsidRDefault="00550102" w:rsidP="0067139D">
      <w:pPr>
        <w:numPr>
          <w:ilvl w:val="1"/>
          <w:numId w:val="15"/>
        </w:numPr>
        <w:tabs>
          <w:tab w:val="left" w:pos="1162"/>
        </w:tabs>
        <w:spacing w:before="80" w:after="0" w:line="240" w:lineRule="auto"/>
        <w:ind w:left="1434" w:right="-28" w:hanging="357"/>
        <w:rPr>
          <w:rFonts w:cs="Arial"/>
          <w:szCs w:val="20"/>
        </w:rPr>
      </w:pPr>
      <w:r>
        <w:rPr>
          <w:rFonts w:cs="Arial"/>
          <w:szCs w:val="20"/>
        </w:rPr>
        <w:t>s</w:t>
      </w:r>
      <w:r w:rsidRPr="00DF7079">
        <w:rPr>
          <w:rFonts w:cs="Arial"/>
          <w:szCs w:val="20"/>
        </w:rPr>
        <w:t xml:space="preserve">ame-day separation from an AR-DRG on the </w:t>
      </w:r>
      <w:r>
        <w:rPr>
          <w:rFonts w:cs="Arial"/>
          <w:szCs w:val="20"/>
        </w:rPr>
        <w:t>d</w:t>
      </w:r>
      <w:r w:rsidRPr="00DF7079">
        <w:rPr>
          <w:rFonts w:cs="Arial"/>
          <w:szCs w:val="20"/>
        </w:rPr>
        <w:t xml:space="preserve">esignated </w:t>
      </w:r>
      <w:r>
        <w:rPr>
          <w:rFonts w:cs="Arial"/>
          <w:szCs w:val="20"/>
        </w:rPr>
        <w:t>s</w:t>
      </w:r>
      <w:r w:rsidRPr="00DF7079">
        <w:rPr>
          <w:rFonts w:cs="Arial"/>
          <w:szCs w:val="20"/>
        </w:rPr>
        <w:t>ame-</w:t>
      </w:r>
      <w:r>
        <w:rPr>
          <w:rFonts w:cs="Arial"/>
          <w:szCs w:val="20"/>
        </w:rPr>
        <w:t>d</w:t>
      </w:r>
      <w:r w:rsidRPr="00DF7079">
        <w:rPr>
          <w:rFonts w:cs="Arial"/>
          <w:szCs w:val="20"/>
        </w:rPr>
        <w:t xml:space="preserve">ay </w:t>
      </w:r>
      <w:r>
        <w:rPr>
          <w:rFonts w:cs="Arial"/>
          <w:szCs w:val="20"/>
        </w:rPr>
        <w:t>p</w:t>
      </w:r>
      <w:r w:rsidRPr="00DF7079">
        <w:rPr>
          <w:rFonts w:cs="Arial"/>
          <w:szCs w:val="20"/>
        </w:rPr>
        <w:t>ayment list</w:t>
      </w:r>
    </w:p>
    <w:p w14:paraId="7B112B78" w14:textId="77777777" w:rsidR="00550102" w:rsidRPr="00DF7079" w:rsidRDefault="00550102" w:rsidP="0067139D">
      <w:pPr>
        <w:numPr>
          <w:ilvl w:val="1"/>
          <w:numId w:val="15"/>
        </w:numPr>
        <w:tabs>
          <w:tab w:val="left" w:pos="1162"/>
        </w:tabs>
        <w:spacing w:before="80" w:after="0" w:line="240" w:lineRule="auto"/>
        <w:ind w:left="1434" w:right="-28" w:hanging="357"/>
        <w:rPr>
          <w:rFonts w:cs="Arial"/>
          <w:szCs w:val="20"/>
        </w:rPr>
      </w:pPr>
      <w:r>
        <w:rPr>
          <w:rFonts w:cs="Arial"/>
          <w:szCs w:val="20"/>
        </w:rPr>
        <w:t>short-stay</w:t>
      </w:r>
      <w:r w:rsidRPr="00DF7079">
        <w:rPr>
          <w:rFonts w:cs="Arial"/>
          <w:szCs w:val="20"/>
        </w:rPr>
        <w:t xml:space="preserve"> outlier</w:t>
      </w:r>
    </w:p>
    <w:p w14:paraId="5CBD8C09" w14:textId="77777777" w:rsidR="00550102" w:rsidRPr="00DF7079" w:rsidRDefault="00550102" w:rsidP="0067139D">
      <w:pPr>
        <w:numPr>
          <w:ilvl w:val="1"/>
          <w:numId w:val="15"/>
        </w:numPr>
        <w:tabs>
          <w:tab w:val="left" w:pos="1162"/>
        </w:tabs>
        <w:spacing w:before="80" w:after="0" w:line="240" w:lineRule="auto"/>
        <w:ind w:left="1434" w:right="-28" w:hanging="357"/>
        <w:rPr>
          <w:rFonts w:cs="Arial"/>
          <w:szCs w:val="20"/>
        </w:rPr>
      </w:pPr>
      <w:r>
        <w:rPr>
          <w:rFonts w:cs="Arial"/>
          <w:szCs w:val="20"/>
        </w:rPr>
        <w:t>i</w:t>
      </w:r>
      <w:r w:rsidRPr="00DF7079">
        <w:rPr>
          <w:rFonts w:cs="Arial"/>
          <w:szCs w:val="20"/>
        </w:rPr>
        <w:t>nlier</w:t>
      </w:r>
    </w:p>
    <w:p w14:paraId="6EB20F68" w14:textId="77777777" w:rsidR="00550102" w:rsidRPr="00DF7079" w:rsidRDefault="00550102" w:rsidP="0067139D">
      <w:pPr>
        <w:numPr>
          <w:ilvl w:val="1"/>
          <w:numId w:val="15"/>
        </w:numPr>
        <w:tabs>
          <w:tab w:val="left" w:pos="1162"/>
        </w:tabs>
        <w:spacing w:before="80" w:after="240" w:line="240" w:lineRule="auto"/>
        <w:ind w:left="1434" w:right="-28" w:hanging="357"/>
        <w:rPr>
          <w:rFonts w:cs="Arial"/>
          <w:szCs w:val="20"/>
        </w:rPr>
      </w:pPr>
      <w:r>
        <w:rPr>
          <w:rFonts w:cs="Arial"/>
          <w:szCs w:val="20"/>
        </w:rPr>
        <w:t>long-stay</w:t>
      </w:r>
      <w:r w:rsidRPr="00DF7079">
        <w:rPr>
          <w:rFonts w:cs="Arial"/>
          <w:szCs w:val="20"/>
        </w:rPr>
        <w:t xml:space="preserve"> outlier.</w:t>
      </w:r>
    </w:p>
    <w:p w14:paraId="4005F654" w14:textId="77777777" w:rsidR="00550102" w:rsidRPr="00DF7079" w:rsidRDefault="00550102" w:rsidP="0067139D">
      <w:pPr>
        <w:numPr>
          <w:ilvl w:val="0"/>
          <w:numId w:val="15"/>
        </w:numPr>
        <w:tabs>
          <w:tab w:val="left" w:pos="1162"/>
        </w:tabs>
        <w:spacing w:before="80" w:line="240" w:lineRule="auto"/>
        <w:ind w:left="714" w:right="-28" w:hanging="357"/>
        <w:rPr>
          <w:rFonts w:cs="Arial"/>
          <w:i/>
          <w:szCs w:val="20"/>
        </w:rPr>
      </w:pPr>
      <w:r w:rsidRPr="00EC1F9C">
        <w:rPr>
          <w:rFonts w:cs="Arial"/>
          <w:szCs w:val="20"/>
        </w:rPr>
        <w:t>Flagging episodes that are eligible for the paediatric adjustment</w:t>
      </w:r>
      <w:r w:rsidRPr="00DF7079">
        <w:rPr>
          <w:rFonts w:cs="Arial"/>
          <w:i/>
          <w:szCs w:val="20"/>
        </w:rPr>
        <w:t>.</w:t>
      </w:r>
      <w:r w:rsidRPr="00DF7079">
        <w:rPr>
          <w:rFonts w:cs="Arial"/>
          <w:szCs w:val="20"/>
        </w:rPr>
        <w:t xml:space="preserve"> These are episodes that:</w:t>
      </w:r>
    </w:p>
    <w:p w14:paraId="3FC7BD92" w14:textId="36419AA2" w:rsidR="00550102" w:rsidRPr="00DF7079" w:rsidRDefault="00A8551B" w:rsidP="0067139D">
      <w:pPr>
        <w:numPr>
          <w:ilvl w:val="1"/>
          <w:numId w:val="15"/>
        </w:numPr>
        <w:tabs>
          <w:tab w:val="left" w:pos="1162"/>
        </w:tabs>
        <w:spacing w:before="80" w:after="0" w:line="240" w:lineRule="auto"/>
        <w:ind w:left="1434" w:right="-28" w:hanging="357"/>
        <w:rPr>
          <w:rFonts w:cs="Arial"/>
          <w:szCs w:val="20"/>
        </w:rPr>
      </w:pPr>
      <w:r>
        <w:rPr>
          <w:rFonts w:cs="Arial"/>
          <w:szCs w:val="20"/>
        </w:rPr>
        <w:t>O</w:t>
      </w:r>
      <w:r w:rsidR="00550102" w:rsidRPr="00DF7079">
        <w:rPr>
          <w:rFonts w:cs="Arial"/>
          <w:szCs w:val="20"/>
        </w:rPr>
        <w:t xml:space="preserve">ccur in establishments identified as delivering specialised paediatric services (listed in </w:t>
      </w:r>
      <w:r w:rsidR="00550102" w:rsidRPr="008B1D8E">
        <w:rPr>
          <w:rFonts w:cs="Arial"/>
          <w:b/>
          <w:szCs w:val="20"/>
        </w:rPr>
        <w:t>Appendix E</w:t>
      </w:r>
      <w:r w:rsidR="00550102" w:rsidRPr="00DF7079">
        <w:rPr>
          <w:rFonts w:cs="Arial"/>
          <w:szCs w:val="20"/>
        </w:rPr>
        <w:t xml:space="preserve"> </w:t>
      </w:r>
      <w:r w:rsidR="00550102">
        <w:rPr>
          <w:rFonts w:cs="Arial"/>
          <w:szCs w:val="20"/>
        </w:rPr>
        <w:t xml:space="preserve">of </w:t>
      </w:r>
      <w:r w:rsidR="00550102" w:rsidRPr="00DF7079">
        <w:rPr>
          <w:rFonts w:cs="Arial"/>
          <w:szCs w:val="20"/>
        </w:rPr>
        <w:t xml:space="preserve">the </w:t>
      </w:r>
      <w:r w:rsidR="00550102" w:rsidRPr="00A8551B">
        <w:rPr>
          <w:rFonts w:cs="Arial"/>
          <w:szCs w:val="20"/>
        </w:rPr>
        <w:t xml:space="preserve">National Efficient Price Determination </w:t>
      </w:r>
      <w:r w:rsidR="008D140A" w:rsidRPr="00A8551B">
        <w:rPr>
          <w:rFonts w:cs="Arial"/>
          <w:szCs w:val="20"/>
        </w:rPr>
        <w:t>202</w:t>
      </w:r>
      <w:r w:rsidR="008D140A">
        <w:rPr>
          <w:rFonts w:cs="Arial"/>
          <w:szCs w:val="20"/>
        </w:rPr>
        <w:t>2</w:t>
      </w:r>
      <w:r w:rsidR="00550102" w:rsidRPr="00A8551B">
        <w:rPr>
          <w:rFonts w:cs="Arial"/>
          <w:szCs w:val="20"/>
        </w:rPr>
        <w:t>–</w:t>
      </w:r>
      <w:r w:rsidR="008D140A" w:rsidRPr="00A8551B">
        <w:rPr>
          <w:rFonts w:cs="Arial"/>
          <w:szCs w:val="20"/>
        </w:rPr>
        <w:t>2</w:t>
      </w:r>
      <w:r w:rsidR="008D140A">
        <w:rPr>
          <w:rFonts w:cs="Arial"/>
          <w:szCs w:val="20"/>
        </w:rPr>
        <w:t>3</w:t>
      </w:r>
      <w:r w:rsidR="00550102" w:rsidRPr="00DF7079">
        <w:rPr>
          <w:rFonts w:cs="Arial"/>
          <w:szCs w:val="20"/>
        </w:rPr>
        <w:t>)</w:t>
      </w:r>
      <w:r>
        <w:rPr>
          <w:rFonts w:cs="Arial"/>
          <w:szCs w:val="20"/>
        </w:rPr>
        <w:t>.</w:t>
      </w:r>
      <w:r w:rsidR="00550102" w:rsidRPr="00DF7079">
        <w:rPr>
          <w:rFonts w:cs="Arial"/>
          <w:szCs w:val="20"/>
        </w:rPr>
        <w:t xml:space="preserve"> </w:t>
      </w:r>
    </w:p>
    <w:p w14:paraId="6CC067B2" w14:textId="77777777" w:rsidR="00550102" w:rsidRPr="00DF7079" w:rsidRDefault="00A8551B" w:rsidP="0067139D">
      <w:pPr>
        <w:numPr>
          <w:ilvl w:val="1"/>
          <w:numId w:val="15"/>
        </w:numPr>
        <w:tabs>
          <w:tab w:val="left" w:pos="1162"/>
        </w:tabs>
        <w:spacing w:before="80" w:after="0" w:line="240" w:lineRule="auto"/>
        <w:ind w:left="1434" w:right="-28" w:hanging="357"/>
        <w:rPr>
          <w:rFonts w:cs="Arial"/>
          <w:szCs w:val="20"/>
        </w:rPr>
      </w:pPr>
      <w:r>
        <w:rPr>
          <w:rFonts w:cs="Arial"/>
          <w:szCs w:val="20"/>
        </w:rPr>
        <w:t>H</w:t>
      </w:r>
      <w:r w:rsidR="00550102" w:rsidRPr="00DF7079">
        <w:rPr>
          <w:rFonts w:cs="Arial"/>
          <w:szCs w:val="20"/>
        </w:rPr>
        <w:t xml:space="preserve">ave an AR-DRG which is not within </w:t>
      </w:r>
      <w:r w:rsidR="00B02863">
        <w:rPr>
          <w:rFonts w:cs="Arial"/>
          <w:szCs w:val="20"/>
        </w:rPr>
        <w:t xml:space="preserve">MDC </w:t>
      </w:r>
      <w:r w:rsidR="00550102" w:rsidRPr="00DF7079">
        <w:rPr>
          <w:rFonts w:cs="Arial"/>
          <w:szCs w:val="20"/>
        </w:rPr>
        <w:t>15 (</w:t>
      </w:r>
      <w:r w:rsidR="00550102">
        <w:rPr>
          <w:rFonts w:cs="Arial"/>
          <w:szCs w:val="20"/>
        </w:rPr>
        <w:t>n</w:t>
      </w:r>
      <w:r w:rsidR="00550102" w:rsidRPr="00DF7079">
        <w:rPr>
          <w:rFonts w:cs="Arial"/>
          <w:szCs w:val="20"/>
        </w:rPr>
        <w:t>ewborns and other neonates)</w:t>
      </w:r>
      <w:r>
        <w:rPr>
          <w:rFonts w:cs="Arial"/>
          <w:szCs w:val="20"/>
        </w:rPr>
        <w:t>.</w:t>
      </w:r>
    </w:p>
    <w:p w14:paraId="2C5719D1" w14:textId="77777777" w:rsidR="00550102" w:rsidRPr="00DF7079" w:rsidRDefault="00A8551B" w:rsidP="0067139D">
      <w:pPr>
        <w:numPr>
          <w:ilvl w:val="1"/>
          <w:numId w:val="15"/>
        </w:numPr>
        <w:tabs>
          <w:tab w:val="left" w:pos="1162"/>
        </w:tabs>
        <w:spacing w:before="80" w:after="240" w:line="240" w:lineRule="auto"/>
        <w:ind w:left="1434" w:right="-28" w:hanging="357"/>
        <w:rPr>
          <w:rFonts w:cs="Arial"/>
          <w:szCs w:val="20"/>
        </w:rPr>
      </w:pPr>
      <w:r>
        <w:rPr>
          <w:rFonts w:cs="Arial"/>
          <w:szCs w:val="20"/>
        </w:rPr>
        <w:t>H</w:t>
      </w:r>
      <w:r w:rsidR="00550102" w:rsidRPr="00DF7079">
        <w:rPr>
          <w:rFonts w:cs="Arial"/>
          <w:szCs w:val="20"/>
        </w:rPr>
        <w:t xml:space="preserve">ave patient age at admission of 17 years or less. </w:t>
      </w:r>
    </w:p>
    <w:p w14:paraId="4AA0D135" w14:textId="77777777" w:rsidR="00550102" w:rsidRPr="00DF7079" w:rsidRDefault="00550102" w:rsidP="0067139D">
      <w:pPr>
        <w:numPr>
          <w:ilvl w:val="0"/>
          <w:numId w:val="15"/>
        </w:numPr>
        <w:tabs>
          <w:tab w:val="left" w:pos="1162"/>
        </w:tabs>
        <w:spacing w:before="80" w:after="240" w:line="240" w:lineRule="auto"/>
        <w:ind w:left="714" w:right="-28" w:hanging="357"/>
        <w:rPr>
          <w:rFonts w:cs="Arial"/>
        </w:rPr>
      </w:pPr>
      <w:r w:rsidRPr="75429575">
        <w:rPr>
          <w:rFonts w:cs="Arial"/>
        </w:rPr>
        <w:lastRenderedPageBreak/>
        <w:t>Flagging episodes that are eligible for the Indigenous adjustment.</w:t>
      </w:r>
      <w:r w:rsidRPr="6886BF09">
        <w:rPr>
          <w:rFonts w:cs="Arial"/>
          <w:i/>
          <w:iCs/>
        </w:rPr>
        <w:t xml:space="preserve"> </w:t>
      </w:r>
      <w:r w:rsidRPr="75429575">
        <w:rPr>
          <w:rFonts w:cs="Arial"/>
        </w:rPr>
        <w:t>These are episodes with Indigenous status</w:t>
      </w:r>
      <w:r w:rsidRPr="75429575">
        <w:rPr>
          <w:rFonts w:cs="Arial"/>
          <w:vertAlign w:val="superscript"/>
        </w:rPr>
        <w:footnoteReference w:id="5"/>
      </w:r>
      <w:r w:rsidRPr="75429575">
        <w:rPr>
          <w:rFonts w:cs="Arial"/>
        </w:rPr>
        <w:t xml:space="preserve"> of Aboriginal and/or Torres Strait Islander origin.</w:t>
      </w:r>
    </w:p>
    <w:p w14:paraId="1686B21A" w14:textId="77777777" w:rsidR="00550102" w:rsidRPr="00DF7079" w:rsidRDefault="00550102" w:rsidP="0067139D">
      <w:pPr>
        <w:numPr>
          <w:ilvl w:val="0"/>
          <w:numId w:val="15"/>
        </w:numPr>
        <w:tabs>
          <w:tab w:val="left" w:pos="1162"/>
        </w:tabs>
        <w:spacing w:before="80" w:line="240" w:lineRule="auto"/>
        <w:ind w:left="714" w:right="-28" w:hanging="357"/>
        <w:rPr>
          <w:rFonts w:cs="Arial"/>
          <w:i/>
          <w:iCs/>
        </w:rPr>
      </w:pPr>
      <w:r w:rsidRPr="75429575">
        <w:rPr>
          <w:rFonts w:cs="Arial"/>
        </w:rPr>
        <w:t>Flagging episodes that are eligible for the patient residential remoteness adjustment. These are episodes where the patient’s place of usual residence</w:t>
      </w:r>
      <w:r w:rsidRPr="75429575">
        <w:rPr>
          <w:rFonts w:cs="Arial"/>
          <w:vertAlign w:val="superscript"/>
        </w:rPr>
        <w:t xml:space="preserve"> </w:t>
      </w:r>
      <w:r w:rsidRPr="75429575">
        <w:rPr>
          <w:rFonts w:cs="Arial"/>
        </w:rPr>
        <w:t>has been assigned to a remoteness area</w:t>
      </w:r>
      <w:r w:rsidRPr="75429575">
        <w:rPr>
          <w:rFonts w:cs="Arial"/>
          <w:vertAlign w:val="superscript"/>
        </w:rPr>
        <w:footnoteReference w:id="6"/>
      </w:r>
      <w:r w:rsidRPr="75429575">
        <w:rPr>
          <w:rFonts w:cs="Arial"/>
          <w:vertAlign w:val="superscript"/>
        </w:rPr>
        <w:t xml:space="preserve"> </w:t>
      </w:r>
      <w:r w:rsidRPr="75429575">
        <w:rPr>
          <w:rFonts w:cs="Arial"/>
        </w:rPr>
        <w:t>of:</w:t>
      </w:r>
    </w:p>
    <w:p w14:paraId="486B4CBD" w14:textId="116DAFA3" w:rsidR="00550102" w:rsidRPr="00DF7079" w:rsidRDefault="00550102" w:rsidP="0067139D">
      <w:pPr>
        <w:numPr>
          <w:ilvl w:val="1"/>
          <w:numId w:val="15"/>
        </w:numPr>
        <w:tabs>
          <w:tab w:val="left" w:pos="1162"/>
        </w:tabs>
        <w:spacing w:before="80" w:line="240" w:lineRule="auto"/>
        <w:ind w:left="1434" w:right="-28" w:hanging="357"/>
        <w:rPr>
          <w:rFonts w:cs="Arial"/>
          <w:szCs w:val="20"/>
        </w:rPr>
      </w:pPr>
      <w:r w:rsidRPr="00DF7079">
        <w:rPr>
          <w:rFonts w:cs="Arial"/>
          <w:szCs w:val="20"/>
        </w:rPr>
        <w:t xml:space="preserve">RA2 </w:t>
      </w:r>
      <w:r w:rsidR="00B00B2A">
        <w:rPr>
          <w:rFonts w:cs="Arial"/>
          <w:szCs w:val="20"/>
        </w:rPr>
        <w:t>–</w:t>
      </w:r>
      <w:r w:rsidRPr="00DF7079">
        <w:rPr>
          <w:rFonts w:cs="Arial"/>
          <w:szCs w:val="20"/>
        </w:rPr>
        <w:t xml:space="preserve"> </w:t>
      </w:r>
      <w:r>
        <w:rPr>
          <w:rFonts w:cs="Arial"/>
          <w:szCs w:val="20"/>
        </w:rPr>
        <w:t>o</w:t>
      </w:r>
      <w:r w:rsidRPr="00DF7079">
        <w:rPr>
          <w:rFonts w:cs="Arial"/>
          <w:szCs w:val="20"/>
        </w:rPr>
        <w:t xml:space="preserve">uter </w:t>
      </w:r>
      <w:r>
        <w:rPr>
          <w:rFonts w:cs="Arial"/>
          <w:szCs w:val="20"/>
        </w:rPr>
        <w:t>r</w:t>
      </w:r>
      <w:r w:rsidRPr="00DF7079">
        <w:rPr>
          <w:rFonts w:cs="Arial"/>
          <w:szCs w:val="20"/>
        </w:rPr>
        <w:t xml:space="preserve">egional </w:t>
      </w:r>
      <w:r>
        <w:rPr>
          <w:rFonts w:cs="Arial"/>
          <w:szCs w:val="20"/>
        </w:rPr>
        <w:t>A</w:t>
      </w:r>
      <w:r w:rsidRPr="00DF7079">
        <w:rPr>
          <w:rFonts w:cs="Arial"/>
          <w:szCs w:val="20"/>
        </w:rPr>
        <w:t>ustralia</w:t>
      </w:r>
    </w:p>
    <w:p w14:paraId="576BB877" w14:textId="371DF33C" w:rsidR="00550102" w:rsidRPr="00DF7079" w:rsidRDefault="00550102" w:rsidP="0067139D">
      <w:pPr>
        <w:numPr>
          <w:ilvl w:val="1"/>
          <w:numId w:val="15"/>
        </w:numPr>
        <w:tabs>
          <w:tab w:val="left" w:pos="1162"/>
        </w:tabs>
        <w:spacing w:before="80" w:line="240" w:lineRule="auto"/>
        <w:ind w:left="1434" w:right="-28" w:hanging="357"/>
        <w:rPr>
          <w:rFonts w:cs="Arial"/>
          <w:szCs w:val="20"/>
        </w:rPr>
      </w:pPr>
      <w:r w:rsidRPr="00DF7079">
        <w:rPr>
          <w:rFonts w:cs="Arial"/>
          <w:szCs w:val="20"/>
        </w:rPr>
        <w:t xml:space="preserve">RA3 </w:t>
      </w:r>
      <w:r w:rsidR="00B00B2A">
        <w:rPr>
          <w:rFonts w:cs="Arial"/>
          <w:szCs w:val="20"/>
        </w:rPr>
        <w:t>–</w:t>
      </w:r>
      <w:r w:rsidRPr="00DF7079">
        <w:rPr>
          <w:rFonts w:cs="Arial"/>
          <w:szCs w:val="20"/>
        </w:rPr>
        <w:t xml:space="preserve"> </w:t>
      </w:r>
      <w:r w:rsidR="003E7925">
        <w:rPr>
          <w:rFonts w:cs="Arial"/>
          <w:szCs w:val="20"/>
        </w:rPr>
        <w:t>r</w:t>
      </w:r>
      <w:r w:rsidR="003E7925" w:rsidRPr="00DF7079">
        <w:rPr>
          <w:rFonts w:cs="Arial"/>
          <w:szCs w:val="20"/>
        </w:rPr>
        <w:t xml:space="preserve">emote </w:t>
      </w:r>
      <w:r w:rsidRPr="00DF7079">
        <w:rPr>
          <w:rFonts w:cs="Arial"/>
          <w:szCs w:val="20"/>
        </w:rPr>
        <w:t>Australia</w:t>
      </w:r>
    </w:p>
    <w:p w14:paraId="5A9083D9" w14:textId="5CBBA97C" w:rsidR="00550102" w:rsidRPr="00DF7079" w:rsidRDefault="00550102" w:rsidP="0067139D">
      <w:pPr>
        <w:numPr>
          <w:ilvl w:val="1"/>
          <w:numId w:val="15"/>
        </w:numPr>
        <w:tabs>
          <w:tab w:val="left" w:pos="1162"/>
        </w:tabs>
        <w:spacing w:before="80" w:line="240" w:lineRule="auto"/>
        <w:ind w:left="1434" w:right="-28" w:hanging="357"/>
        <w:rPr>
          <w:rFonts w:cs="Arial"/>
          <w:szCs w:val="20"/>
        </w:rPr>
      </w:pPr>
      <w:r w:rsidRPr="00DF7079">
        <w:rPr>
          <w:rFonts w:cs="Arial"/>
          <w:szCs w:val="20"/>
        </w:rPr>
        <w:t xml:space="preserve">RA4 </w:t>
      </w:r>
      <w:r w:rsidR="00B00B2A">
        <w:rPr>
          <w:rFonts w:cs="Arial"/>
          <w:szCs w:val="20"/>
        </w:rPr>
        <w:t>–</w:t>
      </w:r>
      <w:r w:rsidRPr="00DF7079">
        <w:rPr>
          <w:rFonts w:cs="Arial"/>
          <w:szCs w:val="20"/>
        </w:rPr>
        <w:t xml:space="preserve"> </w:t>
      </w:r>
      <w:r w:rsidR="003E7925">
        <w:rPr>
          <w:rFonts w:cs="Arial"/>
          <w:szCs w:val="20"/>
        </w:rPr>
        <w:t>v</w:t>
      </w:r>
      <w:r w:rsidR="003E7925" w:rsidRPr="00DF7079">
        <w:rPr>
          <w:rFonts w:cs="Arial"/>
          <w:szCs w:val="20"/>
        </w:rPr>
        <w:t xml:space="preserve">ery </w:t>
      </w:r>
      <w:r w:rsidR="00234076">
        <w:rPr>
          <w:rFonts w:cs="Arial"/>
          <w:szCs w:val="20"/>
        </w:rPr>
        <w:t>r</w:t>
      </w:r>
      <w:r w:rsidRPr="00DF7079">
        <w:rPr>
          <w:rFonts w:cs="Arial"/>
          <w:szCs w:val="20"/>
        </w:rPr>
        <w:t>emote Australia.</w:t>
      </w:r>
    </w:p>
    <w:p w14:paraId="751EF4C5" w14:textId="77777777" w:rsidR="00550102" w:rsidRPr="00DF7079" w:rsidRDefault="00550102" w:rsidP="00550102">
      <w:pPr>
        <w:tabs>
          <w:tab w:val="left" w:pos="1162"/>
        </w:tabs>
        <w:spacing w:before="200" w:line="240" w:lineRule="auto"/>
        <w:ind w:left="720" w:right="-28"/>
        <w:rPr>
          <w:rFonts w:cs="Arial"/>
          <w:szCs w:val="20"/>
        </w:rPr>
      </w:pPr>
      <w:r w:rsidRPr="00DF7079">
        <w:rPr>
          <w:rFonts w:cs="Arial"/>
          <w:szCs w:val="20"/>
        </w:rPr>
        <w:t>Three flags are used: one for outer regional Australia, one for remote Australia and one for very remote Australia. The remoteness area of a patient</w:t>
      </w:r>
      <w:r>
        <w:rPr>
          <w:rFonts w:cs="Arial"/>
          <w:szCs w:val="20"/>
        </w:rPr>
        <w:t xml:space="preserve">’s </w:t>
      </w:r>
      <w:r w:rsidRPr="00DF7079">
        <w:rPr>
          <w:rFonts w:cs="Arial"/>
          <w:szCs w:val="20"/>
        </w:rPr>
        <w:t>usual residence is determined using the following process:</w:t>
      </w:r>
    </w:p>
    <w:p w14:paraId="3FA11AB5" w14:textId="77777777" w:rsidR="00550102" w:rsidRPr="00DF7079" w:rsidRDefault="00550102" w:rsidP="00FE1EA1">
      <w:pPr>
        <w:pStyle w:val="ListParagraph"/>
        <w:numPr>
          <w:ilvl w:val="2"/>
          <w:numId w:val="23"/>
        </w:numPr>
      </w:pPr>
      <w:r w:rsidRPr="00DF7079">
        <w:t>The patient’s</w:t>
      </w:r>
      <w:r w:rsidRPr="00DF7079" w:rsidDel="00953216">
        <w:t xml:space="preserve"> </w:t>
      </w:r>
      <w:r w:rsidRPr="00765488">
        <w:t>Australian Statistical Geography Standard</w:t>
      </w:r>
      <w:r>
        <w:t xml:space="preserve"> (</w:t>
      </w:r>
      <w:r w:rsidRPr="00DF7079">
        <w:t>ASGS</w:t>
      </w:r>
      <w:r>
        <w:t>)</w:t>
      </w:r>
      <w:r w:rsidRPr="00DF7079">
        <w:t xml:space="preserve"> </w:t>
      </w:r>
      <w:r w:rsidRPr="00765488">
        <w:t>Statistical Areas Level 2</w:t>
      </w:r>
      <w:r>
        <w:rPr>
          <w:sz w:val="20"/>
        </w:rPr>
        <w:t xml:space="preserve"> (</w:t>
      </w:r>
      <w:r w:rsidRPr="00DF7079">
        <w:t>SA2</w:t>
      </w:r>
      <w:r>
        <w:t>)</w:t>
      </w:r>
      <w:r w:rsidRPr="00DF7079">
        <w:t xml:space="preserve"> code is mapped to remoteness area.</w:t>
      </w:r>
    </w:p>
    <w:p w14:paraId="228A7662" w14:textId="77777777" w:rsidR="00550102" w:rsidRPr="00DF7079" w:rsidRDefault="00550102" w:rsidP="00FE1EA1">
      <w:pPr>
        <w:pStyle w:val="ListParagraph"/>
        <w:numPr>
          <w:ilvl w:val="2"/>
          <w:numId w:val="23"/>
        </w:numPr>
      </w:pPr>
      <w:r w:rsidRPr="00DF7079">
        <w:t>If the supplied SA2 code is missing or invalid, the patient’s postcode of usual residence is used.</w:t>
      </w:r>
    </w:p>
    <w:p w14:paraId="34EC6545" w14:textId="77777777" w:rsidR="00550102" w:rsidRPr="00DF7079" w:rsidRDefault="00550102" w:rsidP="00FE1EA1">
      <w:pPr>
        <w:pStyle w:val="ListParagraph"/>
        <w:numPr>
          <w:ilvl w:val="2"/>
          <w:numId w:val="23"/>
        </w:numPr>
      </w:pPr>
      <w:r w:rsidRPr="00DF7079">
        <w:t xml:space="preserve">If the postcode is missing or invalid, then the remoteness area of the hospital is used. The remoteness code of the hospital is based on the remoteness area of the </w:t>
      </w:r>
      <w:r w:rsidRPr="00A96FF8">
        <w:t>Australian Bureau of Statistics (</w:t>
      </w:r>
      <w:r w:rsidRPr="00DF7079">
        <w:t>ABS</w:t>
      </w:r>
      <w:r>
        <w:t>)</w:t>
      </w:r>
      <w:r w:rsidRPr="00DF7079">
        <w:t xml:space="preserve"> collection district within which the hospital is located.</w:t>
      </w:r>
    </w:p>
    <w:p w14:paraId="6BF5CF79" w14:textId="3CC62F38" w:rsidR="00550102" w:rsidRPr="00DF7079" w:rsidRDefault="00550102" w:rsidP="0067139D">
      <w:pPr>
        <w:numPr>
          <w:ilvl w:val="0"/>
          <w:numId w:val="15"/>
        </w:numPr>
        <w:tabs>
          <w:tab w:val="left" w:pos="1162"/>
        </w:tabs>
        <w:spacing w:line="240" w:lineRule="auto"/>
        <w:ind w:left="714" w:right="-28" w:hanging="357"/>
        <w:rPr>
          <w:rFonts w:cs="Arial"/>
        </w:rPr>
      </w:pPr>
      <w:r w:rsidRPr="6886BF09">
        <w:rPr>
          <w:rFonts w:cs="Arial"/>
        </w:rPr>
        <w:t xml:space="preserve">Flagging episodes that are eligible for the radiotherapy adjustment. These are episodes where the patient is eligible if they have recorded a radiotherapy-related procedure as defined in </w:t>
      </w:r>
      <w:r w:rsidRPr="6886BF09">
        <w:rPr>
          <w:rFonts w:cs="Arial"/>
          <w:b/>
          <w:bCs/>
        </w:rPr>
        <w:t>Appendix B</w:t>
      </w:r>
      <w:r w:rsidRPr="6886BF09">
        <w:rPr>
          <w:rFonts w:cs="Arial"/>
        </w:rPr>
        <w:t xml:space="preserve"> of the National Efficient Price Determination </w:t>
      </w:r>
      <w:r w:rsidR="00AE5B98" w:rsidRPr="6886BF09">
        <w:rPr>
          <w:rFonts w:cs="Arial"/>
        </w:rPr>
        <w:t>202</w:t>
      </w:r>
      <w:r w:rsidR="00AE5B98">
        <w:rPr>
          <w:rFonts w:cs="Arial"/>
        </w:rPr>
        <w:t>2</w:t>
      </w:r>
      <w:r w:rsidRPr="6886BF09">
        <w:rPr>
          <w:rFonts w:cs="Arial"/>
        </w:rPr>
        <w:t>–</w:t>
      </w:r>
      <w:r w:rsidR="00AE5B98" w:rsidRPr="6886BF09">
        <w:rPr>
          <w:rFonts w:cs="Arial"/>
        </w:rPr>
        <w:t>2</w:t>
      </w:r>
      <w:r w:rsidR="00AE5B98">
        <w:rPr>
          <w:rFonts w:cs="Arial"/>
        </w:rPr>
        <w:t>3</w:t>
      </w:r>
      <w:r w:rsidRPr="6886BF09">
        <w:rPr>
          <w:rFonts w:cs="Arial"/>
        </w:rPr>
        <w:t>.</w:t>
      </w:r>
    </w:p>
    <w:p w14:paraId="502532C4" w14:textId="3421D4AB" w:rsidR="00550102" w:rsidRPr="00DF7079" w:rsidRDefault="00550102" w:rsidP="0067139D">
      <w:pPr>
        <w:numPr>
          <w:ilvl w:val="0"/>
          <w:numId w:val="15"/>
        </w:numPr>
        <w:tabs>
          <w:tab w:val="left" w:pos="1162"/>
        </w:tabs>
        <w:spacing w:line="240" w:lineRule="auto"/>
        <w:ind w:left="714" w:right="-28" w:hanging="357"/>
        <w:rPr>
          <w:rFonts w:cs="Arial"/>
        </w:rPr>
      </w:pPr>
      <w:r w:rsidRPr="6886BF09">
        <w:rPr>
          <w:rFonts w:cs="Arial"/>
        </w:rPr>
        <w:t>Flagging episodes that are eligible for the dialysis adjustment</w:t>
      </w:r>
      <w:r w:rsidRPr="6886BF09">
        <w:rPr>
          <w:rFonts w:cs="Arial"/>
          <w:i/>
          <w:iCs/>
        </w:rPr>
        <w:t>.</w:t>
      </w:r>
      <w:r w:rsidRPr="6886BF09">
        <w:rPr>
          <w:rFonts w:cs="Arial"/>
        </w:rPr>
        <w:t xml:space="preserve"> These are episodes outside the specified dialysis AR-DRGs L61Z and L68Z, and have recorded a dialysis-related procedure as defined in </w:t>
      </w:r>
      <w:r w:rsidRPr="6886BF09">
        <w:rPr>
          <w:rFonts w:cs="Arial"/>
          <w:b/>
          <w:bCs/>
        </w:rPr>
        <w:t>Appendix C</w:t>
      </w:r>
      <w:r w:rsidRPr="6886BF09">
        <w:rPr>
          <w:rFonts w:cs="Arial"/>
        </w:rPr>
        <w:t xml:space="preserve"> of the National Efficient Price Determination </w:t>
      </w:r>
      <w:r w:rsidR="00AE5B98" w:rsidRPr="6886BF09">
        <w:rPr>
          <w:rFonts w:cs="Arial"/>
        </w:rPr>
        <w:t>202</w:t>
      </w:r>
      <w:r w:rsidR="00AE5B98">
        <w:rPr>
          <w:rFonts w:cs="Arial"/>
        </w:rPr>
        <w:t>2</w:t>
      </w:r>
      <w:r w:rsidRPr="6886BF09">
        <w:rPr>
          <w:rFonts w:cs="Arial"/>
        </w:rPr>
        <w:t>–</w:t>
      </w:r>
      <w:r w:rsidR="00AE5B98" w:rsidRPr="6886BF09">
        <w:rPr>
          <w:rFonts w:cs="Arial"/>
        </w:rPr>
        <w:t>2</w:t>
      </w:r>
      <w:r w:rsidR="00AE5B98">
        <w:rPr>
          <w:rFonts w:cs="Arial"/>
        </w:rPr>
        <w:t>3</w:t>
      </w:r>
      <w:r w:rsidRPr="6886BF09">
        <w:rPr>
          <w:rFonts w:cs="Arial"/>
        </w:rPr>
        <w:t>.</w:t>
      </w:r>
    </w:p>
    <w:p w14:paraId="3E1972ED" w14:textId="77777777" w:rsidR="00550102" w:rsidRPr="00DF7079" w:rsidRDefault="00550102" w:rsidP="0067139D">
      <w:pPr>
        <w:numPr>
          <w:ilvl w:val="0"/>
          <w:numId w:val="15"/>
        </w:numPr>
        <w:tabs>
          <w:tab w:val="left" w:pos="1162"/>
        </w:tabs>
        <w:spacing w:line="240" w:lineRule="auto"/>
        <w:ind w:left="714" w:right="-28" w:hanging="357"/>
        <w:rPr>
          <w:rFonts w:cs="Arial"/>
        </w:rPr>
      </w:pPr>
      <w:r w:rsidRPr="6886BF09">
        <w:rPr>
          <w:rFonts w:cs="Arial"/>
        </w:rPr>
        <w:t>Flagging episodes that are eligible for the patient treatment remoteness adjustment.</w:t>
      </w:r>
      <w:r w:rsidRPr="6886BF09">
        <w:rPr>
          <w:rFonts w:cs="Arial"/>
          <w:i/>
          <w:iCs/>
        </w:rPr>
        <w:t xml:space="preserve"> </w:t>
      </w:r>
      <w:r w:rsidRPr="6886BF09">
        <w:rPr>
          <w:rFonts w:cs="Arial"/>
        </w:rPr>
        <w:t xml:space="preserve">These are episodes where the hospital of treatment has a remoteness area of: </w:t>
      </w:r>
    </w:p>
    <w:p w14:paraId="715AD340" w14:textId="14468367" w:rsidR="00550102" w:rsidRPr="00DF7079" w:rsidRDefault="00550102" w:rsidP="0067139D">
      <w:pPr>
        <w:numPr>
          <w:ilvl w:val="1"/>
          <w:numId w:val="15"/>
        </w:numPr>
        <w:tabs>
          <w:tab w:val="left" w:pos="1162"/>
        </w:tabs>
        <w:spacing w:before="80" w:line="240" w:lineRule="auto"/>
        <w:ind w:left="1434" w:right="-28" w:hanging="357"/>
        <w:rPr>
          <w:rFonts w:cs="Arial"/>
          <w:szCs w:val="20"/>
        </w:rPr>
      </w:pPr>
      <w:r w:rsidRPr="00DF7079">
        <w:rPr>
          <w:rFonts w:cs="Arial"/>
          <w:szCs w:val="20"/>
        </w:rPr>
        <w:t xml:space="preserve">RA3 </w:t>
      </w:r>
      <w:r w:rsidR="00B00B2A">
        <w:rPr>
          <w:rFonts w:cs="Arial"/>
          <w:szCs w:val="20"/>
        </w:rPr>
        <w:t>–</w:t>
      </w:r>
      <w:r w:rsidRPr="00DF7079">
        <w:rPr>
          <w:rFonts w:cs="Arial"/>
          <w:szCs w:val="20"/>
        </w:rPr>
        <w:t xml:space="preserve"> </w:t>
      </w:r>
      <w:r>
        <w:rPr>
          <w:rFonts w:cs="Arial"/>
          <w:szCs w:val="20"/>
        </w:rPr>
        <w:t>r</w:t>
      </w:r>
      <w:r w:rsidRPr="00DF7079">
        <w:rPr>
          <w:rFonts w:cs="Arial"/>
          <w:szCs w:val="20"/>
        </w:rPr>
        <w:t>emote Australia</w:t>
      </w:r>
    </w:p>
    <w:p w14:paraId="44672055" w14:textId="2C52B469" w:rsidR="00550102" w:rsidRPr="00DF7079" w:rsidRDefault="00550102" w:rsidP="0067139D">
      <w:pPr>
        <w:numPr>
          <w:ilvl w:val="1"/>
          <w:numId w:val="15"/>
        </w:numPr>
        <w:tabs>
          <w:tab w:val="left" w:pos="1162"/>
        </w:tabs>
        <w:spacing w:before="80" w:line="240" w:lineRule="auto"/>
        <w:ind w:left="1434" w:right="-28" w:hanging="357"/>
        <w:rPr>
          <w:rFonts w:cs="Arial"/>
          <w:szCs w:val="20"/>
        </w:rPr>
      </w:pPr>
      <w:r w:rsidRPr="00DF7079">
        <w:rPr>
          <w:rFonts w:cs="Arial"/>
          <w:szCs w:val="20"/>
        </w:rPr>
        <w:t xml:space="preserve">RA4 </w:t>
      </w:r>
      <w:r w:rsidR="00B00B2A">
        <w:rPr>
          <w:rFonts w:cs="Arial"/>
          <w:szCs w:val="20"/>
        </w:rPr>
        <w:t>–</w:t>
      </w:r>
      <w:r w:rsidRPr="00DF7079">
        <w:rPr>
          <w:rFonts w:cs="Arial"/>
          <w:szCs w:val="20"/>
        </w:rPr>
        <w:t xml:space="preserve"> </w:t>
      </w:r>
      <w:r>
        <w:rPr>
          <w:rFonts w:cs="Arial"/>
          <w:szCs w:val="20"/>
        </w:rPr>
        <w:t>v</w:t>
      </w:r>
      <w:r w:rsidRPr="00DF7079">
        <w:rPr>
          <w:rFonts w:cs="Arial"/>
          <w:szCs w:val="20"/>
        </w:rPr>
        <w:t xml:space="preserve">ery </w:t>
      </w:r>
      <w:r>
        <w:rPr>
          <w:rFonts w:cs="Arial"/>
          <w:szCs w:val="20"/>
        </w:rPr>
        <w:t>r</w:t>
      </w:r>
      <w:r w:rsidRPr="00DF7079">
        <w:rPr>
          <w:rFonts w:cs="Arial"/>
          <w:szCs w:val="20"/>
        </w:rPr>
        <w:t>emote Australia.</w:t>
      </w:r>
    </w:p>
    <w:p w14:paraId="43502DE0" w14:textId="3F359A92" w:rsidR="00550102" w:rsidRPr="00DF7079" w:rsidRDefault="00550102" w:rsidP="0067139D">
      <w:pPr>
        <w:numPr>
          <w:ilvl w:val="0"/>
          <w:numId w:val="15"/>
        </w:numPr>
        <w:tabs>
          <w:tab w:val="left" w:pos="1162"/>
        </w:tabs>
        <w:spacing w:line="240" w:lineRule="auto"/>
        <w:ind w:left="714" w:right="-28" w:hanging="357"/>
        <w:rPr>
          <w:rFonts w:cs="Arial"/>
        </w:rPr>
      </w:pPr>
      <w:r w:rsidRPr="6886BF09">
        <w:rPr>
          <w:rFonts w:cs="Arial"/>
        </w:rPr>
        <w:t>Flagging episodes eligible for</w:t>
      </w:r>
      <w:r w:rsidR="00A8551B" w:rsidRPr="6886BF09">
        <w:rPr>
          <w:rFonts w:cs="Arial"/>
        </w:rPr>
        <w:t xml:space="preserve"> the</w:t>
      </w:r>
      <w:r w:rsidRPr="6886BF09">
        <w:rPr>
          <w:rFonts w:cs="Arial"/>
        </w:rPr>
        <w:t xml:space="preserve"> ICU adjustment. These are episodes that occur in hospitals identified by IHPA as eligible for ICU adjustment as defined in </w:t>
      </w:r>
      <w:r w:rsidRPr="6886BF09">
        <w:rPr>
          <w:rFonts w:cs="Arial"/>
          <w:b/>
          <w:bCs/>
        </w:rPr>
        <w:t>Appendix D</w:t>
      </w:r>
      <w:r w:rsidRPr="6886BF09">
        <w:rPr>
          <w:rFonts w:cs="Arial"/>
        </w:rPr>
        <w:t xml:space="preserve"> of the National Efficient Price Determination </w:t>
      </w:r>
      <w:r w:rsidR="00AE5B98" w:rsidRPr="6886BF09">
        <w:rPr>
          <w:rFonts w:cs="Arial"/>
        </w:rPr>
        <w:t>202</w:t>
      </w:r>
      <w:r w:rsidR="00AE5B98">
        <w:rPr>
          <w:rFonts w:cs="Arial"/>
        </w:rPr>
        <w:t>2</w:t>
      </w:r>
      <w:r w:rsidRPr="6886BF09">
        <w:rPr>
          <w:rFonts w:cs="Arial"/>
        </w:rPr>
        <w:t>–</w:t>
      </w:r>
      <w:r w:rsidR="00AE5B98" w:rsidRPr="6886BF09">
        <w:rPr>
          <w:rFonts w:cs="Arial"/>
        </w:rPr>
        <w:t>2</w:t>
      </w:r>
      <w:r w:rsidR="00AE5B98">
        <w:rPr>
          <w:rFonts w:cs="Arial"/>
        </w:rPr>
        <w:t>3</w:t>
      </w:r>
      <w:r w:rsidR="00AE5B98" w:rsidRPr="6886BF09">
        <w:rPr>
          <w:rFonts w:cs="Arial"/>
        </w:rPr>
        <w:t xml:space="preserve"> </w:t>
      </w:r>
      <w:r w:rsidRPr="6886BF09">
        <w:rPr>
          <w:rFonts w:cs="Arial"/>
        </w:rPr>
        <w:t>and have an AR</w:t>
      </w:r>
      <w:r w:rsidR="2E229D71" w:rsidRPr="6886BF09">
        <w:rPr>
          <w:rFonts w:cs="Arial"/>
        </w:rPr>
        <w:t>-</w:t>
      </w:r>
      <w:r w:rsidRPr="6886BF09">
        <w:rPr>
          <w:rFonts w:cs="Arial"/>
        </w:rPr>
        <w:t>DRG not on the bundled ICU list (that is, not from MDC 15 for newborns and other neonates).</w:t>
      </w:r>
    </w:p>
    <w:p w14:paraId="75FCD1C6" w14:textId="77777777" w:rsidR="00550102" w:rsidRPr="00DF7079" w:rsidRDefault="00550102" w:rsidP="0067139D">
      <w:pPr>
        <w:numPr>
          <w:ilvl w:val="0"/>
          <w:numId w:val="15"/>
        </w:numPr>
        <w:tabs>
          <w:tab w:val="left" w:pos="1162"/>
        </w:tabs>
        <w:spacing w:line="240" w:lineRule="auto"/>
        <w:ind w:right="-28"/>
        <w:rPr>
          <w:rFonts w:cs="Arial"/>
          <w:i/>
          <w:iCs/>
        </w:rPr>
      </w:pPr>
      <w:r w:rsidRPr="75429575">
        <w:rPr>
          <w:rFonts w:cs="Arial"/>
        </w:rPr>
        <w:lastRenderedPageBreak/>
        <w:t>Flagging private episodes.</w:t>
      </w:r>
      <w:r w:rsidRPr="6886BF09">
        <w:rPr>
          <w:rFonts w:cs="Arial"/>
          <w:i/>
          <w:iCs/>
        </w:rPr>
        <w:t xml:space="preserve"> </w:t>
      </w:r>
      <w:r w:rsidRPr="75429575">
        <w:rPr>
          <w:rFonts w:cs="Arial"/>
        </w:rPr>
        <w:t>These are episodes with a funding source</w:t>
      </w:r>
      <w:r w:rsidRPr="75429575">
        <w:rPr>
          <w:rFonts w:cs="Arial"/>
          <w:vertAlign w:val="superscript"/>
        </w:rPr>
        <w:footnoteReference w:id="7"/>
      </w:r>
      <w:r w:rsidRPr="75429575">
        <w:rPr>
          <w:rFonts w:cs="Arial"/>
        </w:rPr>
        <w:t xml:space="preserve"> of ‘09 Private health insurance’ or ‘13 self-funded’.</w:t>
      </w:r>
    </w:p>
    <w:p w14:paraId="7F088C3E" w14:textId="362ED1E8" w:rsidR="00550102" w:rsidRPr="00DF7079" w:rsidRDefault="00550102" w:rsidP="0067139D">
      <w:pPr>
        <w:numPr>
          <w:ilvl w:val="0"/>
          <w:numId w:val="15"/>
        </w:numPr>
        <w:tabs>
          <w:tab w:val="left" w:pos="1162"/>
        </w:tabs>
        <w:spacing w:line="240" w:lineRule="auto"/>
        <w:ind w:right="-28"/>
        <w:rPr>
          <w:rFonts w:cs="Arial"/>
          <w:i/>
          <w:iCs/>
        </w:rPr>
      </w:pPr>
      <w:r w:rsidRPr="6886BF09">
        <w:rPr>
          <w:rFonts w:cs="Arial"/>
        </w:rPr>
        <w:t>Flagging hospital acquired complications</w:t>
      </w:r>
      <w:r w:rsidRPr="6886BF09">
        <w:rPr>
          <w:rFonts w:cs="Arial"/>
          <w:i/>
          <w:iCs/>
        </w:rPr>
        <w:t xml:space="preserve"> (</w:t>
      </w:r>
      <w:r w:rsidRPr="6886BF09">
        <w:rPr>
          <w:rFonts w:cs="Arial"/>
        </w:rPr>
        <w:t>HACs</w:t>
      </w:r>
      <w:r w:rsidRPr="6886BF09">
        <w:rPr>
          <w:rFonts w:cs="Arial"/>
          <w:i/>
          <w:iCs/>
        </w:rPr>
        <w:t>)</w:t>
      </w:r>
      <w:r w:rsidRPr="6886BF09">
        <w:rPr>
          <w:rFonts w:cs="Arial"/>
        </w:rPr>
        <w:t xml:space="preserve">. These are episodes that are identified as having a </w:t>
      </w:r>
      <w:r w:rsidR="00543A0F" w:rsidRPr="6886BF09">
        <w:rPr>
          <w:rFonts w:cs="Arial"/>
        </w:rPr>
        <w:t>HAC</w:t>
      </w:r>
      <w:r w:rsidRPr="6886BF09">
        <w:rPr>
          <w:rFonts w:cs="Arial"/>
        </w:rPr>
        <w:t xml:space="preserve"> as specified by the Australian Commission on Safety and Quality in Health Care (ACSQHC) on their </w:t>
      </w:r>
      <w:hyperlink r:id="rId21">
        <w:r w:rsidRPr="6886BF09">
          <w:rPr>
            <w:rFonts w:cs="Arial"/>
            <w:color w:val="0000FF"/>
            <w:u w:val="single"/>
          </w:rPr>
          <w:t>website</w:t>
        </w:r>
      </w:hyperlink>
      <w:r w:rsidRPr="6886BF09">
        <w:rPr>
          <w:rFonts w:cs="Arial"/>
        </w:rPr>
        <w:t>.</w:t>
      </w:r>
    </w:p>
    <w:p w14:paraId="05F91559" w14:textId="77777777" w:rsidR="00550102" w:rsidRPr="000A4A79" w:rsidRDefault="00550102" w:rsidP="00755433">
      <w:pPr>
        <w:pStyle w:val="Heading3"/>
      </w:pPr>
      <w:r w:rsidRPr="000A4A79">
        <w:t>Determine ICU adjustment level and deduct associated costs</w:t>
      </w:r>
    </w:p>
    <w:p w14:paraId="3FB49D52" w14:textId="08E230EB" w:rsidR="00550102" w:rsidRPr="00DF7079" w:rsidRDefault="00550102" w:rsidP="75429575">
      <w:pPr>
        <w:tabs>
          <w:tab w:val="left" w:pos="1162"/>
        </w:tabs>
        <w:spacing w:line="240" w:lineRule="auto"/>
        <w:ind w:right="-28"/>
        <w:rPr>
          <w:rFonts w:cs="Arial"/>
        </w:rPr>
      </w:pPr>
      <w:r w:rsidRPr="75429575">
        <w:rPr>
          <w:rFonts w:cs="Arial"/>
        </w:rPr>
        <w:t xml:space="preserve">Patient-level cost data for episodes in hospitals with an eligible ICU or paediatric ICU (PICU) with ICU hours reported are analysed to estimate an average cost per ICU hour. The eligible ICUs and PICUs are those belonging to hospitals that report more than 24,000 ICU hours and have more than 20 per cent of those hours reported with the use of mechanical ventilation. The specified hospitals with eligible ICUs and/or PICUs are listed at </w:t>
      </w:r>
      <w:r w:rsidRPr="75429575">
        <w:rPr>
          <w:rFonts w:cs="Arial"/>
          <w:b/>
          <w:bCs/>
        </w:rPr>
        <w:t>Appendix D</w:t>
      </w:r>
      <w:r w:rsidRPr="75429575">
        <w:rPr>
          <w:rFonts w:cs="Arial"/>
        </w:rPr>
        <w:t xml:space="preserve"> of the National Efficient Price Determination </w:t>
      </w:r>
      <w:r w:rsidR="00FC5428" w:rsidRPr="75429575">
        <w:rPr>
          <w:rFonts w:cs="Arial"/>
        </w:rPr>
        <w:t>202</w:t>
      </w:r>
      <w:r w:rsidR="00FC5428">
        <w:rPr>
          <w:rFonts w:cs="Arial"/>
        </w:rPr>
        <w:t>2</w:t>
      </w:r>
      <w:r w:rsidRPr="75429575">
        <w:rPr>
          <w:rFonts w:cs="Arial"/>
        </w:rPr>
        <w:t>–</w:t>
      </w:r>
      <w:r w:rsidR="00FC5428" w:rsidRPr="75429575">
        <w:rPr>
          <w:rFonts w:cs="Arial"/>
        </w:rPr>
        <w:t>2</w:t>
      </w:r>
      <w:r w:rsidR="00FC5428">
        <w:rPr>
          <w:rFonts w:cs="Arial"/>
        </w:rPr>
        <w:t>3</w:t>
      </w:r>
      <w:r w:rsidRPr="75429575">
        <w:rPr>
          <w:rFonts w:cs="Arial"/>
          <w:i/>
          <w:iCs/>
        </w:rPr>
        <w:t>.</w:t>
      </w:r>
      <w:r w:rsidRPr="75429575">
        <w:rPr>
          <w:rFonts w:cs="Arial"/>
        </w:rPr>
        <w:t xml:space="preserve"> A total sample of</w:t>
      </w:r>
      <w:r w:rsidRPr="58A9EAFE">
        <w:rPr>
          <w:rFonts w:cs="Arial"/>
        </w:rPr>
        <w:t xml:space="preserve"> </w:t>
      </w:r>
      <w:r w:rsidR="21C3C187" w:rsidRPr="76ABC984">
        <w:rPr>
          <w:rFonts w:cs="Arial"/>
        </w:rPr>
        <w:t>94</w:t>
      </w:r>
      <w:r w:rsidR="005A1894">
        <w:rPr>
          <w:rFonts w:cs="Arial"/>
        </w:rPr>
        <w:t>,567</w:t>
      </w:r>
      <w:r w:rsidR="00DE5B8F" w:rsidRPr="75429575">
        <w:rPr>
          <w:rFonts w:cs="Arial"/>
        </w:rPr>
        <w:t xml:space="preserve"> </w:t>
      </w:r>
      <w:r w:rsidRPr="75429575">
        <w:rPr>
          <w:rFonts w:cs="Arial"/>
        </w:rPr>
        <w:t>separations with ICU hours and costs from establishments with eligible ICUs/PICUs were used.</w:t>
      </w:r>
    </w:p>
    <w:p w14:paraId="0F043027" w14:textId="5D25A1DA" w:rsidR="00550102" w:rsidRPr="00DF7079" w:rsidRDefault="00550102" w:rsidP="75429575">
      <w:pPr>
        <w:tabs>
          <w:tab w:val="left" w:pos="1162"/>
        </w:tabs>
        <w:spacing w:line="240" w:lineRule="auto"/>
        <w:ind w:right="-28"/>
        <w:rPr>
          <w:rFonts w:cs="Arial"/>
        </w:rPr>
      </w:pPr>
      <w:r w:rsidRPr="75429575">
        <w:rPr>
          <w:rFonts w:cs="Arial"/>
        </w:rPr>
        <w:t xml:space="preserve">Linear regression by state/territory was used to derive state/territory hourly ICU costs. </w:t>
      </w:r>
      <w:r w:rsidR="00392156" w:rsidRPr="75429575">
        <w:rPr>
          <w:rFonts w:cs="Arial"/>
        </w:rPr>
        <w:t>Difference in Fits (</w:t>
      </w:r>
      <w:r w:rsidRPr="75429575">
        <w:rPr>
          <w:rFonts w:cs="Arial"/>
        </w:rPr>
        <w:t>DFFITS</w:t>
      </w:r>
      <w:r w:rsidR="00C10A78" w:rsidRPr="75429575">
        <w:rPr>
          <w:rFonts w:cs="Arial"/>
        </w:rPr>
        <w:t>)</w:t>
      </w:r>
      <w:r w:rsidRPr="75429575">
        <w:rPr>
          <w:rFonts w:cs="Arial"/>
        </w:rPr>
        <w:t xml:space="preserve"> statistics are used to exclude overly influential observations. The weighted mean of the hourly ICU costs taken across states was used to derive a national ICU rate of </w:t>
      </w:r>
      <w:r w:rsidR="3FE33D05" w:rsidRPr="76ABC984">
        <w:rPr>
          <w:rFonts w:cs="Arial"/>
        </w:rPr>
        <w:t>$250</w:t>
      </w:r>
      <w:r w:rsidR="00315E0E" w:rsidRPr="75429575">
        <w:rPr>
          <w:rFonts w:cs="Arial"/>
        </w:rPr>
        <w:t xml:space="preserve"> </w:t>
      </w:r>
      <w:r w:rsidR="008966D1" w:rsidRPr="75429575">
        <w:rPr>
          <w:rFonts w:cs="Arial"/>
        </w:rPr>
        <w:t>per hour</w:t>
      </w:r>
      <w:r w:rsidRPr="75429575">
        <w:rPr>
          <w:rFonts w:cs="Arial"/>
        </w:rPr>
        <w:t>.</w:t>
      </w:r>
    </w:p>
    <w:p w14:paraId="2EB80815"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For ICU-eligible episodes, an ICU adjustment is calculated using the estimated ICU cost per hour and the reported number of whole ICU hours. This amount is deducted from the in-scope costs used for modelling the same-day payment AR-DRG, </w:t>
      </w:r>
      <w:r>
        <w:rPr>
          <w:rFonts w:cs="Arial"/>
          <w:szCs w:val="20"/>
        </w:rPr>
        <w:t>short-stay</w:t>
      </w:r>
      <w:r w:rsidRPr="00DF7079">
        <w:rPr>
          <w:rFonts w:cs="Arial"/>
          <w:szCs w:val="20"/>
        </w:rPr>
        <w:t xml:space="preserve"> outlier, inlier and </w:t>
      </w:r>
      <w:r>
        <w:rPr>
          <w:rFonts w:cs="Arial"/>
          <w:szCs w:val="20"/>
        </w:rPr>
        <w:t>long-stay</w:t>
      </w:r>
      <w:r w:rsidRPr="00DF7079">
        <w:rPr>
          <w:rFonts w:cs="Arial"/>
          <w:szCs w:val="20"/>
        </w:rPr>
        <w:t xml:space="preserve"> outlier costs and associated adjustments, but added back in for the ICU adjustment. Whole ICU days are also removed from each eligible episode’s </w:t>
      </w:r>
      <w:r w:rsidR="008966D1">
        <w:rPr>
          <w:rFonts w:cs="Arial"/>
          <w:szCs w:val="20"/>
        </w:rPr>
        <w:t>length of stay</w:t>
      </w:r>
      <w:r w:rsidRPr="00DF7079">
        <w:rPr>
          <w:rFonts w:cs="Arial"/>
          <w:szCs w:val="20"/>
        </w:rPr>
        <w:t>.</w:t>
      </w:r>
    </w:p>
    <w:p w14:paraId="651AE525" w14:textId="77777777" w:rsidR="00550102" w:rsidRPr="000A4A79" w:rsidRDefault="00640FD5" w:rsidP="00755433">
      <w:pPr>
        <w:pStyle w:val="Heading3"/>
      </w:pPr>
      <w:r>
        <w:t>AR-</w:t>
      </w:r>
      <w:r w:rsidR="00550102" w:rsidRPr="000A4A79">
        <w:t>DRG inlier/outlier model</w:t>
      </w:r>
    </w:p>
    <w:p w14:paraId="53D59C46" w14:textId="77777777" w:rsidR="00550102" w:rsidRPr="00DF7079" w:rsidRDefault="00550102" w:rsidP="00550102">
      <w:pPr>
        <w:tabs>
          <w:tab w:val="left" w:pos="1162"/>
        </w:tabs>
        <w:spacing w:line="240" w:lineRule="auto"/>
        <w:ind w:right="-28"/>
      </w:pPr>
      <w:r w:rsidRPr="00DF7079">
        <w:t xml:space="preserve">Figure </w:t>
      </w:r>
      <w:r w:rsidRPr="00DF7079">
        <w:rPr>
          <w:noProof/>
        </w:rPr>
        <w:t>3</w:t>
      </w:r>
      <w:r w:rsidRPr="00DF7079">
        <w:t xml:space="preserve"> illustrates the general form of the cost model within each AR-DRG. However, an AR</w:t>
      </w:r>
      <w:r w:rsidR="001E4AE7">
        <w:noBreakHyphen/>
      </w:r>
      <w:r w:rsidRPr="00DF7079">
        <w:t xml:space="preserve">DRG’s form may differ depending on whether it has a designated same-day separation category, a short-stay outlier category, or a long-stay outlier category. </w:t>
      </w:r>
    </w:p>
    <w:p w14:paraId="44D90F7B" w14:textId="77777777" w:rsidR="00550102" w:rsidRPr="00DF7079" w:rsidRDefault="00550102" w:rsidP="00F41C22">
      <w:pPr>
        <w:keepNext/>
        <w:spacing w:before="0" w:after="0" w:line="240" w:lineRule="auto"/>
        <w:rPr>
          <w:b/>
        </w:rPr>
      </w:pPr>
      <w:r w:rsidRPr="00DF7079">
        <w:rPr>
          <w:b/>
        </w:rPr>
        <w:lastRenderedPageBreak/>
        <w:t xml:space="preserve">Figure </w:t>
      </w:r>
      <w:r w:rsidRPr="00DF7079">
        <w:rPr>
          <w:b/>
          <w:noProof/>
        </w:rPr>
        <w:t>3</w:t>
      </w:r>
      <w:r w:rsidRPr="00DF7079">
        <w:rPr>
          <w:b/>
        </w:rPr>
        <w:t>: Initial parameters for the assignment of cost weights</w:t>
      </w:r>
    </w:p>
    <w:p w14:paraId="5633CAA8" w14:textId="77777777" w:rsidR="00550102" w:rsidRDefault="00550102" w:rsidP="00550102">
      <w:pPr>
        <w:tabs>
          <w:tab w:val="left" w:pos="1162"/>
        </w:tabs>
        <w:spacing w:line="240" w:lineRule="auto"/>
        <w:ind w:right="-28"/>
        <w:rPr>
          <w:noProof/>
          <w:highlight w:val="lightGray"/>
        </w:rPr>
      </w:pPr>
      <w:r w:rsidRPr="00DF7079">
        <w:rPr>
          <w:noProof/>
          <w:color w:val="2B579A"/>
          <w:highlight w:val="lightGray"/>
          <w:shd w:val="clear" w:color="auto" w:fill="E6E6E6"/>
        </w:rPr>
        <w:drawing>
          <wp:inline distT="0" distB="0" distL="0" distR="0" wp14:anchorId="68B3D36C" wp14:editId="55C2CA99">
            <wp:extent cx="4803139" cy="3015575"/>
            <wp:effectExtent l="19050" t="19050" r="17145" b="13970"/>
            <wp:docPr id="63" name="Picture 63" title="Figure 3: Initial parameters for the assignment of cost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OS chart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927" cy="3026115"/>
                    </a:xfrm>
                    <a:prstGeom prst="rect">
                      <a:avLst/>
                    </a:prstGeom>
                    <a:noFill/>
                    <a:ln>
                      <a:solidFill>
                        <a:sysClr val="windowText" lastClr="000000"/>
                      </a:solidFill>
                    </a:ln>
                  </pic:spPr>
                </pic:pic>
              </a:graphicData>
            </a:graphic>
          </wp:inline>
        </w:drawing>
      </w:r>
    </w:p>
    <w:p w14:paraId="1BF27B3B"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Initial parameters are derived for designated same-day payment AR-DRG episodes, short-stay outlier episodes, inlier episodes, and long-stay outlier episodes. The steps involved are as follows:</w:t>
      </w:r>
    </w:p>
    <w:p w14:paraId="406E4500" w14:textId="77777777" w:rsidR="00550102" w:rsidRPr="00DF7079" w:rsidRDefault="00550102" w:rsidP="0067139D">
      <w:pPr>
        <w:numPr>
          <w:ilvl w:val="0"/>
          <w:numId w:val="13"/>
        </w:numPr>
        <w:tabs>
          <w:tab w:val="left" w:pos="1162"/>
        </w:tabs>
        <w:spacing w:line="240" w:lineRule="auto"/>
        <w:ind w:right="-28"/>
        <w:rPr>
          <w:rFonts w:cs="Arial"/>
          <w:szCs w:val="20"/>
        </w:rPr>
      </w:pPr>
      <w:r w:rsidRPr="00EC1F9C">
        <w:rPr>
          <w:rFonts w:cs="Arial"/>
          <w:szCs w:val="20"/>
        </w:rPr>
        <w:t>Designated same-day AR-DRG episodes:</w:t>
      </w:r>
      <w:r w:rsidRPr="00DF7079">
        <w:rPr>
          <w:rFonts w:cs="Arial"/>
          <w:i/>
          <w:szCs w:val="20"/>
        </w:rPr>
        <w:t xml:space="preserve"> </w:t>
      </w:r>
      <w:r w:rsidRPr="00DF7079">
        <w:rPr>
          <w:rFonts w:cs="Arial"/>
          <w:szCs w:val="20"/>
        </w:rPr>
        <w:t>calculate the mean cost per episode.</w:t>
      </w:r>
    </w:p>
    <w:p w14:paraId="6159DE2D" w14:textId="77777777" w:rsidR="00550102" w:rsidRPr="00DF7079" w:rsidRDefault="00550102" w:rsidP="0067139D">
      <w:pPr>
        <w:numPr>
          <w:ilvl w:val="0"/>
          <w:numId w:val="13"/>
        </w:numPr>
        <w:tabs>
          <w:tab w:val="left" w:pos="1162"/>
        </w:tabs>
        <w:spacing w:line="240" w:lineRule="auto"/>
        <w:ind w:right="-28"/>
        <w:rPr>
          <w:rFonts w:cs="Arial"/>
          <w:szCs w:val="20"/>
        </w:rPr>
      </w:pPr>
      <w:r w:rsidRPr="00EC1F9C">
        <w:rPr>
          <w:rFonts w:cs="Arial"/>
          <w:szCs w:val="20"/>
        </w:rPr>
        <w:t>Inlier episodes:</w:t>
      </w:r>
      <w:r w:rsidRPr="00DF7079">
        <w:rPr>
          <w:rFonts w:cs="Arial"/>
          <w:szCs w:val="20"/>
        </w:rPr>
        <w:t xml:space="preserve"> calculate the mean cost per episode.</w:t>
      </w:r>
    </w:p>
    <w:p w14:paraId="4FAD41A2" w14:textId="77777777" w:rsidR="00550102" w:rsidRPr="00DF7079" w:rsidRDefault="00550102" w:rsidP="0067139D">
      <w:pPr>
        <w:numPr>
          <w:ilvl w:val="0"/>
          <w:numId w:val="13"/>
        </w:numPr>
        <w:tabs>
          <w:tab w:val="left" w:pos="1162"/>
        </w:tabs>
        <w:spacing w:line="240" w:lineRule="auto"/>
        <w:ind w:right="-28"/>
        <w:rPr>
          <w:rFonts w:cs="Arial"/>
          <w:szCs w:val="20"/>
        </w:rPr>
      </w:pPr>
      <w:r w:rsidRPr="00EC1F9C">
        <w:rPr>
          <w:rFonts w:cs="Arial"/>
          <w:szCs w:val="20"/>
        </w:rPr>
        <w:t>Short-stay outlier episodes:</w:t>
      </w:r>
      <w:r w:rsidRPr="00D53305">
        <w:rPr>
          <w:rFonts w:cs="Arial"/>
          <w:szCs w:val="20"/>
        </w:rPr>
        <w:t xml:space="preserve"> calculate</w:t>
      </w:r>
      <w:r w:rsidRPr="00DF7079">
        <w:rPr>
          <w:rFonts w:cs="Arial"/>
          <w:szCs w:val="20"/>
        </w:rPr>
        <w:t xml:space="preserve"> the bas</w:t>
      </w:r>
      <w:r w:rsidR="00910DBD">
        <w:rPr>
          <w:rFonts w:cs="Arial"/>
          <w:szCs w:val="20"/>
        </w:rPr>
        <w:t>e cost as the average of total o</w:t>
      </w:r>
      <w:r w:rsidRPr="00DF7079">
        <w:rPr>
          <w:rFonts w:cs="Arial"/>
          <w:szCs w:val="20"/>
        </w:rPr>
        <w:t xml:space="preserve">perating </w:t>
      </w:r>
      <w:r w:rsidR="00910DBD">
        <w:rPr>
          <w:rFonts w:cs="Arial"/>
          <w:szCs w:val="20"/>
        </w:rPr>
        <w:t>r</w:t>
      </w:r>
      <w:r w:rsidRPr="00DF7079">
        <w:rPr>
          <w:rFonts w:cs="Arial"/>
          <w:szCs w:val="20"/>
        </w:rPr>
        <w:t xml:space="preserve">oom, </w:t>
      </w:r>
      <w:r w:rsidR="00910DBD" w:rsidRPr="00910DBD">
        <w:rPr>
          <w:rFonts w:cs="Arial"/>
          <w:szCs w:val="20"/>
        </w:rPr>
        <w:t>special procedure suites</w:t>
      </w:r>
      <w:r w:rsidRPr="00DF7079">
        <w:rPr>
          <w:rFonts w:cs="Arial"/>
          <w:szCs w:val="20"/>
        </w:rPr>
        <w:t xml:space="preserve"> and </w:t>
      </w:r>
      <w:r w:rsidR="00910DBD">
        <w:rPr>
          <w:rFonts w:cs="Arial"/>
          <w:szCs w:val="20"/>
        </w:rPr>
        <w:t>p</w:t>
      </w:r>
      <w:r w:rsidRPr="00DF7079">
        <w:rPr>
          <w:rFonts w:cs="Arial"/>
          <w:szCs w:val="20"/>
        </w:rPr>
        <w:t>rosthesis costs, and then calculate the cost per diem to ensure an even growth in cost to that of the inlier episode.</w:t>
      </w:r>
    </w:p>
    <w:p w14:paraId="44BBC329" w14:textId="77777777" w:rsidR="00550102" w:rsidRPr="00DF7079" w:rsidRDefault="00550102" w:rsidP="0067139D">
      <w:pPr>
        <w:numPr>
          <w:ilvl w:val="0"/>
          <w:numId w:val="13"/>
        </w:numPr>
        <w:tabs>
          <w:tab w:val="left" w:pos="1162"/>
        </w:tabs>
        <w:spacing w:line="240" w:lineRule="auto"/>
        <w:ind w:right="-28"/>
        <w:rPr>
          <w:rFonts w:cs="Arial"/>
          <w:i/>
          <w:szCs w:val="20"/>
        </w:rPr>
      </w:pPr>
      <w:r w:rsidRPr="00EC1F9C">
        <w:rPr>
          <w:rFonts w:cs="Arial"/>
          <w:szCs w:val="20"/>
        </w:rPr>
        <w:t>Long-stay outlier episodes</w:t>
      </w:r>
      <w:r>
        <w:rPr>
          <w:rFonts w:cs="Arial"/>
          <w:szCs w:val="20"/>
        </w:rPr>
        <w:t>: t</w:t>
      </w:r>
      <w:r w:rsidRPr="00DF7079">
        <w:rPr>
          <w:rFonts w:cs="Arial"/>
          <w:szCs w:val="20"/>
        </w:rPr>
        <w:t>he mean inlier cost is assigned to each episode as a base amount. A per diem for each outlier day is calculated using one of two methods:</w:t>
      </w:r>
    </w:p>
    <w:p w14:paraId="723AD787" w14:textId="77777777" w:rsidR="00550102" w:rsidRPr="00DF7079" w:rsidRDefault="00550102" w:rsidP="0067139D">
      <w:pPr>
        <w:numPr>
          <w:ilvl w:val="1"/>
          <w:numId w:val="13"/>
        </w:numPr>
        <w:tabs>
          <w:tab w:val="left" w:pos="1162"/>
        </w:tabs>
        <w:spacing w:line="240" w:lineRule="auto"/>
        <w:ind w:right="-28"/>
        <w:rPr>
          <w:rFonts w:cs="Arial"/>
          <w:i/>
          <w:szCs w:val="20"/>
        </w:rPr>
      </w:pPr>
      <w:r w:rsidRPr="00DF7079">
        <w:rPr>
          <w:rFonts w:cs="Arial"/>
          <w:szCs w:val="20"/>
        </w:rPr>
        <w:t xml:space="preserve">In AR-DRGs where the </w:t>
      </w:r>
      <w:r w:rsidR="008966D1">
        <w:rPr>
          <w:rFonts w:cs="Arial"/>
          <w:szCs w:val="20"/>
        </w:rPr>
        <w:t>length of stay</w:t>
      </w:r>
      <w:r w:rsidRPr="00DF7079">
        <w:rPr>
          <w:rFonts w:cs="Arial"/>
          <w:szCs w:val="20"/>
        </w:rPr>
        <w:t xml:space="preserve"> profile </w:t>
      </w:r>
      <w:r>
        <w:rPr>
          <w:rFonts w:cs="Arial"/>
          <w:szCs w:val="20"/>
        </w:rPr>
        <w:t>i</w:t>
      </w:r>
      <w:r w:rsidRPr="00DF7079">
        <w:rPr>
          <w:rFonts w:cs="Arial"/>
          <w:szCs w:val="20"/>
        </w:rPr>
        <w:t xml:space="preserve">s adequately wide enough and regular to allow robust regression analysis to be undertaken, the per diem cost </w:t>
      </w:r>
      <w:r>
        <w:rPr>
          <w:rFonts w:cs="Arial"/>
          <w:szCs w:val="20"/>
        </w:rPr>
        <w:t>i</w:t>
      </w:r>
      <w:r w:rsidRPr="00DF7079">
        <w:rPr>
          <w:rFonts w:cs="Arial"/>
          <w:szCs w:val="20"/>
        </w:rPr>
        <w:t>s taken as the LOS regression coefficient; this process exclude</w:t>
      </w:r>
      <w:r>
        <w:rPr>
          <w:rFonts w:cs="Arial"/>
          <w:szCs w:val="20"/>
        </w:rPr>
        <w:t>s</w:t>
      </w:r>
      <w:r w:rsidRPr="00DF7079">
        <w:rPr>
          <w:rFonts w:cs="Arial"/>
          <w:szCs w:val="20"/>
        </w:rPr>
        <w:t xml:space="preserve"> designated same-day episodes and overly influential observations (as determined by the DFFITS statistical measure).</w:t>
      </w:r>
    </w:p>
    <w:p w14:paraId="566B5BDD" w14:textId="77777777" w:rsidR="00550102" w:rsidRPr="00DF7079" w:rsidRDefault="00550102" w:rsidP="0067139D">
      <w:pPr>
        <w:numPr>
          <w:ilvl w:val="1"/>
          <w:numId w:val="13"/>
        </w:numPr>
        <w:tabs>
          <w:tab w:val="left" w:pos="1162"/>
        </w:tabs>
        <w:spacing w:line="240" w:lineRule="auto"/>
        <w:ind w:right="-28"/>
        <w:rPr>
          <w:rFonts w:cs="Arial"/>
          <w:i/>
          <w:szCs w:val="20"/>
        </w:rPr>
      </w:pPr>
      <w:r w:rsidRPr="00DF7079">
        <w:rPr>
          <w:rFonts w:cs="Arial"/>
          <w:szCs w:val="20"/>
        </w:rPr>
        <w:t xml:space="preserve">In the remaining AR-DRGs, cost buckets </w:t>
      </w:r>
      <w:r>
        <w:rPr>
          <w:rFonts w:cs="Arial"/>
          <w:szCs w:val="20"/>
        </w:rPr>
        <w:t>a</w:t>
      </w:r>
      <w:r w:rsidRPr="00DF7079">
        <w:rPr>
          <w:rFonts w:cs="Arial"/>
          <w:szCs w:val="20"/>
        </w:rPr>
        <w:t xml:space="preserve">re partitioned into ‘fixed’ and ‘variable’ (similar to the short-stay outlier process for surgical AR-DRGs), and the per diem cost </w:t>
      </w:r>
      <w:r>
        <w:rPr>
          <w:rFonts w:cs="Arial"/>
          <w:szCs w:val="20"/>
        </w:rPr>
        <w:t>i</w:t>
      </w:r>
      <w:r w:rsidRPr="00DF7079">
        <w:rPr>
          <w:rFonts w:cs="Arial"/>
          <w:szCs w:val="20"/>
        </w:rPr>
        <w:t>s taken as the mean variable cost per patient day.</w:t>
      </w:r>
    </w:p>
    <w:p w14:paraId="6FB01702" w14:textId="19FE4E53" w:rsidR="00550102" w:rsidRPr="00DF7079" w:rsidRDefault="00550102" w:rsidP="00550102">
      <w:pPr>
        <w:tabs>
          <w:tab w:val="left" w:pos="1162"/>
        </w:tabs>
        <w:spacing w:line="240" w:lineRule="auto"/>
        <w:ind w:right="-28"/>
      </w:pPr>
      <w:r>
        <w:t xml:space="preserve">Where there are fewer than 100 separations in an AR-DRG, </w:t>
      </w:r>
      <w:r w:rsidR="00315E0E">
        <w:t>2019</w:t>
      </w:r>
      <w:r>
        <w:t>–</w:t>
      </w:r>
      <w:r w:rsidR="00315E0E">
        <w:t xml:space="preserve">20 </w:t>
      </w:r>
      <w:r>
        <w:t xml:space="preserve">separations are combined with those from </w:t>
      </w:r>
      <w:r w:rsidR="00315E0E">
        <w:t>2018</w:t>
      </w:r>
      <w:r>
        <w:t>–</w:t>
      </w:r>
      <w:r w:rsidR="00315E0E">
        <w:t>19</w:t>
      </w:r>
      <w:r>
        <w:t xml:space="preserve">, and indexed appropriately to calculate the cost parameter. All AR-DRG parameters are then uniformly calibrated to ensure the modelled costs are equalised against actual costs. </w:t>
      </w:r>
    </w:p>
    <w:p w14:paraId="516F8CE1" w14:textId="77777777" w:rsidR="00550102" w:rsidRPr="000A4A79" w:rsidRDefault="00550102" w:rsidP="00755433">
      <w:pPr>
        <w:pStyle w:val="Heading3"/>
      </w:pPr>
      <w:bookmarkStart w:id="94" w:name="_Ref89169118"/>
      <w:r w:rsidRPr="000A4A79">
        <w:t>Calculation of additional adjustments</w:t>
      </w:r>
      <w:bookmarkEnd w:id="94"/>
    </w:p>
    <w:p w14:paraId="3F7C75F8"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After the AR-DRG inlier/outlier model </w:t>
      </w:r>
      <w:r>
        <w:rPr>
          <w:rFonts w:cs="Arial"/>
          <w:szCs w:val="20"/>
        </w:rPr>
        <w:t>i</w:t>
      </w:r>
      <w:r w:rsidRPr="00DF7079">
        <w:rPr>
          <w:rFonts w:cs="Arial"/>
          <w:szCs w:val="20"/>
        </w:rPr>
        <w:t xml:space="preserve">s derived, the following five sets of adjustments </w:t>
      </w:r>
      <w:r>
        <w:rPr>
          <w:rFonts w:cs="Arial"/>
          <w:szCs w:val="20"/>
        </w:rPr>
        <w:t>a</w:t>
      </w:r>
      <w:r w:rsidRPr="00DF7079">
        <w:rPr>
          <w:rFonts w:cs="Arial"/>
          <w:szCs w:val="20"/>
        </w:rPr>
        <w:t>re calculated based on factors considered to have a material impact on the cost of acute services.</w:t>
      </w:r>
    </w:p>
    <w:p w14:paraId="24C689F4" w14:textId="77777777" w:rsidR="00550102" w:rsidRPr="00EC1F9C" w:rsidRDefault="00550102" w:rsidP="005479DC">
      <w:pPr>
        <w:keepNext/>
        <w:spacing w:before="240" w:after="200" w:line="240" w:lineRule="auto"/>
        <w:rPr>
          <w:rFonts w:eastAsia="Arial"/>
          <w:b/>
        </w:rPr>
      </w:pPr>
      <w:r w:rsidRPr="00EC1F9C">
        <w:rPr>
          <w:rFonts w:eastAsia="Arial"/>
          <w:b/>
        </w:rPr>
        <w:lastRenderedPageBreak/>
        <w:t>Paediatric adjustment</w:t>
      </w:r>
    </w:p>
    <w:p w14:paraId="6FA72DD4"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A paediatric adjustment is derived by AR-DRG. Specialised paediatric patients are identified as being less than or equal to 17 years of age, from an establishment identified as delivering specialised paediatric services (listed in </w:t>
      </w:r>
      <w:r w:rsidRPr="00EC1F9C">
        <w:rPr>
          <w:rFonts w:cs="Arial"/>
          <w:b/>
          <w:szCs w:val="20"/>
        </w:rPr>
        <w:t xml:space="preserve">Appendix E </w:t>
      </w:r>
      <w:r w:rsidRPr="00DF7079">
        <w:rPr>
          <w:rFonts w:cs="Arial"/>
          <w:szCs w:val="20"/>
        </w:rPr>
        <w:t xml:space="preserve">of the </w:t>
      </w:r>
      <w:r w:rsidRPr="00C10A78">
        <w:rPr>
          <w:rFonts w:cs="Arial"/>
          <w:szCs w:val="20"/>
        </w:rPr>
        <w:t>National Efficient Price Determination 202</w:t>
      </w:r>
      <w:r w:rsidR="00AF4885">
        <w:rPr>
          <w:rFonts w:cs="Arial"/>
          <w:szCs w:val="20"/>
        </w:rPr>
        <w:t>1</w:t>
      </w:r>
      <w:r w:rsidRPr="00C10A78">
        <w:rPr>
          <w:rFonts w:cs="Arial"/>
          <w:szCs w:val="20"/>
        </w:rPr>
        <w:t>–2</w:t>
      </w:r>
      <w:r w:rsidR="00AF4885">
        <w:rPr>
          <w:rFonts w:cs="Arial"/>
          <w:szCs w:val="20"/>
        </w:rPr>
        <w:t>2</w:t>
      </w:r>
      <w:r w:rsidR="00C10A78">
        <w:rPr>
          <w:rFonts w:cs="Arial"/>
          <w:szCs w:val="20"/>
        </w:rPr>
        <w:t xml:space="preserve"> </w:t>
      </w:r>
      <w:r w:rsidRPr="00DF7079">
        <w:rPr>
          <w:rFonts w:cs="Arial"/>
          <w:szCs w:val="20"/>
        </w:rPr>
        <w:t xml:space="preserve">as </w:t>
      </w:r>
      <w:r>
        <w:rPr>
          <w:rFonts w:cs="Arial"/>
          <w:szCs w:val="20"/>
        </w:rPr>
        <w:t>s</w:t>
      </w:r>
      <w:r w:rsidRPr="00DF7079">
        <w:rPr>
          <w:rFonts w:cs="Arial"/>
          <w:szCs w:val="20"/>
        </w:rPr>
        <w:t xml:space="preserve">pecialised </w:t>
      </w:r>
      <w:r>
        <w:rPr>
          <w:rFonts w:cs="Arial"/>
          <w:szCs w:val="20"/>
        </w:rPr>
        <w:t>c</w:t>
      </w:r>
      <w:r w:rsidRPr="00DF7079">
        <w:rPr>
          <w:rFonts w:cs="Arial"/>
          <w:szCs w:val="20"/>
        </w:rPr>
        <w:t xml:space="preserve">hildren’s </w:t>
      </w:r>
      <w:r>
        <w:rPr>
          <w:rFonts w:cs="Arial"/>
          <w:szCs w:val="20"/>
        </w:rPr>
        <w:t>h</w:t>
      </w:r>
      <w:r w:rsidRPr="00DF7079">
        <w:rPr>
          <w:rFonts w:cs="Arial"/>
          <w:szCs w:val="20"/>
        </w:rPr>
        <w:t>ospitals), and excluding AR-DRGs from MDC 15 (newborns and other neonates).</w:t>
      </w:r>
    </w:p>
    <w:p w14:paraId="7B961633"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The paediatric adjustment for each AR-DRG is:</w:t>
      </w:r>
    </w:p>
    <w:p w14:paraId="47DE89DA" w14:textId="77777777" w:rsidR="00550102" w:rsidRPr="00DF7079" w:rsidRDefault="00550102" w:rsidP="0067139D">
      <w:pPr>
        <w:numPr>
          <w:ilvl w:val="0"/>
          <w:numId w:val="14"/>
        </w:numPr>
        <w:tabs>
          <w:tab w:val="left" w:pos="1162"/>
        </w:tabs>
        <w:spacing w:before="80" w:line="240" w:lineRule="auto"/>
        <w:ind w:left="714" w:right="-28" w:hanging="357"/>
        <w:rPr>
          <w:rFonts w:cs="Arial"/>
          <w:szCs w:val="20"/>
        </w:rPr>
      </w:pPr>
      <w:r w:rsidRPr="00DF7079">
        <w:rPr>
          <w:rFonts w:cs="Arial"/>
          <w:szCs w:val="20"/>
        </w:rPr>
        <w:t xml:space="preserve">Rounded to the nearest whole </w:t>
      </w:r>
      <w:r>
        <w:rPr>
          <w:rFonts w:cs="Arial"/>
          <w:szCs w:val="20"/>
        </w:rPr>
        <w:t>per cent.</w:t>
      </w:r>
    </w:p>
    <w:p w14:paraId="3F5B5C9E" w14:textId="77777777" w:rsidR="00550102" w:rsidRPr="00DF7079" w:rsidRDefault="00550102" w:rsidP="0067139D">
      <w:pPr>
        <w:numPr>
          <w:ilvl w:val="0"/>
          <w:numId w:val="14"/>
        </w:numPr>
        <w:tabs>
          <w:tab w:val="left" w:pos="1162"/>
        </w:tabs>
        <w:spacing w:before="80" w:line="240" w:lineRule="auto"/>
        <w:ind w:left="714" w:right="-28" w:hanging="357"/>
        <w:rPr>
          <w:rFonts w:cs="Arial"/>
          <w:szCs w:val="20"/>
        </w:rPr>
      </w:pPr>
      <w:r w:rsidRPr="00DF7079">
        <w:rPr>
          <w:rFonts w:cs="Arial"/>
          <w:szCs w:val="20"/>
        </w:rPr>
        <w:t>Capped and floored at 2.0 and 0.8 respectivel</w:t>
      </w:r>
      <w:r>
        <w:rPr>
          <w:rFonts w:cs="Arial"/>
          <w:szCs w:val="20"/>
        </w:rPr>
        <w:t>y.</w:t>
      </w:r>
    </w:p>
    <w:p w14:paraId="2EFCECDF" w14:textId="77777777" w:rsidR="00550102" w:rsidRPr="00DF7079" w:rsidRDefault="00550102" w:rsidP="0067139D">
      <w:pPr>
        <w:numPr>
          <w:ilvl w:val="0"/>
          <w:numId w:val="14"/>
        </w:numPr>
        <w:tabs>
          <w:tab w:val="left" w:pos="1162"/>
        </w:tabs>
        <w:spacing w:before="80" w:line="240" w:lineRule="auto"/>
        <w:ind w:left="714" w:right="-28" w:hanging="357"/>
        <w:rPr>
          <w:rFonts w:cs="Arial"/>
          <w:szCs w:val="20"/>
        </w:rPr>
      </w:pPr>
      <w:r w:rsidRPr="00DF7079">
        <w:rPr>
          <w:rFonts w:cs="Arial"/>
          <w:szCs w:val="20"/>
        </w:rPr>
        <w:t xml:space="preserve">Set to </w:t>
      </w:r>
      <w:r>
        <w:rPr>
          <w:rFonts w:cs="Arial"/>
          <w:szCs w:val="20"/>
        </w:rPr>
        <w:t>one</w:t>
      </w:r>
      <w:r w:rsidRPr="00DF7079">
        <w:rPr>
          <w:rFonts w:cs="Arial"/>
          <w:szCs w:val="20"/>
        </w:rPr>
        <w:t xml:space="preserve"> (</w:t>
      </w:r>
      <w:r>
        <w:rPr>
          <w:rFonts w:cs="Arial"/>
          <w:szCs w:val="20"/>
        </w:rPr>
        <w:t>that is,</w:t>
      </w:r>
      <w:r w:rsidRPr="00DF7079">
        <w:rPr>
          <w:rFonts w:cs="Arial"/>
          <w:szCs w:val="20"/>
        </w:rPr>
        <w:t xml:space="preserve"> no adjustment) if the adjustment </w:t>
      </w:r>
      <w:r>
        <w:rPr>
          <w:rFonts w:cs="Arial"/>
          <w:szCs w:val="20"/>
        </w:rPr>
        <w:t>i</w:t>
      </w:r>
      <w:r w:rsidRPr="00DF7079">
        <w:rPr>
          <w:rFonts w:cs="Arial"/>
          <w:szCs w:val="20"/>
        </w:rPr>
        <w:t xml:space="preserve">s less than 0.05 either side of </w:t>
      </w:r>
      <w:r>
        <w:rPr>
          <w:rFonts w:cs="Arial"/>
          <w:szCs w:val="20"/>
        </w:rPr>
        <w:t>one</w:t>
      </w:r>
      <w:r w:rsidRPr="00DF7079">
        <w:rPr>
          <w:rFonts w:cs="Arial"/>
          <w:szCs w:val="20"/>
        </w:rPr>
        <w:t>.</w:t>
      </w:r>
    </w:p>
    <w:p w14:paraId="3817E7D3" w14:textId="31F493A1" w:rsidR="00550102" w:rsidRPr="00DF7079" w:rsidRDefault="00550102" w:rsidP="70C54A85">
      <w:pPr>
        <w:tabs>
          <w:tab w:val="left" w:pos="1162"/>
        </w:tabs>
        <w:spacing w:before="240" w:line="240" w:lineRule="auto"/>
        <w:ind w:right="-28"/>
        <w:rPr>
          <w:rFonts w:cs="Arial"/>
        </w:rPr>
      </w:pPr>
      <w:r w:rsidRPr="70C54A85">
        <w:rPr>
          <w:rFonts w:cs="Arial"/>
        </w:rPr>
        <w:t xml:space="preserve">Further to this, the paediatric adjustment for the </w:t>
      </w:r>
      <w:r w:rsidR="00F159D0" w:rsidRPr="70C54A85">
        <w:rPr>
          <w:rFonts w:cs="Arial"/>
        </w:rPr>
        <w:t>201</w:t>
      </w:r>
      <w:r w:rsidR="00F159D0">
        <w:rPr>
          <w:rFonts w:cs="Arial"/>
        </w:rPr>
        <w:t>9</w:t>
      </w:r>
      <w:r w:rsidRPr="70C54A85">
        <w:rPr>
          <w:rFonts w:cs="Arial"/>
        </w:rPr>
        <w:t>–</w:t>
      </w:r>
      <w:r w:rsidR="00F159D0">
        <w:rPr>
          <w:rFonts w:cs="Arial"/>
        </w:rPr>
        <w:t>20</w:t>
      </w:r>
      <w:r w:rsidR="00F159D0" w:rsidRPr="70C54A85">
        <w:rPr>
          <w:rFonts w:cs="Arial"/>
        </w:rPr>
        <w:t xml:space="preserve"> </w:t>
      </w:r>
      <w:r w:rsidRPr="70C54A85">
        <w:rPr>
          <w:rFonts w:cs="Arial"/>
        </w:rPr>
        <w:t xml:space="preserve">cost model is compared against that of the </w:t>
      </w:r>
      <w:r w:rsidR="00F159D0" w:rsidRPr="70C54A85">
        <w:rPr>
          <w:rFonts w:cs="Arial"/>
        </w:rPr>
        <w:t>201</w:t>
      </w:r>
      <w:r w:rsidR="00F159D0">
        <w:rPr>
          <w:rFonts w:cs="Arial"/>
        </w:rPr>
        <w:t>8</w:t>
      </w:r>
      <w:r w:rsidRPr="70C54A85">
        <w:rPr>
          <w:rFonts w:cs="Arial"/>
        </w:rPr>
        <w:t>–</w:t>
      </w:r>
      <w:r w:rsidR="00F159D0" w:rsidRPr="70C54A85">
        <w:rPr>
          <w:rFonts w:cs="Arial"/>
        </w:rPr>
        <w:t>1</w:t>
      </w:r>
      <w:r w:rsidR="00F159D0">
        <w:rPr>
          <w:rFonts w:cs="Arial"/>
        </w:rPr>
        <w:t>9</w:t>
      </w:r>
      <w:r w:rsidR="00F159D0" w:rsidRPr="70C54A85">
        <w:rPr>
          <w:rFonts w:cs="Arial"/>
        </w:rPr>
        <w:t xml:space="preserve"> </w:t>
      </w:r>
      <w:r w:rsidRPr="70C54A85">
        <w:rPr>
          <w:rFonts w:cs="Arial"/>
        </w:rPr>
        <w:t>cost model and changes are stabilised for AR</w:t>
      </w:r>
      <w:r w:rsidR="04553298" w:rsidRPr="70C54A85">
        <w:rPr>
          <w:rFonts w:cs="Arial"/>
        </w:rPr>
        <w:t>-</w:t>
      </w:r>
      <w:r w:rsidRPr="70C54A85">
        <w:rPr>
          <w:rFonts w:cs="Arial"/>
        </w:rPr>
        <w:t>DRGs where either of the cost data samples (that is, paediatric or non-paediatric) contain fewer than 500 observations. This stabilisation involves taking the average adjustment across the two years.</w:t>
      </w:r>
      <w:r w:rsidR="00C20ED9">
        <w:rPr>
          <w:rFonts w:cs="Arial"/>
        </w:rPr>
        <w:t xml:space="preserve"> The paediatric adjustments of the two years must also both be either above or below one, unless the previous year was one or missing.</w:t>
      </w:r>
    </w:p>
    <w:p w14:paraId="08256811" w14:textId="77777777" w:rsidR="00550102" w:rsidRPr="00DF7079" w:rsidRDefault="00550102" w:rsidP="00550102">
      <w:pPr>
        <w:tabs>
          <w:tab w:val="left" w:pos="1162"/>
        </w:tabs>
        <w:spacing w:before="180" w:line="240" w:lineRule="auto"/>
        <w:ind w:right="-28"/>
        <w:rPr>
          <w:rFonts w:cs="Arial"/>
          <w:szCs w:val="20"/>
        </w:rPr>
      </w:pPr>
      <w:r w:rsidRPr="00DF7079">
        <w:rPr>
          <w:rFonts w:cs="Arial"/>
          <w:szCs w:val="20"/>
        </w:rPr>
        <w:t xml:space="preserve">The cost parameters of each AR-DRG are then calibrated to ensure that the modelled costs, with paediatric adjustment applied, are equal to the actual costs of the AR-DRG. </w:t>
      </w:r>
    </w:p>
    <w:p w14:paraId="66ABB96E" w14:textId="77777777" w:rsidR="00550102" w:rsidRPr="00EC1F9C" w:rsidRDefault="00550102" w:rsidP="00EF4C80">
      <w:pPr>
        <w:spacing w:before="240" w:after="200" w:line="240" w:lineRule="auto"/>
        <w:rPr>
          <w:rFonts w:eastAsia="Arial"/>
          <w:b/>
        </w:rPr>
      </w:pPr>
      <w:r w:rsidRPr="00887AE7">
        <w:rPr>
          <w:rFonts w:eastAsia="Arial"/>
          <w:b/>
        </w:rPr>
        <w:t>Indigenous adjustment and patient residential remoteness adjustment</w:t>
      </w:r>
    </w:p>
    <w:p w14:paraId="64F58C12"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These adjustments are derived </w:t>
      </w:r>
      <w:r>
        <w:rPr>
          <w:rFonts w:cs="Arial"/>
          <w:szCs w:val="20"/>
        </w:rPr>
        <w:t>by the following process</w:t>
      </w:r>
      <w:r w:rsidRPr="00DF7079">
        <w:rPr>
          <w:rFonts w:cs="Arial"/>
          <w:szCs w:val="20"/>
        </w:rPr>
        <w:t>:</w:t>
      </w:r>
    </w:p>
    <w:p w14:paraId="3B0B89F2" w14:textId="77777777" w:rsidR="00550102" w:rsidRPr="00810675" w:rsidRDefault="00550102" w:rsidP="0067139D">
      <w:pPr>
        <w:numPr>
          <w:ilvl w:val="0"/>
          <w:numId w:val="16"/>
        </w:numPr>
        <w:tabs>
          <w:tab w:val="left" w:pos="1162"/>
        </w:tabs>
        <w:spacing w:before="80" w:line="240" w:lineRule="auto"/>
        <w:ind w:left="714" w:right="-28" w:hanging="357"/>
        <w:rPr>
          <w:rFonts w:cs="Arial"/>
          <w:szCs w:val="20"/>
        </w:rPr>
      </w:pPr>
      <w:r>
        <w:rPr>
          <w:rFonts w:cs="Arial"/>
          <w:szCs w:val="20"/>
        </w:rPr>
        <w:t>The remoteness value for each episode is derived from an</w:t>
      </w:r>
      <w:r w:rsidRPr="00810675">
        <w:rPr>
          <w:rFonts w:cs="Arial"/>
          <w:szCs w:val="20"/>
        </w:rPr>
        <w:t xml:space="preserve"> episode's </w:t>
      </w:r>
      <w:r>
        <w:rPr>
          <w:rFonts w:cs="Arial"/>
          <w:szCs w:val="20"/>
        </w:rPr>
        <w:t xml:space="preserve">available </w:t>
      </w:r>
      <w:r w:rsidRPr="00810675">
        <w:rPr>
          <w:rFonts w:cs="Arial"/>
          <w:szCs w:val="20"/>
        </w:rPr>
        <w:t xml:space="preserve">geographical information in </w:t>
      </w:r>
      <w:r>
        <w:rPr>
          <w:rFonts w:cs="Arial"/>
          <w:szCs w:val="20"/>
        </w:rPr>
        <w:t xml:space="preserve">the following </w:t>
      </w:r>
      <w:r w:rsidRPr="00810675">
        <w:rPr>
          <w:rFonts w:cs="Arial"/>
          <w:szCs w:val="20"/>
        </w:rPr>
        <w:t>orde</w:t>
      </w:r>
      <w:r w:rsidR="00D14AA4">
        <w:rPr>
          <w:rFonts w:cs="Arial"/>
          <w:szCs w:val="20"/>
        </w:rPr>
        <w:t>r of preference: SA2, postcode</w:t>
      </w:r>
      <w:r w:rsidRPr="00810675">
        <w:rPr>
          <w:rFonts w:cs="Arial"/>
          <w:szCs w:val="20"/>
        </w:rPr>
        <w:t>, or the hospital geographical indicator variable</w:t>
      </w:r>
      <w:r>
        <w:rPr>
          <w:rFonts w:cs="Arial"/>
          <w:szCs w:val="20"/>
        </w:rPr>
        <w:t>.</w:t>
      </w:r>
    </w:p>
    <w:p w14:paraId="44B7E8F9" w14:textId="250E9624" w:rsidR="00AE7A56" w:rsidRDefault="00550102" w:rsidP="0067139D">
      <w:pPr>
        <w:numPr>
          <w:ilvl w:val="0"/>
          <w:numId w:val="16"/>
        </w:numPr>
        <w:tabs>
          <w:tab w:val="left" w:pos="1162"/>
        </w:tabs>
        <w:spacing w:before="80" w:line="240" w:lineRule="auto"/>
        <w:ind w:left="714" w:right="-28" w:hanging="357"/>
        <w:rPr>
          <w:rFonts w:cs="Arial"/>
          <w:szCs w:val="20"/>
        </w:rPr>
      </w:pPr>
      <w:r w:rsidRPr="00DF7079">
        <w:rPr>
          <w:rFonts w:cs="Arial"/>
          <w:szCs w:val="20"/>
        </w:rPr>
        <w:t>A multivariate least squares weighted regression model is used to estimate the extent to which the variation in the mean cost per weighted episode</w:t>
      </w:r>
      <w:r w:rsidR="00AE7A56">
        <w:rPr>
          <w:rFonts w:cs="Arial"/>
          <w:szCs w:val="20"/>
        </w:rPr>
        <w:t xml:space="preserve"> is explained by each adjustment factor: Indigenous status, residential remoteness area, and radiotherapy and dialysis status. </w:t>
      </w:r>
    </w:p>
    <w:p w14:paraId="5E716D0D" w14:textId="77777777" w:rsidR="00550102" w:rsidRPr="00AE7A56" w:rsidRDefault="00550102" w:rsidP="0067139D">
      <w:pPr>
        <w:numPr>
          <w:ilvl w:val="0"/>
          <w:numId w:val="16"/>
        </w:numPr>
        <w:tabs>
          <w:tab w:val="left" w:pos="1162"/>
        </w:tabs>
        <w:spacing w:before="80" w:line="240" w:lineRule="auto"/>
        <w:ind w:left="714" w:right="-28" w:hanging="357"/>
        <w:rPr>
          <w:rFonts w:cs="Arial"/>
        </w:rPr>
      </w:pPr>
      <w:r w:rsidRPr="70C54A85">
        <w:rPr>
          <w:rFonts w:cs="Arial"/>
        </w:rPr>
        <w:t>Episodes are weighted to control the level to which the model already explains costs (that is, through the AR</w:t>
      </w:r>
      <w:r w:rsidR="10F5643D" w:rsidRPr="70C54A85">
        <w:rPr>
          <w:rFonts w:cs="Arial"/>
        </w:rPr>
        <w:t>-</w:t>
      </w:r>
      <w:r w:rsidRPr="70C54A85">
        <w:rPr>
          <w:rFonts w:cs="Arial"/>
        </w:rPr>
        <w:t xml:space="preserve">DRG inlier/outlier model together with the paediatric adjustments). The coefficients estimated from this model indicate the extent to which </w:t>
      </w:r>
      <w:r w:rsidR="458DFE72" w:rsidRPr="70C54A85">
        <w:rPr>
          <w:rFonts w:cs="Arial"/>
        </w:rPr>
        <w:t>each factor</w:t>
      </w:r>
      <w:r w:rsidRPr="70C54A85">
        <w:rPr>
          <w:rFonts w:cs="Arial"/>
        </w:rPr>
        <w:t xml:space="preserve"> </w:t>
      </w:r>
      <w:r w:rsidR="458DFE72" w:rsidRPr="70C54A85">
        <w:rPr>
          <w:rFonts w:cs="Arial"/>
        </w:rPr>
        <w:t xml:space="preserve">explains </w:t>
      </w:r>
      <w:r w:rsidRPr="70C54A85">
        <w:rPr>
          <w:rFonts w:cs="Arial"/>
        </w:rPr>
        <w:t>residual variation in costs.</w:t>
      </w:r>
      <w:r w:rsidR="458DFE72" w:rsidRPr="70C54A85">
        <w:rPr>
          <w:rFonts w:cs="Arial"/>
        </w:rPr>
        <w:t xml:space="preserve"> </w:t>
      </w:r>
    </w:p>
    <w:p w14:paraId="40716856" w14:textId="77777777" w:rsidR="00550102" w:rsidRDefault="00550102" w:rsidP="0067139D">
      <w:pPr>
        <w:numPr>
          <w:ilvl w:val="0"/>
          <w:numId w:val="16"/>
        </w:numPr>
        <w:tabs>
          <w:tab w:val="left" w:pos="1162"/>
        </w:tabs>
        <w:spacing w:before="80" w:line="240" w:lineRule="auto"/>
        <w:ind w:left="714" w:right="-28" w:hanging="357"/>
        <w:rPr>
          <w:rFonts w:cs="Arial"/>
          <w:szCs w:val="20"/>
        </w:rPr>
      </w:pPr>
      <w:r w:rsidRPr="00DF7079">
        <w:rPr>
          <w:rFonts w:cs="Arial"/>
          <w:szCs w:val="20"/>
        </w:rPr>
        <w:t xml:space="preserve">The analysis yields an adjustment </w:t>
      </w:r>
      <w:r w:rsidR="00AE7A56">
        <w:rPr>
          <w:rFonts w:cs="Arial"/>
          <w:szCs w:val="20"/>
        </w:rPr>
        <w:t>value for each of the adjustment categories</w:t>
      </w:r>
      <w:r w:rsidRPr="00DF7079">
        <w:rPr>
          <w:rFonts w:cs="Arial"/>
          <w:szCs w:val="20"/>
        </w:rPr>
        <w:t>.</w:t>
      </w:r>
    </w:p>
    <w:p w14:paraId="59BC7233" w14:textId="77777777" w:rsidR="00A4464A" w:rsidRPr="00DF7079" w:rsidRDefault="003344E3" w:rsidP="0067139D">
      <w:pPr>
        <w:numPr>
          <w:ilvl w:val="0"/>
          <w:numId w:val="16"/>
        </w:numPr>
        <w:tabs>
          <w:tab w:val="left" w:pos="1162"/>
        </w:tabs>
        <w:spacing w:before="80" w:line="240" w:lineRule="auto"/>
        <w:ind w:left="714" w:right="-28" w:hanging="357"/>
        <w:rPr>
          <w:rFonts w:cs="Arial"/>
          <w:szCs w:val="20"/>
        </w:rPr>
      </w:pPr>
      <w:r>
        <w:rPr>
          <w:rFonts w:cs="Arial"/>
          <w:szCs w:val="20"/>
        </w:rPr>
        <w:t xml:space="preserve">The </w:t>
      </w:r>
      <w:r w:rsidR="00910DBD">
        <w:rPr>
          <w:rFonts w:cs="Arial"/>
          <w:szCs w:val="20"/>
        </w:rPr>
        <w:t>I</w:t>
      </w:r>
      <w:r w:rsidR="00A4464A">
        <w:rPr>
          <w:rFonts w:cs="Arial"/>
          <w:szCs w:val="20"/>
        </w:rPr>
        <w:t>ndigenous adjustm</w:t>
      </w:r>
      <w:r>
        <w:rPr>
          <w:rFonts w:cs="Arial"/>
          <w:szCs w:val="20"/>
        </w:rPr>
        <w:t xml:space="preserve">ent </w:t>
      </w:r>
      <w:r w:rsidR="00AE7A56">
        <w:rPr>
          <w:rFonts w:cs="Arial"/>
          <w:szCs w:val="20"/>
        </w:rPr>
        <w:t xml:space="preserve">taken as the cost-weighted mean of empirical adjustments </w:t>
      </w:r>
      <w:r>
        <w:rPr>
          <w:rFonts w:cs="Arial"/>
          <w:szCs w:val="20"/>
        </w:rPr>
        <w:t xml:space="preserve">taken </w:t>
      </w:r>
      <w:r w:rsidR="00A4464A">
        <w:rPr>
          <w:rFonts w:cs="Arial"/>
          <w:szCs w:val="20"/>
        </w:rPr>
        <w:t>from the admitted acute</w:t>
      </w:r>
      <w:r w:rsidR="00AE7A56">
        <w:rPr>
          <w:rFonts w:cs="Arial"/>
          <w:szCs w:val="20"/>
        </w:rPr>
        <w:t xml:space="preserve"> calculation above</w:t>
      </w:r>
      <w:r w:rsidR="00A4464A">
        <w:rPr>
          <w:rFonts w:cs="Arial"/>
          <w:szCs w:val="20"/>
        </w:rPr>
        <w:t>,</w:t>
      </w:r>
      <w:r w:rsidR="00AE7A56">
        <w:rPr>
          <w:rFonts w:cs="Arial"/>
          <w:szCs w:val="20"/>
        </w:rPr>
        <w:t xml:space="preserve"> and similar calculations applied to</w:t>
      </w:r>
      <w:r w:rsidR="00A4464A">
        <w:rPr>
          <w:rFonts w:cs="Arial"/>
          <w:szCs w:val="20"/>
        </w:rPr>
        <w:t xml:space="preserve"> admitted subacute and non-acute, emergency care, and non-admitted </w:t>
      </w:r>
      <w:r w:rsidR="00AE7A56">
        <w:rPr>
          <w:rFonts w:cs="Arial"/>
          <w:szCs w:val="20"/>
        </w:rPr>
        <w:t>code data</w:t>
      </w:r>
      <w:r w:rsidR="00A4464A">
        <w:rPr>
          <w:rFonts w:cs="Arial"/>
          <w:szCs w:val="20"/>
        </w:rPr>
        <w:t>.</w:t>
      </w:r>
    </w:p>
    <w:p w14:paraId="2D75E8E4" w14:textId="77777777" w:rsidR="00550102" w:rsidRPr="00DF7079" w:rsidRDefault="00550102" w:rsidP="0067139D">
      <w:pPr>
        <w:numPr>
          <w:ilvl w:val="0"/>
          <w:numId w:val="16"/>
        </w:numPr>
        <w:tabs>
          <w:tab w:val="left" w:pos="1162"/>
        </w:tabs>
        <w:spacing w:before="80" w:line="240" w:lineRule="auto"/>
        <w:ind w:left="714" w:right="-28" w:hanging="357"/>
        <w:rPr>
          <w:rFonts w:cs="Arial"/>
          <w:szCs w:val="20"/>
        </w:rPr>
      </w:pPr>
      <w:r w:rsidRPr="00DF7079">
        <w:rPr>
          <w:rFonts w:cs="Arial"/>
          <w:szCs w:val="20"/>
        </w:rPr>
        <w:t>The adjustments are additive where more than one adjustment applies, for example, where an Indigenous patient resides in a remote area, an adjustment equal to the addition of the Indigenous and remoteness adjustments is applicable.</w:t>
      </w:r>
    </w:p>
    <w:p w14:paraId="1F744EEB" w14:textId="77777777" w:rsidR="00550102" w:rsidRPr="00EC1F9C" w:rsidRDefault="00550102" w:rsidP="004A03A2">
      <w:pPr>
        <w:keepNext/>
        <w:spacing w:before="240" w:after="200" w:line="240" w:lineRule="auto"/>
        <w:rPr>
          <w:rFonts w:eastAsia="Arial"/>
          <w:b/>
        </w:rPr>
      </w:pPr>
      <w:r w:rsidRPr="00EC1F9C">
        <w:rPr>
          <w:rFonts w:eastAsia="Arial"/>
          <w:b/>
        </w:rPr>
        <w:t>Radiotherapy and dialysis adjustment</w:t>
      </w:r>
    </w:p>
    <w:p w14:paraId="4C0449EA" w14:textId="77777777" w:rsidR="00241009" w:rsidRDefault="00550102" w:rsidP="00550102">
      <w:pPr>
        <w:tabs>
          <w:tab w:val="left" w:pos="1162"/>
        </w:tabs>
        <w:spacing w:line="240" w:lineRule="auto"/>
        <w:ind w:right="-28"/>
        <w:rPr>
          <w:rFonts w:cs="Arial"/>
          <w:szCs w:val="20"/>
        </w:rPr>
      </w:pPr>
      <w:r w:rsidRPr="00DF7079">
        <w:rPr>
          <w:rFonts w:cs="Arial"/>
          <w:szCs w:val="20"/>
        </w:rPr>
        <w:t>The dialysis adjustment is derived in the same wa</w:t>
      </w:r>
      <w:r>
        <w:rPr>
          <w:rFonts w:cs="Arial"/>
          <w:szCs w:val="20"/>
        </w:rPr>
        <w:t>y</w:t>
      </w:r>
      <w:r w:rsidRPr="00DF7079">
        <w:rPr>
          <w:rFonts w:cs="Arial"/>
          <w:szCs w:val="20"/>
        </w:rPr>
        <w:t xml:space="preserve"> and at the same time as the Indigen</w:t>
      </w:r>
      <w:r w:rsidR="00AE7A56">
        <w:rPr>
          <w:rFonts w:cs="Arial"/>
          <w:szCs w:val="20"/>
        </w:rPr>
        <w:t>ous and remoteness adjustments, as described above.</w:t>
      </w:r>
    </w:p>
    <w:p w14:paraId="5B9466DB" w14:textId="491962DA" w:rsidR="00550102" w:rsidRPr="00DF7079" w:rsidRDefault="00550102" w:rsidP="70C54A85">
      <w:pPr>
        <w:tabs>
          <w:tab w:val="left" w:pos="1162"/>
        </w:tabs>
        <w:spacing w:line="240" w:lineRule="auto"/>
        <w:ind w:right="-28"/>
        <w:rPr>
          <w:rFonts w:cs="Arial"/>
        </w:rPr>
      </w:pPr>
      <w:r w:rsidRPr="70C54A85">
        <w:rPr>
          <w:rFonts w:cs="Arial"/>
        </w:rPr>
        <w:lastRenderedPageBreak/>
        <w:t xml:space="preserve">Together with the radiotherapy adjustment, the adjustments compensate for the extra costs of dialysis-related and radiotherapy-related procedures, as specified in </w:t>
      </w:r>
      <w:r w:rsidRPr="70C54A85">
        <w:rPr>
          <w:rFonts w:cs="Arial"/>
          <w:b/>
          <w:bCs/>
        </w:rPr>
        <w:t>Appendices B</w:t>
      </w:r>
      <w:r w:rsidRPr="70C54A85">
        <w:rPr>
          <w:rFonts w:cs="Arial"/>
        </w:rPr>
        <w:t xml:space="preserve"> and </w:t>
      </w:r>
      <w:r w:rsidRPr="70C54A85">
        <w:rPr>
          <w:rFonts w:cs="Arial"/>
          <w:b/>
          <w:bCs/>
        </w:rPr>
        <w:t>Appendix C</w:t>
      </w:r>
      <w:r w:rsidRPr="70C54A85">
        <w:rPr>
          <w:rFonts w:cs="Arial"/>
        </w:rPr>
        <w:t xml:space="preserve"> of the National Efficient Price Determination </w:t>
      </w:r>
      <w:r w:rsidR="00FA3219" w:rsidRPr="70C54A85">
        <w:rPr>
          <w:rFonts w:cs="Arial"/>
        </w:rPr>
        <w:t>202</w:t>
      </w:r>
      <w:r w:rsidR="00FA3219">
        <w:rPr>
          <w:rFonts w:cs="Arial"/>
        </w:rPr>
        <w:t>2</w:t>
      </w:r>
      <w:r w:rsidRPr="70C54A85">
        <w:rPr>
          <w:rFonts w:cs="Arial"/>
        </w:rPr>
        <w:t>–</w:t>
      </w:r>
      <w:r w:rsidR="00FA3219" w:rsidRPr="70C54A85">
        <w:rPr>
          <w:rFonts w:cs="Arial"/>
        </w:rPr>
        <w:t>2</w:t>
      </w:r>
      <w:r w:rsidR="00FA3219">
        <w:rPr>
          <w:rFonts w:cs="Arial"/>
        </w:rPr>
        <w:t>3</w:t>
      </w:r>
      <w:r w:rsidRPr="70C54A85">
        <w:rPr>
          <w:rFonts w:cs="Arial"/>
        </w:rPr>
        <w:t xml:space="preserve">. These two adjustments are additive with the Indigenous and remoteness adjustments. </w:t>
      </w:r>
    </w:p>
    <w:p w14:paraId="673AB905" w14:textId="77777777" w:rsidR="00550102" w:rsidRPr="00EC1F9C" w:rsidRDefault="00550102" w:rsidP="00550102">
      <w:pPr>
        <w:spacing w:before="240" w:after="200" w:line="240" w:lineRule="auto"/>
        <w:rPr>
          <w:rFonts w:eastAsia="Arial"/>
          <w:b/>
        </w:rPr>
      </w:pPr>
      <w:r w:rsidRPr="00EC1F9C">
        <w:rPr>
          <w:rFonts w:eastAsia="Arial"/>
          <w:b/>
        </w:rPr>
        <w:t>Patient treatment remoteness adjustment</w:t>
      </w:r>
    </w:p>
    <w:p w14:paraId="52D8F05F" w14:textId="70481763" w:rsidR="00550102" w:rsidRDefault="00550102" w:rsidP="67F8334F">
      <w:pPr>
        <w:tabs>
          <w:tab w:val="left" w:pos="1162"/>
        </w:tabs>
        <w:spacing w:before="80" w:line="240" w:lineRule="auto"/>
        <w:ind w:right="-28"/>
        <w:rPr>
          <w:szCs w:val="22"/>
        </w:rPr>
      </w:pPr>
      <w:r w:rsidRPr="67F8334F">
        <w:rPr>
          <w:rFonts w:cs="Arial"/>
        </w:rPr>
        <w:t xml:space="preserve">The patient treatment remoteness adjustment was introduced in the NEP18 Determination. It is derived using the same methodology as the residential remoteness adjustment, and is designed to explain the residual variation in cost after the other adjustments have been applied. The analysis yields an adjustment for remote and very remote treatment locations. </w:t>
      </w:r>
    </w:p>
    <w:p w14:paraId="678A5A81" w14:textId="3F9EB277" w:rsidR="00550102" w:rsidRPr="00DF7079" w:rsidRDefault="00550102" w:rsidP="67F8334F">
      <w:pPr>
        <w:tabs>
          <w:tab w:val="left" w:pos="1162"/>
        </w:tabs>
        <w:spacing w:before="80" w:line="240" w:lineRule="auto"/>
        <w:ind w:right="-28"/>
        <w:rPr>
          <w:rFonts w:cs="Arial"/>
        </w:rPr>
      </w:pPr>
      <w:r w:rsidRPr="67F8334F">
        <w:rPr>
          <w:rFonts w:cs="Arial"/>
        </w:rPr>
        <w:t xml:space="preserve">AR-DRG cost parameters are then uniformly calibrated to ensure cost neutrality of the model (including Indigenous, remoteness, radiotherapy and dialysis adjustments) against actual costs. </w:t>
      </w:r>
    </w:p>
    <w:p w14:paraId="41BEF994" w14:textId="77777777" w:rsidR="00550102" w:rsidRPr="00CE0F71" w:rsidRDefault="00550102" w:rsidP="00755433">
      <w:pPr>
        <w:pStyle w:val="Heading3"/>
      </w:pPr>
      <w:bookmarkStart w:id="95" w:name="_Ref57034802"/>
      <w:r w:rsidRPr="00CE0F71">
        <w:t>Private patient adjustments</w:t>
      </w:r>
      <w:bookmarkEnd w:id="95"/>
    </w:p>
    <w:p w14:paraId="56798020"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 xml:space="preserve">Further adjustments are applied to private patients to account for the private benefit received from </w:t>
      </w:r>
      <w:r>
        <w:rPr>
          <w:rFonts w:cs="Arial"/>
          <w:szCs w:val="20"/>
        </w:rPr>
        <w:t xml:space="preserve">the </w:t>
      </w:r>
      <w:r w:rsidRPr="00765488">
        <w:rPr>
          <w:rFonts w:cs="Arial"/>
          <w:szCs w:val="20"/>
        </w:rPr>
        <w:t>Medicare Benefits Schedule</w:t>
      </w:r>
      <w:r w:rsidRPr="00DF7079">
        <w:rPr>
          <w:rFonts w:cs="Arial"/>
          <w:szCs w:val="20"/>
        </w:rPr>
        <w:t xml:space="preserve"> </w:t>
      </w:r>
      <w:r>
        <w:rPr>
          <w:rFonts w:cs="Arial"/>
          <w:szCs w:val="20"/>
        </w:rPr>
        <w:t>(</w:t>
      </w:r>
      <w:r w:rsidRPr="00DF7079">
        <w:rPr>
          <w:rFonts w:cs="Arial"/>
          <w:szCs w:val="20"/>
        </w:rPr>
        <w:t>MBS</w:t>
      </w:r>
      <w:r>
        <w:rPr>
          <w:rFonts w:cs="Arial"/>
          <w:szCs w:val="20"/>
        </w:rPr>
        <w:t>)</w:t>
      </w:r>
      <w:r w:rsidRPr="00DF7079">
        <w:rPr>
          <w:rFonts w:cs="Arial"/>
          <w:szCs w:val="20"/>
        </w:rPr>
        <w:t xml:space="preserve"> and private insurers. These adjustments cover the service and accommodation of private patients.</w:t>
      </w:r>
    </w:p>
    <w:p w14:paraId="0E3531E8" w14:textId="77777777" w:rsidR="00550102" w:rsidRPr="00EC1F9C" w:rsidRDefault="00550102" w:rsidP="00550102">
      <w:pPr>
        <w:tabs>
          <w:tab w:val="left" w:pos="1162"/>
        </w:tabs>
        <w:spacing w:line="240" w:lineRule="auto"/>
        <w:ind w:right="-28"/>
        <w:rPr>
          <w:rFonts w:cs="Arial"/>
          <w:b/>
        </w:rPr>
      </w:pPr>
      <w:r w:rsidRPr="6B946504">
        <w:rPr>
          <w:rFonts w:cs="Arial"/>
          <w:b/>
        </w:rPr>
        <w:t>Private patient service adjustment</w:t>
      </w:r>
    </w:p>
    <w:p w14:paraId="29C84270" w14:textId="77777777" w:rsidR="00550102" w:rsidRPr="00DF7079" w:rsidRDefault="00550102" w:rsidP="70C54A85">
      <w:pPr>
        <w:tabs>
          <w:tab w:val="left" w:pos="1162"/>
        </w:tabs>
        <w:spacing w:line="240" w:lineRule="auto"/>
        <w:ind w:right="-28"/>
        <w:rPr>
          <w:rFonts w:cs="Arial"/>
        </w:rPr>
      </w:pPr>
      <w:r w:rsidRPr="70C54A85">
        <w:rPr>
          <w:rFonts w:cs="Arial"/>
        </w:rPr>
        <w:t>The HCP data provides a more accurate amount of benefits received from MBS and private insurers for medical hospital services and prostheses than provided by the NHCDC. These benefits are used to calculate the private patient service adjustment. The adjustment is calculated at the AR-DRG level</w:t>
      </w:r>
      <w:r w:rsidR="1754F1E5" w:rsidRPr="70C54A85">
        <w:rPr>
          <w:rFonts w:cs="Arial"/>
        </w:rPr>
        <w:t xml:space="preserve"> for each jurisdiction</w:t>
      </w:r>
      <w:r w:rsidRPr="70C54A85">
        <w:rPr>
          <w:rFonts w:cs="Arial"/>
        </w:rPr>
        <w:t>, although for some AR</w:t>
      </w:r>
      <w:r w:rsidR="00640FD5">
        <w:rPr>
          <w:rFonts w:cs="Arial"/>
        </w:rPr>
        <w:t>-</w:t>
      </w:r>
      <w:r w:rsidRPr="70C54A85">
        <w:rPr>
          <w:rFonts w:cs="Arial"/>
        </w:rPr>
        <w:t>DRGs with small samples, the adjustment is derived at a more aggregate level.</w:t>
      </w:r>
      <w:r w:rsidR="20FE56A4" w:rsidRPr="70C54A85">
        <w:rPr>
          <w:rFonts w:cs="Arial"/>
        </w:rPr>
        <w:t xml:space="preserve"> In the absence of data for a particular state or territory, a national value is used.</w:t>
      </w:r>
      <w:r w:rsidRPr="70C54A85">
        <w:rPr>
          <w:rFonts w:cs="Arial"/>
        </w:rPr>
        <w:t xml:space="preserve"> </w:t>
      </w:r>
    </w:p>
    <w:p w14:paraId="02A97C29" w14:textId="77777777" w:rsidR="00550102" w:rsidRPr="00DF7079" w:rsidRDefault="00550102" w:rsidP="00550102">
      <w:pPr>
        <w:spacing w:after="0" w:line="240" w:lineRule="auto"/>
        <w:rPr>
          <w:rFonts w:cs="Arial"/>
          <w:szCs w:val="20"/>
        </w:rPr>
      </w:pPr>
      <w:r w:rsidRPr="00DF7079">
        <w:rPr>
          <w:rFonts w:cs="Arial"/>
          <w:szCs w:val="20"/>
        </w:rPr>
        <w:t xml:space="preserve">The following ratio was taken at the </w:t>
      </w:r>
      <w:r w:rsidR="00C2044A">
        <w:rPr>
          <w:rFonts w:cs="Arial"/>
          <w:szCs w:val="20"/>
        </w:rPr>
        <w:t xml:space="preserve">jurisdictional </w:t>
      </w:r>
      <w:r w:rsidRPr="00DF7079">
        <w:rPr>
          <w:rFonts w:cs="Arial"/>
          <w:szCs w:val="20"/>
        </w:rPr>
        <w:t>AR-DRG level:</w:t>
      </w:r>
    </w:p>
    <w:p w14:paraId="3B0CF096" w14:textId="77777777" w:rsidR="00550102" w:rsidRPr="00DF7079" w:rsidRDefault="00550102" w:rsidP="00550102">
      <w:pPr>
        <w:tabs>
          <w:tab w:val="left" w:pos="1162"/>
        </w:tabs>
        <w:spacing w:line="240" w:lineRule="auto"/>
        <w:ind w:left="360" w:right="-28"/>
        <w:rPr>
          <w:rFonts w:ascii="Cambria Math" w:hAnsi="Cambria Math" w:cs="Arial"/>
        </w:rPr>
      </w:pPr>
      <w:r w:rsidRPr="00DF7079">
        <w:rPr>
          <w:rFonts w:ascii="Cambria Math" w:hAnsi="Cambria Math" w:cs="Arial"/>
        </w:rPr>
        <w:t>Private patient service adjustment (</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PPS</m:t>
            </m:r>
          </m:sub>
        </m:sSub>
      </m:oMath>
      <w:r w:rsidRPr="00DF7079">
        <w:rPr>
          <w:rFonts w:ascii="Cambria Math" w:hAnsi="Cambria Math" w:cs="Arial"/>
        </w:rPr>
        <w:t xml:space="preserve">) = </w:t>
      </w:r>
      <w:r>
        <w:rPr>
          <w:rFonts w:ascii="Cambria Math" w:hAnsi="Cambria Math" w:cs="Arial"/>
        </w:rPr>
        <w:t>r</w:t>
      </w:r>
      <w:r w:rsidRPr="00DF7079">
        <w:rPr>
          <w:rFonts w:ascii="Cambria Math" w:hAnsi="Cambria Math" w:cs="Arial"/>
        </w:rPr>
        <w:t xml:space="preserve">emoved costs / </w:t>
      </w:r>
      <w:r>
        <w:rPr>
          <w:rFonts w:ascii="Cambria Math" w:hAnsi="Cambria Math" w:cs="Arial"/>
        </w:rPr>
        <w:t>t</w:t>
      </w:r>
      <w:r w:rsidRPr="00DF7079">
        <w:rPr>
          <w:rFonts w:ascii="Cambria Math" w:hAnsi="Cambria Math" w:cs="Arial"/>
        </w:rPr>
        <w:t>otal AR-DRG model costs</w:t>
      </w:r>
    </w:p>
    <w:p w14:paraId="7A766D1A" w14:textId="77777777" w:rsidR="00550102" w:rsidRPr="00DF7079" w:rsidRDefault="00550102" w:rsidP="70C54A85">
      <w:pPr>
        <w:tabs>
          <w:tab w:val="left" w:pos="1162"/>
        </w:tabs>
        <w:spacing w:line="240" w:lineRule="auto"/>
        <w:ind w:right="-28"/>
        <w:rPr>
          <w:rFonts w:cs="Arial"/>
        </w:rPr>
      </w:pPr>
      <w:r w:rsidRPr="70C54A85">
        <w:rPr>
          <w:rFonts w:cs="Arial"/>
        </w:rPr>
        <w:t xml:space="preserve">It should be noted that the AR-DRG model costs referred to in this document exclude the application of any other adjustments. That is, the private patient service adjustment </w:t>
      </w:r>
      <w:r w:rsidRPr="70C54A85">
        <w:rPr>
          <w:rFonts w:cs="Arial"/>
          <w:i/>
          <w:iCs/>
        </w:rPr>
        <w:t>(</w:t>
      </w:r>
      <m:oMath>
        <m:sSub>
          <m:sSubPr>
            <m:ctrlPr>
              <w:rPr>
                <w:rFonts w:ascii="Cambria Math" w:hAnsi="Cambria Math" w:cs="Arial"/>
                <w:sz w:val="18"/>
                <w:szCs w:val="20"/>
              </w:rPr>
            </m:ctrlPr>
          </m:sSubPr>
          <m:e>
            <m:r>
              <m:rPr>
                <m:sty m:val="p"/>
              </m:rPr>
              <w:rPr>
                <w:rFonts w:ascii="Cambria Math" w:hAnsi="Cambria Math" w:cs="Arial"/>
                <w:sz w:val="18"/>
                <w:szCs w:val="20"/>
              </w:rPr>
              <m:t>A</m:t>
            </m:r>
          </m:e>
          <m:sub>
            <m:r>
              <m:rPr>
                <m:sty m:val="p"/>
              </m:rPr>
              <w:rPr>
                <w:rFonts w:ascii="Cambria Math" w:hAnsi="Cambria Math" w:cs="Arial"/>
                <w:sz w:val="18"/>
                <w:szCs w:val="20"/>
              </w:rPr>
              <m:t>PPS</m:t>
            </m:r>
          </m:sub>
        </m:sSub>
      </m:oMath>
      <w:r w:rsidRPr="70C54A85">
        <w:rPr>
          <w:rFonts w:cs="Arial"/>
          <w:i/>
          <w:iCs/>
        </w:rPr>
        <w:t xml:space="preserve">) </w:t>
      </w:r>
      <w:r w:rsidRPr="70C54A85">
        <w:rPr>
          <w:rFonts w:cs="Arial"/>
        </w:rPr>
        <w:t xml:space="preserve">is calculated in such a way that </w:t>
      </w:r>
      <w:r w:rsidR="00640FD5">
        <w:rPr>
          <w:rFonts w:cs="Arial"/>
        </w:rPr>
        <w:t xml:space="preserve">it </w:t>
      </w:r>
      <w:r w:rsidRPr="70C54A85">
        <w:rPr>
          <w:rFonts w:cs="Arial"/>
        </w:rPr>
        <w:t>excludes</w:t>
      </w:r>
      <w:r w:rsidR="00640FD5">
        <w:rPr>
          <w:rFonts w:cs="Arial"/>
        </w:rPr>
        <w:t xml:space="preserve"> any effect on the paediatric, </w:t>
      </w:r>
      <w:r w:rsidRPr="70C54A85">
        <w:rPr>
          <w:rFonts w:cs="Arial"/>
        </w:rPr>
        <w:t>Indigenous, remoteness, and radiotherapy or dialysis adjustments.</w:t>
      </w:r>
    </w:p>
    <w:p w14:paraId="2C4481A5"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 xml:space="preserve">The AR-DRG cost parameters </w:t>
      </w:r>
      <w:r>
        <w:rPr>
          <w:rFonts w:cs="Arial"/>
          <w:szCs w:val="20"/>
        </w:rPr>
        <w:t>are</w:t>
      </w:r>
      <w:r w:rsidRPr="00DF7079">
        <w:rPr>
          <w:rFonts w:cs="Arial"/>
          <w:szCs w:val="20"/>
        </w:rPr>
        <w:t xml:space="preserve"> then uniformly calibrated to ensure cost neutrality of the cost model (including the private patient service adjustment and previously derived adjustments) against actual costs.</w:t>
      </w:r>
    </w:p>
    <w:p w14:paraId="5B2E72E1" w14:textId="77777777" w:rsidR="00550102" w:rsidRPr="00EC1F9C" w:rsidRDefault="00550102" w:rsidP="00550102">
      <w:pPr>
        <w:tabs>
          <w:tab w:val="left" w:pos="1162"/>
        </w:tabs>
        <w:spacing w:line="240" w:lineRule="auto"/>
        <w:ind w:right="-28"/>
        <w:rPr>
          <w:rFonts w:cs="Arial"/>
          <w:b/>
        </w:rPr>
      </w:pPr>
      <w:r w:rsidRPr="6B946504">
        <w:rPr>
          <w:rFonts w:cs="Arial"/>
          <w:b/>
        </w:rPr>
        <w:t>Private patient accommodation adjustment</w:t>
      </w:r>
    </w:p>
    <w:p w14:paraId="1FF9F6B6" w14:textId="07BF03B0" w:rsidR="00550102" w:rsidRPr="00DF7079" w:rsidRDefault="00550102" w:rsidP="70C54A85">
      <w:pPr>
        <w:tabs>
          <w:tab w:val="left" w:pos="1162"/>
        </w:tabs>
        <w:spacing w:after="360" w:line="240" w:lineRule="auto"/>
        <w:ind w:right="-28"/>
        <w:rPr>
          <w:rFonts w:cs="Arial"/>
        </w:rPr>
      </w:pPr>
      <w:r w:rsidRPr="70C54A85">
        <w:rPr>
          <w:rFonts w:cs="Arial"/>
        </w:rPr>
        <w:t xml:space="preserve">In addition to medical and prostheses costs, insurers are also charged for accommodation. A private patient accommodation adjustment </w:t>
      </w:r>
      <w:r w:rsidRPr="00DF7079">
        <w:rPr>
          <w:rFonts w:cs="Arial"/>
        </w:rPr>
        <w:t>(</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Acc</m:t>
            </m:r>
          </m:sub>
        </m:sSub>
      </m:oMath>
      <w:r w:rsidRPr="00DF7079">
        <w:rPr>
          <w:rFonts w:eastAsia="SimSun" w:cs="Arial"/>
        </w:rPr>
        <w:t xml:space="preserve">) </w:t>
      </w:r>
      <w:r w:rsidRPr="70C54A85">
        <w:rPr>
          <w:rFonts w:cs="Arial"/>
        </w:rPr>
        <w:t xml:space="preserve">is applied to account for revenue received in relation to these charges. For the purpose of deriving the adjustment associated with </w:t>
      </w:r>
      <w:r w:rsidR="00FA3219" w:rsidRPr="70C54A85">
        <w:rPr>
          <w:rFonts w:cs="Arial"/>
        </w:rPr>
        <w:t>NEP2</w:t>
      </w:r>
      <w:r w:rsidR="00FA3219">
        <w:rPr>
          <w:rFonts w:cs="Arial"/>
        </w:rPr>
        <w:t>2</w:t>
      </w:r>
      <w:r w:rsidRPr="70C54A85">
        <w:rPr>
          <w:rFonts w:cs="Arial"/>
        </w:rPr>
        <w:t xml:space="preserve">, </w:t>
      </w:r>
      <w:r w:rsidR="00FA3219" w:rsidRPr="70C54A85">
        <w:rPr>
          <w:rFonts w:cs="Arial"/>
        </w:rPr>
        <w:t>202</w:t>
      </w:r>
      <w:r w:rsidR="00FA3219">
        <w:rPr>
          <w:rFonts w:cs="Arial"/>
        </w:rPr>
        <w:t>1</w:t>
      </w:r>
      <w:r w:rsidRPr="70C54A85">
        <w:rPr>
          <w:rFonts w:cs="Arial"/>
        </w:rPr>
        <w:t>–2</w:t>
      </w:r>
      <w:r w:rsidR="00FA3219">
        <w:rPr>
          <w:rFonts w:cs="Arial"/>
        </w:rPr>
        <w:t>2</w:t>
      </w:r>
      <w:r w:rsidRPr="70C54A85">
        <w:rPr>
          <w:rFonts w:cs="Arial"/>
        </w:rPr>
        <w:t xml:space="preserve"> average default benefits for private health insurers by state/territory are indexed forward one year by </w:t>
      </w:r>
      <w:r w:rsidR="3D95B1CE" w:rsidRPr="76ABC984">
        <w:rPr>
          <w:rFonts w:cs="Arial"/>
        </w:rPr>
        <w:t>2.75</w:t>
      </w:r>
      <w:r w:rsidR="00CE50A6" w:rsidRPr="004A03A2">
        <w:rPr>
          <w:rFonts w:cs="Arial"/>
        </w:rPr>
        <w:t xml:space="preserve"> </w:t>
      </w:r>
      <w:r w:rsidRPr="00CE50A6">
        <w:rPr>
          <w:rFonts w:cs="Arial"/>
        </w:rPr>
        <w:t>per cent</w:t>
      </w:r>
      <w:r w:rsidRPr="002D4A0B">
        <w:rPr>
          <w:rFonts w:cs="Arial"/>
        </w:rPr>
        <w:t xml:space="preserve"> (that is, by </w:t>
      </w:r>
      <w:r w:rsidR="19827153" w:rsidRPr="002D4A0B">
        <w:rPr>
          <w:rFonts w:cs="Arial"/>
        </w:rPr>
        <w:t>the Consumer Price Index</w:t>
      </w:r>
      <w:r w:rsidR="00CD7D11" w:rsidRPr="00BE12FE">
        <w:rPr>
          <w:rFonts w:cs="Arial"/>
        </w:rPr>
        <w:t xml:space="preserve"> as required by legislation</w:t>
      </w:r>
      <w:r w:rsidRPr="70C54A85">
        <w:rPr>
          <w:rFonts w:cs="Arial"/>
        </w:rPr>
        <w:t xml:space="preserve">) to </w:t>
      </w:r>
      <w:r w:rsidR="00FA3219" w:rsidRPr="70C54A85">
        <w:rPr>
          <w:rFonts w:cs="Arial"/>
        </w:rPr>
        <w:t>202</w:t>
      </w:r>
      <w:r w:rsidR="00FA3219">
        <w:rPr>
          <w:rFonts w:cs="Arial"/>
        </w:rPr>
        <w:t>2</w:t>
      </w:r>
      <w:r w:rsidR="75D88151" w:rsidRPr="6B946504">
        <w:rPr>
          <w:rFonts w:cs="Arial"/>
        </w:rPr>
        <w:t>–</w:t>
      </w:r>
      <w:r w:rsidR="00FA3219" w:rsidRPr="70C54A85">
        <w:rPr>
          <w:rFonts w:cs="Arial"/>
        </w:rPr>
        <w:t>2</w:t>
      </w:r>
      <w:r w:rsidR="00FA3219">
        <w:rPr>
          <w:rFonts w:cs="Arial"/>
        </w:rPr>
        <w:t>3</w:t>
      </w:r>
      <w:r w:rsidRPr="70C54A85">
        <w:rPr>
          <w:rFonts w:cs="Arial"/>
        </w:rPr>
        <w:t>.</w:t>
      </w:r>
    </w:p>
    <w:p w14:paraId="537A56D8" w14:textId="77777777" w:rsidR="00550102" w:rsidRPr="000A4A79" w:rsidRDefault="00550102" w:rsidP="00755433">
      <w:pPr>
        <w:pStyle w:val="Heading3"/>
      </w:pPr>
      <w:r w:rsidRPr="000A4A79">
        <w:t xml:space="preserve">Funding adjustment for </w:t>
      </w:r>
      <w:r>
        <w:t>HACs</w:t>
      </w:r>
    </w:p>
    <w:p w14:paraId="17627530" w14:textId="77777777" w:rsidR="00550102" w:rsidRPr="00DF7079" w:rsidRDefault="00550102" w:rsidP="00550102">
      <w:pPr>
        <w:spacing w:line="240" w:lineRule="auto"/>
      </w:pPr>
      <w:r w:rsidRPr="00DF7079">
        <w:t xml:space="preserve">The </w:t>
      </w:r>
      <w:r w:rsidR="00CD7D11">
        <w:t>Addendum to the NHRA</w:t>
      </w:r>
      <w:r w:rsidR="00640FD5">
        <w:t xml:space="preserve"> signed i</w:t>
      </w:r>
      <w:r w:rsidR="00CD7D11">
        <w:t>n March</w:t>
      </w:r>
      <w:r w:rsidR="00CD7D11" w:rsidRPr="00DF7079">
        <w:t xml:space="preserve"> 201</w:t>
      </w:r>
      <w:r w:rsidR="00CD7D11">
        <w:t>7</w:t>
      </w:r>
      <w:r w:rsidR="00CD7D11" w:rsidRPr="00DF7079">
        <w:t xml:space="preserve"> </w:t>
      </w:r>
      <w:r w:rsidRPr="00DF7079">
        <w:t xml:space="preserve">required IHPA to develop an approach for funding episodes which have a </w:t>
      </w:r>
      <w:r>
        <w:t>HAC</w:t>
      </w:r>
      <w:r w:rsidR="00CD7D11">
        <w:t xml:space="preserve"> for implementation by 1 July 2018</w:t>
      </w:r>
      <w:r w:rsidRPr="00DF7079">
        <w:t xml:space="preserve">. </w:t>
      </w:r>
      <w:r>
        <w:t>IHPA</w:t>
      </w:r>
      <w:r w:rsidRPr="00DF7079">
        <w:t xml:space="preserve"> developed an </w:t>
      </w:r>
      <w:r>
        <w:t>additional</w:t>
      </w:r>
      <w:r w:rsidRPr="00DF7079">
        <w:t xml:space="preserve"> adjustment</w:t>
      </w:r>
      <w:r>
        <w:t xml:space="preserve"> to account for a HAC episode</w:t>
      </w:r>
      <w:r w:rsidRPr="00DF7079">
        <w:t xml:space="preserve"> included in the calculation of NWAU </w:t>
      </w:r>
      <w:r>
        <w:t>and is</w:t>
      </w:r>
      <w:r w:rsidRPr="00DF7079">
        <w:t xml:space="preserve"> included in</w:t>
      </w:r>
      <w:r>
        <w:t xml:space="preserve"> the</w:t>
      </w:r>
      <w:r w:rsidRPr="00DF7079">
        <w:t xml:space="preserve"> NWAU calculation formula</w:t>
      </w:r>
      <w:r>
        <w:t>,</w:t>
      </w:r>
      <w:r w:rsidRPr="00DF7079">
        <w:t xml:space="preserve"> </w:t>
      </w:r>
      <w:r>
        <w:t>see Section 2.3</w:t>
      </w:r>
      <w:r w:rsidRPr="00DF7079">
        <w:t>.</w:t>
      </w:r>
    </w:p>
    <w:p w14:paraId="37366850" w14:textId="77777777" w:rsidR="00550102" w:rsidRDefault="00550102" w:rsidP="00550102">
      <w:pPr>
        <w:spacing w:line="240" w:lineRule="auto"/>
      </w:pPr>
      <w:r>
        <w:lastRenderedPageBreak/>
        <w:t xml:space="preserve">A detailed explanation of the funding adjustment can be found in the accompanying document </w:t>
      </w:r>
      <w:r w:rsidR="00640FD5">
        <w:t>‘</w:t>
      </w:r>
      <w:r w:rsidRPr="00640FD5">
        <w:t xml:space="preserve">Pricing and </w:t>
      </w:r>
      <w:r w:rsidR="0E9FBE30" w:rsidRPr="00640FD5">
        <w:t>f</w:t>
      </w:r>
      <w:r w:rsidRPr="00640FD5">
        <w:t xml:space="preserve">unding for </w:t>
      </w:r>
      <w:r w:rsidR="0E9FBE30" w:rsidRPr="00640FD5">
        <w:t>s</w:t>
      </w:r>
      <w:r w:rsidRPr="00640FD5">
        <w:t xml:space="preserve">afety and </w:t>
      </w:r>
      <w:r w:rsidR="0E9FBE30" w:rsidRPr="00640FD5">
        <w:t>q</w:t>
      </w:r>
      <w:r w:rsidRPr="00640FD5">
        <w:t xml:space="preserve">uality – Risk </w:t>
      </w:r>
      <w:r w:rsidR="0E9FBE30" w:rsidRPr="00640FD5">
        <w:t>a</w:t>
      </w:r>
      <w:r w:rsidRPr="00640FD5">
        <w:t xml:space="preserve">djustment </w:t>
      </w:r>
      <w:r w:rsidR="0E9FBE30" w:rsidRPr="00640FD5">
        <w:t>m</w:t>
      </w:r>
      <w:r w:rsidRPr="00640FD5">
        <w:t xml:space="preserve">odel for </w:t>
      </w:r>
      <w:r w:rsidR="0E9FBE30" w:rsidRPr="00640FD5">
        <w:t>h</w:t>
      </w:r>
      <w:r w:rsidRPr="00640FD5">
        <w:t xml:space="preserve">ospital </w:t>
      </w:r>
      <w:r w:rsidR="0E9FBE30" w:rsidRPr="00640FD5">
        <w:t>a</w:t>
      </w:r>
      <w:r w:rsidRPr="00640FD5">
        <w:t xml:space="preserve">cquired </w:t>
      </w:r>
      <w:r w:rsidR="0E9FBE30" w:rsidRPr="00640FD5">
        <w:t>c</w:t>
      </w:r>
      <w:r w:rsidRPr="00640FD5">
        <w:t>omplications</w:t>
      </w:r>
      <w:r w:rsidR="00640FD5">
        <w:t>’</w:t>
      </w:r>
      <w:r>
        <w:t xml:space="preserve"> on the IHPA website.</w:t>
      </w:r>
    </w:p>
    <w:p w14:paraId="3D4C8F8B" w14:textId="77777777" w:rsidR="00CD7D11" w:rsidRDefault="00CD7D11" w:rsidP="00755433">
      <w:pPr>
        <w:pStyle w:val="Heading3"/>
      </w:pPr>
      <w:r w:rsidRPr="000A4A79">
        <w:t xml:space="preserve">Funding adjustment for </w:t>
      </w:r>
      <w:r>
        <w:t>avoidable hospital readmissions</w:t>
      </w:r>
    </w:p>
    <w:p w14:paraId="3D2B901A" w14:textId="77777777" w:rsidR="00CD7D11" w:rsidRDefault="00CD7D11" w:rsidP="00CD7D11">
      <w:r>
        <w:t xml:space="preserve">The Addendum to the NHRA signed </w:t>
      </w:r>
      <w:r w:rsidR="00640FD5">
        <w:t xml:space="preserve">in </w:t>
      </w:r>
      <w:r>
        <w:t>May 2020</w:t>
      </w:r>
      <w:r w:rsidR="00640FD5">
        <w:t>,</w:t>
      </w:r>
      <w:r>
        <w:t xml:space="preserve"> required IHPA to develop a funding adjustment for avoidable hospital readmissions, </w:t>
      </w:r>
      <w:r w:rsidR="00640FD5">
        <w:t xml:space="preserve">for </w:t>
      </w:r>
      <w:r>
        <w:t>implement</w:t>
      </w:r>
      <w:r w:rsidR="00640FD5">
        <w:t>ation</w:t>
      </w:r>
      <w:r>
        <w:t xml:space="preserve"> from 1 July 2021. IHPA has developed an adjustment to an episode which results in an avoidable hospital readmission.</w:t>
      </w:r>
    </w:p>
    <w:p w14:paraId="4B440FA9" w14:textId="77777777" w:rsidR="00CD7D11" w:rsidRPr="00117597" w:rsidRDefault="00CD7D11" w:rsidP="00CD7D11">
      <w:r>
        <w:t xml:space="preserve">A detailed explanation of the funding adjustment can be found in the accompanying document </w:t>
      </w:r>
      <w:r w:rsidR="00640FD5">
        <w:t>‘</w:t>
      </w:r>
      <w:r>
        <w:t>Pricing and funding for safety and quality – risk adjustment model for avoidable hospital readmissions</w:t>
      </w:r>
      <w:r w:rsidR="00640FD5">
        <w:t>’</w:t>
      </w:r>
      <w:r>
        <w:t xml:space="preserve"> on the IHPA website.</w:t>
      </w:r>
    </w:p>
    <w:p w14:paraId="296483A5" w14:textId="77777777" w:rsidR="00550102" w:rsidRPr="000A4A79" w:rsidRDefault="00550102" w:rsidP="00755433">
      <w:pPr>
        <w:pStyle w:val="Heading3"/>
      </w:pPr>
      <w:r w:rsidRPr="000A4A79">
        <w:t>Incorporation of outlier samples of cost data</w:t>
      </w:r>
    </w:p>
    <w:p w14:paraId="101B210B"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The development of the cost model to this point is based on the sample of patient-level cost data evaluated as fit for use to develop AR-DRG cost profiles. Thus, the sample of patient-level cost data identified as not fit for use at the AR-DRG level have not been used within the cost model.</w:t>
      </w:r>
    </w:p>
    <w:p w14:paraId="7BCF5D23"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The following process is used to calibrate the cost model against the entire sample of cost data:</w:t>
      </w:r>
    </w:p>
    <w:p w14:paraId="5D35061E" w14:textId="77777777" w:rsidR="00550102" w:rsidRPr="00DF7079" w:rsidRDefault="00550102" w:rsidP="0067139D">
      <w:pPr>
        <w:numPr>
          <w:ilvl w:val="0"/>
          <w:numId w:val="17"/>
        </w:numPr>
        <w:tabs>
          <w:tab w:val="left" w:pos="1162"/>
        </w:tabs>
        <w:spacing w:before="80" w:line="240" w:lineRule="auto"/>
        <w:ind w:left="714" w:right="-28" w:hanging="357"/>
        <w:rPr>
          <w:rFonts w:cs="Arial"/>
          <w:szCs w:val="20"/>
        </w:rPr>
      </w:pPr>
      <w:r w:rsidRPr="00DF7079">
        <w:rPr>
          <w:rFonts w:cs="Arial"/>
          <w:szCs w:val="20"/>
        </w:rPr>
        <w:t xml:space="preserve">The cost model developed to this point, including all adjustments (except the private patient adjustments) is applied to the entire cost data sample. This process results in model costs across the entire sample of cost data. </w:t>
      </w:r>
    </w:p>
    <w:p w14:paraId="56389738" w14:textId="77777777" w:rsidR="00550102" w:rsidRPr="00DF7079" w:rsidRDefault="00550102" w:rsidP="0067139D">
      <w:pPr>
        <w:numPr>
          <w:ilvl w:val="0"/>
          <w:numId w:val="17"/>
        </w:numPr>
        <w:tabs>
          <w:tab w:val="left" w:pos="1162"/>
        </w:tabs>
        <w:spacing w:before="80" w:line="240" w:lineRule="auto"/>
        <w:ind w:left="714" w:right="-28" w:hanging="357"/>
        <w:rPr>
          <w:rFonts w:cs="Arial"/>
          <w:szCs w:val="20"/>
        </w:rPr>
      </w:pPr>
      <w:r w:rsidRPr="00DF7079">
        <w:rPr>
          <w:rFonts w:cs="Arial"/>
          <w:szCs w:val="20"/>
        </w:rPr>
        <w:t>The AR-DRG cost parameters are then uniformly adjusted to ensure the resulting total modelled cost across the entire sample is equalised against the total actual costs of the entire sample.</w:t>
      </w:r>
    </w:p>
    <w:p w14:paraId="540E35E1"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It should be noted again that sample-to-population weights are used throughout all stages in the development of the cost model.</w:t>
      </w:r>
    </w:p>
    <w:p w14:paraId="69ABCE36" w14:textId="2C7F2ED5" w:rsidR="00172CFF" w:rsidRPr="00270214" w:rsidRDefault="00172CFF" w:rsidP="00755433">
      <w:pPr>
        <w:pStyle w:val="Heading3"/>
      </w:pPr>
      <w:bookmarkStart w:id="96" w:name="_Ref56783291"/>
      <w:r w:rsidRPr="00ED2C1A">
        <w:t xml:space="preserve">Account for COVID-19 in the admitted acute </w:t>
      </w:r>
      <w:r w:rsidR="00795629">
        <w:t xml:space="preserve">cost </w:t>
      </w:r>
      <w:r w:rsidRPr="00ED2C1A">
        <w:t>model</w:t>
      </w:r>
    </w:p>
    <w:p w14:paraId="485620ED" w14:textId="563F591D" w:rsidR="00ED2C1A" w:rsidRDefault="00BA66ED" w:rsidP="00ED2C1A">
      <w:r>
        <w:t>The 2019</w:t>
      </w:r>
      <w:r w:rsidR="00A84D5C">
        <w:t>–</w:t>
      </w:r>
      <w:r>
        <w:t xml:space="preserve">20 data used to set the NEP22 includes activity and cost data collected </w:t>
      </w:r>
      <w:r w:rsidR="00CF4C65">
        <w:t xml:space="preserve">at </w:t>
      </w:r>
      <w:r>
        <w:t>the onset of the COVID-19 pandemic.</w:t>
      </w:r>
      <w:r w:rsidR="00B17FD8">
        <w:t xml:space="preserve"> The admitted acute price weights for NEP22</w:t>
      </w:r>
      <w:r w:rsidR="006F02A0">
        <w:t xml:space="preserve"> </w:t>
      </w:r>
      <w:r w:rsidR="00B91CF1">
        <w:t xml:space="preserve">include an adjustment to prospectively account for </w:t>
      </w:r>
      <w:r w:rsidR="009817F2">
        <w:t>the impact of COVID-19</w:t>
      </w:r>
      <w:r w:rsidR="000F1819">
        <w:t>.</w:t>
      </w:r>
    </w:p>
    <w:p w14:paraId="5C968FD3" w14:textId="06D61436" w:rsidR="008D6515" w:rsidRDefault="000F1819" w:rsidP="00ED2C1A">
      <w:r>
        <w:t>Th</w:t>
      </w:r>
      <w:r w:rsidR="007065C7">
        <w:t xml:space="preserve">e </w:t>
      </w:r>
      <w:r w:rsidR="00795629">
        <w:t>2019</w:t>
      </w:r>
      <w:r w:rsidR="00A84D5C">
        <w:t>–</w:t>
      </w:r>
      <w:r w:rsidR="00795629">
        <w:t xml:space="preserve">20 admitted acute cost model </w:t>
      </w:r>
      <w:r w:rsidR="00B75B03">
        <w:t xml:space="preserve">was </w:t>
      </w:r>
      <w:r w:rsidR="00FA0321">
        <w:t xml:space="preserve">adjusted </w:t>
      </w:r>
      <w:r w:rsidR="00B75B03">
        <w:t>in order to calculate the reference cost in three stages:</w:t>
      </w:r>
    </w:p>
    <w:p w14:paraId="74D4DD64" w14:textId="019776A0" w:rsidR="00124F3F" w:rsidRDefault="00B75B03" w:rsidP="004D01E2">
      <w:pPr>
        <w:pStyle w:val="ListParagraph"/>
        <w:numPr>
          <w:ilvl w:val="0"/>
          <w:numId w:val="37"/>
        </w:numPr>
      </w:pPr>
      <w:r>
        <w:t>Calculate</w:t>
      </w:r>
      <w:r w:rsidR="001837C6">
        <w:t xml:space="preserve"> </w:t>
      </w:r>
      <w:r w:rsidR="0067406D">
        <w:t>the expected</w:t>
      </w:r>
      <w:r>
        <w:t xml:space="preserve"> cost in 2019-20</w:t>
      </w:r>
      <w:r w:rsidR="0067406D">
        <w:t>, net of COVID</w:t>
      </w:r>
      <w:r w:rsidR="001B1696">
        <w:t>-19</w:t>
      </w:r>
      <w:r w:rsidR="0067406D">
        <w:t xml:space="preserve"> impact</w:t>
      </w:r>
      <w:r>
        <w:t>.</w:t>
      </w:r>
    </w:p>
    <w:p w14:paraId="2AAE7FD7" w14:textId="6F5F2558" w:rsidR="003A57EA" w:rsidRDefault="00C3075B" w:rsidP="004D01E2">
      <w:pPr>
        <w:pStyle w:val="ListParagraph"/>
        <w:numPr>
          <w:ilvl w:val="0"/>
          <w:numId w:val="37"/>
        </w:numPr>
      </w:pPr>
      <w:r>
        <w:t>Allocate</w:t>
      </w:r>
      <w:r w:rsidR="0056727E">
        <w:t xml:space="preserve"> estimated</w:t>
      </w:r>
      <w:r w:rsidR="00A252D0">
        <w:t xml:space="preserve"> COVID-19 </w:t>
      </w:r>
      <w:r w:rsidR="0056727E">
        <w:t>related-</w:t>
      </w:r>
      <w:r w:rsidR="00A252D0">
        <w:t xml:space="preserve">costs </w:t>
      </w:r>
      <w:r w:rsidR="004271B4">
        <w:t xml:space="preserve">to the March to June 2020 period. </w:t>
      </w:r>
    </w:p>
    <w:p w14:paraId="0C3EC2DD" w14:textId="12E57F91" w:rsidR="00B75B03" w:rsidRDefault="00B75B03" w:rsidP="004D01E2">
      <w:pPr>
        <w:pStyle w:val="ListParagraph"/>
        <w:numPr>
          <w:ilvl w:val="0"/>
          <w:numId w:val="37"/>
        </w:numPr>
      </w:pPr>
      <w:r>
        <w:t>Normalise activity in 2019-20, so it is in line with historical activity levels.</w:t>
      </w:r>
    </w:p>
    <w:p w14:paraId="095BA71C" w14:textId="186B68B7" w:rsidR="00A913DC" w:rsidRDefault="00D33EC6" w:rsidP="004D01E2">
      <w:pPr>
        <w:pStyle w:val="ListParagraph"/>
        <w:numPr>
          <w:ilvl w:val="0"/>
          <w:numId w:val="37"/>
        </w:numPr>
      </w:pPr>
      <w:r>
        <w:t xml:space="preserve">Inflate costs to </w:t>
      </w:r>
      <w:r w:rsidR="00297FC9">
        <w:t>incorporate additional</w:t>
      </w:r>
      <w:r>
        <w:t xml:space="preserve"> variable costs </w:t>
      </w:r>
      <w:r w:rsidR="00297FC9">
        <w:t>for some normalised activity.</w:t>
      </w:r>
    </w:p>
    <w:p w14:paraId="4B11EF3A" w14:textId="2104AAE2" w:rsidR="00B75B03" w:rsidRDefault="00B75B03" w:rsidP="004D01E2">
      <w:pPr>
        <w:pStyle w:val="ListParagraph"/>
        <w:numPr>
          <w:ilvl w:val="0"/>
          <w:numId w:val="37"/>
        </w:numPr>
      </w:pPr>
      <w:r>
        <w:t xml:space="preserve">Inflate cost model to account for additional costs reported, accounting for (a) </w:t>
      </w:r>
      <w:r w:rsidR="00B129DE">
        <w:t xml:space="preserve">to </w:t>
      </w:r>
      <w:r>
        <w:t>(</w:t>
      </w:r>
      <w:r w:rsidR="00B129DE">
        <w:t>d</w:t>
      </w:r>
      <w:r>
        <w:t>).</w:t>
      </w:r>
    </w:p>
    <w:p w14:paraId="24D40FF0" w14:textId="0D3CDA8A" w:rsidR="00FA0321" w:rsidRDefault="00B75B03" w:rsidP="008E2D7D">
      <w:r>
        <w:t xml:space="preserve">For part (a), historical cost models from previous NEP Determinations were applied to 2018-19 activity data, and the expected growth was determined using an exponential regression model, similar to that used for the indexation rate calculation discussed in Section </w:t>
      </w:r>
      <w:r>
        <w:rPr>
          <w:color w:val="2B579A"/>
          <w:shd w:val="clear" w:color="auto" w:fill="E6E6E6"/>
        </w:rPr>
        <w:fldChar w:fldCharType="begin"/>
      </w:r>
      <w:r>
        <w:instrText xml:space="preserve"> REF _Ref89244913 \r \h </w:instrText>
      </w:r>
      <w:r>
        <w:rPr>
          <w:color w:val="2B579A"/>
          <w:shd w:val="clear" w:color="auto" w:fill="E6E6E6"/>
        </w:rPr>
      </w:r>
      <w:r>
        <w:rPr>
          <w:color w:val="2B579A"/>
          <w:shd w:val="clear" w:color="auto" w:fill="E6E6E6"/>
        </w:rPr>
        <w:fldChar w:fldCharType="separate"/>
      </w:r>
      <w:r w:rsidR="003F234C">
        <w:t>7.4</w:t>
      </w:r>
      <w:r>
        <w:rPr>
          <w:color w:val="2B579A"/>
          <w:shd w:val="clear" w:color="auto" w:fill="E6E6E6"/>
        </w:rPr>
        <w:fldChar w:fldCharType="end"/>
      </w:r>
      <w:r>
        <w:t>. This gives an expected growth rate of</w:t>
      </w:r>
      <w:r w:rsidR="008C6A73">
        <w:t xml:space="preserve"> </w:t>
      </w:r>
      <w:r w:rsidR="4179DA23">
        <w:t>2.6</w:t>
      </w:r>
      <w:r w:rsidR="008C6A73">
        <w:t xml:space="preserve"> per cent.</w:t>
      </w:r>
      <w:r w:rsidR="00E06C0F">
        <w:t xml:space="preserve"> This results in a uniform recalibration of the 2019-20 cost model of </w:t>
      </w:r>
      <w:r w:rsidR="22F5B593">
        <w:t>0.951649</w:t>
      </w:r>
      <w:r w:rsidR="00E06C0F">
        <w:t>.</w:t>
      </w:r>
    </w:p>
    <w:p w14:paraId="3E254AD7" w14:textId="22D8D034" w:rsidR="004271B4" w:rsidRDefault="007D129F" w:rsidP="008E2D7D">
      <w:r>
        <w:t xml:space="preserve">In reporting COVID-19 related costs in Round 24 of the NHCDC, some jurisdictions </w:t>
      </w:r>
      <w:r w:rsidR="0056727E">
        <w:t>noted that</w:t>
      </w:r>
      <w:r>
        <w:t xml:space="preserve"> they spread these costs across the full year, rather than allocating them only to the COVID-19 affected period. In</w:t>
      </w:r>
      <w:r w:rsidR="004271B4">
        <w:t xml:space="preserve"> part (b), </w:t>
      </w:r>
      <w:r w:rsidR="0056727E">
        <w:t xml:space="preserve">above, </w:t>
      </w:r>
      <w:r w:rsidR="007B2EF6">
        <w:t xml:space="preserve">these COVID-19 costs in the July 2019 to February 2020 </w:t>
      </w:r>
      <w:r w:rsidR="007B2EF6">
        <w:lastRenderedPageBreak/>
        <w:t>period are estimated</w:t>
      </w:r>
      <w:r w:rsidR="0005099B">
        <w:t xml:space="preserve"> to be approximately $3</w:t>
      </w:r>
      <w:r w:rsidR="009A2B6C">
        <w:t>83 million</w:t>
      </w:r>
      <w:r w:rsidR="007B2EF6">
        <w:t xml:space="preserve"> and reallocated to the March to June 2020 period. </w:t>
      </w:r>
    </w:p>
    <w:p w14:paraId="78AC1E32" w14:textId="079AD583" w:rsidR="008D3D8D" w:rsidRDefault="00B75B03" w:rsidP="008E2D7D">
      <w:r>
        <w:t>For part (</w:t>
      </w:r>
      <w:r w:rsidR="004271B4">
        <w:t>c</w:t>
      </w:r>
      <w:r>
        <w:t xml:space="preserve">), </w:t>
      </w:r>
      <w:r w:rsidR="008C6A73">
        <w:t xml:space="preserve">the </w:t>
      </w:r>
      <w:r>
        <w:t xml:space="preserve">activity from 1 </w:t>
      </w:r>
      <w:r w:rsidR="6AE551B1">
        <w:t xml:space="preserve">March </w:t>
      </w:r>
      <w:r>
        <w:t xml:space="preserve">2020 to 30 June 2020 </w:t>
      </w:r>
      <w:r w:rsidR="00CB5CAE">
        <w:t xml:space="preserve">is </w:t>
      </w:r>
      <w:r>
        <w:t xml:space="preserve">inflated by </w:t>
      </w:r>
      <w:r w:rsidR="0056727E">
        <w:t>a factor of</w:t>
      </w:r>
      <w:r w:rsidR="00B129DE">
        <w:t xml:space="preserve"> </w:t>
      </w:r>
      <w:r w:rsidR="6AE551B1">
        <w:t>1.158</w:t>
      </w:r>
      <w:r>
        <w:t>, effectively adding additional activity to the model. The weight</w:t>
      </w:r>
      <w:r w:rsidR="00E06C0F">
        <w:t xml:space="preserve"> is calculated such that the total national growth in weighted admitted acute activity between 2018-19 and 2019-20 is equal to the </w:t>
      </w:r>
      <w:r w:rsidR="22F5B593">
        <w:t>2.1</w:t>
      </w:r>
      <w:r w:rsidR="00E06C0F">
        <w:t xml:space="preserve"> per cent, which is equal to the growth in activity from 2018-19 to 2019-20 for the period 1 July to </w:t>
      </w:r>
      <w:r w:rsidR="22F5B593">
        <w:t>29 February</w:t>
      </w:r>
      <w:r w:rsidR="00E06C0F">
        <w:t>.</w:t>
      </w:r>
      <w:r w:rsidR="008D3D8D">
        <w:t xml:space="preserve"> This adds </w:t>
      </w:r>
      <w:r w:rsidR="005E2DE8">
        <w:t>approximately 273k GWAU to the</w:t>
      </w:r>
      <w:r w:rsidR="00103167">
        <w:t xml:space="preserve"> model. </w:t>
      </w:r>
    </w:p>
    <w:p w14:paraId="43177935" w14:textId="4B1C6FAD" w:rsidR="005E2DE8" w:rsidRDefault="00103167" w:rsidP="008E2D7D">
      <w:r>
        <w:t xml:space="preserve">Based on </w:t>
      </w:r>
      <w:r w:rsidR="00A00134">
        <w:t xml:space="preserve">the </w:t>
      </w:r>
      <w:r>
        <w:t xml:space="preserve">assumptions listed in the National Efficient Price Determination 2022-23, it is </w:t>
      </w:r>
      <w:r w:rsidR="006049C4">
        <w:t xml:space="preserve">assumed that </w:t>
      </w:r>
      <w:r w:rsidR="008D3D8D">
        <w:t xml:space="preserve">out of 273k of added GWAU, </w:t>
      </w:r>
      <w:r w:rsidR="00371D82">
        <w:t xml:space="preserve">the costs for 221k GWAU are </w:t>
      </w:r>
      <w:r w:rsidR="0056727E">
        <w:t>already accounted for in</w:t>
      </w:r>
      <w:r w:rsidR="00371D82">
        <w:t xml:space="preserve"> the NHCDC due to the National Partnership on COVID-19 Response minimum funding guarantee. </w:t>
      </w:r>
      <w:r w:rsidR="0056727E">
        <w:t>This leaves a further 52k GWAU for which costs should be adjusted</w:t>
      </w:r>
      <w:r w:rsidR="008D3D8D">
        <w:t>.</w:t>
      </w:r>
      <w:r w:rsidR="0056727E">
        <w:t xml:space="preserve"> </w:t>
      </w:r>
      <w:r w:rsidR="00C66652">
        <w:t>In part (d), a</w:t>
      </w:r>
      <w:r w:rsidR="00F400A8">
        <w:t xml:space="preserve">ctual costs </w:t>
      </w:r>
      <w:r w:rsidR="00C66652">
        <w:t xml:space="preserve">are inflated </w:t>
      </w:r>
      <w:r w:rsidR="00747F76">
        <w:t xml:space="preserve">by $50 million </w:t>
      </w:r>
      <w:r w:rsidR="00C66652">
        <w:t xml:space="preserve">to account for variable costs </w:t>
      </w:r>
      <w:r w:rsidR="00F400A8">
        <w:t>for the remaining 52k of normalised GWAU</w:t>
      </w:r>
      <w:r w:rsidR="00747F76">
        <w:t xml:space="preserve">. </w:t>
      </w:r>
      <w:r w:rsidR="008D3D8D">
        <w:t>The variable costs component is based on the non-labour costs</w:t>
      </w:r>
      <w:r w:rsidR="000323A9">
        <w:t xml:space="preserve">, </w:t>
      </w:r>
      <w:r w:rsidR="001F11EE">
        <w:t>such as</w:t>
      </w:r>
      <w:r w:rsidR="000323A9">
        <w:t xml:space="preserve"> the direct </w:t>
      </w:r>
      <w:r w:rsidR="001F11EE">
        <w:t>cost component of pathology, imaging, prostheses, medical and surgical supplies, other goods and services, non-PBS pharmacy and hotel line items in the NHCDC</w:t>
      </w:r>
      <w:r w:rsidR="008D3D8D">
        <w:t xml:space="preserve">. </w:t>
      </w:r>
    </w:p>
    <w:p w14:paraId="3177E584" w14:textId="59EDEEEB" w:rsidR="00A90491" w:rsidRDefault="00630FA5" w:rsidP="00ED2C1A">
      <w:r>
        <w:t>For part (</w:t>
      </w:r>
      <w:r w:rsidR="00732983">
        <w:t>e</w:t>
      </w:r>
      <w:r>
        <w:t xml:space="preserve">), the </w:t>
      </w:r>
      <w:r w:rsidR="00E06C0F">
        <w:t xml:space="preserve">recalibrated </w:t>
      </w:r>
      <w:r w:rsidR="00D92128">
        <w:t>2019</w:t>
      </w:r>
      <w:r w:rsidR="00A84D5C">
        <w:t>–</w:t>
      </w:r>
      <w:r w:rsidR="00D92128">
        <w:t>20 cost model</w:t>
      </w:r>
      <w:r w:rsidR="00E06C0F">
        <w:t xml:space="preserve"> from (a) </w:t>
      </w:r>
      <w:r w:rsidR="001634C8">
        <w:t xml:space="preserve">is applied to </w:t>
      </w:r>
      <w:r w:rsidR="00E06C0F">
        <w:t xml:space="preserve">normalised </w:t>
      </w:r>
      <w:r w:rsidR="00035965">
        <w:t>2019</w:t>
      </w:r>
      <w:r w:rsidR="00A84D5C">
        <w:t>–</w:t>
      </w:r>
      <w:r w:rsidR="00035965">
        <w:t>20</w:t>
      </w:r>
      <w:r w:rsidR="001634C8">
        <w:t xml:space="preserve"> </w:t>
      </w:r>
      <w:r w:rsidR="00E06C0F">
        <w:t>activity from (</w:t>
      </w:r>
      <w:r w:rsidR="00732983">
        <w:t>c</w:t>
      </w:r>
      <w:r w:rsidR="00E06C0F">
        <w:t>)</w:t>
      </w:r>
      <w:r w:rsidR="00FC05CC">
        <w:t xml:space="preserve">, and the difference between actual and expected cost </w:t>
      </w:r>
      <w:r w:rsidR="006A0E6A">
        <w:t xml:space="preserve">(including reallocated costs from (b) and additional variable costs estimated in (d)) </w:t>
      </w:r>
      <w:r w:rsidR="00FC05CC">
        <w:t xml:space="preserve">is attributed to the change in input costs resulting from the COVID-19 pandemic. This results in </w:t>
      </w:r>
      <w:r w:rsidR="00CB2B4F">
        <w:t xml:space="preserve">a </w:t>
      </w:r>
      <w:r w:rsidR="00E06C0F">
        <w:t xml:space="preserve">second </w:t>
      </w:r>
      <w:r w:rsidR="00CB2B4F">
        <w:t xml:space="preserve">uniform calibration factor of </w:t>
      </w:r>
      <w:r w:rsidR="60672C85">
        <w:t>1.001711</w:t>
      </w:r>
      <w:r w:rsidR="00CB2B4F">
        <w:t>.</w:t>
      </w:r>
    </w:p>
    <w:p w14:paraId="1EAAB67B" w14:textId="7B037811" w:rsidR="0010178B" w:rsidRPr="003262FB" w:rsidRDefault="0010178B" w:rsidP="00270214">
      <w:r>
        <w:t xml:space="preserve">In total, the </w:t>
      </w:r>
      <w:r w:rsidR="001845E9">
        <w:t xml:space="preserve">empirical </w:t>
      </w:r>
      <w:r>
        <w:t>2019</w:t>
      </w:r>
      <w:r w:rsidR="00A84D5C">
        <w:t>–</w:t>
      </w:r>
      <w:r>
        <w:t xml:space="preserve">20 cost parameters are </w:t>
      </w:r>
      <w:r w:rsidR="00E06C0F">
        <w:t>re</w:t>
      </w:r>
      <w:r>
        <w:t xml:space="preserve">calibrated by </w:t>
      </w:r>
      <w:r w:rsidR="00E06C0F">
        <w:t xml:space="preserve">a factor of </w:t>
      </w:r>
      <w:r w:rsidR="2BD51F22">
        <w:t>0.953278</w:t>
      </w:r>
      <w:r>
        <w:t xml:space="preserve"> to account</w:t>
      </w:r>
      <w:r w:rsidR="00093CD2">
        <w:t xml:space="preserve"> for both </w:t>
      </w:r>
      <w:r w:rsidR="004649AC">
        <w:t xml:space="preserve">decreased activity reporting and </w:t>
      </w:r>
      <w:r w:rsidR="00E06C0F">
        <w:t xml:space="preserve">an estimated </w:t>
      </w:r>
      <w:r w:rsidR="004649AC">
        <w:t xml:space="preserve">increase in </w:t>
      </w:r>
      <w:r w:rsidR="001845E9">
        <w:t xml:space="preserve">input </w:t>
      </w:r>
      <w:r w:rsidR="001845E9" w:rsidRPr="00B75B03">
        <w:t xml:space="preserve">costs </w:t>
      </w:r>
      <w:r w:rsidR="00E06C0F">
        <w:t xml:space="preserve">that are </w:t>
      </w:r>
      <w:r w:rsidR="001845E9" w:rsidRPr="00B75B03">
        <w:t>expected to be ongoing in 2022</w:t>
      </w:r>
      <w:r w:rsidR="00A84D5C" w:rsidRPr="00B75B03">
        <w:t>–</w:t>
      </w:r>
      <w:r w:rsidR="001845E9" w:rsidRPr="00B75B03">
        <w:t>23</w:t>
      </w:r>
      <w:r w:rsidR="001845E9">
        <w:t>.</w:t>
      </w:r>
    </w:p>
    <w:p w14:paraId="4035E037" w14:textId="55706806" w:rsidR="00550102" w:rsidRPr="00C95688" w:rsidRDefault="00550102" w:rsidP="00755433">
      <w:pPr>
        <w:pStyle w:val="Heading3"/>
      </w:pPr>
      <w:r>
        <w:t>Price weight</w:t>
      </w:r>
      <w:r w:rsidRPr="00C95688">
        <w:t>s and NWAU</w:t>
      </w:r>
      <w:bookmarkEnd w:id="96"/>
    </w:p>
    <w:p w14:paraId="6DE771E6" w14:textId="250223F2"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final step in the process involves the conversion of the </w:t>
      </w:r>
      <w:r w:rsidR="008D037E">
        <w:rPr>
          <w:rFonts w:cs="Arial"/>
          <w:szCs w:val="20"/>
        </w:rPr>
        <w:t>2019</w:t>
      </w:r>
      <w:r>
        <w:rPr>
          <w:rFonts w:cs="Arial"/>
          <w:szCs w:val="20"/>
        </w:rPr>
        <w:t>–</w:t>
      </w:r>
      <w:r w:rsidR="008D037E">
        <w:rPr>
          <w:rFonts w:cs="Arial"/>
          <w:szCs w:val="20"/>
        </w:rPr>
        <w:t>20</w:t>
      </w:r>
      <w:r w:rsidR="008D037E" w:rsidRPr="00DF7079">
        <w:rPr>
          <w:rFonts w:cs="Arial"/>
          <w:szCs w:val="20"/>
        </w:rPr>
        <w:t xml:space="preserve"> </w:t>
      </w:r>
      <w:r w:rsidRPr="00DF7079">
        <w:rPr>
          <w:rFonts w:cs="Arial"/>
          <w:szCs w:val="20"/>
        </w:rPr>
        <w:t>cost model parameters to cost weight values by dividing the cost parameters by a reference cost.</w:t>
      </w:r>
    </w:p>
    <w:p w14:paraId="63096F2D" w14:textId="7637B5D8"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reference cost used was the </w:t>
      </w:r>
      <w:r w:rsidR="008D037E">
        <w:rPr>
          <w:rFonts w:cs="Arial"/>
          <w:szCs w:val="20"/>
        </w:rPr>
        <w:t>2018</w:t>
      </w:r>
      <w:r>
        <w:rPr>
          <w:rFonts w:cs="Arial"/>
          <w:szCs w:val="20"/>
        </w:rPr>
        <w:t>–</w:t>
      </w:r>
      <w:r w:rsidR="008D037E">
        <w:rPr>
          <w:rFonts w:cs="Arial"/>
          <w:szCs w:val="20"/>
        </w:rPr>
        <w:t>19</w:t>
      </w:r>
      <w:r w:rsidR="008D037E" w:rsidRPr="00DF7079">
        <w:rPr>
          <w:rFonts w:cs="Arial"/>
          <w:szCs w:val="20"/>
        </w:rPr>
        <w:t xml:space="preserve"> </w:t>
      </w:r>
      <w:r w:rsidRPr="00DF7079">
        <w:rPr>
          <w:rFonts w:cs="Arial"/>
          <w:szCs w:val="20"/>
        </w:rPr>
        <w:t xml:space="preserve">reference cost indexed one year by the growth rate in the consecutive years’ cost models, where this growth rate is standardised against the </w:t>
      </w:r>
      <w:r w:rsidR="008D037E">
        <w:rPr>
          <w:rFonts w:cs="Arial"/>
          <w:szCs w:val="20"/>
        </w:rPr>
        <w:t>2019</w:t>
      </w:r>
      <w:r>
        <w:rPr>
          <w:rFonts w:cs="Arial"/>
          <w:szCs w:val="20"/>
        </w:rPr>
        <w:t>–</w:t>
      </w:r>
      <w:r w:rsidR="008D037E">
        <w:rPr>
          <w:rFonts w:cs="Arial"/>
          <w:szCs w:val="20"/>
        </w:rPr>
        <w:t>20</w:t>
      </w:r>
      <w:r w:rsidR="008D037E" w:rsidRPr="00DF7079">
        <w:rPr>
          <w:rFonts w:cs="Arial"/>
          <w:szCs w:val="20"/>
        </w:rPr>
        <w:t xml:space="preserve"> </w:t>
      </w:r>
      <w:r w:rsidRPr="00DF7079">
        <w:rPr>
          <w:rFonts w:cs="Arial"/>
          <w:szCs w:val="20"/>
        </w:rPr>
        <w:t xml:space="preserve">activity data. Specifically, the standardised growth rate was derived by applying the </w:t>
      </w:r>
      <w:r w:rsidR="008D037E">
        <w:rPr>
          <w:rFonts w:cs="Arial"/>
          <w:szCs w:val="20"/>
        </w:rPr>
        <w:t>2018</w:t>
      </w:r>
      <w:r>
        <w:rPr>
          <w:rFonts w:cs="Arial"/>
          <w:szCs w:val="20"/>
        </w:rPr>
        <w:t>–</w:t>
      </w:r>
      <w:r w:rsidR="008D037E">
        <w:rPr>
          <w:rFonts w:cs="Arial"/>
          <w:szCs w:val="20"/>
        </w:rPr>
        <w:t>19</w:t>
      </w:r>
      <w:r w:rsidR="008D037E" w:rsidRPr="00DF7079">
        <w:rPr>
          <w:rFonts w:cs="Arial"/>
          <w:szCs w:val="20"/>
        </w:rPr>
        <w:t xml:space="preserve"> </w:t>
      </w:r>
      <w:r w:rsidRPr="00DF7079">
        <w:rPr>
          <w:rFonts w:cs="Arial"/>
          <w:szCs w:val="20"/>
        </w:rPr>
        <w:t xml:space="preserve">and </w:t>
      </w:r>
      <w:r w:rsidR="008D037E">
        <w:rPr>
          <w:rFonts w:cs="Arial"/>
          <w:szCs w:val="20"/>
        </w:rPr>
        <w:t>2019</w:t>
      </w:r>
      <w:r>
        <w:rPr>
          <w:rFonts w:cs="Arial"/>
          <w:szCs w:val="20"/>
        </w:rPr>
        <w:t>–</w:t>
      </w:r>
      <w:r w:rsidR="008D037E">
        <w:rPr>
          <w:rFonts w:cs="Arial"/>
          <w:szCs w:val="20"/>
        </w:rPr>
        <w:t>20</w:t>
      </w:r>
      <w:r w:rsidR="008D037E" w:rsidRPr="00DF7079">
        <w:rPr>
          <w:rFonts w:cs="Arial"/>
          <w:szCs w:val="20"/>
        </w:rPr>
        <w:t xml:space="preserve"> </w:t>
      </w:r>
      <w:r w:rsidRPr="00DF7079">
        <w:rPr>
          <w:rFonts w:cs="Arial"/>
          <w:szCs w:val="20"/>
        </w:rPr>
        <w:t xml:space="preserve">cost models (excluding private patient adjustments) to the </w:t>
      </w:r>
      <w:r w:rsidR="008D037E">
        <w:rPr>
          <w:rFonts w:cs="Arial"/>
          <w:szCs w:val="20"/>
        </w:rPr>
        <w:t>2019</w:t>
      </w:r>
      <w:r>
        <w:rPr>
          <w:rFonts w:cs="Arial"/>
          <w:szCs w:val="20"/>
        </w:rPr>
        <w:t>–</w:t>
      </w:r>
      <w:r w:rsidR="008D037E">
        <w:rPr>
          <w:rFonts w:cs="Arial"/>
          <w:szCs w:val="20"/>
        </w:rPr>
        <w:t>20</w:t>
      </w:r>
      <w:r w:rsidR="008D037E" w:rsidRPr="00DF7079">
        <w:rPr>
          <w:rFonts w:cs="Arial"/>
          <w:szCs w:val="20"/>
        </w:rPr>
        <w:t xml:space="preserve"> </w:t>
      </w:r>
      <w:r w:rsidRPr="00DF7079">
        <w:rPr>
          <w:rFonts w:cs="Arial"/>
          <w:szCs w:val="20"/>
        </w:rPr>
        <w:t xml:space="preserve">activity data, and calculating the change in total modelled costs between the two models. </w:t>
      </w:r>
    </w:p>
    <w:p w14:paraId="7BFAFD77" w14:textId="27F8C960" w:rsidR="00550102" w:rsidRDefault="00550102" w:rsidP="00550102">
      <w:pPr>
        <w:tabs>
          <w:tab w:val="left" w:pos="1162"/>
        </w:tabs>
        <w:spacing w:line="240" w:lineRule="auto"/>
        <w:ind w:right="-28"/>
        <w:rPr>
          <w:rFonts w:eastAsia="Calibri" w:cstheme="minorBidi"/>
        </w:rPr>
      </w:pPr>
      <w:r w:rsidRPr="6B946504">
        <w:rPr>
          <w:rFonts w:cs="Arial"/>
        </w:rPr>
        <w:t xml:space="preserve">For </w:t>
      </w:r>
      <w:r w:rsidR="008D037E" w:rsidRPr="6B946504">
        <w:rPr>
          <w:rFonts w:cs="Arial"/>
        </w:rPr>
        <w:t>NEP2</w:t>
      </w:r>
      <w:r w:rsidR="008D037E">
        <w:rPr>
          <w:rFonts w:cs="Arial"/>
        </w:rPr>
        <w:t>2</w:t>
      </w:r>
      <w:r w:rsidR="00543A0F" w:rsidRPr="6B946504">
        <w:rPr>
          <w:rFonts w:cs="Arial"/>
        </w:rPr>
        <w:t>,</w:t>
      </w:r>
      <w:r w:rsidRPr="6B946504">
        <w:rPr>
          <w:rFonts w:cs="Arial"/>
        </w:rPr>
        <w:t xml:space="preserve"> </w:t>
      </w:r>
      <w:r w:rsidR="00AF4885" w:rsidRPr="6B946504">
        <w:rPr>
          <w:rFonts w:cs="Arial"/>
        </w:rPr>
        <w:t xml:space="preserve">the </w:t>
      </w:r>
      <w:r w:rsidRPr="6B946504">
        <w:rPr>
          <w:rFonts w:cs="Arial"/>
        </w:rPr>
        <w:t xml:space="preserve">standardised growth rate calculation follows the same methodology used to calculate the </w:t>
      </w:r>
      <w:r w:rsidR="008D037E" w:rsidRPr="6B946504">
        <w:rPr>
          <w:rFonts w:cs="Arial"/>
        </w:rPr>
        <w:t>201</w:t>
      </w:r>
      <w:r w:rsidR="008D037E">
        <w:rPr>
          <w:rFonts w:cs="Arial"/>
        </w:rPr>
        <w:t>8</w:t>
      </w:r>
      <w:r w:rsidRPr="6B946504">
        <w:rPr>
          <w:rFonts w:cs="Arial"/>
        </w:rPr>
        <w:t>–</w:t>
      </w:r>
      <w:r w:rsidR="008D037E" w:rsidRPr="6B946504">
        <w:rPr>
          <w:rFonts w:cs="Arial"/>
        </w:rPr>
        <w:t>1</w:t>
      </w:r>
      <w:r w:rsidR="008D037E">
        <w:rPr>
          <w:rFonts w:cs="Arial"/>
        </w:rPr>
        <w:t>9</w:t>
      </w:r>
      <w:r w:rsidR="008D037E" w:rsidRPr="6B946504">
        <w:rPr>
          <w:rFonts w:cs="Arial"/>
        </w:rPr>
        <w:t xml:space="preserve"> </w:t>
      </w:r>
      <w:r w:rsidRPr="6B946504">
        <w:rPr>
          <w:rFonts w:cs="Arial"/>
        </w:rPr>
        <w:t xml:space="preserve">reference cost from the </w:t>
      </w:r>
      <w:r w:rsidR="008D037E" w:rsidRPr="6B946504">
        <w:rPr>
          <w:rFonts w:cs="Arial"/>
        </w:rPr>
        <w:t>201</w:t>
      </w:r>
      <w:r w:rsidR="008D037E">
        <w:rPr>
          <w:rFonts w:cs="Arial"/>
        </w:rPr>
        <w:t>7</w:t>
      </w:r>
      <w:r w:rsidR="266A00AE" w:rsidRPr="6B946504">
        <w:rPr>
          <w:rFonts w:cs="Arial"/>
        </w:rPr>
        <w:t>–</w:t>
      </w:r>
      <w:r w:rsidR="008D037E" w:rsidRPr="6B946504">
        <w:rPr>
          <w:rFonts w:cs="Arial"/>
        </w:rPr>
        <w:t>1</w:t>
      </w:r>
      <w:r w:rsidR="008D037E">
        <w:rPr>
          <w:rFonts w:cs="Arial"/>
        </w:rPr>
        <w:t>8</w:t>
      </w:r>
      <w:r w:rsidR="008D037E" w:rsidRPr="6B946504">
        <w:rPr>
          <w:rFonts w:cs="Arial"/>
        </w:rPr>
        <w:t xml:space="preserve"> </w:t>
      </w:r>
      <w:r w:rsidRPr="6B946504">
        <w:rPr>
          <w:rFonts w:cs="Arial"/>
        </w:rPr>
        <w:t>reference cost.</w:t>
      </w:r>
    </w:p>
    <w:p w14:paraId="66DAC28D"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resulting cost weights are then converted to the </w:t>
      </w:r>
      <w:r>
        <w:rPr>
          <w:rFonts w:cs="Arial"/>
          <w:szCs w:val="20"/>
        </w:rPr>
        <w:t>price weight</w:t>
      </w:r>
      <w:r w:rsidRPr="00DF7079">
        <w:rPr>
          <w:rFonts w:cs="Arial"/>
          <w:szCs w:val="20"/>
        </w:rPr>
        <w:t xml:space="preserve">s that are used to assign NWAU, as explained further </w:t>
      </w:r>
      <w:r w:rsidRPr="00DF7079">
        <w:rPr>
          <w:rFonts w:cs="Arial"/>
        </w:rPr>
        <w:t xml:space="preserve">in </w:t>
      </w:r>
      <w:r w:rsidRPr="00683ADE">
        <w:rPr>
          <w:rFonts w:cs="Arial"/>
        </w:rPr>
        <w:t xml:space="preserve">Section </w:t>
      </w:r>
      <w:r w:rsidRPr="00683ADE">
        <w:rPr>
          <w:rFonts w:cs="Arial"/>
          <w:szCs w:val="20"/>
        </w:rPr>
        <w:t>7.</w:t>
      </w:r>
    </w:p>
    <w:p w14:paraId="71669308" w14:textId="77777777" w:rsidR="00550102" w:rsidRPr="00C95688" w:rsidRDefault="00550102" w:rsidP="00755433">
      <w:pPr>
        <w:pStyle w:val="Heading3"/>
      </w:pPr>
      <w:bookmarkStart w:id="97" w:name="_Ref88053573"/>
      <w:r w:rsidRPr="00C95688">
        <w:t>Stabilisation of acute weights</w:t>
      </w:r>
      <w:bookmarkEnd w:id="97"/>
    </w:p>
    <w:p w14:paraId="072384C2" w14:textId="77777777" w:rsidR="00550102" w:rsidRPr="00DF7079" w:rsidRDefault="00550102" w:rsidP="00550102">
      <w:pPr>
        <w:spacing w:line="240" w:lineRule="auto"/>
        <w:ind w:right="-28"/>
      </w:pPr>
      <w:r w:rsidRPr="00DF7079">
        <w:t xml:space="preserve">The </w:t>
      </w:r>
      <w:r w:rsidRPr="00C10A78">
        <w:t xml:space="preserve">National </w:t>
      </w:r>
      <w:r w:rsidR="00AF4885">
        <w:t>p</w:t>
      </w:r>
      <w:r w:rsidRPr="00C10A78">
        <w:t xml:space="preserve">ricing </w:t>
      </w:r>
      <w:r w:rsidR="00AF4885">
        <w:t>m</w:t>
      </w:r>
      <w:r w:rsidRPr="00C10A78">
        <w:t xml:space="preserve">odel </w:t>
      </w:r>
      <w:r w:rsidR="00AF4885">
        <w:t>s</w:t>
      </w:r>
      <w:r w:rsidRPr="00C10A78">
        <w:t xml:space="preserve">tability </w:t>
      </w:r>
      <w:r w:rsidR="00AF4885">
        <w:t>p</w:t>
      </w:r>
      <w:r w:rsidRPr="00C10A78">
        <w:t>olicy</w:t>
      </w:r>
      <w:r w:rsidRPr="00DF7079">
        <w:t xml:space="preserve"> </w:t>
      </w:r>
      <w:r>
        <w:t xml:space="preserve">(the Stability </w:t>
      </w:r>
      <w:r w:rsidR="00AF4885">
        <w:t>p</w:t>
      </w:r>
      <w:r>
        <w:t xml:space="preserve">olicy) </w:t>
      </w:r>
      <w:r w:rsidRPr="00DF7079">
        <w:t xml:space="preserve">states that inlier </w:t>
      </w:r>
      <w:r>
        <w:t>price weight</w:t>
      </w:r>
      <w:r w:rsidRPr="00DF7079">
        <w:t xml:space="preserve"> movements betw</w:t>
      </w:r>
      <w:r w:rsidR="00640FD5">
        <w:t>een years will be capped to ±20 per cent</w:t>
      </w:r>
      <w:r w:rsidRPr="00DF7079">
        <w:t xml:space="preserve"> for AR-DRGs deemed comparable between years where the impact will be minimal. </w:t>
      </w:r>
    </w:p>
    <w:p w14:paraId="78A8BAD9" w14:textId="77777777" w:rsidR="00550102" w:rsidRDefault="00550102" w:rsidP="00550102">
      <w:pPr>
        <w:spacing w:line="240" w:lineRule="auto"/>
        <w:ind w:right="-28"/>
      </w:pPr>
      <w:r w:rsidRPr="00DF7079">
        <w:t xml:space="preserve">Stabilisation of inlier weights is done simultaneously. An adjustment factor is calculated for each cost parameter so that the associated </w:t>
      </w:r>
      <w:r>
        <w:t>price weight</w:t>
      </w:r>
      <w:r w:rsidR="00640FD5">
        <w:t xml:space="preserve"> is ±20 per cent</w:t>
      </w:r>
      <w:r w:rsidRPr="00DF7079">
        <w:t xml:space="preserve"> of the previous year’s </w:t>
      </w:r>
      <w:r>
        <w:t>price weight</w:t>
      </w:r>
      <w:r w:rsidRPr="00DF7079">
        <w:t xml:space="preserve">. </w:t>
      </w:r>
    </w:p>
    <w:p w14:paraId="7C1515C2" w14:textId="77777777" w:rsidR="00550102" w:rsidRPr="00DF7079" w:rsidRDefault="00550102" w:rsidP="00550102">
      <w:pPr>
        <w:spacing w:line="240" w:lineRule="auto"/>
        <w:ind w:right="-28"/>
      </w:pPr>
      <w:r w:rsidRPr="00DF7079">
        <w:t xml:space="preserve">This adjustment factor is then applied to the same-day, short-stay base, and short-stay outlier per diem weights if they exist. Long-stay outlier per-diem weights are not scaled in this way in order to avoid potential unintended extreme cost ratios for very </w:t>
      </w:r>
      <w:r>
        <w:t>long-stay</w:t>
      </w:r>
      <w:r w:rsidRPr="00DF7079">
        <w:t xml:space="preserve"> outliers. The entire cost </w:t>
      </w:r>
      <w:r w:rsidRPr="00DF7079">
        <w:lastRenderedPageBreak/>
        <w:t>model is then recalibrated to ensure that the total actual costs and the total modelled costs are equal across the entire sample.</w:t>
      </w:r>
    </w:p>
    <w:p w14:paraId="4FF0A84A" w14:textId="77777777" w:rsidR="00550102" w:rsidRPr="00DF7079" w:rsidRDefault="00550102" w:rsidP="00755433">
      <w:pPr>
        <w:pStyle w:val="Heading2"/>
      </w:pPr>
      <w:bookmarkStart w:id="98" w:name="_Toc26278330"/>
      <w:bookmarkStart w:id="99" w:name="_Toc26370508"/>
      <w:bookmarkStart w:id="100" w:name="_Toc65145941"/>
      <w:bookmarkStart w:id="101" w:name="_Toc98882291"/>
      <w:r w:rsidRPr="000A4A79">
        <w:t>Applying</w:t>
      </w:r>
      <w:r w:rsidRPr="00DF7079">
        <w:t xml:space="preserve"> the NEP</w:t>
      </w:r>
      <w:bookmarkEnd w:id="98"/>
      <w:bookmarkEnd w:id="99"/>
      <w:bookmarkEnd w:id="100"/>
      <w:bookmarkEnd w:id="101"/>
    </w:p>
    <w:p w14:paraId="5E74FF9D" w14:textId="77777777" w:rsidR="00550102" w:rsidRPr="00DF7079" w:rsidRDefault="00550102" w:rsidP="00550102">
      <w:pPr>
        <w:tabs>
          <w:tab w:val="left" w:pos="1162"/>
        </w:tabs>
        <w:spacing w:line="240" w:lineRule="auto"/>
        <w:ind w:right="-28"/>
        <w:rPr>
          <w:rFonts w:cs="Arial"/>
          <w:szCs w:val="20"/>
        </w:rPr>
      </w:pPr>
      <w:r>
        <w:rPr>
          <w:rFonts w:cs="Arial"/>
          <w:szCs w:val="20"/>
        </w:rPr>
        <w:t>T</w:t>
      </w:r>
      <w:r w:rsidRPr="00DF7079">
        <w:rPr>
          <w:rFonts w:cs="Arial"/>
          <w:szCs w:val="20"/>
        </w:rPr>
        <w:t xml:space="preserve">he price of an ABF </w:t>
      </w:r>
      <w:r>
        <w:rPr>
          <w:rFonts w:cs="Arial"/>
          <w:szCs w:val="20"/>
        </w:rPr>
        <w:t>a</w:t>
      </w:r>
      <w:r w:rsidRPr="00DF7079">
        <w:rPr>
          <w:rFonts w:cs="Arial"/>
          <w:szCs w:val="20"/>
        </w:rPr>
        <w:t>ctivity is calculated using the following formula, with adjustments applied as applicable:</w:t>
      </w:r>
    </w:p>
    <w:p w14:paraId="2BA17912" w14:textId="77777777" w:rsidR="00550102" w:rsidRPr="00DF7079" w:rsidRDefault="00550102" w:rsidP="00550102">
      <w:pPr>
        <w:tabs>
          <w:tab w:val="left" w:pos="1162"/>
        </w:tabs>
        <w:spacing w:line="240" w:lineRule="auto"/>
        <w:ind w:right="-28"/>
        <w:rPr>
          <w:rFonts w:cs="Arial"/>
          <w:b/>
          <w:szCs w:val="20"/>
        </w:rPr>
      </w:pPr>
      <w:r w:rsidRPr="00DF7079">
        <w:rPr>
          <w:rFonts w:cs="Arial"/>
          <w:b/>
          <w:szCs w:val="20"/>
        </w:rPr>
        <w:t>Price of an admitted acute ABF activity</w:t>
      </w:r>
    </w:p>
    <w:p w14:paraId="6CAE71DE" w14:textId="75B27D0E" w:rsidR="00550102" w:rsidRPr="00DF7079" w:rsidRDefault="00001CB6" w:rsidP="00550102">
      <w:pPr>
        <w:tabs>
          <w:tab w:val="left" w:pos="1162"/>
        </w:tabs>
        <w:spacing w:line="240" w:lineRule="auto"/>
        <w:ind w:right="-28"/>
        <w:rPr>
          <w:rFonts w:cs="Arial"/>
          <w:szCs w:val="20"/>
        </w:rPr>
      </w:pPr>
      <m:oMath>
        <m:r>
          <m:rPr>
            <m:sty m:val="p"/>
          </m:rPr>
          <w:rPr>
            <w:rFonts w:ascii="Cambria Math" w:hAnsi="Cambria Math" w:cs="Arial"/>
            <w:szCs w:val="20"/>
          </w:rPr>
          <m:t>=(</m:t>
        </m:r>
        <m:d>
          <m:dPr>
            <m:begChr m:val="{"/>
            <m:endChr m:val="}"/>
            <m:ctrlPr>
              <w:rPr>
                <w:rFonts w:ascii="Cambria Math" w:hAnsi="Cambria Math" w:cs="Arial"/>
                <w:szCs w:val="20"/>
              </w:rPr>
            </m:ctrlPr>
          </m:dPr>
          <m:e>
            <m:d>
              <m:dPr>
                <m:begChr m:val="["/>
                <m:endChr m:val="]"/>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 xml:space="preserve"> +</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m:rPr>
                            <m:sty m:val="p"/>
                          </m:rPr>
                          <w:rPr>
                            <w:rFonts w:ascii="Cambria Math" w:hAnsi="Cambria Math" w:cs="Arial"/>
                            <w:szCs w:val="20"/>
                          </w:rPr>
                          <m:t>+ 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RT</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Dia</m:t>
                        </m:r>
                      </m:sub>
                    </m:sSub>
                  </m:e>
                </m:d>
                <m:r>
                  <m:rPr>
                    <m:sty m:val="p"/>
                  </m:rPr>
                  <w:rPr>
                    <w:rFonts w:ascii="Cambria Math" w:hAnsi="Cambria Math" w:cs="Arial"/>
                    <w:szCs w:val="20"/>
                  </w:rPr>
                  <m:t xml:space="preserve"> ×</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e>
                </m:d>
                <m:r>
                  <m:rPr>
                    <m:sty m:val="p"/>
                  </m:rPr>
                  <w:rPr>
                    <w:rFonts w:ascii="Cambria Math" w:hAnsi="Cambria Math" w:cs="Arial"/>
                    <w:szCs w:val="20"/>
                  </w:rPr>
                  <m:t>+</m:t>
                </m:r>
                <m:d>
                  <m:dPr>
                    <m:ctrlPr>
                      <w:rPr>
                        <w:rFonts w:ascii="Cambria Math" w:hAnsi="Cambria Math" w:cs="Arial"/>
                        <w:szCs w:val="20"/>
                      </w:rPr>
                    </m:ctrlPr>
                  </m:dPr>
                  <m:e>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ICU</m:t>
                        </m:r>
                      </m:sub>
                    </m:sSub>
                    <m:r>
                      <m:rPr>
                        <m:sty m:val="p"/>
                      </m:rPr>
                      <w:rPr>
                        <w:rFonts w:ascii="Cambria Math" w:hAnsi="Cambria Math" w:cs="Arial"/>
                        <w:szCs w:val="20"/>
                      </w:rPr>
                      <m:t>×ICU hours</m:t>
                    </m:r>
                  </m:e>
                </m:d>
              </m:e>
            </m:d>
            <m:r>
              <m:rPr>
                <m:sty m:val="p"/>
              </m:rPr>
              <w:rPr>
                <w:rFonts w:ascii="Cambria Math" w:hAnsi="Cambria Math" w:cs="Arial"/>
                <w:szCs w:val="20"/>
              </w:rPr>
              <m:t>-</m:t>
            </m:r>
            <m:d>
              <m:dPr>
                <m:begChr m:val="["/>
                <m:endChr m:val="]"/>
                <m:ctrlPr>
                  <w:rPr>
                    <w:rFonts w:ascii="Cambria Math" w:hAnsi="Cambria Math" w:cs="Arial"/>
                    <w:szCs w:val="20"/>
                  </w:rPr>
                </m:ctrlPr>
              </m:dPr>
              <m:e>
                <m:d>
                  <m:dPr>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ICU</m:t>
                        </m:r>
                      </m:sub>
                    </m:sSub>
                    <m:r>
                      <m:rPr>
                        <m:sty m:val="p"/>
                      </m:rPr>
                      <w:rPr>
                        <w:rFonts w:ascii="Cambria Math" w:hAnsi="Cambria Math" w:cs="Arial"/>
                        <w:szCs w:val="20"/>
                      </w:rPr>
                      <m:t>×ICU hours</m:t>
                    </m:r>
                  </m:e>
                </m:d>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e>
            </m:d>
          </m:e>
        </m:d>
        <m:r>
          <m:rPr>
            <m:sty m:val="p"/>
          </m:rPr>
          <w:rPr>
            <w:rFonts w:ascii="Cambria Math" w:hAnsi="Cambria Math" w:cs="Arial"/>
            <w:szCs w:val="20"/>
          </w:rPr>
          <m:t>-PW ×</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 xml:space="preserve">HAC </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PW</m:t>
            </m:r>
          </m:e>
          <m:sub>
            <m:r>
              <m:rPr>
                <m:sty m:val="p"/>
              </m:rPr>
              <w:rPr>
                <w:rFonts w:ascii="Cambria Math" w:hAnsi="Cambria Math" w:cs="Arial"/>
                <w:szCs w:val="20"/>
              </w:rPr>
              <m:t xml:space="preserve">AHR </m:t>
            </m:r>
          </m:sub>
        </m:sSub>
        <m:r>
          <m:rPr>
            <m:sty m:val="p"/>
          </m:rPr>
          <w:rPr>
            <w:rFonts w:ascii="Cambria Math" w:hAnsi="Cambria Math" w:cs="Arial"/>
            <w:szCs w:val="20"/>
          </w:rPr>
          <m:t xml:space="preserve"> ×</m:t>
        </m:r>
        <m:sSub>
          <m:sSubPr>
            <m:ctrlPr>
              <w:rPr>
                <w:rFonts w:ascii="Cambria Math" w:hAnsi="Cambria Math" w:cs="Arial"/>
                <w:szCs w:val="20"/>
              </w:rPr>
            </m:ctrlPr>
          </m:sSubPr>
          <m:e>
            <m:r>
              <m:rPr>
                <m:sty m:val="p"/>
              </m:rPr>
              <w:rPr>
                <w:rFonts w:ascii="Cambria Math" w:hAnsi="Cambria Math" w:cs="Arial"/>
                <w:szCs w:val="20"/>
              </w:rPr>
              <m:t>R</m:t>
            </m:r>
          </m:e>
          <m:sub>
            <m:r>
              <m:rPr>
                <m:sty m:val="p"/>
              </m:rPr>
              <w:rPr>
                <w:rFonts w:ascii="Cambria Math" w:hAnsi="Cambria Math" w:cs="Arial"/>
                <w:szCs w:val="20"/>
              </w:rPr>
              <m:t xml:space="preserve">AHR </m:t>
            </m:r>
          </m:sub>
        </m:sSub>
        <m:r>
          <m:rPr>
            <m:sty m:val="p"/>
          </m:rPr>
          <w:rPr>
            <w:rFonts w:ascii="Cambria Math" w:hAnsi="Cambria Math" w:cs="Arial"/>
            <w:szCs w:val="20"/>
          </w:rPr>
          <m:t xml:space="preserve">)×NEP </m:t>
        </m:r>
      </m:oMath>
      <w:r w:rsidR="00550102" w:rsidRPr="76ABC984">
        <w:rPr>
          <w:rFonts w:cs="Arial"/>
        </w:rPr>
        <w:t xml:space="preserve"> </w:t>
      </w:r>
    </w:p>
    <w:p w14:paraId="7B5332AD" w14:textId="77777777" w:rsidR="00550102" w:rsidRPr="00DF7079" w:rsidRDefault="00550102" w:rsidP="00550102">
      <w:pPr>
        <w:spacing w:before="240" w:line="240" w:lineRule="auto"/>
        <w:rPr>
          <w:rFonts w:cs="Arial"/>
        </w:rPr>
      </w:pPr>
      <w:r w:rsidRPr="00DF7079">
        <w:rPr>
          <w:rFonts w:cs="Arial"/>
        </w:rPr>
        <w:t>Where:</w:t>
      </w:r>
      <w:r w:rsidRPr="00DF7079">
        <w:rPr>
          <w:rFonts w:cs="Arial"/>
          <w:noProof/>
        </w:rPr>
        <w:t xml:space="preserve"> </w:t>
      </w:r>
    </w:p>
    <w:p w14:paraId="41CC1FBE" w14:textId="77777777" w:rsidR="00550102"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Paed</w:t>
      </w:r>
      <w:r w:rsidRPr="00DF7079">
        <w:rPr>
          <w:rFonts w:cs="Arial"/>
          <w:vertAlign w:val="subscript"/>
        </w:rPr>
        <w:tab/>
      </w:r>
      <w:r w:rsidRPr="00DF7079">
        <w:rPr>
          <w:rFonts w:cs="Arial"/>
        </w:rPr>
        <w:t xml:space="preserve">means the </w:t>
      </w:r>
      <w:r>
        <w:rPr>
          <w:rFonts w:cs="Arial"/>
        </w:rPr>
        <w:t>p</w:t>
      </w:r>
      <w:r w:rsidRPr="00EC1F9C">
        <w:rPr>
          <w:rFonts w:cs="Arial"/>
        </w:rPr>
        <w:t xml:space="preserve">aediatric </w:t>
      </w:r>
      <w:r>
        <w:rPr>
          <w:rFonts w:cs="Arial"/>
        </w:rPr>
        <w:t>a</w:t>
      </w:r>
      <w:r w:rsidRPr="00EC1F9C">
        <w:rPr>
          <w:rFonts w:cs="Arial"/>
        </w:rPr>
        <w:t>djustment</w:t>
      </w:r>
    </w:p>
    <w:p w14:paraId="17B51A45" w14:textId="77777777" w:rsidR="00550102" w:rsidRPr="00DF7079" w:rsidRDefault="00550102" w:rsidP="00550102">
      <w:pPr>
        <w:spacing w:after="180" w:line="240" w:lineRule="auto"/>
        <w:ind w:left="1985" w:hanging="1985"/>
        <w:rPr>
          <w:rFonts w:cs="Arial"/>
          <w:i/>
        </w:rPr>
      </w:pPr>
      <w:r w:rsidRPr="00DF7079">
        <w:rPr>
          <w:rFonts w:cs="Arial"/>
          <w:b/>
        </w:rPr>
        <w:t>A</w:t>
      </w:r>
      <w:r w:rsidRPr="00DF7079">
        <w:rPr>
          <w:rFonts w:cs="Arial"/>
          <w:b/>
          <w:vertAlign w:val="subscript"/>
        </w:rPr>
        <w:t>Res</w:t>
      </w:r>
      <w:r w:rsidRPr="00DF7079">
        <w:rPr>
          <w:rFonts w:cs="Arial"/>
          <w:vertAlign w:val="subscript"/>
        </w:rPr>
        <w:tab/>
      </w:r>
      <w:r w:rsidRPr="00DF7079">
        <w:rPr>
          <w:rFonts w:cs="Arial"/>
        </w:rPr>
        <w:t xml:space="preserve">means each or any </w:t>
      </w:r>
      <w:r>
        <w:rPr>
          <w:rFonts w:cs="Arial"/>
        </w:rPr>
        <w:t>p</w:t>
      </w:r>
      <w:r w:rsidRPr="00EC1F9C">
        <w:rPr>
          <w:rFonts w:cs="Arial"/>
        </w:rPr>
        <w:t xml:space="preserve">atient </w:t>
      </w:r>
      <w:r>
        <w:rPr>
          <w:rFonts w:cs="Arial"/>
        </w:rPr>
        <w:t>r</w:t>
      </w:r>
      <w:r w:rsidRPr="00EC1F9C">
        <w:rPr>
          <w:rFonts w:cs="Arial"/>
        </w:rPr>
        <w:t>esidential</w:t>
      </w:r>
      <w:r w:rsidRPr="00C90C14">
        <w:rPr>
          <w:rFonts w:cs="Arial"/>
        </w:rPr>
        <w:t xml:space="preserve"> </w:t>
      </w:r>
      <w:r>
        <w:rPr>
          <w:rFonts w:cs="Arial"/>
        </w:rPr>
        <w:t>r</w:t>
      </w:r>
      <w:r w:rsidRPr="00EC1F9C">
        <w:rPr>
          <w:rFonts w:cs="Arial"/>
        </w:rPr>
        <w:t>emoteness</w:t>
      </w:r>
      <w:r w:rsidRPr="00C90C14">
        <w:rPr>
          <w:rFonts w:cs="Arial"/>
        </w:rPr>
        <w:t xml:space="preserve"> </w:t>
      </w:r>
      <w:r>
        <w:rPr>
          <w:rFonts w:cs="Arial"/>
        </w:rPr>
        <w:t>a</w:t>
      </w:r>
      <w:r w:rsidRPr="00EC1F9C">
        <w:rPr>
          <w:rFonts w:cs="Arial"/>
        </w:rPr>
        <w:t xml:space="preserve">rea </w:t>
      </w:r>
      <w:r>
        <w:rPr>
          <w:rFonts w:cs="Arial"/>
        </w:rPr>
        <w:t>a</w:t>
      </w:r>
      <w:r w:rsidRPr="00EC1F9C">
        <w:rPr>
          <w:rFonts w:cs="Arial"/>
        </w:rPr>
        <w:t>djustment</w:t>
      </w:r>
    </w:p>
    <w:p w14:paraId="19BD9845" w14:textId="77777777" w:rsidR="00550102" w:rsidRPr="00DF7079" w:rsidRDefault="00550102" w:rsidP="00550102">
      <w:pPr>
        <w:spacing w:after="180" w:line="240" w:lineRule="auto"/>
        <w:ind w:left="1985" w:hanging="1985"/>
        <w:rPr>
          <w:rFonts w:cs="Arial"/>
          <w:b/>
        </w:rPr>
      </w:pPr>
      <w:r w:rsidRPr="00DF7079">
        <w:rPr>
          <w:rFonts w:cs="Arial"/>
          <w:b/>
        </w:rPr>
        <w:t>A</w:t>
      </w:r>
      <w:r w:rsidRPr="00DF7079">
        <w:rPr>
          <w:rFonts w:cs="Arial"/>
          <w:b/>
          <w:vertAlign w:val="subscript"/>
        </w:rPr>
        <w:t>Ind</w:t>
      </w:r>
      <w:r w:rsidRPr="00DF7079">
        <w:rPr>
          <w:rFonts w:cs="Arial"/>
          <w:vertAlign w:val="subscript"/>
        </w:rPr>
        <w:tab/>
      </w:r>
      <w:r w:rsidRPr="00DF7079">
        <w:rPr>
          <w:rFonts w:cs="Arial"/>
        </w:rPr>
        <w:t xml:space="preserve">means the </w:t>
      </w:r>
      <w:r w:rsidR="004571AD">
        <w:rPr>
          <w:rFonts w:cs="Arial"/>
        </w:rPr>
        <w:t>I</w:t>
      </w:r>
      <w:r w:rsidRPr="00EC1F9C">
        <w:rPr>
          <w:rFonts w:cs="Arial"/>
        </w:rPr>
        <w:t xml:space="preserve">ndigenous </w:t>
      </w:r>
      <w:r>
        <w:rPr>
          <w:rFonts w:cs="Arial"/>
        </w:rPr>
        <w:t>a</w:t>
      </w:r>
      <w:r w:rsidRPr="00EC1F9C">
        <w:rPr>
          <w:rFonts w:cs="Arial"/>
        </w:rPr>
        <w:t>djustment</w:t>
      </w:r>
    </w:p>
    <w:p w14:paraId="19874252" w14:textId="77777777" w:rsidR="00550102" w:rsidRPr="00DF7079" w:rsidRDefault="00550102" w:rsidP="00550102">
      <w:pPr>
        <w:spacing w:after="180" w:line="240" w:lineRule="auto"/>
        <w:ind w:left="1985" w:hanging="1985"/>
        <w:rPr>
          <w:rFonts w:cs="Arial"/>
          <w:i/>
        </w:rPr>
      </w:pPr>
      <w:r w:rsidRPr="00DF7079">
        <w:rPr>
          <w:rFonts w:cs="Arial"/>
          <w:b/>
        </w:rPr>
        <w:t>A</w:t>
      </w:r>
      <w:r w:rsidRPr="00DF7079">
        <w:rPr>
          <w:rFonts w:cs="Arial"/>
          <w:b/>
          <w:vertAlign w:val="subscript"/>
        </w:rPr>
        <w:t>RT</w:t>
      </w:r>
      <w:r w:rsidRPr="00DF7079">
        <w:rPr>
          <w:rFonts w:cs="Arial"/>
          <w:vertAlign w:val="subscript"/>
        </w:rPr>
        <w:tab/>
      </w:r>
      <w:r w:rsidRPr="00DF7079">
        <w:rPr>
          <w:rFonts w:cs="Arial"/>
        </w:rPr>
        <w:t xml:space="preserve">means the </w:t>
      </w:r>
      <w:r>
        <w:rPr>
          <w:rFonts w:cs="Arial"/>
        </w:rPr>
        <w:t>r</w:t>
      </w:r>
      <w:r w:rsidRPr="00EC1F9C">
        <w:rPr>
          <w:rFonts w:cs="Arial"/>
        </w:rPr>
        <w:t xml:space="preserve">adiotherapy </w:t>
      </w:r>
      <w:r>
        <w:rPr>
          <w:rFonts w:cs="Arial"/>
        </w:rPr>
        <w:t>a</w:t>
      </w:r>
      <w:r w:rsidRPr="00EC1F9C">
        <w:rPr>
          <w:rFonts w:cs="Arial"/>
        </w:rPr>
        <w:t>djustment</w:t>
      </w:r>
    </w:p>
    <w:p w14:paraId="7508008E" w14:textId="77777777" w:rsidR="00550102" w:rsidRPr="00DF7079" w:rsidRDefault="00550102" w:rsidP="00550102">
      <w:pPr>
        <w:spacing w:after="180" w:line="240" w:lineRule="auto"/>
        <w:ind w:left="1985" w:hanging="1985"/>
        <w:rPr>
          <w:rFonts w:cs="Arial"/>
          <w:i/>
        </w:rPr>
      </w:pPr>
      <w:r w:rsidRPr="00DF7079">
        <w:rPr>
          <w:rFonts w:cs="Arial"/>
          <w:b/>
        </w:rPr>
        <w:t>A</w:t>
      </w:r>
      <w:r w:rsidRPr="00DF7079">
        <w:rPr>
          <w:rFonts w:cs="Arial"/>
          <w:b/>
          <w:vertAlign w:val="subscript"/>
        </w:rPr>
        <w:t>Dia</w:t>
      </w:r>
      <w:r w:rsidRPr="00DF7079">
        <w:rPr>
          <w:rFonts w:cs="Arial"/>
          <w:b/>
        </w:rPr>
        <w:tab/>
      </w:r>
      <w:r w:rsidRPr="00DF7079">
        <w:rPr>
          <w:rFonts w:cs="Arial"/>
        </w:rPr>
        <w:t xml:space="preserve">means the </w:t>
      </w:r>
      <w:r>
        <w:rPr>
          <w:rFonts w:cs="Arial"/>
        </w:rPr>
        <w:t>d</w:t>
      </w:r>
      <w:r w:rsidRPr="00EC1F9C">
        <w:rPr>
          <w:rFonts w:cs="Arial"/>
        </w:rPr>
        <w:t xml:space="preserve">ialysis </w:t>
      </w:r>
      <w:r>
        <w:rPr>
          <w:rFonts w:cs="Arial"/>
        </w:rPr>
        <w:t>a</w:t>
      </w:r>
      <w:r w:rsidRPr="00EC1F9C">
        <w:rPr>
          <w:rFonts w:cs="Arial"/>
        </w:rPr>
        <w:t>djustment</w:t>
      </w:r>
    </w:p>
    <w:p w14:paraId="4F0A2D57" w14:textId="77777777" w:rsidR="00550102" w:rsidRPr="00DF7079" w:rsidRDefault="00550102" w:rsidP="00550102">
      <w:pPr>
        <w:spacing w:after="180" w:line="240" w:lineRule="auto"/>
        <w:ind w:left="1985" w:hanging="1985"/>
        <w:rPr>
          <w:rFonts w:cs="Arial"/>
          <w:i/>
        </w:rPr>
      </w:pPr>
      <w:r w:rsidRPr="00DF7079">
        <w:rPr>
          <w:rFonts w:cs="Arial"/>
          <w:b/>
        </w:rPr>
        <w:t>A</w:t>
      </w:r>
      <w:r w:rsidRPr="00DF7079">
        <w:rPr>
          <w:rFonts w:cs="Arial"/>
          <w:b/>
          <w:vertAlign w:val="subscript"/>
        </w:rPr>
        <w:t>Treat</w:t>
      </w:r>
      <w:r w:rsidRPr="00DF7079">
        <w:rPr>
          <w:rFonts w:cs="Arial"/>
          <w:b/>
        </w:rPr>
        <w:tab/>
      </w:r>
      <w:r w:rsidRPr="00DF7079">
        <w:rPr>
          <w:rFonts w:cs="Arial"/>
        </w:rPr>
        <w:t xml:space="preserve">means </w:t>
      </w:r>
      <w:r w:rsidR="002D0BAB">
        <w:rPr>
          <w:rFonts w:cs="Arial"/>
        </w:rPr>
        <w:t>each or any</w:t>
      </w:r>
      <w:r w:rsidRPr="00DF7079">
        <w:rPr>
          <w:rFonts w:cs="Arial"/>
        </w:rPr>
        <w:t xml:space="preserve"> </w:t>
      </w:r>
      <w:r>
        <w:rPr>
          <w:rFonts w:cs="Arial"/>
        </w:rPr>
        <w:t>p</w:t>
      </w:r>
      <w:r w:rsidRPr="00EC1F9C">
        <w:rPr>
          <w:rFonts w:cs="Arial"/>
        </w:rPr>
        <w:t xml:space="preserve">atient </w:t>
      </w:r>
      <w:r>
        <w:rPr>
          <w:rFonts w:cs="Arial"/>
        </w:rPr>
        <w:t>t</w:t>
      </w:r>
      <w:r w:rsidRPr="00EC1F9C">
        <w:rPr>
          <w:rFonts w:cs="Arial"/>
        </w:rPr>
        <w:t xml:space="preserve">reatment </w:t>
      </w:r>
      <w:r>
        <w:rPr>
          <w:rFonts w:cs="Arial"/>
        </w:rPr>
        <w:t>r</w:t>
      </w:r>
      <w:r w:rsidRPr="00EC1F9C">
        <w:rPr>
          <w:rFonts w:cs="Arial"/>
        </w:rPr>
        <w:t xml:space="preserve">emoteness </w:t>
      </w:r>
      <w:r>
        <w:rPr>
          <w:rFonts w:cs="Arial"/>
        </w:rPr>
        <w:t>a</w:t>
      </w:r>
      <w:r w:rsidRPr="00EC1F9C">
        <w:rPr>
          <w:rFonts w:cs="Arial"/>
        </w:rPr>
        <w:t xml:space="preserve">rea </w:t>
      </w:r>
      <w:r>
        <w:rPr>
          <w:rFonts w:cs="Arial"/>
        </w:rPr>
        <w:t>a</w:t>
      </w:r>
      <w:r w:rsidRPr="00EC1F9C">
        <w:rPr>
          <w:rFonts w:cs="Arial"/>
        </w:rPr>
        <w:t>djustment</w:t>
      </w:r>
    </w:p>
    <w:p w14:paraId="547A2FDB" w14:textId="77777777" w:rsidR="00550102" w:rsidRPr="00DF7079"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ICU</w:t>
      </w:r>
      <w:r w:rsidRPr="00DF7079">
        <w:rPr>
          <w:rFonts w:cs="Arial"/>
          <w:b/>
          <w:vertAlign w:val="subscript"/>
        </w:rPr>
        <w:tab/>
      </w:r>
      <w:r w:rsidRPr="00DF7079">
        <w:rPr>
          <w:rFonts w:cs="Arial"/>
        </w:rPr>
        <w:t xml:space="preserve">means the </w:t>
      </w:r>
      <w:r>
        <w:rPr>
          <w:rFonts w:cs="Arial"/>
        </w:rPr>
        <w:t>i</w:t>
      </w:r>
      <w:r w:rsidRPr="00EC1F9C">
        <w:rPr>
          <w:rFonts w:cs="Arial"/>
        </w:rPr>
        <w:t xml:space="preserve">ntensive </w:t>
      </w:r>
      <w:r>
        <w:rPr>
          <w:rFonts w:cs="Arial"/>
        </w:rPr>
        <w:t>c</w:t>
      </w:r>
      <w:r w:rsidRPr="00EC1F9C">
        <w:rPr>
          <w:rFonts w:cs="Arial"/>
        </w:rPr>
        <w:t xml:space="preserve">are </w:t>
      </w:r>
      <w:r>
        <w:rPr>
          <w:rFonts w:cs="Arial"/>
        </w:rPr>
        <w:t>u</w:t>
      </w:r>
      <w:r w:rsidRPr="00EC1F9C">
        <w:rPr>
          <w:rFonts w:cs="Arial"/>
        </w:rPr>
        <w:t xml:space="preserve">nit (ICU) </w:t>
      </w:r>
      <w:r>
        <w:rPr>
          <w:rFonts w:cs="Arial"/>
        </w:rPr>
        <w:t>a</w:t>
      </w:r>
      <w:r w:rsidRPr="00EC1F9C">
        <w:rPr>
          <w:rFonts w:cs="Arial"/>
        </w:rPr>
        <w:t>djustment</w:t>
      </w:r>
    </w:p>
    <w:p w14:paraId="6E8AC8CF" w14:textId="77777777" w:rsidR="00550102" w:rsidRPr="00DF7079"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PPS</w:t>
      </w:r>
      <w:r w:rsidRPr="00DF7079">
        <w:rPr>
          <w:rFonts w:cs="Arial"/>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s</w:t>
      </w:r>
      <w:r w:rsidRPr="00EC1F9C">
        <w:rPr>
          <w:rFonts w:cs="Arial"/>
        </w:rPr>
        <w:t xml:space="preserve">ervice </w:t>
      </w:r>
      <w:r>
        <w:rPr>
          <w:rFonts w:cs="Arial"/>
        </w:rPr>
        <w:t>a</w:t>
      </w:r>
      <w:r w:rsidRPr="00EC1F9C">
        <w:rPr>
          <w:rFonts w:cs="Arial"/>
        </w:rPr>
        <w:t>djustment</w:t>
      </w:r>
    </w:p>
    <w:p w14:paraId="5D46AEC0" w14:textId="77777777" w:rsidR="00550102" w:rsidRPr="00DF7079"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Acc</w:t>
      </w:r>
      <w:r w:rsidRPr="00DF7079">
        <w:rPr>
          <w:rFonts w:cs="Arial"/>
          <w:b/>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a</w:t>
      </w:r>
      <w:r w:rsidRPr="00EC1F9C">
        <w:rPr>
          <w:rFonts w:cs="Arial"/>
        </w:rPr>
        <w:t xml:space="preserve">ccommodation </w:t>
      </w:r>
      <w:r>
        <w:rPr>
          <w:rFonts w:cs="Arial"/>
        </w:rPr>
        <w:t>a</w:t>
      </w:r>
      <w:r w:rsidRPr="00EC1F9C">
        <w:rPr>
          <w:rFonts w:cs="Arial"/>
        </w:rPr>
        <w:t>djustment</w:t>
      </w:r>
      <w:r w:rsidRPr="00DF7079">
        <w:rPr>
          <w:rFonts w:cs="Arial"/>
          <w:i/>
        </w:rPr>
        <w:t xml:space="preserve"> </w:t>
      </w:r>
      <w:r w:rsidRPr="00DF7079">
        <w:rPr>
          <w:rFonts w:cs="Arial"/>
        </w:rPr>
        <w:t>applicable to the state of hospitalisation and length of stay</w:t>
      </w:r>
    </w:p>
    <w:p w14:paraId="7BAAD7D5" w14:textId="77777777" w:rsidR="00550102"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HAC</w:t>
      </w:r>
      <w:r w:rsidRPr="00DF7079">
        <w:rPr>
          <w:rFonts w:cs="Arial"/>
          <w:b/>
          <w:vertAlign w:val="subscript"/>
        </w:rPr>
        <w:tab/>
      </w:r>
      <w:r w:rsidRPr="00DF7079">
        <w:rPr>
          <w:rFonts w:cs="Arial"/>
        </w:rPr>
        <w:t xml:space="preserve">means the </w:t>
      </w:r>
      <w:r>
        <w:rPr>
          <w:rFonts w:cs="Arial"/>
        </w:rPr>
        <w:t>h</w:t>
      </w:r>
      <w:r w:rsidRPr="00EC1F9C">
        <w:rPr>
          <w:rFonts w:cs="Arial"/>
        </w:rPr>
        <w:t xml:space="preserve">ospital </w:t>
      </w:r>
      <w:r>
        <w:rPr>
          <w:rFonts w:cs="Arial"/>
        </w:rPr>
        <w:t>a</w:t>
      </w:r>
      <w:r w:rsidRPr="00EC1F9C">
        <w:rPr>
          <w:rFonts w:cs="Arial"/>
        </w:rPr>
        <w:t xml:space="preserve">cquired </w:t>
      </w:r>
      <w:r>
        <w:rPr>
          <w:rFonts w:cs="Arial"/>
        </w:rPr>
        <w:t>c</w:t>
      </w:r>
      <w:r w:rsidRPr="00EC1F9C">
        <w:rPr>
          <w:rFonts w:cs="Arial"/>
        </w:rPr>
        <w:t xml:space="preserve">omplications </w:t>
      </w:r>
      <w:r>
        <w:rPr>
          <w:rFonts w:cs="Arial"/>
        </w:rPr>
        <w:t>a</w:t>
      </w:r>
      <w:r w:rsidRPr="00EC1F9C">
        <w:rPr>
          <w:rFonts w:cs="Arial"/>
        </w:rPr>
        <w:t>djustment</w:t>
      </w:r>
    </w:p>
    <w:p w14:paraId="64270FA5" w14:textId="77777777" w:rsidR="003564DD" w:rsidRPr="00DF7079" w:rsidRDefault="003564DD" w:rsidP="003564DD">
      <w:pPr>
        <w:spacing w:after="180" w:line="240" w:lineRule="auto"/>
        <w:ind w:left="1985" w:hanging="1985"/>
        <w:rPr>
          <w:rFonts w:cs="Arial"/>
          <w:i/>
        </w:rPr>
      </w:pPr>
      <w:r>
        <w:rPr>
          <w:rFonts w:cs="Arial"/>
          <w:b/>
        </w:rPr>
        <w:t>R</w:t>
      </w:r>
      <w:r>
        <w:rPr>
          <w:rFonts w:cs="Arial"/>
          <w:b/>
          <w:vertAlign w:val="subscript"/>
        </w:rPr>
        <w:t>AHR</w:t>
      </w:r>
      <w:r w:rsidRPr="00DF7079">
        <w:rPr>
          <w:rFonts w:cs="Arial"/>
          <w:b/>
          <w:vertAlign w:val="subscript"/>
        </w:rPr>
        <w:tab/>
      </w:r>
      <w:r w:rsidRPr="00DF7079">
        <w:rPr>
          <w:rFonts w:cs="Arial"/>
        </w:rPr>
        <w:t xml:space="preserve">means the </w:t>
      </w:r>
      <w:r>
        <w:rPr>
          <w:rFonts w:cs="Arial"/>
        </w:rPr>
        <w:t>avoidable hospital readmission risk adjustment factor</w:t>
      </w:r>
    </w:p>
    <w:p w14:paraId="49902427" w14:textId="77777777" w:rsidR="00550102" w:rsidRPr="00DF7079" w:rsidRDefault="00550102" w:rsidP="00550102">
      <w:pPr>
        <w:spacing w:after="180" w:line="240" w:lineRule="auto"/>
        <w:ind w:left="1985" w:hanging="1985"/>
        <w:rPr>
          <w:rFonts w:cs="Arial"/>
          <w:i/>
        </w:rPr>
      </w:pPr>
      <w:r w:rsidRPr="00DF7079">
        <w:rPr>
          <w:rFonts w:cs="Arial"/>
          <w:b/>
        </w:rPr>
        <w:t>ICU hours</w:t>
      </w:r>
      <w:r w:rsidRPr="00DF7079">
        <w:rPr>
          <w:rFonts w:cs="Arial"/>
        </w:rPr>
        <w:tab/>
        <w:t xml:space="preserve">means the number of hours spent by a person within a </w:t>
      </w:r>
      <w:r>
        <w:rPr>
          <w:rFonts w:cs="Arial"/>
        </w:rPr>
        <w:t>s</w:t>
      </w:r>
      <w:r w:rsidRPr="00EC1F9C">
        <w:rPr>
          <w:rFonts w:cs="Arial"/>
        </w:rPr>
        <w:t>pecified ICU</w:t>
      </w:r>
    </w:p>
    <w:p w14:paraId="39C7C5A2" w14:textId="77777777" w:rsidR="00550102" w:rsidRPr="00DF7079" w:rsidRDefault="00550102" w:rsidP="00550102">
      <w:pPr>
        <w:spacing w:after="180" w:line="240" w:lineRule="auto"/>
        <w:ind w:left="1985" w:hanging="1985"/>
        <w:rPr>
          <w:rFonts w:cs="Arial"/>
          <w:i/>
        </w:rPr>
      </w:pPr>
      <w:r w:rsidRPr="00DF7079">
        <w:rPr>
          <w:rFonts w:cs="Arial"/>
          <w:b/>
        </w:rPr>
        <w:t>LOS</w:t>
      </w:r>
      <w:r w:rsidRPr="00DF7079">
        <w:rPr>
          <w:rFonts w:cs="Arial"/>
        </w:rPr>
        <w:tab/>
        <w:t>means length of stay in hospital (in days)</w:t>
      </w:r>
    </w:p>
    <w:p w14:paraId="3FF5AD0C" w14:textId="19836F45" w:rsidR="00550102" w:rsidRPr="00DF7079" w:rsidRDefault="00550102" w:rsidP="00550102">
      <w:pPr>
        <w:spacing w:after="180" w:line="240" w:lineRule="auto"/>
        <w:ind w:left="1985" w:hanging="1985"/>
        <w:rPr>
          <w:rFonts w:cs="Arial"/>
        </w:rPr>
      </w:pPr>
      <w:r w:rsidRPr="00DF7079">
        <w:rPr>
          <w:rFonts w:cs="Arial"/>
          <w:b/>
        </w:rPr>
        <w:t>NEP</w:t>
      </w:r>
      <w:r w:rsidRPr="00DF7079">
        <w:rPr>
          <w:rFonts w:cs="Arial"/>
        </w:rPr>
        <w:tab/>
      </w:r>
      <w:r w:rsidR="002D0BAB">
        <w:rPr>
          <w:rFonts w:cs="Arial"/>
        </w:rPr>
        <w:t>means N</w:t>
      </w:r>
      <w:r w:rsidRPr="00DF7079">
        <w:rPr>
          <w:rFonts w:cs="Arial"/>
        </w:rPr>
        <w:t xml:space="preserve">ational </w:t>
      </w:r>
      <w:r w:rsidR="002D0BAB">
        <w:rPr>
          <w:rFonts w:cs="Arial"/>
        </w:rPr>
        <w:t>E</w:t>
      </w:r>
      <w:r w:rsidRPr="00DF7079">
        <w:rPr>
          <w:rFonts w:cs="Arial"/>
        </w:rPr>
        <w:t xml:space="preserve">fficient </w:t>
      </w:r>
      <w:r w:rsidR="002D0BAB">
        <w:rPr>
          <w:rFonts w:cs="Arial"/>
        </w:rPr>
        <w:t>P</w:t>
      </w:r>
      <w:r w:rsidRPr="00DF7079">
        <w:rPr>
          <w:rFonts w:cs="Arial"/>
        </w:rPr>
        <w:t xml:space="preserve">rice </w:t>
      </w:r>
      <w:r w:rsidR="000F2A4C">
        <w:rPr>
          <w:rFonts w:cs="Arial"/>
        </w:rPr>
        <w:t>2022</w:t>
      </w:r>
      <w:r>
        <w:rPr>
          <w:rFonts w:cs="Arial"/>
        </w:rPr>
        <w:t>–</w:t>
      </w:r>
      <w:r w:rsidR="000F2A4C">
        <w:rPr>
          <w:rFonts w:cs="Arial"/>
        </w:rPr>
        <w:t>23</w:t>
      </w:r>
    </w:p>
    <w:p w14:paraId="4EFC6CFE" w14:textId="1D890D79" w:rsidR="00550102" w:rsidRDefault="00550102" w:rsidP="00550102">
      <w:pPr>
        <w:spacing w:after="0" w:line="240" w:lineRule="auto"/>
        <w:ind w:left="1985" w:hanging="1985"/>
        <w:rPr>
          <w:rFonts w:cs="Arial"/>
        </w:rPr>
      </w:pPr>
      <w:r w:rsidRPr="00DF7079">
        <w:rPr>
          <w:rFonts w:cs="Arial"/>
          <w:b/>
        </w:rPr>
        <w:t>PW</w:t>
      </w:r>
      <w:r w:rsidRPr="00DF7079">
        <w:rPr>
          <w:rFonts w:cs="Arial"/>
          <w:b/>
        </w:rPr>
        <w:tab/>
      </w:r>
      <w:r w:rsidR="002D0BAB" w:rsidRPr="002D0BAB">
        <w:rPr>
          <w:rFonts w:cs="Arial"/>
        </w:rPr>
        <w:t xml:space="preserve">means the </w:t>
      </w:r>
      <w:r>
        <w:rPr>
          <w:rFonts w:cs="Arial"/>
        </w:rPr>
        <w:t>p</w:t>
      </w:r>
      <w:r w:rsidRPr="00DF7079">
        <w:rPr>
          <w:rFonts w:cs="Arial"/>
        </w:rPr>
        <w:t xml:space="preserve">rice </w:t>
      </w:r>
      <w:r>
        <w:rPr>
          <w:rFonts w:cs="Arial"/>
        </w:rPr>
        <w:t>w</w:t>
      </w:r>
      <w:r w:rsidRPr="00DF7079">
        <w:rPr>
          <w:rFonts w:cs="Arial"/>
        </w:rPr>
        <w:t xml:space="preserve">eight for an ABF activity as set out at </w:t>
      </w:r>
      <w:r w:rsidRPr="00EC1F9C">
        <w:rPr>
          <w:rFonts w:cs="Arial"/>
          <w:b/>
        </w:rPr>
        <w:t>Appendix H</w:t>
      </w:r>
      <w:r w:rsidRPr="00DF7079">
        <w:rPr>
          <w:rFonts w:cs="Arial"/>
        </w:rPr>
        <w:t xml:space="preserve"> of the </w:t>
      </w:r>
      <w:r w:rsidRPr="00C10A78">
        <w:rPr>
          <w:rFonts w:cs="Arial"/>
        </w:rPr>
        <w:t xml:space="preserve">National Efficient Price Determination </w:t>
      </w:r>
      <w:r w:rsidR="000F2A4C" w:rsidRPr="00C10A78">
        <w:rPr>
          <w:rFonts w:cs="Arial"/>
        </w:rPr>
        <w:t>202</w:t>
      </w:r>
      <w:r w:rsidR="000F2A4C">
        <w:rPr>
          <w:rFonts w:cs="Arial"/>
        </w:rPr>
        <w:t>2</w:t>
      </w:r>
      <w:r w:rsidRPr="00C10A78">
        <w:rPr>
          <w:rFonts w:cs="Arial"/>
        </w:rPr>
        <w:t>–</w:t>
      </w:r>
      <w:r w:rsidR="000F2A4C" w:rsidRPr="00C10A78">
        <w:rPr>
          <w:rFonts w:cs="Arial"/>
        </w:rPr>
        <w:t>2</w:t>
      </w:r>
      <w:r w:rsidR="000F2A4C">
        <w:rPr>
          <w:rFonts w:cs="Arial"/>
        </w:rPr>
        <w:t>3</w:t>
      </w:r>
    </w:p>
    <w:p w14:paraId="44EE18A0" w14:textId="77777777" w:rsidR="003564DD" w:rsidRPr="00C10A78" w:rsidRDefault="003564DD" w:rsidP="003564DD">
      <w:pPr>
        <w:spacing w:after="0" w:line="240" w:lineRule="auto"/>
        <w:ind w:left="1985" w:hanging="1985"/>
        <w:rPr>
          <w:rFonts w:cs="Arial"/>
          <w:b/>
        </w:rPr>
      </w:pPr>
      <w:r w:rsidRPr="00DF7079">
        <w:rPr>
          <w:rFonts w:cs="Arial"/>
          <w:b/>
        </w:rPr>
        <w:t>PW</w:t>
      </w:r>
      <w:r>
        <w:rPr>
          <w:rFonts w:cs="Arial"/>
          <w:b/>
          <w:vertAlign w:val="subscript"/>
        </w:rPr>
        <w:t>AHR</w:t>
      </w:r>
      <w:r w:rsidRPr="00DF7079">
        <w:rPr>
          <w:rFonts w:cs="Arial"/>
          <w:b/>
        </w:rPr>
        <w:tab/>
      </w:r>
      <w:r>
        <w:rPr>
          <w:rFonts w:cs="Arial"/>
        </w:rPr>
        <w:t>p</w:t>
      </w:r>
      <w:r w:rsidRPr="00DF7079">
        <w:rPr>
          <w:rFonts w:cs="Arial"/>
        </w:rPr>
        <w:t xml:space="preserve">rice </w:t>
      </w:r>
      <w:r>
        <w:rPr>
          <w:rFonts w:cs="Arial"/>
        </w:rPr>
        <w:t>w</w:t>
      </w:r>
      <w:r w:rsidRPr="00DF7079">
        <w:rPr>
          <w:rFonts w:cs="Arial"/>
        </w:rPr>
        <w:t xml:space="preserve">eight for an ABF activity </w:t>
      </w:r>
      <w:r>
        <w:rPr>
          <w:rFonts w:cs="Arial"/>
        </w:rPr>
        <w:t>of a linked avoidable hospital readmission</w:t>
      </w:r>
      <w:r w:rsidR="00B61EEE">
        <w:rPr>
          <w:rFonts w:cs="Arial"/>
        </w:rPr>
        <w:t>.</w:t>
      </w:r>
      <w:r>
        <w:rPr>
          <w:rFonts w:cs="Arial"/>
        </w:rPr>
        <w:t xml:space="preserve"> </w:t>
      </w:r>
    </w:p>
    <w:p w14:paraId="7D338F7B" w14:textId="596476E4" w:rsidR="00550102" w:rsidRPr="00DF7079" w:rsidRDefault="00550102" w:rsidP="00550102">
      <w:pPr>
        <w:tabs>
          <w:tab w:val="left" w:pos="1162"/>
        </w:tabs>
        <w:autoSpaceDE w:val="0"/>
        <w:autoSpaceDN w:val="0"/>
        <w:adjustRightInd w:val="0"/>
        <w:spacing w:before="240" w:line="240" w:lineRule="auto"/>
        <w:ind w:right="-28"/>
        <w:rPr>
          <w:rFonts w:cs="Arial"/>
          <w:szCs w:val="20"/>
        </w:rPr>
      </w:pPr>
      <w:r w:rsidRPr="00DF7079">
        <w:rPr>
          <w:rFonts w:cs="Arial"/>
          <w:szCs w:val="20"/>
        </w:rPr>
        <w:t>In the event that the application of the private patient adjustments return a negative NWAU(</w:t>
      </w:r>
      <w:r w:rsidR="00900EFB">
        <w:rPr>
          <w:rFonts w:cs="Arial"/>
          <w:szCs w:val="20"/>
        </w:rPr>
        <w:t>22</w:t>
      </w:r>
      <w:r w:rsidRPr="00DF7079">
        <w:rPr>
          <w:rFonts w:cs="Arial"/>
          <w:szCs w:val="20"/>
        </w:rPr>
        <w:t xml:space="preserve">) value for </w:t>
      </w:r>
      <w:r>
        <w:rPr>
          <w:rFonts w:cs="Arial"/>
          <w:szCs w:val="20"/>
        </w:rPr>
        <w:t>a particular patient, the NWAU(</w:t>
      </w:r>
      <w:r w:rsidR="00900EFB">
        <w:rPr>
          <w:rFonts w:cs="Arial"/>
          <w:szCs w:val="20"/>
        </w:rPr>
        <w:t>22</w:t>
      </w:r>
      <w:r>
        <w:rPr>
          <w:rFonts w:cs="Arial"/>
          <w:szCs w:val="20"/>
        </w:rPr>
        <w:t>)</w:t>
      </w:r>
      <w:r w:rsidRPr="00DF7079">
        <w:rPr>
          <w:rFonts w:cs="Arial"/>
          <w:szCs w:val="20"/>
        </w:rPr>
        <w:t xml:space="preserve"> value is held to be zero; that is, negative NWAU(</w:t>
      </w:r>
      <w:r w:rsidR="00900EFB">
        <w:rPr>
          <w:rFonts w:cs="Arial"/>
          <w:szCs w:val="20"/>
        </w:rPr>
        <w:t>22</w:t>
      </w:r>
      <w:r w:rsidRPr="00DF7079">
        <w:rPr>
          <w:rFonts w:cs="Arial"/>
          <w:szCs w:val="20"/>
        </w:rPr>
        <w:t xml:space="preserve">) values are not permitted for any patients under the </w:t>
      </w:r>
      <w:r w:rsidR="00A542E0">
        <w:rPr>
          <w:rFonts w:cs="Arial"/>
          <w:szCs w:val="20"/>
        </w:rPr>
        <w:t>n</w:t>
      </w:r>
      <w:r w:rsidR="00A542E0" w:rsidRPr="00DF7079">
        <w:rPr>
          <w:rFonts w:cs="Arial"/>
          <w:szCs w:val="20"/>
        </w:rPr>
        <w:t xml:space="preserve">ational </w:t>
      </w:r>
      <w:r w:rsidR="00A542E0">
        <w:rPr>
          <w:rFonts w:cs="Arial"/>
          <w:szCs w:val="20"/>
        </w:rPr>
        <w:t>p</w:t>
      </w:r>
      <w:r w:rsidR="00A542E0" w:rsidRPr="00DF7079">
        <w:rPr>
          <w:rFonts w:cs="Arial"/>
          <w:szCs w:val="20"/>
        </w:rPr>
        <w:t>ricing model</w:t>
      </w:r>
      <w:r w:rsidRPr="00DF7079">
        <w:rPr>
          <w:rFonts w:cs="Arial"/>
          <w:szCs w:val="20"/>
        </w:rPr>
        <w:t>.</w:t>
      </w:r>
    </w:p>
    <w:p w14:paraId="3E146E53" w14:textId="77777777" w:rsidR="00550102" w:rsidRDefault="00550102" w:rsidP="00F57FA6">
      <w:pPr>
        <w:tabs>
          <w:tab w:val="left" w:pos="1162"/>
        </w:tabs>
        <w:autoSpaceDE w:val="0"/>
        <w:autoSpaceDN w:val="0"/>
        <w:adjustRightInd w:val="0"/>
        <w:spacing w:before="240" w:line="240" w:lineRule="auto"/>
        <w:ind w:right="-28"/>
      </w:pPr>
      <w:r>
        <w:rPr>
          <w:rFonts w:cs="Arial"/>
          <w:szCs w:val="20"/>
        </w:rPr>
        <w:t>Table 2 and Table 3 outline</w:t>
      </w:r>
      <w:r w:rsidRPr="00DF7079">
        <w:rPr>
          <w:rFonts w:cs="Arial"/>
          <w:szCs w:val="20"/>
        </w:rPr>
        <w:t xml:space="preserve"> the information </w:t>
      </w:r>
      <w:r>
        <w:rPr>
          <w:rFonts w:cs="Arial"/>
          <w:szCs w:val="20"/>
        </w:rPr>
        <w:t xml:space="preserve">required </w:t>
      </w:r>
      <w:r w:rsidRPr="00DF7079">
        <w:rPr>
          <w:rFonts w:cs="Arial"/>
          <w:szCs w:val="20"/>
        </w:rPr>
        <w:t xml:space="preserve">to apply the above formula. </w:t>
      </w:r>
    </w:p>
    <w:p w14:paraId="30D93DBF" w14:textId="77777777" w:rsidR="00550102" w:rsidRPr="00DF7079" w:rsidRDefault="00550102" w:rsidP="00836FC5">
      <w:pPr>
        <w:pStyle w:val="TableHeading"/>
      </w:pPr>
      <w:r w:rsidRPr="00DF7079">
        <w:lastRenderedPageBreak/>
        <w:t xml:space="preserve">Table </w:t>
      </w:r>
      <w:r>
        <w:rPr>
          <w:noProof/>
        </w:rPr>
        <w:t>2</w:t>
      </w:r>
      <w:r w:rsidRPr="00DF7079">
        <w:t>: Dataset and tables required for assignment of NWAU to admitted acute patient data</w:t>
      </w:r>
    </w:p>
    <w:tbl>
      <w:tblPr>
        <w:tblW w:w="0" w:type="auto"/>
        <w:tblInd w:w="8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Caption w:val="Table 3: Dataset and tables required for assignment of NWAU to admitted acute patient data."/>
        <w:tblDescription w:val="A summary of table 4 is outlined in the text prior to this table."/>
      </w:tblPr>
      <w:tblGrid>
        <w:gridCol w:w="2606"/>
        <w:gridCol w:w="6411"/>
      </w:tblGrid>
      <w:tr w:rsidR="00550102" w:rsidRPr="00DF7079" w14:paraId="47D2857A" w14:textId="77777777" w:rsidTr="00550102">
        <w:trPr>
          <w:cantSplit/>
          <w:tblHeader/>
        </w:trPr>
        <w:tc>
          <w:tcPr>
            <w:tcW w:w="2606" w:type="dxa"/>
            <w:shd w:val="clear" w:color="auto" w:fill="288A32"/>
          </w:tcPr>
          <w:p w14:paraId="192288D4" w14:textId="77777777" w:rsidR="00550102" w:rsidRPr="003A708C" w:rsidRDefault="00550102" w:rsidP="003A708C">
            <w:pPr>
              <w:tabs>
                <w:tab w:val="left" w:pos="1162"/>
              </w:tabs>
              <w:spacing w:line="240" w:lineRule="auto"/>
              <w:ind w:right="-28"/>
              <w:rPr>
                <w:rFonts w:cs="Arial"/>
                <w:b/>
                <w:color w:val="FFFFFF"/>
                <w:sz w:val="20"/>
                <w:szCs w:val="20"/>
              </w:rPr>
            </w:pPr>
            <w:r w:rsidRPr="003A708C">
              <w:rPr>
                <w:rFonts w:cs="Arial"/>
                <w:b/>
                <w:color w:val="FFFFFF"/>
                <w:sz w:val="20"/>
                <w:szCs w:val="20"/>
              </w:rPr>
              <w:t>Input dataset or table</w:t>
            </w:r>
          </w:p>
        </w:tc>
        <w:tc>
          <w:tcPr>
            <w:tcW w:w="6411" w:type="dxa"/>
            <w:shd w:val="clear" w:color="auto" w:fill="288A32"/>
          </w:tcPr>
          <w:p w14:paraId="5CE7E895" w14:textId="77777777" w:rsidR="00550102" w:rsidRPr="003A708C" w:rsidRDefault="00550102" w:rsidP="003A708C">
            <w:pPr>
              <w:tabs>
                <w:tab w:val="left" w:pos="1162"/>
              </w:tabs>
              <w:spacing w:line="240" w:lineRule="auto"/>
              <w:ind w:right="-28"/>
              <w:rPr>
                <w:rFonts w:cs="Arial"/>
                <w:b/>
                <w:color w:val="FFFFFF"/>
                <w:sz w:val="20"/>
                <w:szCs w:val="20"/>
              </w:rPr>
            </w:pPr>
            <w:r w:rsidRPr="003A708C">
              <w:rPr>
                <w:rFonts w:cs="Arial"/>
                <w:b/>
                <w:color w:val="FFFFFF"/>
                <w:sz w:val="20"/>
                <w:szCs w:val="20"/>
              </w:rPr>
              <w:t>Description</w:t>
            </w:r>
          </w:p>
        </w:tc>
      </w:tr>
      <w:tr w:rsidR="00550102" w:rsidRPr="00DF7079" w14:paraId="2F90236B" w14:textId="77777777" w:rsidTr="00550102">
        <w:trPr>
          <w:cantSplit/>
        </w:trPr>
        <w:tc>
          <w:tcPr>
            <w:tcW w:w="2606" w:type="dxa"/>
          </w:tcPr>
          <w:p w14:paraId="725781FE"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 xml:space="preserve">APC NMDS </w:t>
            </w:r>
          </w:p>
        </w:tc>
        <w:tc>
          <w:tcPr>
            <w:tcW w:w="6411" w:type="dxa"/>
          </w:tcPr>
          <w:p w14:paraId="2222E3F6" w14:textId="319A39F0"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 xml:space="preserve">Dataset based on the </w:t>
            </w:r>
            <w:r w:rsidR="00900EFB" w:rsidRPr="003A708C">
              <w:rPr>
                <w:rFonts w:cs="Arial"/>
                <w:sz w:val="20"/>
                <w:szCs w:val="20"/>
              </w:rPr>
              <w:t>201</w:t>
            </w:r>
            <w:r w:rsidR="00900EFB">
              <w:rPr>
                <w:rFonts w:cs="Arial"/>
                <w:sz w:val="20"/>
                <w:szCs w:val="20"/>
              </w:rPr>
              <w:t>9</w:t>
            </w:r>
            <w:r w:rsidRPr="003A708C">
              <w:rPr>
                <w:rFonts w:cs="Arial"/>
                <w:sz w:val="20"/>
                <w:szCs w:val="20"/>
              </w:rPr>
              <w:t>–</w:t>
            </w:r>
            <w:r w:rsidR="00900EFB">
              <w:rPr>
                <w:rFonts w:cs="Arial"/>
                <w:sz w:val="20"/>
                <w:szCs w:val="20"/>
              </w:rPr>
              <w:t>20</w:t>
            </w:r>
            <w:r w:rsidR="00900EFB" w:rsidRPr="003A708C">
              <w:rPr>
                <w:rFonts w:cs="Arial"/>
                <w:sz w:val="20"/>
                <w:szCs w:val="20"/>
              </w:rPr>
              <w:t xml:space="preserve"> </w:t>
            </w:r>
            <w:r w:rsidRPr="003A708C">
              <w:rPr>
                <w:rFonts w:cs="Arial"/>
                <w:sz w:val="20"/>
                <w:szCs w:val="20"/>
              </w:rPr>
              <w:t>Admitted Patient Care National Minimum Data Set (APC NMDS).</w:t>
            </w:r>
          </w:p>
        </w:tc>
      </w:tr>
      <w:tr w:rsidR="00550102" w:rsidRPr="00DF7079" w14:paraId="1ED96D70" w14:textId="77777777" w:rsidTr="00550102">
        <w:trPr>
          <w:cantSplit/>
        </w:trPr>
        <w:tc>
          <w:tcPr>
            <w:tcW w:w="2606" w:type="dxa"/>
          </w:tcPr>
          <w:p w14:paraId="47AB8B8C"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ICU Rate and Paediatric Adjustment eligibility table</w:t>
            </w:r>
          </w:p>
        </w:tc>
        <w:tc>
          <w:tcPr>
            <w:tcW w:w="6411" w:type="dxa"/>
          </w:tcPr>
          <w:p w14:paraId="1B15653C" w14:textId="0C80744F"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 xml:space="preserve">Table listing establishments with an eligible ICU or PICU, found in the National Efficient Price Determination </w:t>
            </w:r>
            <w:r w:rsidR="00900EFB" w:rsidRPr="003A708C">
              <w:rPr>
                <w:rFonts w:cs="Arial"/>
                <w:sz w:val="20"/>
                <w:szCs w:val="20"/>
              </w:rPr>
              <w:t>202</w:t>
            </w:r>
            <w:r w:rsidR="00900EFB">
              <w:rPr>
                <w:rFonts w:cs="Arial"/>
                <w:sz w:val="20"/>
                <w:szCs w:val="20"/>
              </w:rPr>
              <w:t>2</w:t>
            </w:r>
            <w:r w:rsidRPr="003A708C">
              <w:rPr>
                <w:rFonts w:cs="Arial"/>
                <w:sz w:val="20"/>
                <w:szCs w:val="20"/>
              </w:rPr>
              <w:t>–</w:t>
            </w:r>
            <w:r w:rsidR="00900EFB" w:rsidRPr="003A708C">
              <w:rPr>
                <w:rFonts w:cs="Arial"/>
                <w:sz w:val="20"/>
                <w:szCs w:val="20"/>
              </w:rPr>
              <w:t>2</w:t>
            </w:r>
            <w:r w:rsidR="00900EFB">
              <w:rPr>
                <w:rFonts w:cs="Arial"/>
                <w:sz w:val="20"/>
                <w:szCs w:val="20"/>
              </w:rPr>
              <w:t>3</w:t>
            </w:r>
            <w:r w:rsidR="00900EFB" w:rsidRPr="003A708C">
              <w:rPr>
                <w:rFonts w:cs="Arial"/>
                <w:sz w:val="20"/>
                <w:szCs w:val="20"/>
              </w:rPr>
              <w:t xml:space="preserve"> </w:t>
            </w:r>
            <w:r w:rsidRPr="003A708C">
              <w:rPr>
                <w:rFonts w:cs="Arial"/>
                <w:sz w:val="20"/>
                <w:szCs w:val="20"/>
              </w:rPr>
              <w:t xml:space="preserve">and Glossary.  </w:t>
            </w:r>
          </w:p>
        </w:tc>
      </w:tr>
      <w:tr w:rsidR="00550102" w:rsidRPr="00DF7079" w14:paraId="784F852D" w14:textId="77777777" w:rsidTr="00550102">
        <w:trPr>
          <w:cantSplit/>
        </w:trPr>
        <w:tc>
          <w:tcPr>
            <w:tcW w:w="2606" w:type="dxa"/>
          </w:tcPr>
          <w:p w14:paraId="164835D6"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Postcode table</w:t>
            </w:r>
          </w:p>
        </w:tc>
        <w:tc>
          <w:tcPr>
            <w:tcW w:w="6411" w:type="dxa"/>
          </w:tcPr>
          <w:p w14:paraId="6B46058B"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Table of postcodes mapped to the 2016 ASGS Remoteness Area classification. Each postcode is mapped to the Remoteness Area category within which the majority of the postcode’s population resides. PO Box postcodes are mapped to the Remoteness Area category within which the Post Office is located.</w:t>
            </w:r>
          </w:p>
        </w:tc>
      </w:tr>
      <w:tr w:rsidR="00550102" w:rsidRPr="00DF7079" w14:paraId="36A1A1DC" w14:textId="77777777" w:rsidTr="00550102">
        <w:trPr>
          <w:cantSplit/>
        </w:trPr>
        <w:tc>
          <w:tcPr>
            <w:tcW w:w="2606" w:type="dxa"/>
          </w:tcPr>
          <w:p w14:paraId="1DB50DE7"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ASGS table</w:t>
            </w:r>
          </w:p>
        </w:tc>
        <w:tc>
          <w:tcPr>
            <w:tcW w:w="6411" w:type="dxa"/>
          </w:tcPr>
          <w:p w14:paraId="45E328D1"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Table of Australian Statistical Geography Standard (ASGS) mapped to the Remoteness Area category within which the majority of the ASGS’s population resides.</w:t>
            </w:r>
          </w:p>
        </w:tc>
      </w:tr>
      <w:tr w:rsidR="00550102" w:rsidRPr="00DF7079" w14:paraId="0213FE1F" w14:textId="77777777" w:rsidTr="00550102">
        <w:trPr>
          <w:cantSplit/>
        </w:trPr>
        <w:tc>
          <w:tcPr>
            <w:tcW w:w="2606" w:type="dxa"/>
          </w:tcPr>
          <w:p w14:paraId="71CB36C8" w14:textId="4BA232E1" w:rsidR="00550102" w:rsidRPr="003A708C" w:rsidRDefault="00900EFB" w:rsidP="003A708C">
            <w:pPr>
              <w:tabs>
                <w:tab w:val="left" w:pos="1162"/>
              </w:tabs>
              <w:spacing w:line="240" w:lineRule="auto"/>
              <w:ind w:right="-28"/>
              <w:rPr>
                <w:rFonts w:cs="Arial"/>
                <w:sz w:val="20"/>
                <w:szCs w:val="20"/>
              </w:rPr>
            </w:pPr>
            <w:r w:rsidRPr="003A708C">
              <w:rPr>
                <w:rFonts w:cs="Arial"/>
                <w:sz w:val="20"/>
                <w:szCs w:val="20"/>
              </w:rPr>
              <w:t>202</w:t>
            </w:r>
            <w:r>
              <w:rPr>
                <w:rFonts w:cs="Arial"/>
                <w:sz w:val="20"/>
                <w:szCs w:val="20"/>
              </w:rPr>
              <w:t>2</w:t>
            </w:r>
            <w:r w:rsidR="00550102" w:rsidRPr="003A708C">
              <w:rPr>
                <w:rFonts w:cs="Arial"/>
                <w:sz w:val="20"/>
                <w:szCs w:val="20"/>
              </w:rPr>
              <w:t>–</w:t>
            </w:r>
            <w:r w:rsidRPr="003A708C">
              <w:rPr>
                <w:rFonts w:cs="Arial"/>
                <w:sz w:val="20"/>
                <w:szCs w:val="20"/>
              </w:rPr>
              <w:t>2</w:t>
            </w:r>
            <w:r>
              <w:rPr>
                <w:rFonts w:cs="Arial"/>
                <w:sz w:val="20"/>
                <w:szCs w:val="20"/>
              </w:rPr>
              <w:t>3</w:t>
            </w:r>
            <w:r w:rsidRPr="003A708C">
              <w:rPr>
                <w:rFonts w:cs="Arial"/>
                <w:sz w:val="20"/>
                <w:szCs w:val="20"/>
              </w:rPr>
              <w:t xml:space="preserve"> </w:t>
            </w:r>
            <w:r w:rsidR="00550102" w:rsidRPr="003A708C">
              <w:rPr>
                <w:rFonts w:cs="Arial"/>
                <w:sz w:val="20"/>
                <w:szCs w:val="20"/>
              </w:rPr>
              <w:t>NWAU Price weight table</w:t>
            </w:r>
          </w:p>
        </w:tc>
        <w:tc>
          <w:tcPr>
            <w:tcW w:w="6411" w:type="dxa"/>
          </w:tcPr>
          <w:p w14:paraId="1C0189E6" w14:textId="060CEED2" w:rsidR="00550102" w:rsidRPr="003A708C" w:rsidRDefault="00900EFB" w:rsidP="003A708C">
            <w:pPr>
              <w:tabs>
                <w:tab w:val="left" w:pos="1162"/>
              </w:tabs>
              <w:spacing w:line="240" w:lineRule="auto"/>
              <w:ind w:right="-28"/>
              <w:rPr>
                <w:rFonts w:cs="Arial"/>
                <w:sz w:val="20"/>
                <w:szCs w:val="20"/>
              </w:rPr>
            </w:pPr>
            <w:r w:rsidRPr="003A708C">
              <w:rPr>
                <w:rFonts w:cs="Arial"/>
                <w:sz w:val="20"/>
                <w:szCs w:val="20"/>
              </w:rPr>
              <w:t>202</w:t>
            </w:r>
            <w:r>
              <w:rPr>
                <w:rFonts w:cs="Arial"/>
                <w:sz w:val="20"/>
                <w:szCs w:val="20"/>
              </w:rPr>
              <w:t>2</w:t>
            </w:r>
            <w:r w:rsidR="00550102" w:rsidRPr="003A708C">
              <w:rPr>
                <w:rFonts w:cs="Arial"/>
                <w:sz w:val="20"/>
                <w:szCs w:val="20"/>
              </w:rPr>
              <w:t>–</w:t>
            </w:r>
            <w:r w:rsidRPr="003A708C">
              <w:rPr>
                <w:rFonts w:cs="Arial"/>
                <w:sz w:val="20"/>
                <w:szCs w:val="20"/>
              </w:rPr>
              <w:t>2</w:t>
            </w:r>
            <w:r>
              <w:rPr>
                <w:rFonts w:cs="Arial"/>
                <w:sz w:val="20"/>
                <w:szCs w:val="20"/>
              </w:rPr>
              <w:t>3</w:t>
            </w:r>
            <w:r w:rsidRPr="003A708C">
              <w:rPr>
                <w:rFonts w:cs="Arial"/>
                <w:sz w:val="20"/>
                <w:szCs w:val="20"/>
              </w:rPr>
              <w:t xml:space="preserve"> </w:t>
            </w:r>
            <w:r w:rsidR="00550102" w:rsidRPr="003A708C">
              <w:rPr>
                <w:rFonts w:cs="Arial"/>
                <w:sz w:val="20"/>
                <w:szCs w:val="20"/>
              </w:rPr>
              <w:t xml:space="preserve">Admitted acute NWAU Price weight table, found in the National Efficient Price Determination </w:t>
            </w:r>
            <w:r w:rsidRPr="003A708C">
              <w:rPr>
                <w:rFonts w:cs="Arial"/>
                <w:sz w:val="20"/>
                <w:szCs w:val="20"/>
              </w:rPr>
              <w:t>202</w:t>
            </w:r>
            <w:r>
              <w:rPr>
                <w:rFonts w:cs="Arial"/>
                <w:sz w:val="20"/>
                <w:szCs w:val="20"/>
              </w:rPr>
              <w:t>2</w:t>
            </w:r>
            <w:r w:rsidR="00550102" w:rsidRPr="003A708C">
              <w:rPr>
                <w:rFonts w:cs="Arial"/>
                <w:sz w:val="20"/>
                <w:szCs w:val="20"/>
              </w:rPr>
              <w:t>–</w:t>
            </w:r>
            <w:r w:rsidRPr="003A708C">
              <w:rPr>
                <w:rFonts w:cs="Arial"/>
                <w:sz w:val="20"/>
                <w:szCs w:val="20"/>
              </w:rPr>
              <w:t>2</w:t>
            </w:r>
            <w:r>
              <w:rPr>
                <w:rFonts w:cs="Arial"/>
                <w:sz w:val="20"/>
                <w:szCs w:val="20"/>
              </w:rPr>
              <w:t>3</w:t>
            </w:r>
            <w:r w:rsidR="00550102" w:rsidRPr="003A708C">
              <w:rPr>
                <w:rFonts w:cs="Arial"/>
                <w:sz w:val="20"/>
                <w:szCs w:val="20"/>
              </w:rPr>
              <w:t>.</w:t>
            </w:r>
          </w:p>
        </w:tc>
      </w:tr>
      <w:tr w:rsidR="00550102" w:rsidRPr="00DF7079" w14:paraId="16BA28E2" w14:textId="77777777" w:rsidTr="00550102">
        <w:trPr>
          <w:cantSplit/>
        </w:trPr>
        <w:tc>
          <w:tcPr>
            <w:tcW w:w="2606" w:type="dxa"/>
          </w:tcPr>
          <w:p w14:paraId="54089C44" w14:textId="68D052B7" w:rsidR="00550102" w:rsidRPr="003A708C" w:rsidRDefault="00900EFB" w:rsidP="003A708C">
            <w:pPr>
              <w:tabs>
                <w:tab w:val="left" w:pos="1162"/>
              </w:tabs>
              <w:spacing w:line="240" w:lineRule="auto"/>
              <w:ind w:right="-28"/>
              <w:rPr>
                <w:rFonts w:cs="Arial"/>
                <w:sz w:val="20"/>
                <w:szCs w:val="20"/>
              </w:rPr>
            </w:pPr>
            <w:r w:rsidRPr="003A708C">
              <w:rPr>
                <w:rFonts w:cs="Arial"/>
                <w:sz w:val="20"/>
                <w:szCs w:val="20"/>
              </w:rPr>
              <w:t>202</w:t>
            </w:r>
            <w:r>
              <w:rPr>
                <w:rFonts w:cs="Arial"/>
                <w:sz w:val="20"/>
                <w:szCs w:val="20"/>
              </w:rPr>
              <w:t>2</w:t>
            </w:r>
            <w:r w:rsidR="00550102" w:rsidRPr="003A708C">
              <w:rPr>
                <w:rFonts w:cs="Arial"/>
                <w:sz w:val="20"/>
                <w:szCs w:val="20"/>
              </w:rPr>
              <w:t>–</w:t>
            </w:r>
            <w:r w:rsidRPr="003A708C">
              <w:rPr>
                <w:rFonts w:cs="Arial"/>
                <w:sz w:val="20"/>
                <w:szCs w:val="20"/>
              </w:rPr>
              <w:t>2</w:t>
            </w:r>
            <w:r>
              <w:rPr>
                <w:rFonts w:cs="Arial"/>
                <w:sz w:val="20"/>
                <w:szCs w:val="20"/>
              </w:rPr>
              <w:t>3</w:t>
            </w:r>
            <w:r w:rsidRPr="003A708C">
              <w:rPr>
                <w:rFonts w:cs="Arial"/>
                <w:sz w:val="20"/>
                <w:szCs w:val="20"/>
              </w:rPr>
              <w:t xml:space="preserve"> </w:t>
            </w:r>
            <w:r w:rsidR="00550102" w:rsidRPr="003A708C">
              <w:rPr>
                <w:rFonts w:cs="Arial"/>
                <w:sz w:val="20"/>
                <w:szCs w:val="20"/>
              </w:rPr>
              <w:t>NWAU Adjustments</w:t>
            </w:r>
          </w:p>
        </w:tc>
        <w:tc>
          <w:tcPr>
            <w:tcW w:w="6411" w:type="dxa"/>
          </w:tcPr>
          <w:p w14:paraId="695FAE9A" w14:textId="170DB4D3" w:rsidR="00550102" w:rsidRPr="003A708C" w:rsidRDefault="00900EFB" w:rsidP="003A708C">
            <w:pPr>
              <w:tabs>
                <w:tab w:val="left" w:pos="1162"/>
              </w:tabs>
              <w:spacing w:line="240" w:lineRule="auto"/>
              <w:ind w:right="-28"/>
              <w:rPr>
                <w:rFonts w:cs="Arial"/>
                <w:sz w:val="20"/>
                <w:szCs w:val="20"/>
              </w:rPr>
            </w:pPr>
            <w:r w:rsidRPr="003A708C">
              <w:rPr>
                <w:rFonts w:cs="Arial"/>
                <w:sz w:val="20"/>
                <w:szCs w:val="20"/>
              </w:rPr>
              <w:t>202</w:t>
            </w:r>
            <w:r>
              <w:rPr>
                <w:rFonts w:cs="Arial"/>
                <w:sz w:val="20"/>
                <w:szCs w:val="20"/>
              </w:rPr>
              <w:t>2</w:t>
            </w:r>
            <w:r w:rsidR="00550102" w:rsidRPr="003A708C">
              <w:rPr>
                <w:rFonts w:cs="Arial"/>
                <w:sz w:val="20"/>
                <w:szCs w:val="20"/>
              </w:rPr>
              <w:t>–</w:t>
            </w:r>
            <w:r w:rsidRPr="003A708C">
              <w:rPr>
                <w:rFonts w:cs="Arial"/>
                <w:sz w:val="20"/>
                <w:szCs w:val="20"/>
              </w:rPr>
              <w:t>2</w:t>
            </w:r>
            <w:r>
              <w:rPr>
                <w:rFonts w:cs="Arial"/>
                <w:sz w:val="20"/>
                <w:szCs w:val="20"/>
              </w:rPr>
              <w:t>3</w:t>
            </w:r>
            <w:r w:rsidRPr="003A708C">
              <w:rPr>
                <w:rFonts w:cs="Arial"/>
                <w:sz w:val="20"/>
                <w:szCs w:val="20"/>
              </w:rPr>
              <w:t xml:space="preserve"> </w:t>
            </w:r>
            <w:r w:rsidR="00550102" w:rsidRPr="003A708C">
              <w:rPr>
                <w:rFonts w:cs="Arial"/>
                <w:sz w:val="20"/>
                <w:szCs w:val="20"/>
              </w:rPr>
              <w:t xml:space="preserve">Admitted acute NWAU Adjustments, found in the National Efficient Price Determination </w:t>
            </w:r>
            <w:r w:rsidRPr="003A708C">
              <w:rPr>
                <w:rFonts w:cs="Arial"/>
                <w:sz w:val="20"/>
                <w:szCs w:val="20"/>
              </w:rPr>
              <w:t>202</w:t>
            </w:r>
            <w:r>
              <w:rPr>
                <w:rFonts w:cs="Arial"/>
                <w:sz w:val="20"/>
                <w:szCs w:val="20"/>
              </w:rPr>
              <w:t>2</w:t>
            </w:r>
            <w:r w:rsidR="00550102" w:rsidRPr="003A708C">
              <w:rPr>
                <w:rFonts w:cs="Arial"/>
                <w:sz w:val="20"/>
                <w:szCs w:val="20"/>
              </w:rPr>
              <w:t>–</w:t>
            </w:r>
            <w:r w:rsidRPr="003A708C">
              <w:rPr>
                <w:rFonts w:cs="Arial"/>
                <w:sz w:val="20"/>
                <w:szCs w:val="20"/>
              </w:rPr>
              <w:t>2</w:t>
            </w:r>
            <w:r>
              <w:rPr>
                <w:rFonts w:cs="Arial"/>
                <w:sz w:val="20"/>
                <w:szCs w:val="20"/>
              </w:rPr>
              <w:t>3</w:t>
            </w:r>
            <w:r w:rsidR="00550102" w:rsidRPr="003A708C">
              <w:rPr>
                <w:rFonts w:cs="Arial"/>
                <w:sz w:val="20"/>
                <w:szCs w:val="20"/>
              </w:rPr>
              <w:t>.</w:t>
            </w:r>
          </w:p>
        </w:tc>
      </w:tr>
    </w:tbl>
    <w:p w14:paraId="7EBF1EE5" w14:textId="1BBAB54F" w:rsidR="00550102" w:rsidRPr="00DF7079" w:rsidRDefault="00550102" w:rsidP="00836FC5">
      <w:pPr>
        <w:pStyle w:val="TableHeading"/>
      </w:pPr>
      <w:r w:rsidRPr="004E2CC6">
        <w:t xml:space="preserve">Table </w:t>
      </w:r>
      <w:r>
        <w:rPr>
          <w:noProof/>
        </w:rPr>
        <w:t>3</w:t>
      </w:r>
      <w:r w:rsidRPr="004E2CC6">
        <w:t xml:space="preserve">: APC NMDS variables used to calculate </w:t>
      </w:r>
      <w:r w:rsidR="00900EFB">
        <w:t>2022</w:t>
      </w:r>
      <w:r>
        <w:t>–</w:t>
      </w:r>
      <w:r w:rsidR="00900EFB">
        <w:t>23</w:t>
      </w:r>
      <w:r w:rsidR="00900EFB" w:rsidRPr="004E2CC6">
        <w:t xml:space="preserve"> </w:t>
      </w:r>
      <w:r w:rsidRPr="004E2CC6">
        <w:t>admitted acute NWAU.</w:t>
      </w:r>
    </w:p>
    <w:tbl>
      <w:tblPr>
        <w:tblW w:w="0" w:type="auto"/>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Caption w:val="Table 4: APC NMDS variables used to calculate 2018-19 admitted acute NWAU."/>
        <w:tblDescription w:val="The table consists of one column that lists the Australian Patient Care National Minimum Data Set (APC NMDS) variables used to calculate 2015-16 acute admitted National Weighted Activity Units (NWAUs).  "/>
      </w:tblPr>
      <w:tblGrid>
        <w:gridCol w:w="7451"/>
      </w:tblGrid>
      <w:tr w:rsidR="00550102" w:rsidRPr="00DF7079" w14:paraId="7EB54463" w14:textId="77777777" w:rsidTr="00EF4493">
        <w:trPr>
          <w:cantSplit/>
          <w:trHeight w:val="255"/>
          <w:tblHeader/>
        </w:trPr>
        <w:tc>
          <w:tcPr>
            <w:tcW w:w="7451" w:type="dxa"/>
            <w:shd w:val="clear" w:color="auto" w:fill="288A32"/>
            <w:noWrap/>
          </w:tcPr>
          <w:p w14:paraId="05112B42" w14:textId="77777777" w:rsidR="00550102" w:rsidRPr="003A708C" w:rsidRDefault="00550102" w:rsidP="003A708C">
            <w:pPr>
              <w:tabs>
                <w:tab w:val="left" w:pos="-327"/>
              </w:tabs>
              <w:spacing w:line="240" w:lineRule="auto"/>
              <w:ind w:right="-28"/>
              <w:rPr>
                <w:rFonts w:cs="Arial"/>
                <w:b/>
                <w:color w:val="FFFFFF"/>
                <w:sz w:val="20"/>
                <w:szCs w:val="20"/>
              </w:rPr>
            </w:pPr>
            <w:r w:rsidRPr="003A708C">
              <w:rPr>
                <w:rFonts w:cs="Arial"/>
                <w:b/>
                <w:color w:val="FFFFFF"/>
                <w:sz w:val="20"/>
                <w:szCs w:val="20"/>
              </w:rPr>
              <w:t>APC NMDS Variable</w:t>
            </w:r>
          </w:p>
        </w:tc>
      </w:tr>
      <w:tr w:rsidR="00550102" w:rsidRPr="00DF7079" w14:paraId="1F04E19E" w14:textId="77777777" w:rsidTr="00EF4493">
        <w:trPr>
          <w:cantSplit/>
          <w:trHeight w:val="255"/>
        </w:trPr>
        <w:tc>
          <w:tcPr>
            <w:tcW w:w="7451" w:type="dxa"/>
            <w:shd w:val="clear" w:color="auto" w:fill="auto"/>
            <w:noWrap/>
            <w:hideMark/>
          </w:tcPr>
          <w:p w14:paraId="0B0D79C3" w14:textId="77777777" w:rsidR="00550102" w:rsidRPr="003A708C" w:rsidRDefault="00550102" w:rsidP="003A708C">
            <w:pPr>
              <w:tabs>
                <w:tab w:val="left" w:pos="0"/>
              </w:tabs>
              <w:spacing w:line="240" w:lineRule="auto"/>
              <w:ind w:right="-28"/>
              <w:rPr>
                <w:rFonts w:cs="Arial"/>
                <w:color w:val="000000"/>
                <w:sz w:val="20"/>
                <w:szCs w:val="20"/>
              </w:rPr>
            </w:pPr>
            <w:r w:rsidRPr="003A708C">
              <w:rPr>
                <w:rFonts w:cs="Arial"/>
                <w:color w:val="000000"/>
                <w:sz w:val="20"/>
                <w:szCs w:val="20"/>
              </w:rPr>
              <w:t>State Identifier</w:t>
            </w:r>
          </w:p>
        </w:tc>
      </w:tr>
      <w:tr w:rsidR="00550102" w:rsidRPr="00DF7079" w14:paraId="348AEA09" w14:textId="77777777" w:rsidTr="00EF4493">
        <w:trPr>
          <w:cantSplit/>
          <w:trHeight w:val="255"/>
        </w:trPr>
        <w:tc>
          <w:tcPr>
            <w:tcW w:w="7451" w:type="dxa"/>
            <w:shd w:val="clear" w:color="auto" w:fill="auto"/>
            <w:noWrap/>
            <w:hideMark/>
          </w:tcPr>
          <w:p w14:paraId="19503195"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Establishment Identifier</w:t>
            </w:r>
          </w:p>
        </w:tc>
      </w:tr>
      <w:tr w:rsidR="00550102" w:rsidRPr="00DF7079" w14:paraId="6F1B364D" w14:textId="77777777" w:rsidTr="00EF4493">
        <w:trPr>
          <w:cantSplit/>
          <w:trHeight w:val="255"/>
        </w:trPr>
        <w:tc>
          <w:tcPr>
            <w:tcW w:w="7451" w:type="dxa"/>
            <w:shd w:val="clear" w:color="auto" w:fill="auto"/>
            <w:noWrap/>
          </w:tcPr>
          <w:p w14:paraId="50412AFE"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Hospital geographical Indicator</w:t>
            </w:r>
          </w:p>
        </w:tc>
      </w:tr>
      <w:tr w:rsidR="00550102" w:rsidRPr="00DF7079" w14:paraId="31C6D9ED" w14:textId="77777777" w:rsidTr="00EF4493">
        <w:trPr>
          <w:cantSplit/>
          <w:trHeight w:val="255"/>
        </w:trPr>
        <w:tc>
          <w:tcPr>
            <w:tcW w:w="7451" w:type="dxa"/>
            <w:shd w:val="clear" w:color="auto" w:fill="auto"/>
            <w:noWrap/>
          </w:tcPr>
          <w:p w14:paraId="01FF149F"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Sex</w:t>
            </w:r>
          </w:p>
        </w:tc>
      </w:tr>
      <w:tr w:rsidR="00550102" w:rsidRPr="00DF7079" w14:paraId="70625257" w14:textId="77777777" w:rsidTr="00EF4493">
        <w:trPr>
          <w:cantSplit/>
          <w:trHeight w:val="255"/>
        </w:trPr>
        <w:tc>
          <w:tcPr>
            <w:tcW w:w="7451" w:type="dxa"/>
            <w:shd w:val="clear" w:color="auto" w:fill="auto"/>
            <w:noWrap/>
            <w:hideMark/>
          </w:tcPr>
          <w:p w14:paraId="34A31B7D"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Date of Birth</w:t>
            </w:r>
          </w:p>
        </w:tc>
      </w:tr>
      <w:tr w:rsidR="00550102" w:rsidRPr="00DF7079" w14:paraId="4F1BA754" w14:textId="77777777" w:rsidTr="00EF4493">
        <w:trPr>
          <w:cantSplit/>
          <w:trHeight w:val="255"/>
        </w:trPr>
        <w:tc>
          <w:tcPr>
            <w:tcW w:w="7451" w:type="dxa"/>
            <w:shd w:val="clear" w:color="auto" w:fill="auto"/>
            <w:noWrap/>
            <w:hideMark/>
          </w:tcPr>
          <w:p w14:paraId="06FDBBD6"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Date of Admission</w:t>
            </w:r>
          </w:p>
        </w:tc>
      </w:tr>
      <w:tr w:rsidR="00550102" w:rsidRPr="00DF7079" w14:paraId="5D1B3FA6" w14:textId="77777777" w:rsidTr="00EF4493">
        <w:trPr>
          <w:cantSplit/>
          <w:trHeight w:val="255"/>
        </w:trPr>
        <w:tc>
          <w:tcPr>
            <w:tcW w:w="7451" w:type="dxa"/>
            <w:shd w:val="clear" w:color="auto" w:fill="auto"/>
            <w:noWrap/>
            <w:hideMark/>
          </w:tcPr>
          <w:p w14:paraId="72EF3042"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Date of Separation</w:t>
            </w:r>
          </w:p>
        </w:tc>
      </w:tr>
      <w:tr w:rsidR="00550102" w:rsidRPr="00DF7079" w14:paraId="4A6724D2" w14:textId="77777777" w:rsidTr="00EF4493">
        <w:trPr>
          <w:cantSplit/>
          <w:trHeight w:val="255"/>
        </w:trPr>
        <w:tc>
          <w:tcPr>
            <w:tcW w:w="7451" w:type="dxa"/>
            <w:shd w:val="clear" w:color="auto" w:fill="auto"/>
            <w:noWrap/>
            <w:hideMark/>
          </w:tcPr>
          <w:p w14:paraId="79659DE4"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Care Type</w:t>
            </w:r>
          </w:p>
        </w:tc>
      </w:tr>
      <w:tr w:rsidR="00550102" w:rsidRPr="00DF7079" w14:paraId="7A685759" w14:textId="77777777" w:rsidTr="00EF4493">
        <w:trPr>
          <w:cantSplit/>
          <w:trHeight w:val="255"/>
        </w:trPr>
        <w:tc>
          <w:tcPr>
            <w:tcW w:w="7451" w:type="dxa"/>
            <w:shd w:val="clear" w:color="auto" w:fill="auto"/>
            <w:noWrap/>
          </w:tcPr>
          <w:p w14:paraId="71FC62D4"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Admission Mode</w:t>
            </w:r>
          </w:p>
        </w:tc>
      </w:tr>
      <w:tr w:rsidR="00550102" w:rsidRPr="00DF7079" w14:paraId="67FFF923" w14:textId="77777777" w:rsidTr="00EF4493">
        <w:trPr>
          <w:cantSplit/>
          <w:trHeight w:val="255"/>
        </w:trPr>
        <w:tc>
          <w:tcPr>
            <w:tcW w:w="7451" w:type="dxa"/>
            <w:shd w:val="clear" w:color="auto" w:fill="auto"/>
            <w:noWrap/>
          </w:tcPr>
          <w:p w14:paraId="0FEBE6BF"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Admission Urgency Status</w:t>
            </w:r>
          </w:p>
        </w:tc>
      </w:tr>
      <w:tr w:rsidR="00550102" w:rsidRPr="00DF7079" w14:paraId="0DC047F9" w14:textId="77777777" w:rsidTr="00EF4493">
        <w:trPr>
          <w:cantSplit/>
          <w:trHeight w:val="255"/>
        </w:trPr>
        <w:tc>
          <w:tcPr>
            <w:tcW w:w="7451" w:type="dxa"/>
            <w:shd w:val="clear" w:color="auto" w:fill="auto"/>
            <w:noWrap/>
            <w:hideMark/>
          </w:tcPr>
          <w:p w14:paraId="6205A60E"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Number of Qualified Days for Newborns</w:t>
            </w:r>
          </w:p>
        </w:tc>
      </w:tr>
      <w:tr w:rsidR="00550102" w:rsidRPr="00DF7079" w14:paraId="216461AE" w14:textId="77777777" w:rsidTr="00EF4493">
        <w:trPr>
          <w:cantSplit/>
          <w:trHeight w:val="255"/>
        </w:trPr>
        <w:tc>
          <w:tcPr>
            <w:tcW w:w="7451" w:type="dxa"/>
            <w:shd w:val="clear" w:color="auto" w:fill="auto"/>
            <w:noWrap/>
            <w:hideMark/>
          </w:tcPr>
          <w:p w14:paraId="2495C99D"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Total Psychiatric Care Days</w:t>
            </w:r>
          </w:p>
        </w:tc>
      </w:tr>
      <w:tr w:rsidR="00550102" w:rsidRPr="00DF7079" w14:paraId="6F97BFDE" w14:textId="77777777" w:rsidTr="00EF4493">
        <w:trPr>
          <w:cantSplit/>
          <w:trHeight w:val="255"/>
        </w:trPr>
        <w:tc>
          <w:tcPr>
            <w:tcW w:w="7451" w:type="dxa"/>
            <w:shd w:val="clear" w:color="auto" w:fill="auto"/>
            <w:noWrap/>
            <w:hideMark/>
          </w:tcPr>
          <w:p w14:paraId="23041B4B"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Indigenous Status</w:t>
            </w:r>
          </w:p>
        </w:tc>
      </w:tr>
      <w:tr w:rsidR="00550102" w:rsidRPr="00DF7079" w14:paraId="01197DEA" w14:textId="77777777" w:rsidTr="00EF4493">
        <w:trPr>
          <w:cantSplit/>
          <w:trHeight w:val="255"/>
        </w:trPr>
        <w:tc>
          <w:tcPr>
            <w:tcW w:w="7451" w:type="dxa"/>
            <w:shd w:val="clear" w:color="auto" w:fill="auto"/>
            <w:noWrap/>
            <w:hideMark/>
          </w:tcPr>
          <w:p w14:paraId="2BA8AD9F"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lastRenderedPageBreak/>
              <w:t>Funding Source</w:t>
            </w:r>
            <w:r w:rsidRPr="003A708C">
              <w:rPr>
                <w:rFonts w:cs="Arial"/>
                <w:color w:val="000000"/>
                <w:sz w:val="20"/>
                <w:szCs w:val="20"/>
                <w:vertAlign w:val="superscript"/>
              </w:rPr>
              <w:footnoteReference w:id="8"/>
            </w:r>
          </w:p>
        </w:tc>
      </w:tr>
      <w:tr w:rsidR="00550102" w:rsidRPr="00DF7079" w14:paraId="023CF27A" w14:textId="77777777" w:rsidTr="00EF4493">
        <w:trPr>
          <w:cantSplit/>
          <w:trHeight w:val="255"/>
        </w:trPr>
        <w:tc>
          <w:tcPr>
            <w:tcW w:w="7451" w:type="dxa"/>
            <w:shd w:val="clear" w:color="auto" w:fill="auto"/>
            <w:noWrap/>
            <w:hideMark/>
          </w:tcPr>
          <w:p w14:paraId="4A00229E"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Diagnosis Related Group v10.0</w:t>
            </w:r>
          </w:p>
        </w:tc>
      </w:tr>
      <w:tr w:rsidR="00550102" w:rsidRPr="00DF7079" w14:paraId="5C695DD6" w14:textId="77777777" w:rsidTr="00EF4493">
        <w:trPr>
          <w:cantSplit/>
          <w:trHeight w:val="255"/>
        </w:trPr>
        <w:tc>
          <w:tcPr>
            <w:tcW w:w="7451" w:type="dxa"/>
            <w:shd w:val="clear" w:color="auto" w:fill="auto"/>
            <w:noWrap/>
            <w:hideMark/>
          </w:tcPr>
          <w:p w14:paraId="772EE08C"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Total </w:t>
            </w:r>
            <w:r w:rsidR="00B40D1D" w:rsidRPr="003A708C">
              <w:rPr>
                <w:rFonts w:cs="Arial"/>
                <w:color w:val="000000"/>
                <w:sz w:val="20"/>
                <w:szCs w:val="20"/>
              </w:rPr>
              <w:t>leave days</w:t>
            </w:r>
          </w:p>
        </w:tc>
      </w:tr>
      <w:tr w:rsidR="00550102" w:rsidRPr="00DF7079" w14:paraId="615A828F" w14:textId="77777777" w:rsidTr="00EF4493">
        <w:trPr>
          <w:cantSplit/>
          <w:trHeight w:val="255"/>
        </w:trPr>
        <w:tc>
          <w:tcPr>
            <w:tcW w:w="7451" w:type="dxa"/>
            <w:shd w:val="clear" w:color="auto" w:fill="auto"/>
            <w:noWrap/>
            <w:hideMark/>
          </w:tcPr>
          <w:p w14:paraId="5141B8C7"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Total Hours spent in Intensive Care Unit</w:t>
            </w:r>
          </w:p>
        </w:tc>
      </w:tr>
      <w:tr w:rsidR="00550102" w:rsidRPr="00DF7079" w14:paraId="4D0AB5DD" w14:textId="77777777" w:rsidTr="00EF4493">
        <w:trPr>
          <w:cantSplit/>
          <w:trHeight w:val="255"/>
        </w:trPr>
        <w:tc>
          <w:tcPr>
            <w:tcW w:w="7451" w:type="dxa"/>
            <w:shd w:val="clear" w:color="auto" w:fill="auto"/>
            <w:noWrap/>
            <w:hideMark/>
          </w:tcPr>
          <w:p w14:paraId="684F80BD"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Postcode of </w:t>
            </w:r>
            <w:r w:rsidR="00B40D1D" w:rsidRPr="003A708C">
              <w:rPr>
                <w:rFonts w:cs="Arial"/>
                <w:color w:val="000000"/>
                <w:sz w:val="20"/>
                <w:szCs w:val="20"/>
              </w:rPr>
              <w:t>patient's usual residence</w:t>
            </w:r>
          </w:p>
        </w:tc>
      </w:tr>
      <w:tr w:rsidR="00550102" w:rsidRPr="00DF7079" w14:paraId="407231B5" w14:textId="77777777" w:rsidTr="00EF4493">
        <w:trPr>
          <w:cantSplit/>
          <w:trHeight w:val="255"/>
        </w:trPr>
        <w:tc>
          <w:tcPr>
            <w:tcW w:w="7451" w:type="dxa"/>
            <w:shd w:val="clear" w:color="auto" w:fill="auto"/>
            <w:noWrap/>
          </w:tcPr>
          <w:p w14:paraId="2EEFCC02"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sz w:val="20"/>
                <w:szCs w:val="20"/>
              </w:rPr>
              <w:t xml:space="preserve">Australian Statistical Geography Standard (ASGS) of </w:t>
            </w:r>
            <w:r w:rsidRPr="003A708C">
              <w:rPr>
                <w:rFonts w:cs="Arial"/>
                <w:color w:val="000000"/>
                <w:sz w:val="20"/>
                <w:szCs w:val="20"/>
              </w:rPr>
              <w:t>Patient's Usual Residence</w:t>
            </w:r>
          </w:p>
        </w:tc>
      </w:tr>
      <w:tr w:rsidR="00550102" w:rsidRPr="00DF7079" w14:paraId="5DFBCC52" w14:textId="77777777" w:rsidTr="00EF4493">
        <w:trPr>
          <w:cantSplit/>
          <w:trHeight w:val="255"/>
        </w:trPr>
        <w:tc>
          <w:tcPr>
            <w:tcW w:w="7451" w:type="dxa"/>
            <w:shd w:val="clear" w:color="auto" w:fill="auto"/>
            <w:noWrap/>
          </w:tcPr>
          <w:p w14:paraId="77E9C371"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Either the identifier signifying radiotherapy treatment/planning or the list of patient’s ICD-10-AM procedure codes.</w:t>
            </w:r>
          </w:p>
        </w:tc>
      </w:tr>
      <w:tr w:rsidR="00550102" w:rsidRPr="00DF7079" w14:paraId="15A7B40E" w14:textId="77777777" w:rsidTr="00EF4493">
        <w:trPr>
          <w:cantSplit/>
          <w:trHeight w:val="255"/>
        </w:trPr>
        <w:tc>
          <w:tcPr>
            <w:tcW w:w="7451" w:type="dxa"/>
            <w:shd w:val="clear" w:color="auto" w:fill="auto"/>
            <w:noWrap/>
          </w:tcPr>
          <w:p w14:paraId="1FDA52D0"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Either the identifier signifying dialysis or the list of patient’s ICD-10-AM procedure codes.</w:t>
            </w:r>
          </w:p>
        </w:tc>
      </w:tr>
      <w:tr w:rsidR="00550102" w:rsidRPr="00DF7079" w14:paraId="412975A7" w14:textId="77777777" w:rsidTr="00EF4493">
        <w:trPr>
          <w:cantSplit/>
          <w:trHeight w:val="255"/>
        </w:trPr>
        <w:tc>
          <w:tcPr>
            <w:tcW w:w="7451" w:type="dxa"/>
            <w:shd w:val="clear" w:color="auto" w:fill="auto"/>
            <w:noWrap/>
          </w:tcPr>
          <w:p w14:paraId="5DB3434B"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The list of patient’s ICD-10-AM codes, including diagnoses and condition onset flags.</w:t>
            </w:r>
          </w:p>
        </w:tc>
      </w:tr>
    </w:tbl>
    <w:p w14:paraId="6E936699" w14:textId="77777777" w:rsidR="00550102" w:rsidRDefault="00550102" w:rsidP="00F41C22">
      <w:r>
        <w:br w:type="page"/>
      </w:r>
    </w:p>
    <w:p w14:paraId="27D4011B" w14:textId="77777777" w:rsidR="00550102" w:rsidRPr="000E4A6F" w:rsidRDefault="00550102" w:rsidP="00A33F7B">
      <w:pPr>
        <w:pStyle w:val="Heading1"/>
        <w:rPr>
          <w:sz w:val="56"/>
        </w:rPr>
      </w:pPr>
      <w:bookmarkStart w:id="102" w:name="_Toc499220991"/>
      <w:bookmarkStart w:id="103" w:name="_Toc499290909"/>
      <w:bookmarkStart w:id="104" w:name="_Toc26278331"/>
      <w:bookmarkStart w:id="105" w:name="_Toc26370509"/>
      <w:bookmarkStart w:id="106" w:name="_Toc65145942"/>
      <w:bookmarkStart w:id="107" w:name="_Toc98882292"/>
      <w:r>
        <w:lastRenderedPageBreak/>
        <w:t>M</w:t>
      </w:r>
      <w:r w:rsidRPr="00941B8B">
        <w:t>ental health care cost model</w:t>
      </w:r>
      <w:bookmarkEnd w:id="102"/>
      <w:bookmarkEnd w:id="103"/>
      <w:bookmarkEnd w:id="104"/>
      <w:bookmarkEnd w:id="105"/>
      <w:bookmarkEnd w:id="106"/>
      <w:bookmarkEnd w:id="107"/>
    </w:p>
    <w:p w14:paraId="0B3B36AA" w14:textId="77777777" w:rsidR="00550102" w:rsidRPr="00941B8B" w:rsidRDefault="00550102" w:rsidP="00755433">
      <w:pPr>
        <w:pStyle w:val="Heading2"/>
      </w:pPr>
      <w:bookmarkStart w:id="108" w:name="_Toc26278332"/>
      <w:bookmarkStart w:id="109" w:name="_Toc26370510"/>
      <w:bookmarkStart w:id="110" w:name="_Toc65145943"/>
      <w:bookmarkStart w:id="111" w:name="_Toc98882293"/>
      <w:bookmarkStart w:id="112" w:name="_Toc499220992"/>
      <w:bookmarkStart w:id="113" w:name="_Toc499290910"/>
      <w:r w:rsidRPr="00941B8B">
        <w:t>General issues</w:t>
      </w:r>
      <w:bookmarkEnd w:id="108"/>
      <w:bookmarkEnd w:id="109"/>
      <w:bookmarkEnd w:id="110"/>
      <w:bookmarkEnd w:id="111"/>
    </w:p>
    <w:p w14:paraId="79ACC0AA" w14:textId="77777777" w:rsidR="00550102" w:rsidRPr="00941B8B" w:rsidRDefault="00550102" w:rsidP="00755433">
      <w:pPr>
        <w:pStyle w:val="Heading3"/>
      </w:pPr>
      <w:r w:rsidRPr="00941B8B">
        <w:t>Cost unit</w:t>
      </w:r>
    </w:p>
    <w:p w14:paraId="736840B3" w14:textId="77777777" w:rsidR="00550102" w:rsidRPr="00941B8B" w:rsidRDefault="00550102" w:rsidP="00550102">
      <w:pPr>
        <w:tabs>
          <w:tab w:val="left" w:pos="1162"/>
        </w:tabs>
        <w:spacing w:line="240" w:lineRule="auto"/>
        <w:rPr>
          <w:rFonts w:cs="Arial"/>
          <w:szCs w:val="20"/>
        </w:rPr>
      </w:pPr>
      <w:r w:rsidRPr="00941B8B">
        <w:rPr>
          <w:rFonts w:cs="Arial"/>
          <w:szCs w:val="20"/>
        </w:rPr>
        <w:t>A ‘</w:t>
      </w:r>
      <w:r w:rsidR="00F51353">
        <w:rPr>
          <w:rFonts w:cs="Arial"/>
          <w:szCs w:val="20"/>
        </w:rPr>
        <w:t>mental health phase of care</w:t>
      </w:r>
      <w:r w:rsidR="00654688">
        <w:rPr>
          <w:rFonts w:cs="Arial"/>
          <w:szCs w:val="20"/>
        </w:rPr>
        <w:t>’</w:t>
      </w:r>
      <w:r w:rsidRPr="00941B8B">
        <w:rPr>
          <w:rStyle w:val="FootnoteReference"/>
          <w:rFonts w:cs="Arial"/>
          <w:szCs w:val="20"/>
        </w:rPr>
        <w:footnoteReference w:id="9"/>
      </w:r>
      <w:r w:rsidRPr="00941B8B">
        <w:rPr>
          <w:rFonts w:cs="Arial"/>
          <w:szCs w:val="20"/>
        </w:rPr>
        <w:t xml:space="preserve"> is the cost unit for mental health patients. </w:t>
      </w:r>
      <w:r w:rsidR="001F03F6">
        <w:rPr>
          <w:rFonts w:cs="Arial"/>
          <w:szCs w:val="20"/>
        </w:rPr>
        <w:t>A phase of care is ‘a distinct clinical period which reflects the goal of treatment of mental illness.’ It ‘begins either when a patient commences an episode of mental health care</w:t>
      </w:r>
      <w:r w:rsidR="00543A6D">
        <w:rPr>
          <w:rFonts w:cs="Arial"/>
          <w:szCs w:val="20"/>
        </w:rPr>
        <w:t xml:space="preserve"> (MHC)</w:t>
      </w:r>
      <w:r w:rsidR="001F03F6">
        <w:rPr>
          <w:rFonts w:cs="Arial"/>
          <w:szCs w:val="20"/>
        </w:rPr>
        <w:t xml:space="preserve"> or when the primary goal of care changes in an existing </w:t>
      </w:r>
      <w:r w:rsidR="00543A6D">
        <w:rPr>
          <w:rFonts w:cs="Arial"/>
          <w:szCs w:val="20"/>
        </w:rPr>
        <w:t>MHC</w:t>
      </w:r>
      <w:r w:rsidR="001F03F6">
        <w:rPr>
          <w:rFonts w:cs="Arial"/>
          <w:szCs w:val="20"/>
        </w:rPr>
        <w:t xml:space="preserve"> episode’</w:t>
      </w:r>
      <w:r w:rsidR="001F03F6">
        <w:rPr>
          <w:rStyle w:val="FootnoteReference"/>
          <w:rFonts w:cs="Arial"/>
          <w:szCs w:val="20"/>
        </w:rPr>
        <w:footnoteReference w:id="10"/>
      </w:r>
      <w:r w:rsidR="001F03F6">
        <w:rPr>
          <w:rFonts w:cs="Arial"/>
          <w:szCs w:val="20"/>
        </w:rPr>
        <w:t xml:space="preserve"> and </w:t>
      </w:r>
      <w:r w:rsidR="00807221">
        <w:rPr>
          <w:rFonts w:cs="Arial"/>
          <w:szCs w:val="20"/>
        </w:rPr>
        <w:t>‘ends</w:t>
      </w:r>
      <w:r w:rsidR="001F03F6">
        <w:rPr>
          <w:rFonts w:cs="Arial"/>
          <w:szCs w:val="20"/>
        </w:rPr>
        <w:t xml:space="preserve"> </w:t>
      </w:r>
      <w:r w:rsidR="00807221">
        <w:rPr>
          <w:rFonts w:cs="Arial"/>
          <w:szCs w:val="20"/>
        </w:rPr>
        <w:t xml:space="preserve">either when a patient concludes an episode of </w:t>
      </w:r>
      <w:r w:rsidR="00543A6D">
        <w:rPr>
          <w:rFonts w:cs="Arial"/>
          <w:szCs w:val="20"/>
        </w:rPr>
        <w:t>MHC</w:t>
      </w:r>
      <w:r w:rsidR="00807221">
        <w:rPr>
          <w:rFonts w:cs="Arial"/>
          <w:szCs w:val="20"/>
        </w:rPr>
        <w:t xml:space="preserve"> or when the primary goal of care changes in an existing mental health care episode.’</w:t>
      </w:r>
      <w:r w:rsidR="00807221">
        <w:rPr>
          <w:rStyle w:val="FootnoteReference"/>
          <w:rFonts w:cs="Arial"/>
          <w:szCs w:val="20"/>
        </w:rPr>
        <w:footnoteReference w:id="11"/>
      </w:r>
      <w:r w:rsidR="00807221">
        <w:rPr>
          <w:rFonts w:cs="Arial"/>
          <w:szCs w:val="20"/>
        </w:rPr>
        <w:t xml:space="preserve"> </w:t>
      </w:r>
    </w:p>
    <w:p w14:paraId="0187187B" w14:textId="77777777" w:rsidR="00550102" w:rsidRPr="00941B8B" w:rsidRDefault="00550102" w:rsidP="00755433">
      <w:pPr>
        <w:pStyle w:val="Heading3"/>
      </w:pPr>
      <w:r>
        <w:t>In-scope activity</w:t>
      </w:r>
    </w:p>
    <w:p w14:paraId="05D4AB3C" w14:textId="77777777" w:rsidR="000A62A2" w:rsidRDefault="000A62A2" w:rsidP="000A62A2">
      <w:pPr>
        <w:tabs>
          <w:tab w:val="left" w:pos="1162"/>
        </w:tabs>
        <w:spacing w:line="240" w:lineRule="auto"/>
        <w:rPr>
          <w:rFonts w:cs="Arial"/>
          <w:szCs w:val="20"/>
        </w:rPr>
      </w:pPr>
      <w:r w:rsidRPr="00941B8B">
        <w:rPr>
          <w:rFonts w:cs="Arial"/>
          <w:szCs w:val="20"/>
        </w:rPr>
        <w:t>Mental health admitted care is that provided to patients who undergo a facility’s formal admission</w:t>
      </w:r>
      <w:r w:rsidRPr="00941B8B">
        <w:rPr>
          <w:rStyle w:val="FootnoteReference"/>
          <w:rFonts w:cs="Arial"/>
          <w:szCs w:val="20"/>
        </w:rPr>
        <w:footnoteReference w:id="12"/>
      </w:r>
      <w:r w:rsidRPr="00941B8B">
        <w:rPr>
          <w:rFonts w:cs="Arial"/>
          <w:szCs w:val="20"/>
        </w:rPr>
        <w:t xml:space="preserve"> processe</w:t>
      </w:r>
      <w:r>
        <w:rPr>
          <w:rFonts w:cs="Arial"/>
          <w:szCs w:val="20"/>
        </w:rPr>
        <w:t xml:space="preserve">s. </w:t>
      </w:r>
    </w:p>
    <w:p w14:paraId="4AB9E028" w14:textId="77777777" w:rsidR="000A62A2" w:rsidRDefault="000A62A2" w:rsidP="000A62A2">
      <w:pPr>
        <w:tabs>
          <w:tab w:val="left" w:pos="1162"/>
        </w:tabs>
        <w:spacing w:line="240" w:lineRule="auto"/>
        <w:rPr>
          <w:rFonts w:cs="Arial"/>
          <w:szCs w:val="20"/>
        </w:rPr>
      </w:pPr>
      <w:r>
        <w:rPr>
          <w:rFonts w:cs="Arial"/>
          <w:szCs w:val="20"/>
        </w:rPr>
        <w:t>MHC activity is submitted under the ABF MHC NBEDS, which considers MHC activity across admitted, emergency, ambulatory and residential settings as in-scope. Therefore, in-scope admitted MHC activity is identified by a service setting variable supplied by jurisdictions, according to IHPA’s data request specifications.</w:t>
      </w:r>
      <w:r>
        <w:rPr>
          <w:rStyle w:val="FootnoteReference"/>
          <w:rFonts w:cs="Arial"/>
          <w:szCs w:val="20"/>
        </w:rPr>
        <w:footnoteReference w:id="13"/>
      </w:r>
      <w:r>
        <w:rPr>
          <w:rFonts w:cs="Arial"/>
          <w:szCs w:val="20"/>
        </w:rPr>
        <w:t xml:space="preserve"> If service setting is missing, a phase is determined to be admitted care if it is able to be linked to an admitted patient care episode and/or it has a non-missing admitted service unit identifier.</w:t>
      </w:r>
    </w:p>
    <w:p w14:paraId="57D943AF" w14:textId="421E4326" w:rsidR="000A62A2" w:rsidRPr="00941B8B" w:rsidRDefault="000A62A2" w:rsidP="000A62A2">
      <w:pPr>
        <w:tabs>
          <w:tab w:val="left" w:pos="1162"/>
        </w:tabs>
        <w:spacing w:line="240" w:lineRule="auto"/>
        <w:rPr>
          <w:rFonts w:cs="Arial"/>
          <w:szCs w:val="20"/>
        </w:rPr>
      </w:pPr>
      <w:r w:rsidRPr="00941B8B">
        <w:rPr>
          <w:rFonts w:cs="Arial"/>
          <w:szCs w:val="20"/>
        </w:rPr>
        <w:t xml:space="preserve">Mental health patients receiving </w:t>
      </w:r>
      <w:r>
        <w:rPr>
          <w:rFonts w:cs="Arial"/>
          <w:szCs w:val="20"/>
        </w:rPr>
        <w:t>emergency department</w:t>
      </w:r>
      <w:r w:rsidRPr="00941B8B">
        <w:rPr>
          <w:rFonts w:cs="Arial"/>
          <w:szCs w:val="20"/>
        </w:rPr>
        <w:t xml:space="preserve"> and non-admitted care services are not differentiated in </w:t>
      </w:r>
      <w:r w:rsidR="001248F6">
        <w:rPr>
          <w:rFonts w:cs="Arial"/>
          <w:szCs w:val="20"/>
        </w:rPr>
        <w:t>NEP22</w:t>
      </w:r>
      <w:r w:rsidR="001248F6" w:rsidRPr="00941B8B">
        <w:rPr>
          <w:rFonts w:cs="Arial"/>
          <w:szCs w:val="20"/>
        </w:rPr>
        <w:t xml:space="preserve"> </w:t>
      </w:r>
      <w:r w:rsidRPr="00941B8B">
        <w:rPr>
          <w:rFonts w:cs="Arial"/>
          <w:szCs w:val="20"/>
        </w:rPr>
        <w:t>and so receive payments as defined for the relevant ABF product category.</w:t>
      </w:r>
    </w:p>
    <w:p w14:paraId="579C174D" w14:textId="77777777" w:rsidR="00550102" w:rsidRPr="00941B8B" w:rsidRDefault="00550102" w:rsidP="00755433">
      <w:pPr>
        <w:pStyle w:val="Heading3"/>
      </w:pPr>
      <w:r w:rsidRPr="00941B8B">
        <w:t>Classification</w:t>
      </w:r>
    </w:p>
    <w:p w14:paraId="10D5EA90" w14:textId="1C87A3F9" w:rsidR="0038342B" w:rsidRPr="00941B8B" w:rsidRDefault="0038342B" w:rsidP="0038342B">
      <w:pPr>
        <w:tabs>
          <w:tab w:val="left" w:pos="1162"/>
        </w:tabs>
        <w:spacing w:after="480" w:line="240" w:lineRule="auto"/>
        <w:rPr>
          <w:rFonts w:cs="Arial"/>
          <w:szCs w:val="20"/>
        </w:rPr>
      </w:pPr>
      <w:r>
        <w:rPr>
          <w:rFonts w:cs="Arial"/>
          <w:szCs w:val="20"/>
        </w:rPr>
        <w:t>The Australian Mental Health Care Classification (AMHCC) is used to classify admitted mental health care patients. The version that applies for funding in 2022</w:t>
      </w:r>
      <w:r w:rsidR="005D0045">
        <w:rPr>
          <w:rFonts w:cs="Arial"/>
          <w:szCs w:val="20"/>
        </w:rPr>
        <w:softHyphen/>
      </w:r>
      <w:r w:rsidR="005D0045">
        <w:rPr>
          <w:rFonts w:cs="Arial"/>
          <w:szCs w:val="20"/>
        </w:rPr>
        <w:softHyphen/>
        <w:t>–</w:t>
      </w:r>
      <w:r>
        <w:rPr>
          <w:rFonts w:cs="Arial"/>
          <w:szCs w:val="20"/>
        </w:rPr>
        <w:t>23 is AMHCC Version 1.0.</w:t>
      </w:r>
    </w:p>
    <w:p w14:paraId="414E82B8" w14:textId="77777777" w:rsidR="002A47A2" w:rsidRPr="00941B8B" w:rsidRDefault="002A47A2" w:rsidP="004A03A2">
      <w:pPr>
        <w:pStyle w:val="Heading2"/>
      </w:pPr>
      <w:bookmarkStart w:id="114" w:name="_Toc65145796"/>
      <w:bookmarkStart w:id="115" w:name="_Toc65146733"/>
      <w:bookmarkStart w:id="116" w:name="_Toc65154736"/>
      <w:bookmarkStart w:id="117" w:name="_Toc65145945"/>
      <w:bookmarkStart w:id="118" w:name="_Toc33794243"/>
      <w:bookmarkStart w:id="119" w:name="_Toc98882294"/>
      <w:bookmarkEnd w:id="114"/>
      <w:bookmarkEnd w:id="115"/>
      <w:bookmarkEnd w:id="116"/>
      <w:r w:rsidRPr="00941B8B">
        <w:t>Analysis of costs to derive NWAU for mental health care</w:t>
      </w:r>
      <w:bookmarkEnd w:id="117"/>
      <w:bookmarkEnd w:id="118"/>
      <w:bookmarkEnd w:id="119"/>
    </w:p>
    <w:p w14:paraId="05E74E19" w14:textId="3146788F" w:rsidR="00710148" w:rsidRDefault="00710148" w:rsidP="00755433">
      <w:pPr>
        <w:pStyle w:val="Heading3"/>
      </w:pPr>
      <w:r>
        <w:t>Data sources</w:t>
      </w:r>
    </w:p>
    <w:p w14:paraId="784EA1E9" w14:textId="1D712852" w:rsidR="0078745B" w:rsidRDefault="0078745B" w:rsidP="0078745B">
      <w:r>
        <w:t xml:space="preserve">The activity data collection that informs the </w:t>
      </w:r>
      <w:r w:rsidR="004E0F49">
        <w:t xml:space="preserve">NEP22 </w:t>
      </w:r>
      <w:r>
        <w:t xml:space="preserve">mental health cost model is the Activity Based Funding: Mental Health Care National Best Endeavours Data Set (ABF MHC NBEDS) for </w:t>
      </w:r>
      <w:r w:rsidR="004E0F49">
        <w:t>2019</w:t>
      </w:r>
      <w:r w:rsidR="00270214">
        <w:t>–</w:t>
      </w:r>
      <w:r w:rsidR="004E0F49">
        <w:t>20</w:t>
      </w:r>
      <w:r>
        <w:t xml:space="preserve">. For admitted mental health care, data is reported by states and territories at two levels: </w:t>
      </w:r>
    </w:p>
    <w:p w14:paraId="7BA6551D" w14:textId="192485A4" w:rsidR="0078745B" w:rsidRDefault="0078745B" w:rsidP="0067139D">
      <w:pPr>
        <w:pStyle w:val="ListBullet"/>
        <w:numPr>
          <w:ilvl w:val="0"/>
          <w:numId w:val="34"/>
        </w:numPr>
      </w:pPr>
      <w:r>
        <w:t xml:space="preserve">Episode of mental health care </w:t>
      </w:r>
      <w:r w:rsidR="004D4A97">
        <w:t>–</w:t>
      </w:r>
      <w:r>
        <w:t xml:space="preserve"> supplied to IHPA in the ABF Mental Health Care Episode (MHCE) file.</w:t>
      </w:r>
    </w:p>
    <w:p w14:paraId="371C21E9" w14:textId="77777777" w:rsidR="0078745B" w:rsidRDefault="0078745B" w:rsidP="0067139D">
      <w:pPr>
        <w:pStyle w:val="ListBullet"/>
        <w:numPr>
          <w:ilvl w:val="0"/>
          <w:numId w:val="34"/>
        </w:numPr>
      </w:pPr>
      <w:r>
        <w:lastRenderedPageBreak/>
        <w:t>Mental health phase of care – supplied to IHPA in the ABF Mental Health Care Phase (MHCP) file.</w:t>
      </w:r>
    </w:p>
    <w:p w14:paraId="4D4DC288" w14:textId="71BB07CB" w:rsidR="0078745B" w:rsidRDefault="0078745B" w:rsidP="0078745B">
      <w:r>
        <w:t>This is used in combination with care type</w:t>
      </w:r>
      <w:r>
        <w:rPr>
          <w:rStyle w:val="FootnoteReference"/>
        </w:rPr>
        <w:footnoteReference w:id="14"/>
      </w:r>
      <w:r>
        <w:t xml:space="preserve"> </w:t>
      </w:r>
      <w:r>
        <w:rPr>
          <w:i/>
        </w:rPr>
        <w:t xml:space="preserve">11 Mental health care </w:t>
      </w:r>
      <w:r>
        <w:t xml:space="preserve">data from the </w:t>
      </w:r>
      <w:r w:rsidR="002B1114">
        <w:t>2019</w:t>
      </w:r>
      <w:r w:rsidR="00A84D5C">
        <w:t>–</w:t>
      </w:r>
      <w:r w:rsidR="002B1114">
        <w:t xml:space="preserve">20 </w:t>
      </w:r>
      <w:r>
        <w:t xml:space="preserve">APC NMDS, which also provides episode-level data including funding source and mental health legal status. </w:t>
      </w:r>
    </w:p>
    <w:p w14:paraId="3B2CC1E9" w14:textId="7751DF87" w:rsidR="0078745B" w:rsidRDefault="0078745B" w:rsidP="0078745B">
      <w:r>
        <w:t xml:space="preserve">Cost data is reported through Round </w:t>
      </w:r>
      <w:r w:rsidR="002B1114">
        <w:t xml:space="preserve">24 </w:t>
      </w:r>
      <w:r>
        <w:t>(</w:t>
      </w:r>
      <w:r w:rsidR="002B1114">
        <w:t>2019</w:t>
      </w:r>
      <w:r w:rsidR="00270214">
        <w:t>–</w:t>
      </w:r>
      <w:r w:rsidR="002B1114">
        <w:t>20</w:t>
      </w:r>
      <w:r>
        <w:t xml:space="preserve">) of the NHCDC, which may be reported by states and territories at either the phase level (preferred) or the episode level. Linkage between activity and cost data sets is illustrated </w:t>
      </w:r>
      <w:r w:rsidRPr="00F41C22">
        <w:t xml:space="preserve">in Figure </w:t>
      </w:r>
      <w:r>
        <w:t>4</w:t>
      </w:r>
      <w:r w:rsidRPr="00F41C22">
        <w:t>.</w:t>
      </w:r>
    </w:p>
    <w:p w14:paraId="3F17CDB4" w14:textId="77777777" w:rsidR="0078745B" w:rsidRPr="002A46C4" w:rsidRDefault="0078745B" w:rsidP="0078745B">
      <w:pPr>
        <w:rPr>
          <w:b/>
        </w:rPr>
      </w:pPr>
      <w:r w:rsidRPr="002A46C4">
        <w:rPr>
          <w:b/>
        </w:rPr>
        <w:t>Figure 4: Mental health activity and cost data linkage</w:t>
      </w:r>
    </w:p>
    <w:p w14:paraId="0F3B45DD" w14:textId="77777777" w:rsidR="0078745B" w:rsidRPr="00962864" w:rsidRDefault="0078745B" w:rsidP="0078745B">
      <w:pPr>
        <w:pStyle w:val="ListBullet"/>
        <w:numPr>
          <w:ilvl w:val="0"/>
          <w:numId w:val="0"/>
        </w:numPr>
        <w:ind w:left="360"/>
      </w:pPr>
      <w:r>
        <w:rPr>
          <w:noProof/>
          <w:color w:val="2B579A"/>
          <w:shd w:val="clear" w:color="auto" w:fill="E6E6E6"/>
        </w:rPr>
        <w:drawing>
          <wp:inline distT="0" distB="0" distL="0" distR="0" wp14:anchorId="6FF3F018" wp14:editId="7C4ECD7D">
            <wp:extent cx="5732890" cy="1242884"/>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3">
                      <a:extLst>
                        <a:ext uri="{28A0092B-C50C-407E-A947-70E740481C1C}">
                          <a14:useLocalDpi xmlns:a14="http://schemas.microsoft.com/office/drawing/2010/main" val="0"/>
                        </a:ext>
                      </a:extLst>
                    </a:blip>
                    <a:stretch>
                      <a:fillRect/>
                    </a:stretch>
                  </pic:blipFill>
                  <pic:spPr>
                    <a:xfrm>
                      <a:off x="0" y="0"/>
                      <a:ext cx="5732890" cy="1242884"/>
                    </a:xfrm>
                    <a:prstGeom prst="rect">
                      <a:avLst/>
                    </a:prstGeom>
                  </pic:spPr>
                </pic:pic>
              </a:graphicData>
            </a:graphic>
          </wp:inline>
        </w:drawing>
      </w:r>
    </w:p>
    <w:p w14:paraId="7BF995BF" w14:textId="65659A8F" w:rsidR="00962864" w:rsidRDefault="00962864" w:rsidP="00755433">
      <w:pPr>
        <w:pStyle w:val="Heading3"/>
      </w:pPr>
      <w:r>
        <w:t xml:space="preserve">Data </w:t>
      </w:r>
      <w:r w:rsidR="002A47A2">
        <w:t>preparation</w:t>
      </w:r>
    </w:p>
    <w:p w14:paraId="224833F0" w14:textId="77777777" w:rsidR="00236828" w:rsidRDefault="00236828" w:rsidP="00236828">
      <w:pPr>
        <w:tabs>
          <w:tab w:val="left" w:pos="1162"/>
        </w:tabs>
        <w:spacing w:line="240" w:lineRule="auto"/>
        <w:rPr>
          <w:rFonts w:cs="Arial"/>
          <w:szCs w:val="20"/>
        </w:rPr>
      </w:pPr>
      <w:r>
        <w:rPr>
          <w:rFonts w:cs="Arial"/>
          <w:szCs w:val="20"/>
        </w:rPr>
        <w:t>After data linkage, a range of steps were undertaken to prepare the data for input to the cost model:</w:t>
      </w:r>
    </w:p>
    <w:p w14:paraId="46FD51A8" w14:textId="77777777" w:rsidR="00236828" w:rsidRPr="00F1170A" w:rsidRDefault="00236828" w:rsidP="0067139D">
      <w:pPr>
        <w:pStyle w:val="ListBullet"/>
        <w:numPr>
          <w:ilvl w:val="0"/>
          <w:numId w:val="34"/>
        </w:numPr>
        <w:rPr>
          <w:rFonts w:cs="Arial"/>
          <w:szCs w:val="20"/>
        </w:rPr>
      </w:pPr>
      <w:r w:rsidRPr="00F1170A">
        <w:t xml:space="preserve">Where the same variables are present across both files, variables are condensed to a single field, generally giving preference to the APC data (as this is a more mature data set). For example, a non-missing value for Indigenous status from the APC data is used in preference to the value from the MHCE data set. </w:t>
      </w:r>
    </w:p>
    <w:p w14:paraId="7F328134" w14:textId="77777777" w:rsidR="00236828" w:rsidRPr="00F1170A" w:rsidRDefault="00236828" w:rsidP="0067139D">
      <w:pPr>
        <w:pStyle w:val="ListBullet"/>
        <w:numPr>
          <w:ilvl w:val="0"/>
          <w:numId w:val="34"/>
        </w:numPr>
      </w:pPr>
      <w:r w:rsidRPr="00F1170A">
        <w:t>Phase dates are cleaned such that:</w:t>
      </w:r>
    </w:p>
    <w:p w14:paraId="4F93ACAA" w14:textId="77777777" w:rsidR="00236828" w:rsidRPr="00F1170A" w:rsidRDefault="00236828" w:rsidP="008D5B4E">
      <w:pPr>
        <w:pStyle w:val="ListBullet"/>
      </w:pPr>
      <w:r w:rsidRPr="00F1170A">
        <w:t xml:space="preserve">If phase start date is missing but phase end date is not missing, and if the episode admission date is less than or equal to the phase end date, then the phase start date is set equal to the episode admission date. </w:t>
      </w:r>
    </w:p>
    <w:p w14:paraId="6F53CA80" w14:textId="77777777" w:rsidR="00236828" w:rsidRPr="00F1170A" w:rsidRDefault="00236828" w:rsidP="008D5B4E">
      <w:pPr>
        <w:pStyle w:val="ListBullet"/>
      </w:pPr>
      <w:r w:rsidRPr="00F1170A">
        <w:t xml:space="preserve">If phase end date is missing but phase start date is not missing, and if the episode separation date is greater than or equal to the phase start date, then the phase end date is set equal to the episode separation date. </w:t>
      </w:r>
    </w:p>
    <w:p w14:paraId="7C8C7B0B" w14:textId="77777777" w:rsidR="00236828" w:rsidRPr="00F1170A" w:rsidRDefault="00236828" w:rsidP="008D5B4E">
      <w:pPr>
        <w:pStyle w:val="ListBullet"/>
      </w:pPr>
      <w:r w:rsidRPr="00F1170A">
        <w:t>If both phase start and end dates are missing then the episode admission and discharge dates are adopted. This means that episodes that are not linked to phase data are considered phases with unknown phase type.</w:t>
      </w:r>
    </w:p>
    <w:p w14:paraId="34596097" w14:textId="77777777" w:rsidR="00236828" w:rsidRPr="00F1170A" w:rsidRDefault="00236828" w:rsidP="0067139D">
      <w:pPr>
        <w:pStyle w:val="ListBullet"/>
        <w:numPr>
          <w:ilvl w:val="0"/>
          <w:numId w:val="34"/>
        </w:numPr>
      </w:pPr>
      <w:r w:rsidRPr="00F1170A">
        <w:t xml:space="preserve">Age is recalculated based on the cleaned phase dates, thereby preferencing patient age at the start of the phase and otherwise using the age at episode start. </w:t>
      </w:r>
    </w:p>
    <w:p w14:paraId="63DB439D" w14:textId="77777777" w:rsidR="00236828" w:rsidRPr="00F1170A" w:rsidRDefault="00236828" w:rsidP="0067139D">
      <w:pPr>
        <w:pStyle w:val="ListBullet"/>
        <w:numPr>
          <w:ilvl w:val="0"/>
          <w:numId w:val="34"/>
        </w:numPr>
      </w:pPr>
      <w:r w:rsidRPr="00F1170A">
        <w:t xml:space="preserve">The AMHCC v1.0 grouper is then re-applied to the data, in order to get the most accurate grouping based on the linked data, followed by linkage of remoteness variables as per the admitted acute model. </w:t>
      </w:r>
    </w:p>
    <w:p w14:paraId="6DBDD82A" w14:textId="6AAB9857" w:rsidR="00236828" w:rsidRPr="00F1170A" w:rsidRDefault="00236828" w:rsidP="0067139D">
      <w:pPr>
        <w:pStyle w:val="ListBullet"/>
        <w:numPr>
          <w:ilvl w:val="0"/>
          <w:numId w:val="34"/>
        </w:numPr>
      </w:pPr>
      <w:r w:rsidRPr="00F1170A">
        <w:t>Blood and PBS costs</w:t>
      </w:r>
      <w:r>
        <w:t xml:space="preserve">, as well as </w:t>
      </w:r>
      <w:r w:rsidR="006721BE">
        <w:t>S</w:t>
      </w:r>
      <w:r>
        <w:t xml:space="preserve">tate </w:t>
      </w:r>
      <w:r w:rsidR="006721BE">
        <w:t>P</w:t>
      </w:r>
      <w:r>
        <w:t xml:space="preserve">ublic </w:t>
      </w:r>
      <w:r w:rsidR="006721BE">
        <w:t>H</w:t>
      </w:r>
      <w:r>
        <w:t xml:space="preserve">ealth </w:t>
      </w:r>
      <w:r w:rsidR="006721BE">
        <w:t>P</w:t>
      </w:r>
      <w:r>
        <w:t>ayments,</w:t>
      </w:r>
      <w:r w:rsidRPr="00F1170A">
        <w:t xml:space="preserve"> are removed from patient costs.</w:t>
      </w:r>
    </w:p>
    <w:p w14:paraId="271AC64F" w14:textId="77777777" w:rsidR="00236828" w:rsidRDefault="00236828" w:rsidP="00236828">
      <w:r>
        <w:t>To refine the data to be used for modelling, steps are then taken to trim the data, as outlined in Table 4.</w:t>
      </w:r>
    </w:p>
    <w:p w14:paraId="493692B3" w14:textId="77777777" w:rsidR="00236828" w:rsidRPr="00F41C22" w:rsidRDefault="00236828" w:rsidP="00236828">
      <w:pPr>
        <w:keepNext/>
        <w:rPr>
          <w:b/>
        </w:rPr>
      </w:pPr>
      <w:r w:rsidRPr="00F41C22">
        <w:rPr>
          <w:b/>
        </w:rPr>
        <w:lastRenderedPageBreak/>
        <w:t xml:space="preserve">Table </w:t>
      </w:r>
      <w:r>
        <w:rPr>
          <w:b/>
        </w:rPr>
        <w:t>4</w:t>
      </w:r>
      <w:r w:rsidRPr="00F41C22">
        <w:rPr>
          <w:b/>
        </w:rPr>
        <w:t>: Number of episodes trimmed at each data preparation stage</w:t>
      </w:r>
    </w:p>
    <w:tbl>
      <w:tblPr>
        <w:tblStyle w:val="TableGrid"/>
        <w:tblW w:w="0" w:type="auto"/>
        <w:tblInd w:w="85" w:type="dxa"/>
        <w:tblLook w:val="0480" w:firstRow="0" w:lastRow="0" w:firstColumn="1" w:lastColumn="0" w:noHBand="0" w:noVBand="1"/>
        <w:tblCaption w:val="Table 2: Number of episodes trimmed at each data preparation stage."/>
      </w:tblPr>
      <w:tblGrid>
        <w:gridCol w:w="330"/>
        <w:gridCol w:w="6378"/>
        <w:gridCol w:w="1818"/>
      </w:tblGrid>
      <w:tr w:rsidR="00236828" w:rsidRPr="001A5D34" w14:paraId="0ABEA443" w14:textId="77777777" w:rsidTr="003C0686">
        <w:trPr>
          <w:trHeight w:val="288"/>
        </w:trPr>
        <w:tc>
          <w:tcPr>
            <w:tcW w:w="6708" w:type="dxa"/>
            <w:gridSpan w:val="2"/>
            <w:shd w:val="clear" w:color="auto" w:fill="288A32"/>
            <w:hideMark/>
          </w:tcPr>
          <w:p w14:paraId="4DA6BA3D" w14:textId="77777777" w:rsidR="00236828" w:rsidRPr="003A708C" w:rsidRDefault="00236828" w:rsidP="003C0686">
            <w:pPr>
              <w:tabs>
                <w:tab w:val="left" w:pos="1162"/>
              </w:tabs>
              <w:spacing w:line="240" w:lineRule="auto"/>
              <w:ind w:right="-28"/>
              <w:rPr>
                <w:rFonts w:cs="Arial"/>
                <w:b/>
                <w:bCs/>
                <w:color w:val="FFFFFF"/>
                <w:sz w:val="20"/>
                <w:szCs w:val="20"/>
              </w:rPr>
            </w:pPr>
            <w:r w:rsidRPr="003A708C">
              <w:rPr>
                <w:rFonts w:cs="Arial"/>
                <w:b/>
                <w:bCs/>
                <w:color w:val="FFFFFF"/>
                <w:sz w:val="20"/>
                <w:szCs w:val="20"/>
              </w:rPr>
              <w:t>Trimming stage</w:t>
            </w:r>
          </w:p>
        </w:tc>
        <w:tc>
          <w:tcPr>
            <w:tcW w:w="1818" w:type="dxa"/>
            <w:shd w:val="clear" w:color="auto" w:fill="288A32"/>
            <w:hideMark/>
          </w:tcPr>
          <w:p w14:paraId="10438E81" w14:textId="77777777" w:rsidR="00236828" w:rsidRPr="003A708C" w:rsidRDefault="00236828" w:rsidP="003C0686">
            <w:pPr>
              <w:tabs>
                <w:tab w:val="left" w:pos="1162"/>
              </w:tabs>
              <w:spacing w:line="240" w:lineRule="auto"/>
              <w:ind w:right="-28"/>
              <w:jc w:val="center"/>
              <w:rPr>
                <w:rFonts w:cs="Calibri"/>
                <w:b/>
                <w:bCs/>
                <w:color w:val="FFFFFF"/>
                <w:sz w:val="20"/>
                <w:szCs w:val="20"/>
              </w:rPr>
            </w:pPr>
            <w:r w:rsidRPr="003A708C">
              <w:rPr>
                <w:rFonts w:cs="Calibri"/>
                <w:b/>
                <w:bCs/>
                <w:color w:val="FFFFFF"/>
                <w:sz w:val="20"/>
                <w:szCs w:val="20"/>
              </w:rPr>
              <w:t>Records</w:t>
            </w:r>
          </w:p>
        </w:tc>
      </w:tr>
      <w:tr w:rsidR="00236828" w:rsidRPr="001A5D34" w14:paraId="11DC0B52" w14:textId="77777777" w:rsidTr="003C0686">
        <w:trPr>
          <w:trHeight w:val="288"/>
        </w:trPr>
        <w:tc>
          <w:tcPr>
            <w:tcW w:w="6708" w:type="dxa"/>
            <w:gridSpan w:val="2"/>
            <w:shd w:val="clear" w:color="auto" w:fill="288A32"/>
          </w:tcPr>
          <w:p w14:paraId="4EB0570F" w14:textId="77777777" w:rsidR="00236828" w:rsidRPr="003A708C" w:rsidRDefault="00236828" w:rsidP="003C0686">
            <w:pPr>
              <w:ind w:right="-28"/>
              <w:rPr>
                <w:rFonts w:cs="Arial"/>
                <w:bCs/>
                <w:color w:val="FFFFFF"/>
                <w:sz w:val="20"/>
                <w:szCs w:val="20"/>
              </w:rPr>
            </w:pPr>
            <w:r w:rsidRPr="003A708C">
              <w:rPr>
                <w:rFonts w:cs="Arial"/>
                <w:color w:val="FFFFFF"/>
                <w:sz w:val="20"/>
                <w:szCs w:val="20"/>
              </w:rPr>
              <w:t>(a</w:t>
            </w:r>
            <w:r w:rsidRPr="003A708C">
              <w:rPr>
                <w:rFonts w:cs="Arial"/>
                <w:bCs/>
                <w:color w:val="FFFFFF"/>
                <w:sz w:val="20"/>
                <w:szCs w:val="20"/>
              </w:rPr>
              <w:t>) Initial activity-level sample of admitted mental health records</w:t>
            </w:r>
          </w:p>
        </w:tc>
        <w:tc>
          <w:tcPr>
            <w:tcW w:w="1818" w:type="dxa"/>
            <w:shd w:val="clear" w:color="auto" w:fill="288A32"/>
          </w:tcPr>
          <w:p w14:paraId="5E08C78B" w14:textId="7A5BF264" w:rsidR="00236828" w:rsidRPr="003A708C" w:rsidRDefault="002214AD" w:rsidP="003C0686">
            <w:pPr>
              <w:tabs>
                <w:tab w:val="left" w:pos="1162"/>
              </w:tabs>
              <w:spacing w:line="240" w:lineRule="auto"/>
              <w:ind w:right="-28"/>
              <w:jc w:val="center"/>
              <w:rPr>
                <w:rFonts w:cs="Calibri"/>
                <w:b/>
                <w:bCs/>
                <w:color w:val="FFFFFF"/>
                <w:sz w:val="20"/>
                <w:szCs w:val="20"/>
              </w:rPr>
            </w:pPr>
            <w:r>
              <w:rPr>
                <w:rFonts w:cs="Calibri"/>
                <w:b/>
                <w:bCs/>
                <w:color w:val="FFFFFF"/>
                <w:sz w:val="20"/>
                <w:szCs w:val="20"/>
              </w:rPr>
              <w:t>151,753</w:t>
            </w:r>
          </w:p>
        </w:tc>
      </w:tr>
      <w:tr w:rsidR="00236828" w:rsidRPr="001A5D34" w14:paraId="2BB17AF2" w14:textId="77777777" w:rsidTr="003C0686">
        <w:trPr>
          <w:trHeight w:val="300"/>
        </w:trPr>
        <w:tc>
          <w:tcPr>
            <w:tcW w:w="6708" w:type="dxa"/>
            <w:gridSpan w:val="2"/>
            <w:hideMark/>
          </w:tcPr>
          <w:p w14:paraId="41AB0AE0" w14:textId="77777777" w:rsidR="00236828" w:rsidRPr="003A708C" w:rsidRDefault="00236828" w:rsidP="003C0686">
            <w:pPr>
              <w:tabs>
                <w:tab w:val="left" w:pos="1162"/>
              </w:tabs>
              <w:spacing w:line="240" w:lineRule="auto"/>
              <w:ind w:right="-28"/>
              <w:rPr>
                <w:rFonts w:cs="Arial"/>
                <w:sz w:val="20"/>
                <w:szCs w:val="20"/>
              </w:rPr>
            </w:pPr>
            <w:r w:rsidRPr="003A708C">
              <w:rPr>
                <w:rFonts w:cs="Arial"/>
                <w:sz w:val="20"/>
                <w:szCs w:val="20"/>
              </w:rPr>
              <w:t>(b) Initial activity-level cost sample of admitted mental health records</w:t>
            </w:r>
          </w:p>
        </w:tc>
        <w:tc>
          <w:tcPr>
            <w:tcW w:w="1818" w:type="dxa"/>
          </w:tcPr>
          <w:p w14:paraId="59CD1528" w14:textId="346EEABA" w:rsidR="00236828" w:rsidRPr="003A708C" w:rsidRDefault="007900A5" w:rsidP="003C0686">
            <w:pPr>
              <w:tabs>
                <w:tab w:val="left" w:pos="1162"/>
              </w:tabs>
              <w:spacing w:line="240" w:lineRule="auto"/>
              <w:ind w:right="-28"/>
              <w:jc w:val="center"/>
              <w:rPr>
                <w:rFonts w:eastAsia="Arial" w:cs="Arial"/>
                <w:b/>
                <w:sz w:val="20"/>
                <w:szCs w:val="20"/>
              </w:rPr>
            </w:pPr>
            <w:r>
              <w:rPr>
                <w:rFonts w:eastAsia="Arial" w:cs="Arial"/>
                <w:b/>
                <w:sz w:val="20"/>
                <w:szCs w:val="20"/>
              </w:rPr>
              <w:t>124,262</w:t>
            </w:r>
          </w:p>
        </w:tc>
      </w:tr>
      <w:tr w:rsidR="00236828" w:rsidRPr="001A5D34" w14:paraId="1A0666B7" w14:textId="77777777" w:rsidTr="003C0686">
        <w:trPr>
          <w:trHeight w:val="300"/>
        </w:trPr>
        <w:tc>
          <w:tcPr>
            <w:tcW w:w="6708" w:type="dxa"/>
            <w:gridSpan w:val="2"/>
            <w:hideMark/>
          </w:tcPr>
          <w:p w14:paraId="52C66078" w14:textId="77777777" w:rsidR="00236828" w:rsidRPr="003A708C" w:rsidRDefault="00236828" w:rsidP="003C0686">
            <w:pPr>
              <w:tabs>
                <w:tab w:val="left" w:pos="1162"/>
              </w:tabs>
              <w:spacing w:line="240" w:lineRule="auto"/>
              <w:ind w:right="-28"/>
              <w:rPr>
                <w:rFonts w:cs="Arial"/>
                <w:sz w:val="20"/>
                <w:szCs w:val="20"/>
              </w:rPr>
            </w:pPr>
            <w:r w:rsidRPr="003A708C">
              <w:rPr>
                <w:rFonts w:cs="Arial"/>
                <w:sz w:val="20"/>
                <w:szCs w:val="20"/>
              </w:rPr>
              <w:t xml:space="preserve">  </w:t>
            </w:r>
            <w:r w:rsidRPr="003A708C">
              <w:rPr>
                <w:rFonts w:cs="Arial"/>
                <w:b/>
                <w:sz w:val="20"/>
                <w:szCs w:val="20"/>
              </w:rPr>
              <w:t xml:space="preserve">Less </w:t>
            </w:r>
            <w:r w:rsidRPr="003A708C">
              <w:rPr>
                <w:sz w:val="20"/>
                <w:szCs w:val="20"/>
              </w:rPr>
              <w:t>–</w:t>
            </w:r>
            <w:r w:rsidRPr="003A708C">
              <w:rPr>
                <w:rFonts w:cs="Arial"/>
                <w:sz w:val="20"/>
                <w:szCs w:val="20"/>
              </w:rPr>
              <w:t xml:space="preserve"> Total trimmed episodes</w:t>
            </w:r>
          </w:p>
        </w:tc>
        <w:tc>
          <w:tcPr>
            <w:tcW w:w="1818" w:type="dxa"/>
          </w:tcPr>
          <w:p w14:paraId="1F6FAB2B" w14:textId="540028DB" w:rsidR="00236828" w:rsidRPr="003A708C" w:rsidRDefault="00784286" w:rsidP="003C0686">
            <w:pPr>
              <w:tabs>
                <w:tab w:val="left" w:pos="1162"/>
              </w:tabs>
              <w:spacing w:line="240" w:lineRule="auto"/>
              <w:ind w:right="-28"/>
              <w:jc w:val="center"/>
              <w:rPr>
                <w:rFonts w:eastAsia="Arial" w:cs="Arial"/>
                <w:b/>
                <w:sz w:val="20"/>
                <w:szCs w:val="20"/>
              </w:rPr>
            </w:pPr>
            <w:r>
              <w:rPr>
                <w:rFonts w:eastAsia="Arial" w:cs="Arial"/>
                <w:b/>
                <w:sz w:val="20"/>
                <w:szCs w:val="20"/>
              </w:rPr>
              <w:t>-</w:t>
            </w:r>
            <w:r w:rsidR="33F5F24E" w:rsidRPr="33F5F24E">
              <w:rPr>
                <w:rFonts w:eastAsia="Arial" w:cs="Arial"/>
                <w:b/>
                <w:bCs/>
                <w:sz w:val="20"/>
                <w:szCs w:val="20"/>
              </w:rPr>
              <w:t>15,652</w:t>
            </w:r>
          </w:p>
        </w:tc>
      </w:tr>
      <w:tr w:rsidR="00236828" w:rsidRPr="001A5D34" w14:paraId="42BCB996" w14:textId="77777777" w:rsidTr="003C0686">
        <w:trPr>
          <w:trHeight w:val="576"/>
        </w:trPr>
        <w:tc>
          <w:tcPr>
            <w:tcW w:w="330" w:type="dxa"/>
            <w:noWrap/>
          </w:tcPr>
          <w:p w14:paraId="029F4902" w14:textId="77777777" w:rsidR="00236828" w:rsidRPr="003A708C" w:rsidRDefault="00236828" w:rsidP="003C0686">
            <w:pPr>
              <w:tabs>
                <w:tab w:val="left" w:pos="1162"/>
              </w:tabs>
              <w:spacing w:line="240" w:lineRule="auto"/>
              <w:ind w:right="-28"/>
              <w:rPr>
                <w:rFonts w:cs="Arial"/>
                <w:sz w:val="20"/>
                <w:szCs w:val="20"/>
              </w:rPr>
            </w:pPr>
          </w:p>
        </w:tc>
        <w:tc>
          <w:tcPr>
            <w:tcW w:w="6378" w:type="dxa"/>
          </w:tcPr>
          <w:p w14:paraId="33C092FD" w14:textId="27FBFF68" w:rsidR="00236828" w:rsidRPr="003A708C" w:rsidRDefault="00236828" w:rsidP="003C0686">
            <w:pPr>
              <w:tabs>
                <w:tab w:val="left" w:pos="1162"/>
              </w:tabs>
              <w:spacing w:line="240" w:lineRule="auto"/>
              <w:ind w:right="-28"/>
              <w:rPr>
                <w:rFonts w:cs="Arial"/>
                <w:sz w:val="20"/>
                <w:szCs w:val="20"/>
              </w:rPr>
            </w:pPr>
            <w:r w:rsidRPr="003A708C">
              <w:rPr>
                <w:rFonts w:cs="Arial"/>
                <w:sz w:val="20"/>
                <w:szCs w:val="20"/>
              </w:rPr>
              <w:t xml:space="preserve">(c) </w:t>
            </w:r>
            <w:r w:rsidR="00DF5FE1">
              <w:rPr>
                <w:rFonts w:cs="Arial"/>
                <w:sz w:val="20"/>
                <w:szCs w:val="20"/>
              </w:rPr>
              <w:t>Phases records with non-unique</w:t>
            </w:r>
            <w:r w:rsidR="00C72F26">
              <w:rPr>
                <w:rFonts w:cs="Arial"/>
                <w:sz w:val="20"/>
                <w:szCs w:val="20"/>
              </w:rPr>
              <w:t xml:space="preserve"> or non-phase-level costs</w:t>
            </w:r>
          </w:p>
        </w:tc>
        <w:tc>
          <w:tcPr>
            <w:tcW w:w="1818" w:type="dxa"/>
          </w:tcPr>
          <w:p w14:paraId="7DD3D5C4" w14:textId="0981F181" w:rsidR="00236828" w:rsidRPr="003A708C" w:rsidRDefault="001E5FAB" w:rsidP="003C0686">
            <w:pPr>
              <w:tabs>
                <w:tab w:val="left" w:pos="1162"/>
              </w:tabs>
              <w:spacing w:line="240" w:lineRule="auto"/>
              <w:ind w:right="-28"/>
              <w:jc w:val="center"/>
              <w:rPr>
                <w:rFonts w:eastAsia="Arial" w:cs="Arial"/>
                <w:b/>
                <w:sz w:val="20"/>
                <w:szCs w:val="20"/>
              </w:rPr>
            </w:pPr>
            <w:r>
              <w:rPr>
                <w:rFonts w:eastAsia="Arial" w:cs="Arial"/>
                <w:b/>
                <w:sz w:val="20"/>
                <w:szCs w:val="20"/>
              </w:rPr>
              <w:t>-</w:t>
            </w:r>
            <w:r w:rsidR="00A610E8">
              <w:rPr>
                <w:rFonts w:eastAsia="Arial" w:cs="Arial"/>
                <w:b/>
                <w:sz w:val="20"/>
                <w:szCs w:val="20"/>
              </w:rPr>
              <w:t>10,595</w:t>
            </w:r>
          </w:p>
        </w:tc>
      </w:tr>
      <w:tr w:rsidR="00236828" w:rsidRPr="001A5D34" w14:paraId="491AF79C" w14:textId="77777777" w:rsidTr="003C0686">
        <w:trPr>
          <w:trHeight w:val="576"/>
        </w:trPr>
        <w:tc>
          <w:tcPr>
            <w:tcW w:w="330" w:type="dxa"/>
            <w:noWrap/>
          </w:tcPr>
          <w:p w14:paraId="1A429B1B" w14:textId="77777777" w:rsidR="00236828" w:rsidRPr="003A708C" w:rsidRDefault="00236828" w:rsidP="003C0686">
            <w:pPr>
              <w:tabs>
                <w:tab w:val="left" w:pos="1162"/>
              </w:tabs>
              <w:spacing w:line="240" w:lineRule="auto"/>
              <w:ind w:right="-28"/>
              <w:rPr>
                <w:rFonts w:cs="Arial"/>
                <w:sz w:val="20"/>
                <w:szCs w:val="20"/>
              </w:rPr>
            </w:pPr>
          </w:p>
        </w:tc>
        <w:tc>
          <w:tcPr>
            <w:tcW w:w="6378" w:type="dxa"/>
          </w:tcPr>
          <w:p w14:paraId="08450A18" w14:textId="77777777" w:rsidR="00236828" w:rsidRPr="003A708C" w:rsidRDefault="00236828" w:rsidP="003C0686">
            <w:pPr>
              <w:tabs>
                <w:tab w:val="left" w:pos="1162"/>
              </w:tabs>
              <w:spacing w:line="240" w:lineRule="auto"/>
              <w:ind w:right="-28"/>
              <w:rPr>
                <w:rFonts w:cs="Arial"/>
                <w:sz w:val="20"/>
                <w:szCs w:val="20"/>
              </w:rPr>
            </w:pPr>
            <w:r w:rsidRPr="003A708C">
              <w:rPr>
                <w:rFonts w:cs="Arial"/>
                <w:sz w:val="20"/>
                <w:szCs w:val="20"/>
              </w:rPr>
              <w:t>(f) Work in progress (phase start prior to 1 July 2018)</w:t>
            </w:r>
          </w:p>
        </w:tc>
        <w:tc>
          <w:tcPr>
            <w:tcW w:w="1818" w:type="dxa"/>
          </w:tcPr>
          <w:p w14:paraId="5BA0F66F" w14:textId="52AFA28F" w:rsidR="00236828" w:rsidRPr="003A708C" w:rsidRDefault="001E5FAB" w:rsidP="003C0686">
            <w:pPr>
              <w:tabs>
                <w:tab w:val="left" w:pos="1162"/>
              </w:tabs>
              <w:spacing w:line="240" w:lineRule="auto"/>
              <w:ind w:right="-28"/>
              <w:jc w:val="center"/>
              <w:rPr>
                <w:rFonts w:eastAsia="Arial" w:cs="Arial"/>
                <w:b/>
                <w:sz w:val="20"/>
                <w:szCs w:val="20"/>
              </w:rPr>
            </w:pPr>
            <w:r>
              <w:rPr>
                <w:rFonts w:eastAsia="Arial" w:cs="Arial"/>
                <w:b/>
                <w:sz w:val="20"/>
                <w:szCs w:val="20"/>
              </w:rPr>
              <w:t>-</w:t>
            </w:r>
            <w:r w:rsidR="00A610E8">
              <w:rPr>
                <w:rFonts w:eastAsia="Arial" w:cs="Arial"/>
                <w:b/>
                <w:sz w:val="20"/>
                <w:szCs w:val="20"/>
              </w:rPr>
              <w:t>60</w:t>
            </w:r>
          </w:p>
        </w:tc>
      </w:tr>
      <w:tr w:rsidR="00236828" w:rsidRPr="001A5D34" w14:paraId="1431F115" w14:textId="77777777" w:rsidTr="003C0686">
        <w:trPr>
          <w:trHeight w:val="576"/>
        </w:trPr>
        <w:tc>
          <w:tcPr>
            <w:tcW w:w="330" w:type="dxa"/>
            <w:noWrap/>
          </w:tcPr>
          <w:p w14:paraId="2A99FC1B" w14:textId="77777777" w:rsidR="00236828" w:rsidRPr="003A708C" w:rsidRDefault="00236828" w:rsidP="003C0686">
            <w:pPr>
              <w:tabs>
                <w:tab w:val="left" w:pos="1162"/>
              </w:tabs>
              <w:spacing w:line="240" w:lineRule="auto"/>
              <w:ind w:right="-28"/>
              <w:rPr>
                <w:rFonts w:cs="Arial"/>
                <w:sz w:val="20"/>
                <w:szCs w:val="20"/>
              </w:rPr>
            </w:pPr>
          </w:p>
        </w:tc>
        <w:tc>
          <w:tcPr>
            <w:tcW w:w="6378" w:type="dxa"/>
          </w:tcPr>
          <w:p w14:paraId="706968E1" w14:textId="77777777" w:rsidR="00236828" w:rsidRPr="003A708C" w:rsidRDefault="00236828" w:rsidP="003C0686">
            <w:pPr>
              <w:tabs>
                <w:tab w:val="left" w:pos="1162"/>
              </w:tabs>
              <w:spacing w:line="240" w:lineRule="auto"/>
              <w:ind w:right="-28"/>
              <w:rPr>
                <w:rFonts w:cs="Arial"/>
                <w:sz w:val="20"/>
                <w:szCs w:val="20"/>
              </w:rPr>
            </w:pPr>
            <w:r w:rsidRPr="003A708C">
              <w:rPr>
                <w:rFonts w:cs="Arial"/>
                <w:sz w:val="20"/>
                <w:szCs w:val="20"/>
              </w:rPr>
              <w:t>(g) Error phase dates/phase length</w:t>
            </w:r>
          </w:p>
        </w:tc>
        <w:tc>
          <w:tcPr>
            <w:tcW w:w="1818" w:type="dxa"/>
          </w:tcPr>
          <w:p w14:paraId="16E96E1C" w14:textId="36FC314D" w:rsidR="00236828" w:rsidRPr="003A708C" w:rsidRDefault="001E5FAB" w:rsidP="003C0686">
            <w:pPr>
              <w:tabs>
                <w:tab w:val="left" w:pos="1162"/>
              </w:tabs>
              <w:spacing w:line="240" w:lineRule="auto"/>
              <w:ind w:right="-28"/>
              <w:jc w:val="center"/>
              <w:rPr>
                <w:rFonts w:eastAsia="Arial" w:cs="Arial"/>
                <w:b/>
                <w:sz w:val="20"/>
                <w:szCs w:val="20"/>
              </w:rPr>
            </w:pPr>
            <w:r>
              <w:rPr>
                <w:rFonts w:eastAsia="Arial" w:cs="Arial"/>
                <w:b/>
                <w:sz w:val="20"/>
                <w:szCs w:val="20"/>
              </w:rPr>
              <w:t>-</w:t>
            </w:r>
            <w:r w:rsidR="00A610E8">
              <w:rPr>
                <w:rFonts w:eastAsia="Arial" w:cs="Arial"/>
                <w:b/>
                <w:sz w:val="20"/>
                <w:szCs w:val="20"/>
              </w:rPr>
              <w:t>4,332</w:t>
            </w:r>
          </w:p>
        </w:tc>
      </w:tr>
      <w:tr w:rsidR="33F5F24E" w14:paraId="7F5D2954" w14:textId="77777777" w:rsidTr="33F5F24E">
        <w:trPr>
          <w:trHeight w:val="576"/>
        </w:trPr>
        <w:tc>
          <w:tcPr>
            <w:tcW w:w="330" w:type="dxa"/>
            <w:noWrap/>
            <w:hideMark/>
          </w:tcPr>
          <w:p w14:paraId="636A1A7B" w14:textId="3870B549" w:rsidR="33F5F24E" w:rsidRDefault="33F5F24E" w:rsidP="33F5F24E">
            <w:pPr>
              <w:spacing w:line="240" w:lineRule="auto"/>
              <w:rPr>
                <w:szCs w:val="22"/>
              </w:rPr>
            </w:pPr>
          </w:p>
        </w:tc>
        <w:tc>
          <w:tcPr>
            <w:tcW w:w="6378" w:type="dxa"/>
            <w:hideMark/>
          </w:tcPr>
          <w:p w14:paraId="1EE0A0C8" w14:textId="52B90BB6" w:rsidR="68FC9F08" w:rsidRDefault="68FC9F08" w:rsidP="33F5F24E">
            <w:pPr>
              <w:spacing w:line="240" w:lineRule="auto"/>
              <w:rPr>
                <w:szCs w:val="22"/>
              </w:rPr>
            </w:pPr>
            <w:r w:rsidRPr="33F5F24E">
              <w:rPr>
                <w:rFonts w:cs="Arial"/>
                <w:sz w:val="20"/>
                <w:szCs w:val="20"/>
              </w:rPr>
              <w:t>(h) Patient level cost data trimmed under jurisdictional advice</w:t>
            </w:r>
          </w:p>
        </w:tc>
        <w:tc>
          <w:tcPr>
            <w:tcW w:w="1818" w:type="dxa"/>
          </w:tcPr>
          <w:p w14:paraId="6EE5AD9B" w14:textId="46B709DF" w:rsidR="33F5F24E" w:rsidRDefault="33F5F24E" w:rsidP="33F5F24E">
            <w:pPr>
              <w:spacing w:line="240" w:lineRule="auto"/>
              <w:jc w:val="center"/>
              <w:rPr>
                <w:b/>
                <w:bCs/>
                <w:szCs w:val="22"/>
              </w:rPr>
            </w:pPr>
            <w:r w:rsidRPr="33F5F24E">
              <w:rPr>
                <w:b/>
                <w:bCs/>
                <w:szCs w:val="22"/>
              </w:rPr>
              <w:t>-41</w:t>
            </w:r>
          </w:p>
        </w:tc>
      </w:tr>
      <w:tr w:rsidR="00236828" w:rsidRPr="001A5D34" w14:paraId="6BD906C0" w14:textId="77777777" w:rsidTr="003C0686">
        <w:trPr>
          <w:trHeight w:val="576"/>
        </w:trPr>
        <w:tc>
          <w:tcPr>
            <w:tcW w:w="330" w:type="dxa"/>
            <w:vMerge w:val="restart"/>
            <w:noWrap/>
            <w:hideMark/>
          </w:tcPr>
          <w:p w14:paraId="5AFA5BFD" w14:textId="77777777" w:rsidR="00236828" w:rsidRPr="003A708C" w:rsidRDefault="00236828" w:rsidP="003C0686">
            <w:pPr>
              <w:tabs>
                <w:tab w:val="left" w:pos="1162"/>
              </w:tabs>
              <w:spacing w:line="240" w:lineRule="auto"/>
              <w:ind w:right="-28"/>
              <w:rPr>
                <w:rFonts w:cs="Arial"/>
                <w:sz w:val="20"/>
                <w:szCs w:val="20"/>
              </w:rPr>
            </w:pPr>
            <w:r w:rsidRPr="003A708C">
              <w:rPr>
                <w:rFonts w:cs="Arial"/>
                <w:sz w:val="20"/>
                <w:szCs w:val="20"/>
              </w:rPr>
              <w:t> </w:t>
            </w:r>
          </w:p>
        </w:tc>
        <w:tc>
          <w:tcPr>
            <w:tcW w:w="6378" w:type="dxa"/>
            <w:hideMark/>
          </w:tcPr>
          <w:p w14:paraId="51A7DCF0" w14:textId="252C3EF0" w:rsidR="00236828" w:rsidRPr="003A708C" w:rsidRDefault="00236828" w:rsidP="003C0686">
            <w:pPr>
              <w:tabs>
                <w:tab w:val="left" w:pos="1162"/>
              </w:tabs>
              <w:spacing w:line="240" w:lineRule="auto"/>
              <w:ind w:right="-28"/>
              <w:rPr>
                <w:rFonts w:cs="Arial"/>
                <w:sz w:val="20"/>
                <w:szCs w:val="20"/>
              </w:rPr>
            </w:pPr>
            <w:r w:rsidRPr="003A708C">
              <w:rPr>
                <w:rFonts w:cs="Arial"/>
                <w:sz w:val="20"/>
                <w:szCs w:val="20"/>
              </w:rPr>
              <w:t>(</w:t>
            </w:r>
            <w:r w:rsidR="36A2FFBC" w:rsidRPr="33F5F24E">
              <w:rPr>
                <w:rFonts w:cs="Arial"/>
                <w:sz w:val="20"/>
                <w:szCs w:val="20"/>
              </w:rPr>
              <w:t>i</w:t>
            </w:r>
            <w:r w:rsidRPr="003A708C">
              <w:rPr>
                <w:rFonts w:cs="Arial"/>
                <w:sz w:val="20"/>
                <w:szCs w:val="20"/>
              </w:rPr>
              <w:t>) Phases from hospital-AMHCC combinations with extremely high or low cost-to-price ratios</w:t>
            </w:r>
          </w:p>
        </w:tc>
        <w:tc>
          <w:tcPr>
            <w:tcW w:w="1818" w:type="dxa"/>
          </w:tcPr>
          <w:p w14:paraId="2FD3CFD6" w14:textId="03FC194A" w:rsidR="00236828" w:rsidRPr="003A708C" w:rsidRDefault="001E5FAB" w:rsidP="003C0686">
            <w:pPr>
              <w:tabs>
                <w:tab w:val="left" w:pos="1162"/>
              </w:tabs>
              <w:spacing w:line="240" w:lineRule="auto"/>
              <w:ind w:right="-28"/>
              <w:jc w:val="center"/>
              <w:rPr>
                <w:rFonts w:eastAsia="Arial" w:cs="Arial"/>
                <w:b/>
                <w:sz w:val="20"/>
                <w:szCs w:val="20"/>
              </w:rPr>
            </w:pPr>
            <w:r>
              <w:rPr>
                <w:rFonts w:eastAsia="Arial" w:cs="Arial"/>
                <w:b/>
                <w:sz w:val="20"/>
                <w:szCs w:val="20"/>
              </w:rPr>
              <w:t>-</w:t>
            </w:r>
            <w:r w:rsidR="00F05847">
              <w:rPr>
                <w:rFonts w:eastAsia="Arial" w:cs="Arial"/>
                <w:b/>
                <w:sz w:val="20"/>
                <w:szCs w:val="20"/>
              </w:rPr>
              <w:t>9</w:t>
            </w:r>
          </w:p>
        </w:tc>
      </w:tr>
      <w:tr w:rsidR="00236828" w:rsidRPr="001A5D34" w14:paraId="613B91DF" w14:textId="77777777" w:rsidTr="003C0686">
        <w:trPr>
          <w:trHeight w:val="576"/>
        </w:trPr>
        <w:tc>
          <w:tcPr>
            <w:tcW w:w="330" w:type="dxa"/>
            <w:vMerge/>
            <w:hideMark/>
          </w:tcPr>
          <w:p w14:paraId="7FE4F4EC" w14:textId="77777777" w:rsidR="00236828" w:rsidRPr="003A708C" w:rsidRDefault="00236828" w:rsidP="003C0686">
            <w:pPr>
              <w:tabs>
                <w:tab w:val="left" w:pos="1162"/>
              </w:tabs>
              <w:spacing w:line="240" w:lineRule="auto"/>
              <w:ind w:right="-28"/>
              <w:rPr>
                <w:rFonts w:cs="Arial"/>
                <w:sz w:val="20"/>
                <w:szCs w:val="20"/>
              </w:rPr>
            </w:pPr>
          </w:p>
        </w:tc>
        <w:tc>
          <w:tcPr>
            <w:tcW w:w="6378" w:type="dxa"/>
            <w:hideMark/>
          </w:tcPr>
          <w:p w14:paraId="0D9507A2" w14:textId="2D774DD0" w:rsidR="00236828" w:rsidRPr="003A708C" w:rsidRDefault="00236828" w:rsidP="003C0686">
            <w:pPr>
              <w:tabs>
                <w:tab w:val="left" w:pos="1162"/>
              </w:tabs>
              <w:spacing w:line="240" w:lineRule="auto"/>
              <w:ind w:right="-28"/>
              <w:rPr>
                <w:rFonts w:cs="Arial"/>
                <w:sz w:val="20"/>
                <w:szCs w:val="20"/>
              </w:rPr>
            </w:pPr>
            <w:r w:rsidRPr="003A708C">
              <w:rPr>
                <w:rFonts w:cs="Arial"/>
                <w:sz w:val="20"/>
                <w:szCs w:val="20"/>
              </w:rPr>
              <w:t>(</w:t>
            </w:r>
            <w:r w:rsidR="36A2FFBC" w:rsidRPr="33F5F24E">
              <w:rPr>
                <w:rFonts w:cs="Arial"/>
                <w:sz w:val="20"/>
                <w:szCs w:val="20"/>
              </w:rPr>
              <w:t>j</w:t>
            </w:r>
            <w:r w:rsidRPr="003A708C">
              <w:rPr>
                <w:rFonts w:cs="Arial"/>
                <w:sz w:val="20"/>
                <w:szCs w:val="20"/>
              </w:rPr>
              <w:t>) Removal of records with total in-scope costs &lt; $15</w:t>
            </w:r>
          </w:p>
        </w:tc>
        <w:tc>
          <w:tcPr>
            <w:tcW w:w="1818" w:type="dxa"/>
          </w:tcPr>
          <w:p w14:paraId="29529C1B" w14:textId="7962D5D7" w:rsidR="00236828" w:rsidRPr="003A708C" w:rsidRDefault="001E5FAB" w:rsidP="003C0686">
            <w:pPr>
              <w:tabs>
                <w:tab w:val="left" w:pos="1162"/>
              </w:tabs>
              <w:spacing w:line="240" w:lineRule="auto"/>
              <w:ind w:right="-28"/>
              <w:jc w:val="center"/>
              <w:rPr>
                <w:rFonts w:cs="Arial"/>
                <w:b/>
                <w:sz w:val="20"/>
                <w:szCs w:val="20"/>
              </w:rPr>
            </w:pPr>
            <w:r>
              <w:rPr>
                <w:rFonts w:cs="Arial"/>
                <w:b/>
                <w:sz w:val="20"/>
                <w:szCs w:val="20"/>
              </w:rPr>
              <w:t>-10</w:t>
            </w:r>
          </w:p>
        </w:tc>
      </w:tr>
      <w:tr w:rsidR="00236828" w:rsidRPr="001A5D34" w14:paraId="25328755" w14:textId="77777777" w:rsidTr="003C0686">
        <w:trPr>
          <w:trHeight w:val="288"/>
        </w:trPr>
        <w:tc>
          <w:tcPr>
            <w:tcW w:w="330" w:type="dxa"/>
            <w:vMerge/>
            <w:hideMark/>
          </w:tcPr>
          <w:p w14:paraId="4557FE97" w14:textId="77777777" w:rsidR="00236828" w:rsidRPr="003A708C" w:rsidRDefault="00236828" w:rsidP="003C0686">
            <w:pPr>
              <w:tabs>
                <w:tab w:val="left" w:pos="1162"/>
              </w:tabs>
              <w:spacing w:line="240" w:lineRule="auto"/>
              <w:ind w:right="-28"/>
              <w:rPr>
                <w:rFonts w:cs="Arial"/>
                <w:sz w:val="20"/>
                <w:szCs w:val="20"/>
              </w:rPr>
            </w:pPr>
          </w:p>
        </w:tc>
        <w:tc>
          <w:tcPr>
            <w:tcW w:w="6378" w:type="dxa"/>
            <w:hideMark/>
          </w:tcPr>
          <w:p w14:paraId="5BCEB3E1" w14:textId="54F0E91F" w:rsidR="00236828" w:rsidRPr="003A708C" w:rsidRDefault="00236828" w:rsidP="003C0686">
            <w:pPr>
              <w:tabs>
                <w:tab w:val="left" w:pos="1162"/>
              </w:tabs>
              <w:spacing w:line="240" w:lineRule="auto"/>
              <w:ind w:right="-28"/>
              <w:rPr>
                <w:rFonts w:cs="Arial"/>
                <w:sz w:val="20"/>
                <w:szCs w:val="20"/>
              </w:rPr>
            </w:pPr>
            <w:r w:rsidRPr="003A708C">
              <w:rPr>
                <w:rFonts w:cs="Arial"/>
                <w:sz w:val="20"/>
                <w:szCs w:val="20"/>
              </w:rPr>
              <w:t>(</w:t>
            </w:r>
            <w:r w:rsidR="36A2FFBC" w:rsidRPr="33F5F24E">
              <w:rPr>
                <w:rFonts w:cs="Arial"/>
                <w:sz w:val="20"/>
                <w:szCs w:val="20"/>
              </w:rPr>
              <w:t>k</w:t>
            </w:r>
            <w:r w:rsidRPr="003A708C">
              <w:rPr>
                <w:rFonts w:cs="Arial"/>
                <w:sz w:val="20"/>
                <w:szCs w:val="20"/>
              </w:rPr>
              <w:t xml:space="preserve">) Observations with extreme outlier costs </w:t>
            </w:r>
          </w:p>
        </w:tc>
        <w:tc>
          <w:tcPr>
            <w:tcW w:w="1818" w:type="dxa"/>
          </w:tcPr>
          <w:p w14:paraId="23D7B474" w14:textId="5FB28E84" w:rsidR="00236828" w:rsidRPr="003A708C" w:rsidRDefault="0009510B" w:rsidP="003C0686">
            <w:pPr>
              <w:tabs>
                <w:tab w:val="left" w:pos="1162"/>
              </w:tabs>
              <w:spacing w:line="240" w:lineRule="auto"/>
              <w:ind w:right="-28"/>
              <w:jc w:val="center"/>
              <w:rPr>
                <w:rFonts w:cs="Arial"/>
                <w:b/>
                <w:sz w:val="20"/>
                <w:szCs w:val="20"/>
              </w:rPr>
            </w:pPr>
            <w:r>
              <w:rPr>
                <w:rFonts w:cs="Arial"/>
                <w:b/>
                <w:sz w:val="20"/>
                <w:szCs w:val="20"/>
              </w:rPr>
              <w:t>-6</w:t>
            </w:r>
          </w:p>
        </w:tc>
      </w:tr>
      <w:tr w:rsidR="00236828" w:rsidRPr="001A5D34" w14:paraId="5D321F4A" w14:textId="77777777" w:rsidTr="003C0686">
        <w:trPr>
          <w:trHeight w:val="398"/>
        </w:trPr>
        <w:tc>
          <w:tcPr>
            <w:tcW w:w="330" w:type="dxa"/>
            <w:vMerge/>
            <w:hideMark/>
          </w:tcPr>
          <w:p w14:paraId="1E7E7C68" w14:textId="77777777" w:rsidR="00236828" w:rsidRPr="003A708C" w:rsidRDefault="00236828" w:rsidP="003C0686">
            <w:pPr>
              <w:tabs>
                <w:tab w:val="left" w:pos="1162"/>
              </w:tabs>
              <w:spacing w:line="240" w:lineRule="auto"/>
              <w:ind w:right="-28"/>
              <w:rPr>
                <w:rFonts w:cs="Arial"/>
                <w:sz w:val="20"/>
                <w:szCs w:val="20"/>
              </w:rPr>
            </w:pPr>
          </w:p>
        </w:tc>
        <w:tc>
          <w:tcPr>
            <w:tcW w:w="6378" w:type="dxa"/>
            <w:hideMark/>
          </w:tcPr>
          <w:p w14:paraId="757761EB" w14:textId="392C2BD2" w:rsidR="00236828" w:rsidRPr="003A708C" w:rsidRDefault="00236828" w:rsidP="003C0686">
            <w:pPr>
              <w:tabs>
                <w:tab w:val="left" w:pos="1162"/>
              </w:tabs>
              <w:spacing w:line="240" w:lineRule="auto"/>
              <w:ind w:right="-28"/>
              <w:rPr>
                <w:rFonts w:cs="Arial"/>
                <w:sz w:val="20"/>
                <w:szCs w:val="20"/>
              </w:rPr>
            </w:pPr>
            <w:r w:rsidRPr="003A708C">
              <w:rPr>
                <w:rFonts w:cs="Arial"/>
                <w:sz w:val="20"/>
                <w:szCs w:val="20"/>
              </w:rPr>
              <w:t>(</w:t>
            </w:r>
            <w:r w:rsidR="36A2FFBC" w:rsidRPr="33F5F24E">
              <w:rPr>
                <w:rFonts w:cs="Arial"/>
                <w:sz w:val="20"/>
                <w:szCs w:val="20"/>
              </w:rPr>
              <w:t>l</w:t>
            </w:r>
            <w:r w:rsidRPr="003A708C">
              <w:rPr>
                <w:rFonts w:cs="Arial"/>
                <w:sz w:val="20"/>
                <w:szCs w:val="20"/>
              </w:rPr>
              <w:t>) Extremely high or low cost ratios removed after deriving the preliminary regression model</w:t>
            </w:r>
          </w:p>
        </w:tc>
        <w:tc>
          <w:tcPr>
            <w:tcW w:w="1818" w:type="dxa"/>
          </w:tcPr>
          <w:p w14:paraId="7FF460CA" w14:textId="6E99DDCB" w:rsidR="00236828" w:rsidRPr="003A708C" w:rsidRDefault="0009510B" w:rsidP="003C0686">
            <w:pPr>
              <w:tabs>
                <w:tab w:val="left" w:pos="1162"/>
              </w:tabs>
              <w:spacing w:line="240" w:lineRule="auto"/>
              <w:ind w:right="-28"/>
              <w:jc w:val="center"/>
              <w:rPr>
                <w:rFonts w:cs="Arial"/>
                <w:b/>
                <w:sz w:val="20"/>
                <w:szCs w:val="20"/>
              </w:rPr>
            </w:pPr>
            <w:r>
              <w:rPr>
                <w:rFonts w:cs="Arial"/>
                <w:b/>
                <w:sz w:val="20"/>
                <w:szCs w:val="20"/>
              </w:rPr>
              <w:t>-</w:t>
            </w:r>
            <w:r w:rsidR="062F94FF" w:rsidRPr="33F5F24E">
              <w:rPr>
                <w:rFonts w:cs="Arial"/>
                <w:b/>
                <w:bCs/>
                <w:sz w:val="20"/>
                <w:szCs w:val="20"/>
              </w:rPr>
              <w:t>599</w:t>
            </w:r>
          </w:p>
        </w:tc>
      </w:tr>
      <w:tr w:rsidR="00236828" w:rsidRPr="00DF7079" w14:paraId="31634064" w14:textId="77777777" w:rsidTr="003C0686">
        <w:trPr>
          <w:trHeight w:val="675"/>
        </w:trPr>
        <w:tc>
          <w:tcPr>
            <w:tcW w:w="6708" w:type="dxa"/>
            <w:gridSpan w:val="2"/>
            <w:hideMark/>
          </w:tcPr>
          <w:p w14:paraId="66E7481A" w14:textId="1FDEB207" w:rsidR="00236828" w:rsidRPr="003A708C" w:rsidRDefault="00236828" w:rsidP="003C0686">
            <w:pPr>
              <w:tabs>
                <w:tab w:val="left" w:pos="1162"/>
              </w:tabs>
              <w:spacing w:line="240" w:lineRule="auto"/>
              <w:ind w:right="-28"/>
              <w:rPr>
                <w:rFonts w:cs="Arial"/>
                <w:sz w:val="20"/>
                <w:szCs w:val="20"/>
              </w:rPr>
            </w:pPr>
            <w:r w:rsidRPr="003A708C">
              <w:rPr>
                <w:rFonts w:cs="Arial"/>
                <w:sz w:val="20"/>
                <w:szCs w:val="20"/>
              </w:rPr>
              <w:t>(</w:t>
            </w:r>
            <w:r w:rsidR="36A2FFBC" w:rsidRPr="33F5F24E">
              <w:rPr>
                <w:rFonts w:cs="Arial"/>
                <w:sz w:val="20"/>
                <w:szCs w:val="20"/>
              </w:rPr>
              <w:t>m</w:t>
            </w:r>
            <w:r w:rsidRPr="003A708C">
              <w:rPr>
                <w:rFonts w:cs="Arial"/>
                <w:sz w:val="20"/>
                <w:szCs w:val="20"/>
              </w:rPr>
              <w:t>) Resulting sample size of phases used to create AMHCC cost profiles</w:t>
            </w:r>
          </w:p>
        </w:tc>
        <w:tc>
          <w:tcPr>
            <w:tcW w:w="1818" w:type="dxa"/>
            <w:noWrap/>
          </w:tcPr>
          <w:p w14:paraId="51C5EEB4" w14:textId="3D6084FE" w:rsidR="00236828" w:rsidRPr="003A708C" w:rsidRDefault="0009510B" w:rsidP="003C0686">
            <w:pPr>
              <w:tabs>
                <w:tab w:val="left" w:pos="1162"/>
              </w:tabs>
              <w:spacing w:line="240" w:lineRule="auto"/>
              <w:ind w:right="-28"/>
              <w:jc w:val="center"/>
              <w:rPr>
                <w:rFonts w:cs="Arial"/>
                <w:b/>
                <w:sz w:val="20"/>
                <w:szCs w:val="20"/>
              </w:rPr>
            </w:pPr>
            <w:r>
              <w:rPr>
                <w:rFonts w:cs="Arial"/>
                <w:b/>
                <w:sz w:val="20"/>
                <w:szCs w:val="20"/>
              </w:rPr>
              <w:t>108,</w:t>
            </w:r>
            <w:r w:rsidR="062F94FF" w:rsidRPr="33F5F24E">
              <w:rPr>
                <w:rFonts w:cs="Arial"/>
                <w:b/>
                <w:bCs/>
                <w:sz w:val="20"/>
                <w:szCs w:val="20"/>
              </w:rPr>
              <w:t>610</w:t>
            </w:r>
          </w:p>
        </w:tc>
      </w:tr>
    </w:tbl>
    <w:p w14:paraId="6BD4848F" w14:textId="04503383" w:rsidR="006C366B" w:rsidRDefault="006C366B" w:rsidP="004A03A2">
      <w:pPr>
        <w:pStyle w:val="Heading3"/>
      </w:pPr>
      <w:r>
        <w:t>Private patient costs</w:t>
      </w:r>
    </w:p>
    <w:p w14:paraId="0D331522" w14:textId="0932A4DF" w:rsidR="00F37EE6" w:rsidRPr="00340F1C" w:rsidRDefault="00F37EE6" w:rsidP="00F37EE6">
      <w:pPr>
        <w:rPr>
          <w:rFonts w:cs="Arial"/>
          <w:szCs w:val="20"/>
        </w:rPr>
      </w:pPr>
      <w:r w:rsidRPr="00700CE8">
        <w:rPr>
          <w:rFonts w:cs="Arial"/>
          <w:szCs w:val="20"/>
        </w:rPr>
        <w:t>As in the admitted acute care cost model</w:t>
      </w:r>
      <w:r w:rsidR="009424C0">
        <w:rPr>
          <w:rFonts w:cs="Arial"/>
          <w:szCs w:val="20"/>
        </w:rPr>
        <w:t xml:space="preserve"> (Section </w:t>
      </w:r>
      <w:r w:rsidR="009424C0">
        <w:rPr>
          <w:rFonts w:cs="Arial"/>
          <w:color w:val="2B579A"/>
          <w:szCs w:val="20"/>
          <w:shd w:val="clear" w:color="auto" w:fill="E6E6E6"/>
        </w:rPr>
        <w:fldChar w:fldCharType="begin"/>
      </w:r>
      <w:r w:rsidR="009424C0">
        <w:rPr>
          <w:rFonts w:cs="Arial"/>
          <w:szCs w:val="20"/>
        </w:rPr>
        <w:instrText xml:space="preserve"> REF _Ref57027769 \r \h </w:instrText>
      </w:r>
      <w:r w:rsidR="009424C0">
        <w:rPr>
          <w:rFonts w:cs="Arial"/>
          <w:color w:val="2B579A"/>
          <w:szCs w:val="20"/>
          <w:shd w:val="clear" w:color="auto" w:fill="E6E6E6"/>
        </w:rPr>
      </w:r>
      <w:r w:rsidR="009424C0">
        <w:rPr>
          <w:rFonts w:cs="Arial"/>
          <w:color w:val="2B579A"/>
          <w:szCs w:val="20"/>
          <w:shd w:val="clear" w:color="auto" w:fill="E6E6E6"/>
        </w:rPr>
        <w:fldChar w:fldCharType="separate"/>
      </w:r>
      <w:r w:rsidR="003F234C">
        <w:rPr>
          <w:rFonts w:cs="Arial"/>
          <w:szCs w:val="20"/>
        </w:rPr>
        <w:t>2.2.3</w:t>
      </w:r>
      <w:r w:rsidR="009424C0">
        <w:rPr>
          <w:rFonts w:cs="Arial"/>
          <w:color w:val="2B579A"/>
          <w:szCs w:val="20"/>
          <w:shd w:val="clear" w:color="auto" w:fill="E6E6E6"/>
        </w:rPr>
        <w:fldChar w:fldCharType="end"/>
      </w:r>
      <w:r w:rsidR="009424C0">
        <w:rPr>
          <w:rFonts w:cs="Arial"/>
          <w:szCs w:val="20"/>
        </w:rPr>
        <w:t>)</w:t>
      </w:r>
      <w:r w:rsidRPr="00700CE8">
        <w:rPr>
          <w:rFonts w:cs="Arial"/>
          <w:szCs w:val="20"/>
        </w:rPr>
        <w:t xml:space="preserve">, HCP data </w:t>
      </w:r>
      <w:r>
        <w:rPr>
          <w:rFonts w:cs="Arial"/>
          <w:szCs w:val="20"/>
        </w:rPr>
        <w:t>i</w:t>
      </w:r>
      <w:r w:rsidRPr="00700CE8">
        <w:rPr>
          <w:rFonts w:cs="Arial"/>
          <w:szCs w:val="20"/>
        </w:rPr>
        <w:t>s used to correct for the missing private patient costs in the NHCDC, as well as for subsequent estimates of private patient service adjustments</w:t>
      </w:r>
      <w:r>
        <w:rPr>
          <w:rFonts w:cs="Arial"/>
          <w:szCs w:val="20"/>
        </w:rPr>
        <w:t>.</w:t>
      </w:r>
    </w:p>
    <w:p w14:paraId="66D7B7AF" w14:textId="7A8D646F" w:rsidR="006C366B" w:rsidRPr="006C366B" w:rsidRDefault="00F37EE6" w:rsidP="00FA4250">
      <w:r>
        <w:t xml:space="preserve">A total of </w:t>
      </w:r>
      <w:r w:rsidR="1A508B00">
        <w:t>63</w:t>
      </w:r>
      <w:r>
        <w:t xml:space="preserve"> per cent of phases with a private insurance funding source were able to be matched to benefits in the HCP dataset, with the remaining unmatched records assumed to have similar characteristics to the matched dataset. A correction factor was then calculated at the jurisdiction level to estimate and account for the amount of private patient costs not included in NHCDC.</w:t>
      </w:r>
    </w:p>
    <w:p w14:paraId="0497AB2E" w14:textId="5CA97403" w:rsidR="002A47A2" w:rsidRPr="00941B8B" w:rsidRDefault="002A47A2" w:rsidP="004A03A2">
      <w:pPr>
        <w:pStyle w:val="Heading3"/>
      </w:pPr>
      <w:r>
        <w:t>Inlier bounds</w:t>
      </w:r>
    </w:p>
    <w:p w14:paraId="36F88F26" w14:textId="5B688CAD" w:rsidR="001E2BD4" w:rsidRDefault="001E2BD4" w:rsidP="001E2BD4">
      <w:pPr>
        <w:tabs>
          <w:tab w:val="left" w:pos="1162"/>
        </w:tabs>
        <w:spacing w:after="240" w:line="240" w:lineRule="auto"/>
        <w:rPr>
          <w:rFonts w:cs="Arial"/>
          <w:szCs w:val="20"/>
        </w:rPr>
      </w:pPr>
      <w:r>
        <w:rPr>
          <w:rFonts w:cs="Arial"/>
          <w:szCs w:val="20"/>
        </w:rPr>
        <w:t xml:space="preserve">Inlier bounds for admitted AMHCC classes are calculated similarly to the way they are calculated for AR-DRGs in the admitted acute cost model. </w:t>
      </w:r>
    </w:p>
    <w:p w14:paraId="7898671E" w14:textId="614E8AAF" w:rsidR="001E2BD4" w:rsidRPr="000B0256" w:rsidRDefault="001E2BD4" w:rsidP="001E2BD4">
      <w:pPr>
        <w:keepLines/>
        <w:tabs>
          <w:tab w:val="left" w:pos="1162"/>
        </w:tabs>
        <w:spacing w:after="240" w:line="240" w:lineRule="auto"/>
        <w:rPr>
          <w:rFonts w:cs="Arial"/>
          <w:szCs w:val="20"/>
        </w:rPr>
      </w:pPr>
      <w:r>
        <w:rPr>
          <w:rFonts w:cs="Arial"/>
          <w:szCs w:val="20"/>
        </w:rPr>
        <w:lastRenderedPageBreak/>
        <w:t>With the exception of combined classes 131 and 141 (where the A, B and Z complexity categories are grouped for modelling), t</w:t>
      </w:r>
      <w:r w:rsidRPr="00941B8B">
        <w:rPr>
          <w:rFonts w:cs="Arial"/>
          <w:szCs w:val="20"/>
        </w:rPr>
        <w:t xml:space="preserve">he inlier bounds for </w:t>
      </w:r>
      <w:r>
        <w:rPr>
          <w:rFonts w:cs="Arial"/>
          <w:szCs w:val="20"/>
        </w:rPr>
        <w:t xml:space="preserve">admitted AMHCC classes were </w:t>
      </w:r>
      <w:r w:rsidRPr="00941B8B">
        <w:rPr>
          <w:rFonts w:cs="Arial"/>
          <w:szCs w:val="20"/>
        </w:rPr>
        <w:t>set using the L1.5H1.5</w:t>
      </w:r>
      <w:r w:rsidRPr="00941B8B">
        <w:rPr>
          <w:rStyle w:val="FootnoteReference"/>
          <w:rFonts w:cs="Arial"/>
          <w:szCs w:val="20"/>
        </w:rPr>
        <w:footnoteReference w:id="15"/>
      </w:r>
      <w:r w:rsidRPr="00941B8B">
        <w:rPr>
          <w:rFonts w:cs="Arial"/>
          <w:szCs w:val="20"/>
        </w:rPr>
        <w:t xml:space="preserve"> trimming method, as shown in </w:t>
      </w:r>
      <w:r w:rsidRPr="00CC15B6">
        <w:rPr>
          <w:rFonts w:asciiTheme="majorHAnsi" w:hAnsiTheme="majorHAnsi" w:cstheme="majorHAnsi"/>
        </w:rPr>
        <w:t xml:space="preserve">Figure </w:t>
      </w:r>
      <w:r>
        <w:rPr>
          <w:rFonts w:asciiTheme="majorHAnsi" w:hAnsiTheme="majorHAnsi" w:cstheme="majorHAnsi"/>
          <w:noProof/>
        </w:rPr>
        <w:t>5</w:t>
      </w:r>
      <w:r>
        <w:rPr>
          <w:rFonts w:cs="Arial"/>
          <w:szCs w:val="20"/>
        </w:rPr>
        <w:t xml:space="preserve">. This is in line with the </w:t>
      </w:r>
      <w:r w:rsidR="0047732E">
        <w:rPr>
          <w:rFonts w:cs="Arial"/>
          <w:szCs w:val="20"/>
        </w:rPr>
        <w:t>2018</w:t>
      </w:r>
      <w:r w:rsidR="005D0045">
        <w:rPr>
          <w:rFonts w:cs="Arial"/>
          <w:szCs w:val="20"/>
        </w:rPr>
        <w:t>–</w:t>
      </w:r>
      <w:r w:rsidR="0047732E">
        <w:rPr>
          <w:rFonts w:cs="Arial"/>
          <w:szCs w:val="20"/>
        </w:rPr>
        <w:t xml:space="preserve">19 </w:t>
      </w:r>
      <w:r>
        <w:rPr>
          <w:rFonts w:cs="Arial"/>
          <w:szCs w:val="20"/>
        </w:rPr>
        <w:t>admitted AMHCC shadow model and the previous trimming method applied to major diagnostic categories 19 and 20 when admitted mental health was costed under the AR-DRG cost model, because the narrower bounds generated a lower proportion of inliers and higher proportion of short-stay and long-stay outliers. For combined AMHCC classes with fewer than 50 observations, a per diem model is adopted instead of the inlier/outlier model. Hence, the inlier bounds are set to zero for these classes. This applies to combined classes 131 and 141.</w:t>
      </w:r>
    </w:p>
    <w:p w14:paraId="09B8D13A" w14:textId="4984AA18" w:rsidR="001E2BD4" w:rsidRPr="000B0256" w:rsidRDefault="001E2BD4" w:rsidP="001E2BD4">
      <w:pPr>
        <w:tabs>
          <w:tab w:val="left" w:pos="1162"/>
        </w:tabs>
        <w:spacing w:after="240" w:line="240" w:lineRule="auto"/>
        <w:rPr>
          <w:rFonts w:cs="Arial"/>
          <w:szCs w:val="20"/>
        </w:rPr>
      </w:pPr>
      <w:r>
        <w:rPr>
          <w:rFonts w:cs="Arial"/>
          <w:szCs w:val="20"/>
        </w:rPr>
        <w:t xml:space="preserve">Inlier lower bounds are truncated while inlier upper bounds are rounded to the nearest integer, as per the admitted acute model (Section </w:t>
      </w:r>
      <w:r>
        <w:rPr>
          <w:rFonts w:cs="Arial"/>
          <w:color w:val="2B579A"/>
          <w:szCs w:val="20"/>
          <w:shd w:val="clear" w:color="auto" w:fill="E6E6E6"/>
        </w:rPr>
        <w:fldChar w:fldCharType="begin"/>
      </w:r>
      <w:r>
        <w:rPr>
          <w:rFonts w:cs="Arial"/>
          <w:szCs w:val="20"/>
        </w:rPr>
        <w:instrText xml:space="preserve"> REF _Ref57029192 \r \h </w:instrText>
      </w:r>
      <w:r>
        <w:rPr>
          <w:rFonts w:cs="Arial"/>
          <w:color w:val="2B579A"/>
          <w:szCs w:val="20"/>
          <w:shd w:val="clear" w:color="auto" w:fill="E6E6E6"/>
        </w:rPr>
      </w:r>
      <w:r>
        <w:rPr>
          <w:rFonts w:cs="Arial"/>
          <w:color w:val="2B579A"/>
          <w:szCs w:val="20"/>
          <w:shd w:val="clear" w:color="auto" w:fill="E6E6E6"/>
        </w:rPr>
        <w:fldChar w:fldCharType="separate"/>
      </w:r>
      <w:r w:rsidR="003F234C">
        <w:rPr>
          <w:rFonts w:cs="Arial"/>
          <w:szCs w:val="20"/>
        </w:rPr>
        <w:t>2.2.5</w:t>
      </w:r>
      <w:r>
        <w:rPr>
          <w:rFonts w:cs="Arial"/>
          <w:color w:val="2B579A"/>
          <w:szCs w:val="20"/>
          <w:shd w:val="clear" w:color="auto" w:fill="E6E6E6"/>
        </w:rPr>
        <w:fldChar w:fldCharType="end"/>
      </w:r>
      <w:r>
        <w:rPr>
          <w:rFonts w:cs="Arial"/>
          <w:szCs w:val="20"/>
        </w:rPr>
        <w:t xml:space="preserve">). Phases with a length of stay equal to or between the two inlier bounds of the AMHCC are considered inlier phases. </w:t>
      </w:r>
    </w:p>
    <w:p w14:paraId="033EBC4E" w14:textId="77777777" w:rsidR="00755433" w:rsidRPr="000351BD" w:rsidRDefault="00755433" w:rsidP="00755433">
      <w:pPr>
        <w:spacing w:after="0" w:line="240" w:lineRule="auto"/>
        <w:rPr>
          <w:b/>
        </w:rPr>
      </w:pPr>
      <w:r w:rsidRPr="000351BD">
        <w:rPr>
          <w:b/>
        </w:rPr>
        <w:t xml:space="preserve">Figure </w:t>
      </w:r>
      <w:r>
        <w:rPr>
          <w:b/>
          <w:noProof/>
        </w:rPr>
        <w:t>4</w:t>
      </w:r>
      <w:r w:rsidRPr="000351BD">
        <w:rPr>
          <w:b/>
        </w:rPr>
        <w:t>: Inlier bound calculations for mental health using the L1.5H1.5 trimming method</w:t>
      </w:r>
    </w:p>
    <w:p w14:paraId="18CA9C09" w14:textId="77777777" w:rsidR="002A47A2" w:rsidRPr="00755433" w:rsidRDefault="5078F73F" w:rsidP="004A03A2">
      <w:r>
        <w:rPr>
          <w:noProof/>
        </w:rPr>
        <w:drawing>
          <wp:inline distT="0" distB="0" distL="0" distR="0" wp14:anchorId="2CE32CCB" wp14:editId="47BA8AAA">
            <wp:extent cx="5238748" cy="3717561"/>
            <wp:effectExtent l="19050" t="19050" r="19050" b="16510"/>
            <wp:docPr id="128" name="Picture 128" title="Figure 4: Inlier bound calculations for mental health using the L1.5H1.5 trimm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24">
                      <a:extLst>
                        <a:ext uri="{28A0092B-C50C-407E-A947-70E740481C1C}">
                          <a14:useLocalDpi xmlns:a14="http://schemas.microsoft.com/office/drawing/2010/main" val="0"/>
                        </a:ext>
                      </a:extLst>
                    </a:blip>
                    <a:srcRect l="1502" t="3127" r="1784" b="1610"/>
                    <a:stretch>
                      <a:fillRect/>
                    </a:stretch>
                  </pic:blipFill>
                  <pic:spPr>
                    <a:xfrm>
                      <a:off x="0" y="0"/>
                      <a:ext cx="5238748" cy="3717561"/>
                    </a:xfrm>
                    <a:prstGeom prst="rect">
                      <a:avLst/>
                    </a:prstGeom>
                  </pic:spPr>
                </pic:pic>
              </a:graphicData>
            </a:graphic>
          </wp:inline>
        </w:drawing>
      </w:r>
    </w:p>
    <w:p w14:paraId="49C7AECE" w14:textId="4E1512DB" w:rsidR="006067AA" w:rsidRDefault="000148D8" w:rsidP="005D0045">
      <w:r>
        <w:t>Inlier bounds are subject to the same stabilisation methodology as that which is applied to AR</w:t>
      </w:r>
      <w:r>
        <w:noBreakHyphen/>
        <w:t xml:space="preserve">DRG classes in the admitted acute cost model. If the 95 per cent confidence interval around each </w:t>
      </w:r>
      <w:r w:rsidR="0044112D">
        <w:t xml:space="preserve">NEP22 </w:t>
      </w:r>
      <w:r>
        <w:t xml:space="preserve">AMHCC inlier bound does not contain the corresponding shadow </w:t>
      </w:r>
      <w:r w:rsidR="0044112D">
        <w:t xml:space="preserve">NEP21 </w:t>
      </w:r>
      <w:r>
        <w:t xml:space="preserve">AMHCC inlier bound, movements are evaluated for materiality. If movements impact the separation category of at least 1 per cent of separations and at least 10 separations in the AMHCC class, the inlier bound is stabilised to the corresponding shadow </w:t>
      </w:r>
      <w:r w:rsidR="00ED6257">
        <w:t xml:space="preserve">NEP21 </w:t>
      </w:r>
      <w:r>
        <w:t xml:space="preserve">inlier bound. </w:t>
      </w:r>
    </w:p>
    <w:p w14:paraId="7AE61A2A" w14:textId="25A51948" w:rsidR="00C9135B" w:rsidRDefault="00C9135B" w:rsidP="004A03A2">
      <w:pPr>
        <w:pStyle w:val="Heading3"/>
      </w:pPr>
      <w:r>
        <w:t>Stratification and weight</w:t>
      </w:r>
      <w:r w:rsidR="00DA31DE">
        <w:t>ing</w:t>
      </w:r>
    </w:p>
    <w:p w14:paraId="4881C13B" w14:textId="7B677E15" w:rsidR="00DA31DE" w:rsidRPr="00DA31DE" w:rsidRDefault="00DA31DE" w:rsidP="005D0045">
      <w:r>
        <w:t xml:space="preserve">The sample of admitted AMHCC classified data is weighted to account for the fact that </w:t>
      </w:r>
      <w:r w:rsidR="00933891">
        <w:t xml:space="preserve">it excludes all activity with an admission date prior to 1 July 2018. </w:t>
      </w:r>
    </w:p>
    <w:p w14:paraId="778E7085" w14:textId="19812D62" w:rsidR="00755433" w:rsidRPr="00941B8B" w:rsidRDefault="00755433" w:rsidP="004A03A2">
      <w:pPr>
        <w:pStyle w:val="Heading3"/>
      </w:pPr>
      <w:r>
        <w:lastRenderedPageBreak/>
        <w:t>Cost parameters</w:t>
      </w:r>
    </w:p>
    <w:p w14:paraId="64AB31D6" w14:textId="45CFA832" w:rsidR="005C7D78" w:rsidRDefault="005C7D78" w:rsidP="005C7D78">
      <w:pPr>
        <w:tabs>
          <w:tab w:val="left" w:pos="1162"/>
        </w:tabs>
        <w:spacing w:line="240" w:lineRule="auto"/>
        <w:rPr>
          <w:rFonts w:cs="Arial"/>
          <w:szCs w:val="20"/>
        </w:rPr>
      </w:pPr>
      <w:r w:rsidRPr="00941B8B">
        <w:rPr>
          <w:rFonts w:cs="Arial"/>
          <w:szCs w:val="20"/>
        </w:rPr>
        <w:t xml:space="preserve">The cost parameters of the </w:t>
      </w:r>
      <w:r>
        <w:rPr>
          <w:rFonts w:cs="Arial"/>
          <w:szCs w:val="20"/>
        </w:rPr>
        <w:t>admitted AMHCC</w:t>
      </w:r>
      <w:r w:rsidRPr="00941B8B">
        <w:rPr>
          <w:rFonts w:cs="Arial"/>
          <w:szCs w:val="20"/>
        </w:rPr>
        <w:t xml:space="preserve"> inlier/outlier model </w:t>
      </w:r>
      <w:r>
        <w:rPr>
          <w:rFonts w:cs="Arial"/>
          <w:szCs w:val="20"/>
        </w:rPr>
        <w:t>are</w:t>
      </w:r>
      <w:r w:rsidRPr="00941B8B">
        <w:rPr>
          <w:rFonts w:cs="Arial"/>
          <w:szCs w:val="20"/>
        </w:rPr>
        <w:t xml:space="preserve"> calculated in the same way as those for </w:t>
      </w:r>
      <w:r>
        <w:rPr>
          <w:rFonts w:cs="Arial"/>
          <w:szCs w:val="20"/>
        </w:rPr>
        <w:t>AR-DRGs, with the exception of:</w:t>
      </w:r>
    </w:p>
    <w:p w14:paraId="16A3C566" w14:textId="77777777" w:rsidR="005C7D78" w:rsidRDefault="005C7D78" w:rsidP="0067139D">
      <w:pPr>
        <w:pStyle w:val="ListBullet"/>
        <w:numPr>
          <w:ilvl w:val="0"/>
          <w:numId w:val="34"/>
        </w:numPr>
      </w:pPr>
      <w:r>
        <w:t>The use of inlier bounds defined by L1.5H1.5 instead of L3H3.</w:t>
      </w:r>
    </w:p>
    <w:p w14:paraId="44DA362A" w14:textId="77777777" w:rsidR="005C7D78" w:rsidRDefault="005C7D78" w:rsidP="0067139D">
      <w:pPr>
        <w:pStyle w:val="ListBullet"/>
        <w:numPr>
          <w:ilvl w:val="0"/>
          <w:numId w:val="34"/>
        </w:numPr>
      </w:pPr>
      <w:r>
        <w:t xml:space="preserve">Modelling the short-stay outlier base as the intercept of a per diem model instead of modelling ‘same day’ fixed costs explicitly. It is assumed the short-stay outlier base is the cost of a phase when the patient is admitted and discharged on the same date. </w:t>
      </w:r>
    </w:p>
    <w:p w14:paraId="025CD130" w14:textId="3F9E3493" w:rsidR="005C7D78" w:rsidRPr="00BF1F00" w:rsidRDefault="005C7D78" w:rsidP="0067139D">
      <w:pPr>
        <w:pStyle w:val="ListBullet"/>
        <w:numPr>
          <w:ilvl w:val="0"/>
          <w:numId w:val="34"/>
        </w:numPr>
      </w:pPr>
      <w:r>
        <w:t xml:space="preserve">Modelling costs for grouped AMHCC classes where data is sparse and/or the relationship between Moderate and High HoNOS complexity is counterintuitive, such as when a Moderate complexity class has higher modelled costs than High complexity. For the </w:t>
      </w:r>
      <w:r w:rsidR="00FA4250">
        <w:t>2019</w:t>
      </w:r>
      <w:r w:rsidR="005D0045">
        <w:t>–</w:t>
      </w:r>
      <w:r w:rsidR="00FA4250">
        <w:t xml:space="preserve">20 </w:t>
      </w:r>
      <w:r>
        <w:t xml:space="preserve">model, this applies to </w:t>
      </w:r>
      <w:r w:rsidRPr="008E5517">
        <w:t>121B</w:t>
      </w:r>
      <w:r w:rsidRPr="007A1F68">
        <w:t xml:space="preserve"> and 121Z, 131, 133</w:t>
      </w:r>
      <w:r w:rsidR="00E47627" w:rsidRPr="005D0045">
        <w:t>,</w:t>
      </w:r>
      <w:r w:rsidRPr="008E5517">
        <w:t>141</w:t>
      </w:r>
      <w:r w:rsidR="00E47627" w:rsidRPr="005D0045">
        <w:t xml:space="preserve"> and 143</w:t>
      </w:r>
      <w:r w:rsidRPr="008E5517">
        <w:t>.</w:t>
      </w:r>
    </w:p>
    <w:p w14:paraId="622F7E3E" w14:textId="77777777" w:rsidR="00924509" w:rsidRDefault="005C7D78" w:rsidP="0067139D">
      <w:pPr>
        <w:pStyle w:val="ListBullet"/>
        <w:numPr>
          <w:ilvl w:val="0"/>
          <w:numId w:val="34"/>
        </w:numPr>
      </w:pPr>
      <w:r>
        <w:t>The use of a per diem model for combined AMHCC classes 131 and 141, where same-day phases receive a short-stay outlier base price, plus a long-stay outlier per diem for overnight admissions.</w:t>
      </w:r>
      <w:r w:rsidRPr="00DE65C3">
        <w:t xml:space="preserve"> </w:t>
      </w:r>
    </w:p>
    <w:p w14:paraId="3DD1CF71" w14:textId="4101C633" w:rsidR="005C7D78" w:rsidRPr="00DE65C3" w:rsidRDefault="005C7D78" w:rsidP="0067139D">
      <w:pPr>
        <w:pStyle w:val="ListBullet"/>
        <w:numPr>
          <w:ilvl w:val="0"/>
          <w:numId w:val="34"/>
        </w:numPr>
      </w:pPr>
      <w:r>
        <w:t>Capping Unknown HoNOS class inlier cost parameters such that they do not exceed the inlier cost for the corresponding Moderate HoNOS class.</w:t>
      </w:r>
      <w:r w:rsidRPr="00DE65C3">
        <w:t xml:space="preserve"> For the </w:t>
      </w:r>
      <w:r w:rsidR="00FA4250" w:rsidRPr="00DE65C3">
        <w:t>201</w:t>
      </w:r>
      <w:r w:rsidR="00FA4250">
        <w:t>9</w:t>
      </w:r>
      <w:r w:rsidR="005D0045">
        <w:t>–</w:t>
      </w:r>
      <w:r w:rsidR="00FA4250">
        <w:t>20</w:t>
      </w:r>
      <w:r w:rsidR="00FA4250" w:rsidRPr="00DE65C3">
        <w:t xml:space="preserve"> </w:t>
      </w:r>
      <w:r w:rsidRPr="00DE65C3">
        <w:t xml:space="preserve">model, this applies to </w:t>
      </w:r>
      <w:r w:rsidRPr="008E5517">
        <w:t xml:space="preserve">1121Z, </w:t>
      </w:r>
      <w:r w:rsidR="00DC0970" w:rsidRPr="00A84D5C">
        <w:t xml:space="preserve">1122Z, </w:t>
      </w:r>
      <w:r w:rsidR="00FE5E76" w:rsidRPr="00A84D5C">
        <w:t xml:space="preserve">122Z, </w:t>
      </w:r>
      <w:r w:rsidRPr="008E5517">
        <w:t xml:space="preserve">123Z, </w:t>
      </w:r>
      <w:r w:rsidR="00FE5E76" w:rsidRPr="00A84D5C">
        <w:t>132Z</w:t>
      </w:r>
      <w:r w:rsidR="00B356B1" w:rsidRPr="00A84D5C">
        <w:t xml:space="preserve"> and </w:t>
      </w:r>
      <w:r w:rsidRPr="008E5517">
        <w:t>142Z</w:t>
      </w:r>
      <w:r w:rsidRPr="00DE65C3">
        <w:t>. This ensures there is no disincentive to reporting HoNOS data.</w:t>
      </w:r>
    </w:p>
    <w:p w14:paraId="08EB2FB8" w14:textId="0D4E8343" w:rsidR="00FA4250" w:rsidRDefault="00FA4250" w:rsidP="005D0045">
      <w:pPr>
        <w:pStyle w:val="Heading3"/>
      </w:pPr>
      <w:r>
        <w:t>Adjustments</w:t>
      </w:r>
    </w:p>
    <w:p w14:paraId="06361F3D" w14:textId="6DABC5E1" w:rsidR="00100DB8" w:rsidRDefault="00100DB8" w:rsidP="005C7D78">
      <w:r>
        <w:t xml:space="preserve">A </w:t>
      </w:r>
      <w:r w:rsidR="00B21DED">
        <w:t xml:space="preserve">single paediatric adjustment </w:t>
      </w:r>
      <w:r w:rsidR="003D3914">
        <w:t>is derived using a univariate least squares weighted regression model</w:t>
      </w:r>
      <w:r w:rsidR="00BE247F">
        <w:t xml:space="preserve">. This is used to estimate the extent to which the variation in the mean cost per weighted </w:t>
      </w:r>
      <w:r w:rsidR="00092310">
        <w:t xml:space="preserve">phase </w:t>
      </w:r>
      <w:r w:rsidR="003D4730">
        <w:t>is explained by</w:t>
      </w:r>
      <w:r w:rsidR="003F6301">
        <w:t xml:space="preserve"> </w:t>
      </w:r>
      <w:r w:rsidR="00CC6DE9">
        <w:t xml:space="preserve">specialised paediatric status. </w:t>
      </w:r>
    </w:p>
    <w:p w14:paraId="622E0964" w14:textId="2AFDF3D2" w:rsidR="007D03BD" w:rsidRDefault="007D03BD" w:rsidP="005C7D78">
      <w:r>
        <w:t>Specialised paediatric patients are identified as being less than or equal to 17 years of age</w:t>
      </w:r>
      <w:r w:rsidR="004077E6">
        <w:t xml:space="preserve"> and admitted at</w:t>
      </w:r>
      <w:r>
        <w:t xml:space="preserve"> an establishment identified as delivering specialised paediatric services (listed in </w:t>
      </w:r>
      <w:r w:rsidR="00F35191" w:rsidRPr="005D0045">
        <w:rPr>
          <w:b/>
          <w:bCs/>
        </w:rPr>
        <w:t>Appendix E</w:t>
      </w:r>
      <w:r w:rsidR="00F35191">
        <w:t xml:space="preserve"> of the National Efficient Price Determination </w:t>
      </w:r>
      <w:r w:rsidR="007C035A">
        <w:t>2022</w:t>
      </w:r>
      <w:r w:rsidR="00A84D5C">
        <w:t>–</w:t>
      </w:r>
      <w:r w:rsidR="007C035A">
        <w:t xml:space="preserve">23). </w:t>
      </w:r>
    </w:p>
    <w:p w14:paraId="19B96501" w14:textId="57B577AA" w:rsidR="00FD0442" w:rsidRDefault="00FD0442" w:rsidP="005C7D78">
      <w:r>
        <w:t xml:space="preserve">Episodes are weighted </w:t>
      </w:r>
      <w:r w:rsidR="00474D6A">
        <w:t xml:space="preserve">to control the level to which the </w:t>
      </w:r>
      <w:r w:rsidR="007658E2">
        <w:t xml:space="preserve">inlier/outlier </w:t>
      </w:r>
      <w:r w:rsidR="00474D6A">
        <w:t>model already explains costs</w:t>
      </w:r>
      <w:r w:rsidR="00C968A9">
        <w:t xml:space="preserve">. </w:t>
      </w:r>
      <w:r w:rsidR="00465EFB">
        <w:t xml:space="preserve">The coefficient estimated from this model indicates the extent </w:t>
      </w:r>
      <w:r w:rsidR="009B3753">
        <w:t>to which specialised paediatric status explains residual variation in costs</w:t>
      </w:r>
      <w:r w:rsidR="00D238C9">
        <w:t xml:space="preserve"> and </w:t>
      </w:r>
      <w:r w:rsidR="00F52E92">
        <w:t xml:space="preserve">is used </w:t>
      </w:r>
      <w:r w:rsidR="00517ED8">
        <w:t xml:space="preserve">to calculate </w:t>
      </w:r>
      <w:r w:rsidR="00BB2975">
        <w:t>an adjustment value to account for thi</w:t>
      </w:r>
      <w:r w:rsidR="003D7D31">
        <w:t xml:space="preserve">s. </w:t>
      </w:r>
    </w:p>
    <w:p w14:paraId="350FF3F3" w14:textId="74AC0484" w:rsidR="005C7D78" w:rsidRDefault="005C7D78" w:rsidP="005C7D78">
      <w:r>
        <w:t xml:space="preserve">A number of </w:t>
      </w:r>
      <w:r w:rsidR="007769EA">
        <w:t xml:space="preserve">other </w:t>
      </w:r>
      <w:r>
        <w:t>adjustments, calculated by the admitted acute model, are also applied to admitted mental health patients. The relevant adjustments applied are the:</w:t>
      </w:r>
    </w:p>
    <w:p w14:paraId="400E9036" w14:textId="77777777" w:rsidR="005C7D78" w:rsidRDefault="005C7D78" w:rsidP="0067139D">
      <w:pPr>
        <w:pStyle w:val="ListBullet"/>
        <w:numPr>
          <w:ilvl w:val="0"/>
          <w:numId w:val="34"/>
        </w:numPr>
      </w:pPr>
      <w:r>
        <w:t>Patient residential remoteness area adjustment</w:t>
      </w:r>
    </w:p>
    <w:p w14:paraId="09BF46C8" w14:textId="77777777" w:rsidR="005C7D78" w:rsidRDefault="005C7D78" w:rsidP="0067139D">
      <w:pPr>
        <w:pStyle w:val="ListBullet"/>
        <w:numPr>
          <w:ilvl w:val="0"/>
          <w:numId w:val="34"/>
        </w:numPr>
      </w:pPr>
      <w:r>
        <w:t>Indigenous adjustment</w:t>
      </w:r>
    </w:p>
    <w:p w14:paraId="0A0B0DFF" w14:textId="77777777" w:rsidR="005C7D78" w:rsidRDefault="005C7D78" w:rsidP="0067139D">
      <w:pPr>
        <w:pStyle w:val="ListBullet"/>
        <w:numPr>
          <w:ilvl w:val="0"/>
          <w:numId w:val="34"/>
        </w:numPr>
      </w:pPr>
      <w:r>
        <w:t>Patient treatment remoteness area adjustment</w:t>
      </w:r>
    </w:p>
    <w:p w14:paraId="4BA62948" w14:textId="6071321B" w:rsidR="005C7D78" w:rsidRDefault="005C7D78" w:rsidP="005C7D78">
      <w:r>
        <w:t xml:space="preserve">The private patient service adjustment is calculated by AMHCC class and jurisdiction using the same methodology used in the admitted acute cost model. The derivation of the private patient accommodation adjustment is outlined in Section </w:t>
      </w:r>
      <w:r w:rsidR="00C35BC1">
        <w:rPr>
          <w:color w:val="2B579A"/>
          <w:shd w:val="clear" w:color="auto" w:fill="E6E6E6"/>
        </w:rPr>
        <w:fldChar w:fldCharType="begin"/>
      </w:r>
      <w:r w:rsidR="00C35BC1">
        <w:instrText xml:space="preserve"> REF _Ref57034802 \r \h </w:instrText>
      </w:r>
      <w:r w:rsidR="00C35BC1">
        <w:rPr>
          <w:color w:val="2B579A"/>
          <w:shd w:val="clear" w:color="auto" w:fill="E6E6E6"/>
        </w:rPr>
      </w:r>
      <w:r w:rsidR="00C35BC1">
        <w:rPr>
          <w:color w:val="2B579A"/>
          <w:shd w:val="clear" w:color="auto" w:fill="E6E6E6"/>
        </w:rPr>
        <w:fldChar w:fldCharType="separate"/>
      </w:r>
      <w:r w:rsidR="003F234C">
        <w:t>2.2.10</w:t>
      </w:r>
      <w:r w:rsidR="00C35BC1">
        <w:rPr>
          <w:color w:val="2B579A"/>
          <w:shd w:val="clear" w:color="auto" w:fill="E6E6E6"/>
        </w:rPr>
        <w:fldChar w:fldCharType="end"/>
      </w:r>
      <w:r>
        <w:t>.</w:t>
      </w:r>
    </w:p>
    <w:p w14:paraId="408A8D6B" w14:textId="77777777" w:rsidR="005C7D78" w:rsidRDefault="005C7D78" w:rsidP="005C7D78">
      <w:r>
        <w:t>The proportion of cost model data for which the adjustments apply are as follows:</w:t>
      </w:r>
    </w:p>
    <w:p w14:paraId="60DC8AE5" w14:textId="49CDE9D3" w:rsidR="00534CD7" w:rsidRDefault="00023DC4" w:rsidP="0067139D">
      <w:pPr>
        <w:pStyle w:val="ListBullet"/>
        <w:numPr>
          <w:ilvl w:val="0"/>
          <w:numId w:val="34"/>
        </w:numPr>
      </w:pPr>
      <w:r>
        <w:t xml:space="preserve">Paediatric adjustment: </w:t>
      </w:r>
      <w:r w:rsidR="00400FDD">
        <w:t>3.3</w:t>
      </w:r>
      <w:r w:rsidR="000D22AA">
        <w:t xml:space="preserve"> per cent</w:t>
      </w:r>
    </w:p>
    <w:p w14:paraId="1E6008AE" w14:textId="1D52FEB2" w:rsidR="005C7D78" w:rsidRPr="006C69D4" w:rsidRDefault="005C7D78" w:rsidP="0067139D">
      <w:pPr>
        <w:pStyle w:val="ListBullet"/>
        <w:numPr>
          <w:ilvl w:val="0"/>
          <w:numId w:val="34"/>
        </w:numPr>
      </w:pPr>
      <w:r>
        <w:t xml:space="preserve">Patient residential remoteness area </w:t>
      </w:r>
      <w:r w:rsidRPr="006C69D4">
        <w:t xml:space="preserve">adjustment: </w:t>
      </w:r>
      <w:r w:rsidR="00E43FC4">
        <w:t>8.</w:t>
      </w:r>
      <w:r w:rsidR="4FB5C4C4">
        <w:t>7</w:t>
      </w:r>
      <w:r w:rsidRPr="006C69D4">
        <w:t xml:space="preserve"> per cent</w:t>
      </w:r>
    </w:p>
    <w:p w14:paraId="6539C7A3" w14:textId="470B67C7" w:rsidR="005C7D78" w:rsidRDefault="005C7D78" w:rsidP="0067139D">
      <w:pPr>
        <w:pStyle w:val="ListBullet"/>
        <w:numPr>
          <w:ilvl w:val="0"/>
          <w:numId w:val="34"/>
        </w:numPr>
      </w:pPr>
      <w:r>
        <w:t>Indigenous adjustment</w:t>
      </w:r>
      <w:r w:rsidRPr="006C69D4">
        <w:t xml:space="preserve">: </w:t>
      </w:r>
      <w:r w:rsidR="00E43FC4">
        <w:t>9.7</w:t>
      </w:r>
      <w:r w:rsidRPr="006C69D4">
        <w:t xml:space="preserve"> per cent</w:t>
      </w:r>
    </w:p>
    <w:p w14:paraId="74AC9C8A" w14:textId="1B992645" w:rsidR="005C7D78" w:rsidRDefault="005C7D78" w:rsidP="0067139D">
      <w:pPr>
        <w:pStyle w:val="ListBullet"/>
        <w:numPr>
          <w:ilvl w:val="0"/>
          <w:numId w:val="34"/>
        </w:numPr>
      </w:pPr>
      <w:r>
        <w:t>Patient treatment remoteness area adjustment</w:t>
      </w:r>
      <w:r w:rsidRPr="006C69D4">
        <w:t xml:space="preserve">: </w:t>
      </w:r>
      <w:r w:rsidR="00E43FC4">
        <w:t>0.9</w:t>
      </w:r>
      <w:r w:rsidRPr="006C69D4">
        <w:t xml:space="preserve"> per cent</w:t>
      </w:r>
    </w:p>
    <w:p w14:paraId="661B78B5" w14:textId="52E5E253" w:rsidR="005C7D78" w:rsidRPr="00DE65C3" w:rsidRDefault="005C7D78" w:rsidP="0067139D">
      <w:pPr>
        <w:pStyle w:val="ListBullet"/>
        <w:numPr>
          <w:ilvl w:val="0"/>
          <w:numId w:val="34"/>
        </w:numPr>
        <w:rPr>
          <w:rFonts w:cs="Arial"/>
          <w:szCs w:val="20"/>
        </w:rPr>
      </w:pPr>
      <w:r>
        <w:t>Private patient adjustments</w:t>
      </w:r>
      <w:r w:rsidRPr="006C69D4">
        <w:t xml:space="preserve">: </w:t>
      </w:r>
      <w:r w:rsidR="003D2A55">
        <w:t>6.7</w:t>
      </w:r>
      <w:r w:rsidRPr="006C69D4">
        <w:t xml:space="preserve"> per cent</w:t>
      </w:r>
      <w:r>
        <w:t xml:space="preserve">. </w:t>
      </w:r>
    </w:p>
    <w:p w14:paraId="56613B3C" w14:textId="77777777" w:rsidR="006067AA" w:rsidRPr="006067AA" w:rsidRDefault="005C7D78" w:rsidP="005D0045">
      <w:r>
        <w:lastRenderedPageBreak/>
        <w:t xml:space="preserve">Following the application of these adjustments (excluding the private patient adjustments), the cost parameters are </w:t>
      </w:r>
      <w:r w:rsidRPr="00DE65C3">
        <w:rPr>
          <w:rFonts w:cs="Arial"/>
          <w:szCs w:val="20"/>
        </w:rPr>
        <w:t>uniformly adjusted to ensure the resulting total modelled cost is equalised against the total actual costs.</w:t>
      </w:r>
    </w:p>
    <w:p w14:paraId="65E1DA94" w14:textId="2E06CFDE" w:rsidR="00BC4991" w:rsidRDefault="00BC4991" w:rsidP="00755433">
      <w:pPr>
        <w:pStyle w:val="Heading3"/>
      </w:pPr>
      <w:r>
        <w:t>Admitted mental health care stabilisation</w:t>
      </w:r>
    </w:p>
    <w:p w14:paraId="4C341D8B" w14:textId="799313C4" w:rsidR="00787D79" w:rsidRDefault="00787D79" w:rsidP="004D65A1">
      <w:pPr>
        <w:spacing w:line="240" w:lineRule="auto"/>
      </w:pPr>
      <w:r>
        <w:t xml:space="preserve">IHPA’s Stability Policy has been applied to limit the change in price weights of each AMHCC class between NEP21 and NEP22. This policy applies to every AMHCC class with the same inlier bounds in NEP21 and NEP22 and for which fewer than inlier 1,000 separations were used in the admitted </w:t>
      </w:r>
      <w:r w:rsidR="001A43FD">
        <w:t>mental health care</w:t>
      </w:r>
      <w:r>
        <w:t xml:space="preserve"> </w:t>
      </w:r>
      <w:r w:rsidR="006D2C5C">
        <w:t xml:space="preserve">cost </w:t>
      </w:r>
      <w:r>
        <w:t xml:space="preserve">model. </w:t>
      </w:r>
      <w:r w:rsidR="00D67F58">
        <w:t xml:space="preserve">Where these conditions are met, </w:t>
      </w:r>
      <w:r w:rsidR="00EC0EED">
        <w:t>price weights ar</w:t>
      </w:r>
      <w:r w:rsidR="001A4498">
        <w:t xml:space="preserve">e adjusted </w:t>
      </w:r>
      <w:r w:rsidR="00095ACF">
        <w:t xml:space="preserve">to be within 20 per cent of the price weight for that </w:t>
      </w:r>
      <w:r w:rsidR="00D118BD">
        <w:t xml:space="preserve">class in NEP21. </w:t>
      </w:r>
    </w:p>
    <w:p w14:paraId="421DC89F" w14:textId="0B2DEF27" w:rsidR="00BC4991" w:rsidRPr="004D65A1" w:rsidRDefault="004D65A1" w:rsidP="005D0045">
      <w:pPr>
        <w:spacing w:line="240" w:lineRule="auto"/>
        <w:rPr>
          <w:rFonts w:cs="Arial"/>
        </w:rPr>
      </w:pPr>
      <w:r w:rsidRPr="00700CE8">
        <w:rPr>
          <w:rFonts w:cs="Arial"/>
        </w:rPr>
        <w:t xml:space="preserve">Refer to </w:t>
      </w:r>
      <w:r>
        <w:rPr>
          <w:rFonts w:cs="Arial"/>
        </w:rPr>
        <w:t>Section</w:t>
      </w:r>
      <w:r w:rsidRPr="00700CE8">
        <w:rPr>
          <w:rFonts w:cs="Arial"/>
        </w:rPr>
        <w:t xml:space="preserve"> </w:t>
      </w:r>
      <w:r w:rsidR="001A2B4E">
        <w:rPr>
          <w:rFonts w:cs="Arial"/>
          <w:color w:val="2B579A"/>
          <w:shd w:val="clear" w:color="auto" w:fill="E6E6E6"/>
        </w:rPr>
        <w:fldChar w:fldCharType="begin"/>
      </w:r>
      <w:r w:rsidR="001A2B4E">
        <w:rPr>
          <w:rFonts w:cs="Arial"/>
        </w:rPr>
        <w:instrText xml:space="preserve"> REF _Ref88053573 \r \h </w:instrText>
      </w:r>
      <w:r w:rsidR="001A2B4E">
        <w:rPr>
          <w:rFonts w:cs="Arial"/>
          <w:color w:val="2B579A"/>
          <w:shd w:val="clear" w:color="auto" w:fill="E6E6E6"/>
        </w:rPr>
      </w:r>
      <w:r w:rsidR="001A2B4E">
        <w:rPr>
          <w:rFonts w:cs="Arial"/>
          <w:color w:val="2B579A"/>
          <w:shd w:val="clear" w:color="auto" w:fill="E6E6E6"/>
        </w:rPr>
        <w:fldChar w:fldCharType="separate"/>
      </w:r>
      <w:r w:rsidR="003F234C">
        <w:rPr>
          <w:rFonts w:cs="Arial"/>
        </w:rPr>
        <w:t>2.2.16</w:t>
      </w:r>
      <w:r w:rsidR="001A2B4E">
        <w:rPr>
          <w:rFonts w:cs="Arial"/>
          <w:color w:val="2B579A"/>
          <w:shd w:val="clear" w:color="auto" w:fill="E6E6E6"/>
        </w:rPr>
        <w:fldChar w:fldCharType="end"/>
      </w:r>
      <w:r w:rsidRPr="00700CE8">
        <w:rPr>
          <w:rFonts w:cs="Arial"/>
        </w:rPr>
        <w:t xml:space="preserve"> for information about the stabilisation process.</w:t>
      </w:r>
    </w:p>
    <w:p w14:paraId="7A873340" w14:textId="7A85462B" w:rsidR="00F26461" w:rsidRDefault="00F26461" w:rsidP="00755433">
      <w:pPr>
        <w:pStyle w:val="Heading3"/>
      </w:pPr>
      <w:r>
        <w:t>Price weights and NWAU</w:t>
      </w:r>
    </w:p>
    <w:p w14:paraId="67F46E83" w14:textId="77777777" w:rsidR="00D84C47" w:rsidRPr="00F26461" w:rsidRDefault="00D84C47" w:rsidP="00D84C47">
      <w:r>
        <w:t xml:space="preserve">Price weights are obtained by dividing the dollar-valued cost parameters by the reference cost (derived in the admitted acute cost model) to obtain cost weights. </w:t>
      </w:r>
      <w:r w:rsidRPr="00DF7079">
        <w:rPr>
          <w:rFonts w:cs="Arial"/>
          <w:szCs w:val="20"/>
        </w:rPr>
        <w:t xml:space="preserve">The resulting cost weights are then converted to the </w:t>
      </w:r>
      <w:r>
        <w:rPr>
          <w:rFonts w:cs="Arial"/>
          <w:szCs w:val="20"/>
        </w:rPr>
        <w:t>price weight</w:t>
      </w:r>
      <w:r w:rsidRPr="00DF7079">
        <w:rPr>
          <w:rFonts w:cs="Arial"/>
          <w:szCs w:val="20"/>
        </w:rPr>
        <w:t xml:space="preserve">s that are used to assign NWAU, as explained further </w:t>
      </w:r>
      <w:r w:rsidRPr="00DF7079">
        <w:rPr>
          <w:rFonts w:cs="Arial"/>
        </w:rPr>
        <w:t xml:space="preserve">in </w:t>
      </w:r>
      <w:r w:rsidRPr="00776DEA">
        <w:rPr>
          <w:rFonts w:cs="Arial"/>
        </w:rPr>
        <w:t xml:space="preserve">Section </w:t>
      </w:r>
      <w:r w:rsidRPr="00776DEA">
        <w:rPr>
          <w:rFonts w:cs="Arial"/>
          <w:szCs w:val="20"/>
        </w:rPr>
        <w:t>7.</w:t>
      </w:r>
    </w:p>
    <w:p w14:paraId="5D886586" w14:textId="77777777" w:rsidR="00550102" w:rsidRPr="00941B8B" w:rsidRDefault="00550102" w:rsidP="00755433">
      <w:pPr>
        <w:pStyle w:val="Heading3"/>
      </w:pPr>
      <w:r>
        <w:t>Apply the NEP</w:t>
      </w:r>
    </w:p>
    <w:bookmarkEnd w:id="112"/>
    <w:bookmarkEnd w:id="113"/>
    <w:p w14:paraId="480E7CD2" w14:textId="77777777" w:rsidR="005E49D0" w:rsidRPr="00F41C22" w:rsidRDefault="005E49D0" w:rsidP="005E49D0">
      <w:pPr>
        <w:tabs>
          <w:tab w:val="left" w:pos="1162"/>
        </w:tabs>
        <w:spacing w:line="240" w:lineRule="auto"/>
        <w:ind w:right="-28"/>
        <w:rPr>
          <w:rFonts w:cs="Arial"/>
          <w:szCs w:val="20"/>
        </w:rPr>
      </w:pPr>
      <w:r>
        <w:rPr>
          <w:rFonts w:cs="Arial"/>
          <w:szCs w:val="20"/>
        </w:rPr>
        <w:t>T</w:t>
      </w:r>
      <w:r w:rsidRPr="00DF7079">
        <w:rPr>
          <w:rFonts w:cs="Arial"/>
          <w:szCs w:val="20"/>
        </w:rPr>
        <w:t xml:space="preserve">he price of an ABF </w:t>
      </w:r>
      <w:r>
        <w:rPr>
          <w:rFonts w:cs="Arial"/>
          <w:szCs w:val="20"/>
        </w:rPr>
        <w:t>a</w:t>
      </w:r>
      <w:r w:rsidRPr="00DF7079">
        <w:rPr>
          <w:rFonts w:cs="Arial"/>
          <w:szCs w:val="20"/>
        </w:rPr>
        <w:t>ctivity is calculated using the following formula, with adj</w:t>
      </w:r>
      <w:r>
        <w:rPr>
          <w:rFonts w:cs="Arial"/>
          <w:szCs w:val="20"/>
        </w:rPr>
        <w:t>ustments applied as applicable:</w:t>
      </w:r>
    </w:p>
    <w:p w14:paraId="6ED769AA" w14:textId="77777777" w:rsidR="005E49D0" w:rsidRPr="00DF7079" w:rsidRDefault="005E49D0" w:rsidP="005E49D0">
      <w:pPr>
        <w:tabs>
          <w:tab w:val="left" w:pos="1162"/>
        </w:tabs>
        <w:spacing w:line="240" w:lineRule="auto"/>
        <w:ind w:right="-28"/>
        <w:rPr>
          <w:rFonts w:cs="Arial"/>
          <w:b/>
          <w:szCs w:val="20"/>
        </w:rPr>
      </w:pPr>
      <w:r>
        <w:rPr>
          <w:rFonts w:cs="Arial"/>
          <w:b/>
          <w:szCs w:val="20"/>
        </w:rPr>
        <w:t xml:space="preserve">Price of an admitted mental health </w:t>
      </w:r>
      <w:r w:rsidRPr="00DF7079">
        <w:rPr>
          <w:rFonts w:cs="Arial"/>
          <w:b/>
          <w:szCs w:val="20"/>
        </w:rPr>
        <w:t>ABF activity</w:t>
      </w:r>
    </w:p>
    <w:p w14:paraId="7E5C698F" w14:textId="5AAC0736" w:rsidR="00176900" w:rsidRPr="005D0045" w:rsidRDefault="007D0E16" w:rsidP="005E49D0">
      <w:pPr>
        <w:tabs>
          <w:tab w:val="left" w:pos="1162"/>
        </w:tabs>
        <w:spacing w:line="240" w:lineRule="auto"/>
        <w:ind w:right="-28"/>
        <w:rPr>
          <w:rFonts w:cs="Arial"/>
          <w:szCs w:val="20"/>
        </w:rPr>
      </w:pPr>
      <m:oMathPara>
        <m:oMathParaPr>
          <m:jc m:val="left"/>
        </m:oMathParaPr>
        <m:oMath>
          <m:r>
            <m:rPr>
              <m:sty m:val="p"/>
            </m:rPr>
            <w:rPr>
              <w:rFonts w:ascii="Cambria Math" w:hAnsi="Cambria Math" w:cs="Arial"/>
              <w:szCs w:val="20"/>
            </w:rPr>
            <m:t>=</m:t>
          </m:r>
          <m:d>
            <m:dPr>
              <m:begChr m:val="{"/>
              <m:endChr m:val="}"/>
              <m:ctrlPr>
                <w:rPr>
                  <w:rFonts w:ascii="Cambria Math" w:hAnsi="Cambria Math" w:cs="Arial"/>
                  <w:szCs w:val="20"/>
                </w:rPr>
              </m:ctrlPr>
            </m:dPr>
            <m:e>
              <m:d>
                <m:dPr>
                  <m:begChr m:val="["/>
                  <m:endChr m:val="]"/>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e>
                  </m:d>
                  <m:r>
                    <m:rPr>
                      <m:sty m:val="p"/>
                    </m:rPr>
                    <w:rPr>
                      <w:rFonts w:ascii="Cambria Math" w:hAnsi="Cambria Math" w:cs="Arial"/>
                      <w:szCs w:val="20"/>
                    </w:rPr>
                    <m:t xml:space="preserve"> ×</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e>
                  </m:d>
                </m:e>
              </m:d>
              <m:r>
                <m:rPr>
                  <m:sty m:val="p"/>
                </m:rPr>
                <w:rPr>
                  <w:rFonts w:ascii="Cambria Math" w:hAnsi="Cambria Math" w:cs="Arial"/>
                  <w:szCs w:val="20"/>
                </w:rPr>
                <m:t>-</m:t>
              </m:r>
              <m:d>
                <m:dPr>
                  <m:begChr m:val="["/>
                  <m:endChr m:val="]"/>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e>
              </m:d>
            </m:e>
          </m:d>
          <m:r>
            <m:rPr>
              <m:sty m:val="p"/>
            </m:rPr>
            <w:rPr>
              <w:rFonts w:ascii="Cambria Math" w:hAnsi="Cambria Math" w:cs="Arial"/>
              <w:szCs w:val="20"/>
            </w:rPr>
            <m:t>×NEP</m:t>
          </m:r>
        </m:oMath>
      </m:oMathPara>
    </w:p>
    <w:p w14:paraId="136684F3" w14:textId="77777777" w:rsidR="005E49D0" w:rsidRPr="00DF7079" w:rsidRDefault="005E49D0" w:rsidP="005E49D0">
      <w:pPr>
        <w:spacing w:before="240" w:line="240" w:lineRule="auto"/>
        <w:rPr>
          <w:rFonts w:cs="Arial"/>
        </w:rPr>
      </w:pPr>
      <w:r w:rsidRPr="00DF7079">
        <w:rPr>
          <w:rFonts w:cs="Arial"/>
        </w:rPr>
        <w:t>Where:</w:t>
      </w:r>
      <w:r w:rsidRPr="00DF7079">
        <w:rPr>
          <w:rFonts w:cs="Arial"/>
          <w:noProof/>
        </w:rPr>
        <w:t xml:space="preserve"> </w:t>
      </w:r>
    </w:p>
    <w:p w14:paraId="6D0B2979" w14:textId="00866F36" w:rsidR="0045778A" w:rsidRPr="005D0045" w:rsidRDefault="0045778A" w:rsidP="0045778A">
      <w:pPr>
        <w:spacing w:after="180" w:line="240" w:lineRule="auto"/>
        <w:ind w:left="1985" w:hanging="1985"/>
        <w:rPr>
          <w:rFonts w:cs="Arial"/>
        </w:rPr>
      </w:pPr>
      <w:r w:rsidRPr="00DF7079">
        <w:rPr>
          <w:rFonts w:cs="Arial"/>
          <w:b/>
        </w:rPr>
        <w:t>A</w:t>
      </w:r>
      <w:r w:rsidRPr="00DF7079">
        <w:rPr>
          <w:rFonts w:cs="Arial"/>
          <w:b/>
          <w:vertAlign w:val="subscript"/>
        </w:rPr>
        <w:t>Paed</w:t>
      </w:r>
      <w:r w:rsidRPr="00DF7079">
        <w:rPr>
          <w:rFonts w:cs="Arial"/>
          <w:vertAlign w:val="subscript"/>
        </w:rPr>
        <w:tab/>
      </w:r>
      <w:r w:rsidRPr="00DF7079">
        <w:rPr>
          <w:rFonts w:cs="Arial"/>
        </w:rPr>
        <w:t xml:space="preserve">means the </w:t>
      </w:r>
      <w:r>
        <w:rPr>
          <w:rFonts w:cs="Arial"/>
        </w:rPr>
        <w:t>p</w:t>
      </w:r>
      <w:r w:rsidRPr="00EC1F9C">
        <w:rPr>
          <w:rFonts w:cs="Arial"/>
        </w:rPr>
        <w:t xml:space="preserve">aediatric </w:t>
      </w:r>
      <w:r>
        <w:rPr>
          <w:rFonts w:cs="Arial"/>
        </w:rPr>
        <w:t>a</w:t>
      </w:r>
      <w:r w:rsidRPr="00EC1F9C">
        <w:rPr>
          <w:rFonts w:cs="Arial"/>
        </w:rPr>
        <w:t>djustment</w:t>
      </w:r>
    </w:p>
    <w:p w14:paraId="5F071978" w14:textId="301692D1" w:rsidR="005E49D0" w:rsidRPr="00DF7079" w:rsidRDefault="005E49D0" w:rsidP="005E49D0">
      <w:pPr>
        <w:spacing w:after="180" w:line="240" w:lineRule="auto"/>
        <w:ind w:left="1985" w:hanging="1985"/>
        <w:rPr>
          <w:rFonts w:cs="Arial"/>
          <w:i/>
        </w:rPr>
      </w:pPr>
      <w:r w:rsidRPr="00DF7079">
        <w:rPr>
          <w:rFonts w:cs="Arial"/>
          <w:b/>
        </w:rPr>
        <w:t>A</w:t>
      </w:r>
      <w:r w:rsidRPr="00DF7079">
        <w:rPr>
          <w:rFonts w:cs="Arial"/>
          <w:b/>
          <w:vertAlign w:val="subscript"/>
        </w:rPr>
        <w:t>Res</w:t>
      </w:r>
      <w:r w:rsidRPr="00DF7079">
        <w:rPr>
          <w:rFonts w:cs="Arial"/>
          <w:vertAlign w:val="subscript"/>
        </w:rPr>
        <w:tab/>
      </w:r>
      <w:r w:rsidRPr="00DF7079">
        <w:rPr>
          <w:rFonts w:cs="Arial"/>
        </w:rPr>
        <w:t xml:space="preserve">means each or any </w:t>
      </w:r>
      <w:r>
        <w:rPr>
          <w:rFonts w:cs="Arial"/>
        </w:rPr>
        <w:t>p</w:t>
      </w:r>
      <w:r w:rsidRPr="00EC1F9C">
        <w:rPr>
          <w:rFonts w:cs="Arial"/>
        </w:rPr>
        <w:t xml:space="preserve">atient </w:t>
      </w:r>
      <w:r>
        <w:rPr>
          <w:rFonts w:cs="Arial"/>
        </w:rPr>
        <w:t>r</w:t>
      </w:r>
      <w:r w:rsidRPr="00EC1F9C">
        <w:rPr>
          <w:rFonts w:cs="Arial"/>
        </w:rPr>
        <w:t>esidential</w:t>
      </w:r>
      <w:r w:rsidRPr="00C90C14">
        <w:rPr>
          <w:rFonts w:cs="Arial"/>
        </w:rPr>
        <w:t xml:space="preserve"> </w:t>
      </w:r>
      <w:r>
        <w:rPr>
          <w:rFonts w:cs="Arial"/>
        </w:rPr>
        <w:t>r</w:t>
      </w:r>
      <w:r w:rsidRPr="00EC1F9C">
        <w:rPr>
          <w:rFonts w:cs="Arial"/>
        </w:rPr>
        <w:t>emoteness</w:t>
      </w:r>
      <w:r w:rsidRPr="00C90C14">
        <w:rPr>
          <w:rFonts w:cs="Arial"/>
        </w:rPr>
        <w:t xml:space="preserve"> </w:t>
      </w:r>
      <w:r>
        <w:rPr>
          <w:rFonts w:cs="Arial"/>
        </w:rPr>
        <w:t>a</w:t>
      </w:r>
      <w:r w:rsidRPr="00EC1F9C">
        <w:rPr>
          <w:rFonts w:cs="Arial"/>
        </w:rPr>
        <w:t xml:space="preserve">rea </w:t>
      </w:r>
      <w:r>
        <w:rPr>
          <w:rFonts w:cs="Arial"/>
        </w:rPr>
        <w:t>a</w:t>
      </w:r>
      <w:r w:rsidRPr="00EC1F9C">
        <w:rPr>
          <w:rFonts w:cs="Arial"/>
        </w:rPr>
        <w:t>djustment</w:t>
      </w:r>
    </w:p>
    <w:p w14:paraId="2E68FD77" w14:textId="77777777" w:rsidR="005E49D0" w:rsidRPr="00DF7079" w:rsidRDefault="005E49D0" w:rsidP="005E49D0">
      <w:pPr>
        <w:spacing w:after="180" w:line="240" w:lineRule="auto"/>
        <w:ind w:left="1985" w:hanging="1985"/>
        <w:rPr>
          <w:rFonts w:cs="Arial"/>
          <w:b/>
        </w:rPr>
      </w:pPr>
      <w:r w:rsidRPr="00DF7079">
        <w:rPr>
          <w:rFonts w:cs="Arial"/>
          <w:b/>
        </w:rPr>
        <w:t>A</w:t>
      </w:r>
      <w:r w:rsidRPr="00DF7079">
        <w:rPr>
          <w:rFonts w:cs="Arial"/>
          <w:b/>
          <w:vertAlign w:val="subscript"/>
        </w:rPr>
        <w:t>Ind</w:t>
      </w:r>
      <w:r w:rsidRPr="00DF7079">
        <w:rPr>
          <w:rFonts w:cs="Arial"/>
          <w:vertAlign w:val="subscript"/>
        </w:rPr>
        <w:tab/>
      </w:r>
      <w:r w:rsidRPr="00DF7079">
        <w:rPr>
          <w:rFonts w:cs="Arial"/>
        </w:rPr>
        <w:t xml:space="preserve">means the </w:t>
      </w:r>
      <w:r>
        <w:rPr>
          <w:rFonts w:cs="Arial"/>
        </w:rPr>
        <w:t>I</w:t>
      </w:r>
      <w:r w:rsidRPr="00EC1F9C">
        <w:rPr>
          <w:rFonts w:cs="Arial"/>
        </w:rPr>
        <w:t xml:space="preserve">ndigenous </w:t>
      </w:r>
      <w:r>
        <w:rPr>
          <w:rFonts w:cs="Arial"/>
        </w:rPr>
        <w:t>a</w:t>
      </w:r>
      <w:r w:rsidRPr="00EC1F9C">
        <w:rPr>
          <w:rFonts w:cs="Arial"/>
        </w:rPr>
        <w:t>djustment</w:t>
      </w:r>
    </w:p>
    <w:p w14:paraId="0CD09527" w14:textId="77777777" w:rsidR="005E49D0" w:rsidRPr="00DF7079" w:rsidRDefault="005E49D0" w:rsidP="005E49D0">
      <w:pPr>
        <w:spacing w:after="180" w:line="240" w:lineRule="auto"/>
        <w:ind w:left="1985" w:hanging="1985"/>
        <w:rPr>
          <w:rFonts w:cs="Arial"/>
          <w:i/>
        </w:rPr>
      </w:pPr>
      <w:r w:rsidRPr="00DF7079">
        <w:rPr>
          <w:rFonts w:cs="Arial"/>
          <w:b/>
        </w:rPr>
        <w:t>A</w:t>
      </w:r>
      <w:r w:rsidRPr="00DF7079">
        <w:rPr>
          <w:rFonts w:cs="Arial"/>
          <w:b/>
          <w:vertAlign w:val="subscript"/>
        </w:rPr>
        <w:t>Treat</w:t>
      </w:r>
      <w:r w:rsidRPr="00DF7079">
        <w:rPr>
          <w:rFonts w:cs="Arial"/>
          <w:b/>
        </w:rPr>
        <w:tab/>
      </w:r>
      <w:r w:rsidRPr="00DF7079">
        <w:rPr>
          <w:rFonts w:cs="Arial"/>
        </w:rPr>
        <w:t xml:space="preserve">means </w:t>
      </w:r>
      <w:r>
        <w:rPr>
          <w:rFonts w:cs="Arial"/>
        </w:rPr>
        <w:t>each or any</w:t>
      </w:r>
      <w:r w:rsidRPr="00DF7079">
        <w:rPr>
          <w:rFonts w:cs="Arial"/>
        </w:rPr>
        <w:t xml:space="preserve"> </w:t>
      </w:r>
      <w:r>
        <w:rPr>
          <w:rFonts w:cs="Arial"/>
        </w:rPr>
        <w:t>p</w:t>
      </w:r>
      <w:r w:rsidRPr="00EC1F9C">
        <w:rPr>
          <w:rFonts w:cs="Arial"/>
        </w:rPr>
        <w:t xml:space="preserve">atient </w:t>
      </w:r>
      <w:r>
        <w:rPr>
          <w:rFonts w:cs="Arial"/>
        </w:rPr>
        <w:t>t</w:t>
      </w:r>
      <w:r w:rsidRPr="00EC1F9C">
        <w:rPr>
          <w:rFonts w:cs="Arial"/>
        </w:rPr>
        <w:t xml:space="preserve">reatment </w:t>
      </w:r>
      <w:r>
        <w:rPr>
          <w:rFonts w:cs="Arial"/>
        </w:rPr>
        <w:t>r</w:t>
      </w:r>
      <w:r w:rsidRPr="00EC1F9C">
        <w:rPr>
          <w:rFonts w:cs="Arial"/>
        </w:rPr>
        <w:t xml:space="preserve">emoteness </w:t>
      </w:r>
      <w:r>
        <w:rPr>
          <w:rFonts w:cs="Arial"/>
        </w:rPr>
        <w:t>a</w:t>
      </w:r>
      <w:r w:rsidRPr="00EC1F9C">
        <w:rPr>
          <w:rFonts w:cs="Arial"/>
        </w:rPr>
        <w:t xml:space="preserve">rea </w:t>
      </w:r>
      <w:r>
        <w:rPr>
          <w:rFonts w:cs="Arial"/>
        </w:rPr>
        <w:t>a</w:t>
      </w:r>
      <w:r w:rsidRPr="00EC1F9C">
        <w:rPr>
          <w:rFonts w:cs="Arial"/>
        </w:rPr>
        <w:t>djustment</w:t>
      </w:r>
    </w:p>
    <w:p w14:paraId="68951B45" w14:textId="77777777" w:rsidR="005E49D0" w:rsidRPr="00DF7079" w:rsidRDefault="005E49D0" w:rsidP="005E49D0">
      <w:pPr>
        <w:spacing w:after="180" w:line="240" w:lineRule="auto"/>
        <w:ind w:left="1985" w:hanging="1985"/>
        <w:rPr>
          <w:rFonts w:cs="Arial"/>
        </w:rPr>
      </w:pPr>
      <w:r w:rsidRPr="00DF7079">
        <w:rPr>
          <w:rFonts w:cs="Arial"/>
          <w:b/>
        </w:rPr>
        <w:t>A</w:t>
      </w:r>
      <w:r w:rsidRPr="00DF7079">
        <w:rPr>
          <w:rFonts w:cs="Arial"/>
          <w:b/>
          <w:vertAlign w:val="subscript"/>
        </w:rPr>
        <w:t>PPS</w:t>
      </w:r>
      <w:r w:rsidRPr="00DF7079">
        <w:rPr>
          <w:rFonts w:cs="Arial"/>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s</w:t>
      </w:r>
      <w:r w:rsidRPr="00EC1F9C">
        <w:rPr>
          <w:rFonts w:cs="Arial"/>
        </w:rPr>
        <w:t xml:space="preserve">ervice </w:t>
      </w:r>
      <w:r>
        <w:rPr>
          <w:rFonts w:cs="Arial"/>
        </w:rPr>
        <w:t>a</w:t>
      </w:r>
      <w:r w:rsidRPr="00EC1F9C">
        <w:rPr>
          <w:rFonts w:cs="Arial"/>
        </w:rPr>
        <w:t>djustment</w:t>
      </w:r>
    </w:p>
    <w:p w14:paraId="3B440C0B" w14:textId="77777777" w:rsidR="005E49D0" w:rsidRPr="00DF7079" w:rsidRDefault="005E49D0" w:rsidP="005E49D0">
      <w:pPr>
        <w:spacing w:after="180" w:line="240" w:lineRule="auto"/>
        <w:ind w:left="1985" w:hanging="1985"/>
        <w:rPr>
          <w:rFonts w:cs="Arial"/>
        </w:rPr>
      </w:pPr>
      <w:r w:rsidRPr="00DF7079">
        <w:rPr>
          <w:rFonts w:cs="Arial"/>
          <w:b/>
        </w:rPr>
        <w:t>A</w:t>
      </w:r>
      <w:r w:rsidRPr="00DF7079">
        <w:rPr>
          <w:rFonts w:cs="Arial"/>
          <w:b/>
          <w:vertAlign w:val="subscript"/>
        </w:rPr>
        <w:t>Acc</w:t>
      </w:r>
      <w:r w:rsidRPr="00DF7079">
        <w:rPr>
          <w:rFonts w:cs="Arial"/>
          <w:b/>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a</w:t>
      </w:r>
      <w:r w:rsidRPr="00EC1F9C">
        <w:rPr>
          <w:rFonts w:cs="Arial"/>
        </w:rPr>
        <w:t xml:space="preserve">ccommodation </w:t>
      </w:r>
      <w:r>
        <w:rPr>
          <w:rFonts w:cs="Arial"/>
        </w:rPr>
        <w:t>a</w:t>
      </w:r>
      <w:r w:rsidRPr="00EC1F9C">
        <w:rPr>
          <w:rFonts w:cs="Arial"/>
        </w:rPr>
        <w:t>djustment</w:t>
      </w:r>
      <w:r w:rsidRPr="00DF7079">
        <w:rPr>
          <w:rFonts w:cs="Arial"/>
          <w:i/>
        </w:rPr>
        <w:t xml:space="preserve"> </w:t>
      </w:r>
      <w:r w:rsidRPr="00DF7079">
        <w:rPr>
          <w:rFonts w:cs="Arial"/>
        </w:rPr>
        <w:t>applicable to the state of hospitalisation and length of stay</w:t>
      </w:r>
    </w:p>
    <w:p w14:paraId="50CDC451" w14:textId="77777777" w:rsidR="005E49D0" w:rsidRPr="00DF7079" w:rsidRDefault="005E49D0" w:rsidP="005E49D0">
      <w:pPr>
        <w:spacing w:after="180" w:line="240" w:lineRule="auto"/>
        <w:ind w:left="1985" w:hanging="1985"/>
        <w:rPr>
          <w:rFonts w:cs="Arial"/>
          <w:i/>
        </w:rPr>
      </w:pPr>
      <w:r w:rsidRPr="00DF7079">
        <w:rPr>
          <w:rFonts w:cs="Arial"/>
          <w:b/>
        </w:rPr>
        <w:t>LOS</w:t>
      </w:r>
      <w:r w:rsidRPr="00DF7079">
        <w:rPr>
          <w:rFonts w:cs="Arial"/>
        </w:rPr>
        <w:tab/>
        <w:t xml:space="preserve">means </w:t>
      </w:r>
      <w:r>
        <w:rPr>
          <w:rFonts w:cs="Arial"/>
        </w:rPr>
        <w:t xml:space="preserve">the </w:t>
      </w:r>
      <w:r w:rsidRPr="00DF7079">
        <w:rPr>
          <w:rFonts w:cs="Arial"/>
        </w:rPr>
        <w:t>length of stay in hospital (in days)</w:t>
      </w:r>
      <w:r>
        <w:rPr>
          <w:rFonts w:cs="Arial"/>
        </w:rPr>
        <w:t xml:space="preserve"> for the phase of care</w:t>
      </w:r>
    </w:p>
    <w:p w14:paraId="00F13BFC" w14:textId="42242342" w:rsidR="005E49D0" w:rsidRPr="00DF7079" w:rsidRDefault="005E49D0" w:rsidP="005E49D0">
      <w:pPr>
        <w:spacing w:after="180" w:line="240" w:lineRule="auto"/>
        <w:ind w:left="1985" w:hanging="1985"/>
        <w:rPr>
          <w:rFonts w:cs="Arial"/>
        </w:rPr>
      </w:pPr>
      <w:r w:rsidRPr="00DF7079">
        <w:rPr>
          <w:rFonts w:cs="Arial"/>
          <w:b/>
        </w:rPr>
        <w:t>NEP</w:t>
      </w:r>
      <w:r w:rsidRPr="00DF7079">
        <w:rPr>
          <w:rFonts w:cs="Arial"/>
        </w:rPr>
        <w:tab/>
      </w:r>
      <w:r>
        <w:rPr>
          <w:rFonts w:cs="Arial"/>
        </w:rPr>
        <w:t>means N</w:t>
      </w:r>
      <w:r w:rsidRPr="00DF7079">
        <w:rPr>
          <w:rFonts w:cs="Arial"/>
        </w:rPr>
        <w:t xml:space="preserve">ational </w:t>
      </w:r>
      <w:r>
        <w:rPr>
          <w:rFonts w:cs="Arial"/>
        </w:rPr>
        <w:t>E</w:t>
      </w:r>
      <w:r w:rsidRPr="00DF7079">
        <w:rPr>
          <w:rFonts w:cs="Arial"/>
        </w:rPr>
        <w:t xml:space="preserve">fficient </w:t>
      </w:r>
      <w:r>
        <w:rPr>
          <w:rFonts w:cs="Arial"/>
        </w:rPr>
        <w:t>P</w:t>
      </w:r>
      <w:r w:rsidRPr="00DF7079">
        <w:rPr>
          <w:rFonts w:cs="Arial"/>
        </w:rPr>
        <w:t xml:space="preserve">rice </w:t>
      </w:r>
      <w:r w:rsidR="0045778A">
        <w:rPr>
          <w:rFonts w:cs="Arial"/>
        </w:rPr>
        <w:t>2022</w:t>
      </w:r>
      <w:r>
        <w:rPr>
          <w:rFonts w:cs="Arial"/>
        </w:rPr>
        <w:t>–</w:t>
      </w:r>
      <w:r w:rsidR="0045778A">
        <w:rPr>
          <w:rFonts w:cs="Arial"/>
        </w:rPr>
        <w:t>23</w:t>
      </w:r>
    </w:p>
    <w:p w14:paraId="4196DCE2" w14:textId="2C7981B1" w:rsidR="005E49D0" w:rsidRDefault="005E49D0" w:rsidP="005E49D0">
      <w:pPr>
        <w:spacing w:after="0" w:line="240" w:lineRule="auto"/>
        <w:ind w:left="1985" w:hanging="1985"/>
        <w:rPr>
          <w:rFonts w:cs="Arial"/>
        </w:rPr>
      </w:pPr>
      <w:r w:rsidRPr="00DF7079">
        <w:rPr>
          <w:rFonts w:cs="Arial"/>
          <w:b/>
        </w:rPr>
        <w:t>PW</w:t>
      </w:r>
      <w:r w:rsidRPr="00DF7079">
        <w:rPr>
          <w:rFonts w:cs="Arial"/>
          <w:b/>
        </w:rPr>
        <w:tab/>
      </w:r>
      <w:r w:rsidRPr="00543F98">
        <w:rPr>
          <w:rFonts w:cs="Arial"/>
        </w:rPr>
        <w:t>means</w:t>
      </w:r>
      <w:r>
        <w:rPr>
          <w:rFonts w:cs="Arial"/>
          <w:b/>
        </w:rPr>
        <w:t xml:space="preserve"> </w:t>
      </w:r>
      <w:r w:rsidRPr="00543F98">
        <w:rPr>
          <w:rFonts w:cs="Arial"/>
        </w:rPr>
        <w:t>the</w:t>
      </w:r>
      <w:r>
        <w:rPr>
          <w:rFonts w:cs="Arial"/>
          <w:b/>
        </w:rPr>
        <w:t xml:space="preserve"> </w:t>
      </w:r>
      <w:r>
        <w:rPr>
          <w:rFonts w:cs="Arial"/>
        </w:rPr>
        <w:t>p</w:t>
      </w:r>
      <w:r w:rsidRPr="00DF7079">
        <w:rPr>
          <w:rFonts w:cs="Arial"/>
        </w:rPr>
        <w:t xml:space="preserve">rice </w:t>
      </w:r>
      <w:r>
        <w:rPr>
          <w:rFonts w:cs="Arial"/>
        </w:rPr>
        <w:t>w</w:t>
      </w:r>
      <w:r w:rsidRPr="00DF7079">
        <w:rPr>
          <w:rFonts w:cs="Arial"/>
        </w:rPr>
        <w:t xml:space="preserve">eight for an ABF activity as set out at </w:t>
      </w:r>
      <w:r w:rsidRPr="005D125E">
        <w:rPr>
          <w:rFonts w:cs="Arial"/>
          <w:b/>
        </w:rPr>
        <w:t>Appendix J</w:t>
      </w:r>
      <w:r w:rsidRPr="00DF7079">
        <w:rPr>
          <w:rFonts w:cs="Arial"/>
        </w:rPr>
        <w:t xml:space="preserve"> of the </w:t>
      </w:r>
      <w:r w:rsidRPr="00C10A78">
        <w:rPr>
          <w:rFonts w:cs="Arial"/>
        </w:rPr>
        <w:t xml:space="preserve">National Efficient Price Determination </w:t>
      </w:r>
      <w:r w:rsidR="0045778A" w:rsidRPr="00C10A78">
        <w:rPr>
          <w:rFonts w:cs="Arial"/>
        </w:rPr>
        <w:t>202</w:t>
      </w:r>
      <w:r w:rsidR="0045778A">
        <w:rPr>
          <w:rFonts w:cs="Arial"/>
        </w:rPr>
        <w:t>2</w:t>
      </w:r>
      <w:r w:rsidRPr="00C10A78">
        <w:rPr>
          <w:rFonts w:cs="Arial"/>
        </w:rPr>
        <w:t>–</w:t>
      </w:r>
      <w:r w:rsidR="0045778A" w:rsidRPr="00C10A78">
        <w:rPr>
          <w:rFonts w:cs="Arial"/>
        </w:rPr>
        <w:t>2</w:t>
      </w:r>
      <w:r w:rsidR="0045778A">
        <w:rPr>
          <w:rFonts w:cs="Arial"/>
        </w:rPr>
        <w:t>3</w:t>
      </w:r>
    </w:p>
    <w:p w14:paraId="53A495A1" w14:textId="2E40AB64" w:rsidR="005E49D0" w:rsidRDefault="005E49D0" w:rsidP="005E49D0">
      <w:pPr>
        <w:tabs>
          <w:tab w:val="left" w:pos="1162"/>
        </w:tabs>
        <w:autoSpaceDE w:val="0"/>
        <w:autoSpaceDN w:val="0"/>
        <w:adjustRightInd w:val="0"/>
        <w:spacing w:before="240" w:line="240" w:lineRule="auto"/>
        <w:ind w:right="-28"/>
        <w:rPr>
          <w:rFonts w:cs="Arial"/>
          <w:szCs w:val="20"/>
        </w:rPr>
      </w:pPr>
      <w:r w:rsidRPr="00DF7079">
        <w:rPr>
          <w:rFonts w:cs="Arial"/>
          <w:szCs w:val="20"/>
        </w:rPr>
        <w:t>In the event that the application of the private patient adjustments return a negative NWAU(</w:t>
      </w:r>
      <w:r w:rsidR="00C4367D">
        <w:rPr>
          <w:rFonts w:cs="Arial"/>
          <w:szCs w:val="20"/>
        </w:rPr>
        <w:t>22</w:t>
      </w:r>
      <w:r w:rsidRPr="00DF7079">
        <w:rPr>
          <w:rFonts w:cs="Arial"/>
          <w:szCs w:val="20"/>
        </w:rPr>
        <w:t xml:space="preserve">) value for </w:t>
      </w:r>
      <w:r>
        <w:rPr>
          <w:rFonts w:cs="Arial"/>
          <w:szCs w:val="20"/>
        </w:rPr>
        <w:t>a particular patient then an NWAU(</w:t>
      </w:r>
      <w:r w:rsidR="00C4367D">
        <w:rPr>
          <w:rFonts w:cs="Arial"/>
          <w:szCs w:val="20"/>
        </w:rPr>
        <w:t>22</w:t>
      </w:r>
      <w:r>
        <w:rPr>
          <w:rFonts w:cs="Arial"/>
          <w:szCs w:val="20"/>
        </w:rPr>
        <w:t>)</w:t>
      </w:r>
      <w:r w:rsidRPr="00DF7079">
        <w:rPr>
          <w:rFonts w:cs="Arial"/>
          <w:szCs w:val="20"/>
        </w:rPr>
        <w:t xml:space="preserve"> </w:t>
      </w:r>
      <w:r>
        <w:rPr>
          <w:rFonts w:cs="Arial"/>
          <w:szCs w:val="20"/>
        </w:rPr>
        <w:t xml:space="preserve">of zero is assigned to that patient. </w:t>
      </w:r>
    </w:p>
    <w:p w14:paraId="6C0D2A63" w14:textId="77777777" w:rsidR="005E49D0" w:rsidRDefault="005E49D0" w:rsidP="005E49D0">
      <w:pPr>
        <w:tabs>
          <w:tab w:val="left" w:pos="1162"/>
        </w:tabs>
        <w:autoSpaceDE w:val="0"/>
        <w:autoSpaceDN w:val="0"/>
        <w:adjustRightInd w:val="0"/>
        <w:spacing w:before="240" w:line="240" w:lineRule="auto"/>
        <w:ind w:right="-28"/>
        <w:rPr>
          <w:rFonts w:cs="Arial"/>
          <w:szCs w:val="20"/>
        </w:rPr>
      </w:pPr>
      <w:r w:rsidRPr="00776DEA">
        <w:rPr>
          <w:rFonts w:cs="Arial"/>
          <w:szCs w:val="20"/>
        </w:rPr>
        <w:t xml:space="preserve">Table </w:t>
      </w:r>
      <w:r w:rsidRPr="00F41C22">
        <w:rPr>
          <w:rFonts w:cs="Arial"/>
          <w:szCs w:val="20"/>
        </w:rPr>
        <w:t>5</w:t>
      </w:r>
      <w:r w:rsidRPr="00776DEA">
        <w:rPr>
          <w:rFonts w:cs="Arial"/>
          <w:szCs w:val="20"/>
        </w:rPr>
        <w:t xml:space="preserve"> and Table 6</w:t>
      </w:r>
      <w:r>
        <w:rPr>
          <w:rFonts w:cs="Arial"/>
          <w:szCs w:val="20"/>
        </w:rPr>
        <w:t xml:space="preserve"> outline the information required to apply the above formula.</w:t>
      </w:r>
    </w:p>
    <w:p w14:paraId="501FFD31" w14:textId="77777777" w:rsidR="005E49D0" w:rsidRPr="00F41C22" w:rsidRDefault="005E49D0" w:rsidP="00A84D5C">
      <w:pPr>
        <w:keepNext/>
        <w:tabs>
          <w:tab w:val="left" w:pos="1162"/>
        </w:tabs>
        <w:autoSpaceDE w:val="0"/>
        <w:autoSpaceDN w:val="0"/>
        <w:adjustRightInd w:val="0"/>
        <w:spacing w:before="240" w:line="240" w:lineRule="auto"/>
        <w:ind w:right="-28"/>
        <w:rPr>
          <w:rFonts w:cs="Arial"/>
          <w:b/>
          <w:szCs w:val="20"/>
        </w:rPr>
      </w:pPr>
      <w:r w:rsidRPr="00F41C22">
        <w:rPr>
          <w:rFonts w:cs="Arial"/>
          <w:b/>
          <w:szCs w:val="20"/>
        </w:rPr>
        <w:lastRenderedPageBreak/>
        <w:t xml:space="preserve">Table </w:t>
      </w:r>
      <w:r w:rsidRPr="00776DEA">
        <w:rPr>
          <w:rFonts w:cs="Arial"/>
          <w:b/>
          <w:szCs w:val="20"/>
        </w:rPr>
        <w:t>5</w:t>
      </w:r>
      <w:r w:rsidRPr="00F41C22">
        <w:rPr>
          <w:rFonts w:cs="Arial"/>
          <w:b/>
          <w:szCs w:val="20"/>
        </w:rPr>
        <w:t>: Datasets and tables used for assignment of NWAU to admitted mental health patient data</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3: Dataset and tables required for assignment of NWAU to admitted acute patient data."/>
      </w:tblPr>
      <w:tblGrid>
        <w:gridCol w:w="2595"/>
        <w:gridCol w:w="6405"/>
      </w:tblGrid>
      <w:tr w:rsidR="005E49D0" w:rsidRPr="00A446AA" w14:paraId="3415ED7C" w14:textId="77777777" w:rsidTr="00A84D5C">
        <w:trPr>
          <w:tblHeader/>
        </w:trPr>
        <w:tc>
          <w:tcPr>
            <w:tcW w:w="2595" w:type="dxa"/>
            <w:tcBorders>
              <w:top w:val="single" w:sz="6" w:space="0" w:color="595959"/>
              <w:left w:val="single" w:sz="6" w:space="0" w:color="595959"/>
              <w:bottom w:val="single" w:sz="6" w:space="0" w:color="595959"/>
              <w:right w:val="single" w:sz="6" w:space="0" w:color="595959"/>
            </w:tcBorders>
            <w:shd w:val="clear" w:color="auto" w:fill="288A32"/>
            <w:hideMark/>
          </w:tcPr>
          <w:p w14:paraId="764129EC" w14:textId="77777777" w:rsidR="005E49D0" w:rsidRPr="00EA14EF" w:rsidRDefault="005E49D0" w:rsidP="00A84D5C">
            <w:pPr>
              <w:keepNext/>
              <w:tabs>
                <w:tab w:val="left" w:pos="1162"/>
              </w:tabs>
              <w:spacing w:line="240" w:lineRule="auto"/>
              <w:rPr>
                <w:rFonts w:cs="Arial"/>
                <w:b/>
                <w:color w:val="FFFFFF" w:themeColor="background1"/>
                <w:sz w:val="20"/>
                <w:szCs w:val="20"/>
              </w:rPr>
            </w:pPr>
            <w:r w:rsidRPr="00EA14EF">
              <w:rPr>
                <w:rFonts w:cs="Arial"/>
                <w:b/>
                <w:color w:val="FFFFFF" w:themeColor="background1"/>
                <w:sz w:val="20"/>
                <w:szCs w:val="20"/>
              </w:rPr>
              <w:t>Input dataset or table </w:t>
            </w:r>
          </w:p>
        </w:tc>
        <w:tc>
          <w:tcPr>
            <w:tcW w:w="6405" w:type="dxa"/>
            <w:tcBorders>
              <w:top w:val="single" w:sz="6" w:space="0" w:color="595959"/>
              <w:left w:val="outset" w:sz="6" w:space="0" w:color="auto"/>
              <w:bottom w:val="single" w:sz="6" w:space="0" w:color="595959"/>
              <w:right w:val="single" w:sz="6" w:space="0" w:color="595959"/>
            </w:tcBorders>
            <w:shd w:val="clear" w:color="auto" w:fill="288A32"/>
            <w:hideMark/>
          </w:tcPr>
          <w:p w14:paraId="3CF23CDE" w14:textId="77777777" w:rsidR="005E49D0" w:rsidRPr="00EA14EF" w:rsidRDefault="005E49D0" w:rsidP="00A84D5C">
            <w:pPr>
              <w:keepNext/>
              <w:tabs>
                <w:tab w:val="left" w:pos="1162"/>
              </w:tabs>
              <w:spacing w:line="240" w:lineRule="auto"/>
              <w:rPr>
                <w:rFonts w:cs="Arial"/>
                <w:b/>
                <w:color w:val="FFFFFF" w:themeColor="background1"/>
                <w:sz w:val="20"/>
                <w:szCs w:val="20"/>
              </w:rPr>
            </w:pPr>
            <w:r w:rsidRPr="00EA14EF">
              <w:rPr>
                <w:rFonts w:cs="Arial"/>
                <w:b/>
                <w:color w:val="FFFFFF" w:themeColor="background1"/>
                <w:sz w:val="20"/>
                <w:szCs w:val="20"/>
              </w:rPr>
              <w:t>Description </w:t>
            </w:r>
          </w:p>
        </w:tc>
      </w:tr>
      <w:tr w:rsidR="005E49D0" w:rsidRPr="00A446AA" w14:paraId="1EC00028" w14:textId="77777777" w:rsidTr="00A84D5C">
        <w:tc>
          <w:tcPr>
            <w:tcW w:w="2595" w:type="dxa"/>
            <w:tcBorders>
              <w:top w:val="outset" w:sz="6" w:space="0" w:color="auto"/>
              <w:left w:val="single" w:sz="6" w:space="0" w:color="595959"/>
              <w:bottom w:val="single" w:sz="6" w:space="0" w:color="595959"/>
              <w:right w:val="single" w:sz="6" w:space="0" w:color="595959"/>
            </w:tcBorders>
            <w:shd w:val="clear" w:color="auto" w:fill="auto"/>
            <w:hideMark/>
          </w:tcPr>
          <w:p w14:paraId="484489E9" w14:textId="77777777" w:rsidR="005E49D0" w:rsidRPr="00EA14EF" w:rsidRDefault="005E49D0" w:rsidP="00A84D5C">
            <w:pPr>
              <w:keepNext/>
              <w:spacing w:line="240" w:lineRule="auto"/>
              <w:ind w:right="-28"/>
              <w:textAlignment w:val="baseline"/>
              <w:rPr>
                <w:rFonts w:ascii="Segoe UI" w:hAnsi="Segoe UI" w:cs="Segoe UI"/>
                <w:sz w:val="20"/>
                <w:szCs w:val="20"/>
              </w:rPr>
            </w:pPr>
            <w:r w:rsidRPr="00EA14EF">
              <w:rPr>
                <w:rFonts w:cs="Arial"/>
                <w:sz w:val="20"/>
                <w:szCs w:val="20"/>
              </w:rPr>
              <w:t>MHC NBEDS</w:t>
            </w:r>
          </w:p>
        </w:tc>
        <w:tc>
          <w:tcPr>
            <w:tcW w:w="6405" w:type="dxa"/>
            <w:tcBorders>
              <w:top w:val="outset" w:sz="6" w:space="0" w:color="auto"/>
              <w:left w:val="outset" w:sz="6" w:space="0" w:color="auto"/>
              <w:bottom w:val="single" w:sz="6" w:space="0" w:color="595959"/>
              <w:right w:val="single" w:sz="6" w:space="0" w:color="595959"/>
            </w:tcBorders>
            <w:shd w:val="clear" w:color="auto" w:fill="auto"/>
            <w:hideMark/>
          </w:tcPr>
          <w:p w14:paraId="086B7DA6" w14:textId="37FF5B0E" w:rsidR="005E49D0" w:rsidRPr="00EA14EF" w:rsidRDefault="005E49D0" w:rsidP="00A84D5C">
            <w:pPr>
              <w:keepNext/>
              <w:spacing w:line="240" w:lineRule="auto"/>
              <w:ind w:right="-28"/>
              <w:textAlignment w:val="baseline"/>
              <w:rPr>
                <w:rFonts w:ascii="Segoe UI" w:hAnsi="Segoe UI" w:cs="Segoe UI"/>
                <w:sz w:val="20"/>
                <w:szCs w:val="20"/>
              </w:rPr>
            </w:pPr>
            <w:r w:rsidRPr="00EA14EF">
              <w:rPr>
                <w:rFonts w:cs="Arial"/>
                <w:sz w:val="20"/>
                <w:szCs w:val="20"/>
              </w:rPr>
              <w:t>Dataset based on the </w:t>
            </w:r>
            <w:r w:rsidR="00C4367D" w:rsidRPr="00EA14EF">
              <w:rPr>
                <w:rFonts w:cs="Arial"/>
                <w:sz w:val="20"/>
                <w:szCs w:val="20"/>
              </w:rPr>
              <w:t>201</w:t>
            </w:r>
            <w:r w:rsidR="00C4367D">
              <w:rPr>
                <w:rFonts w:cs="Arial"/>
                <w:sz w:val="20"/>
                <w:szCs w:val="20"/>
              </w:rPr>
              <w:t>9</w:t>
            </w:r>
            <w:r w:rsidRPr="00EA14EF">
              <w:rPr>
                <w:rFonts w:cs="Arial"/>
                <w:sz w:val="20"/>
                <w:szCs w:val="20"/>
              </w:rPr>
              <w:t>–</w:t>
            </w:r>
            <w:r w:rsidR="00C4367D">
              <w:rPr>
                <w:rFonts w:cs="Arial"/>
                <w:sz w:val="20"/>
                <w:szCs w:val="20"/>
              </w:rPr>
              <w:t>20</w:t>
            </w:r>
            <w:r w:rsidR="00C4367D" w:rsidRPr="00EA14EF">
              <w:rPr>
                <w:rFonts w:cs="Arial"/>
                <w:sz w:val="20"/>
                <w:szCs w:val="20"/>
              </w:rPr>
              <w:t> </w:t>
            </w:r>
            <w:r w:rsidRPr="00EA14EF">
              <w:rPr>
                <w:rFonts w:cs="Arial"/>
                <w:sz w:val="20"/>
                <w:szCs w:val="20"/>
              </w:rPr>
              <w:t>Activity based funding: Mental health care National Best Endeavours Data Set (MHC NBEDS).</w:t>
            </w:r>
          </w:p>
        </w:tc>
      </w:tr>
      <w:tr w:rsidR="005E49D0" w:rsidRPr="00A446AA" w14:paraId="3AAB84A2" w14:textId="77777777" w:rsidTr="00A84D5C">
        <w:tc>
          <w:tcPr>
            <w:tcW w:w="2595" w:type="dxa"/>
            <w:tcBorders>
              <w:top w:val="outset" w:sz="6" w:space="0" w:color="auto"/>
              <w:left w:val="single" w:sz="6" w:space="0" w:color="595959"/>
              <w:bottom w:val="single" w:sz="6" w:space="0" w:color="595959"/>
              <w:right w:val="single" w:sz="6" w:space="0" w:color="595959"/>
            </w:tcBorders>
            <w:shd w:val="clear" w:color="auto" w:fill="auto"/>
          </w:tcPr>
          <w:p w14:paraId="46D2B082" w14:textId="77777777" w:rsidR="005E49D0" w:rsidRPr="00EA14EF" w:rsidRDefault="005E49D0" w:rsidP="00A84D5C">
            <w:pPr>
              <w:keepNext/>
              <w:spacing w:line="240" w:lineRule="auto"/>
              <w:ind w:right="-28"/>
              <w:textAlignment w:val="baseline"/>
              <w:rPr>
                <w:rFonts w:cs="Arial"/>
                <w:sz w:val="20"/>
                <w:szCs w:val="20"/>
              </w:rPr>
            </w:pPr>
            <w:r w:rsidRPr="00EA14EF">
              <w:rPr>
                <w:rFonts w:cs="Arial"/>
                <w:sz w:val="20"/>
                <w:szCs w:val="20"/>
              </w:rPr>
              <w:t>APC NMDS</w:t>
            </w:r>
          </w:p>
        </w:tc>
        <w:tc>
          <w:tcPr>
            <w:tcW w:w="6405" w:type="dxa"/>
            <w:tcBorders>
              <w:top w:val="outset" w:sz="6" w:space="0" w:color="auto"/>
              <w:left w:val="outset" w:sz="6" w:space="0" w:color="auto"/>
              <w:bottom w:val="single" w:sz="6" w:space="0" w:color="595959"/>
              <w:right w:val="single" w:sz="6" w:space="0" w:color="595959"/>
            </w:tcBorders>
            <w:shd w:val="clear" w:color="auto" w:fill="auto"/>
          </w:tcPr>
          <w:p w14:paraId="1BCA4AFD" w14:textId="42067EB7" w:rsidR="005E49D0" w:rsidRPr="00EA14EF" w:rsidRDefault="005E49D0" w:rsidP="00A84D5C">
            <w:pPr>
              <w:keepNext/>
              <w:spacing w:line="240" w:lineRule="auto"/>
              <w:ind w:right="-28"/>
              <w:textAlignment w:val="baseline"/>
              <w:rPr>
                <w:rFonts w:cs="Arial"/>
                <w:sz w:val="20"/>
                <w:szCs w:val="20"/>
              </w:rPr>
            </w:pPr>
            <w:r w:rsidRPr="00EA14EF">
              <w:rPr>
                <w:rFonts w:cs="Arial"/>
                <w:sz w:val="20"/>
                <w:szCs w:val="20"/>
              </w:rPr>
              <w:t xml:space="preserve">Dataset based on the </w:t>
            </w:r>
            <w:r w:rsidR="00C4367D" w:rsidRPr="00EA14EF">
              <w:rPr>
                <w:rFonts w:cs="Arial"/>
                <w:sz w:val="20"/>
                <w:szCs w:val="20"/>
              </w:rPr>
              <w:t>201</w:t>
            </w:r>
            <w:r w:rsidR="00C4367D">
              <w:rPr>
                <w:rFonts w:cs="Arial"/>
                <w:sz w:val="20"/>
                <w:szCs w:val="20"/>
              </w:rPr>
              <w:t>9</w:t>
            </w:r>
            <w:r w:rsidR="005D0045">
              <w:rPr>
                <w:rFonts w:cs="Arial"/>
                <w:sz w:val="20"/>
                <w:szCs w:val="20"/>
              </w:rPr>
              <w:t>–</w:t>
            </w:r>
            <w:r w:rsidR="00C4367D">
              <w:rPr>
                <w:rFonts w:cs="Arial"/>
                <w:sz w:val="20"/>
                <w:szCs w:val="20"/>
              </w:rPr>
              <w:t>20</w:t>
            </w:r>
            <w:r w:rsidR="00C4367D" w:rsidRPr="00EA14EF">
              <w:rPr>
                <w:rFonts w:cs="Arial"/>
                <w:sz w:val="20"/>
                <w:szCs w:val="20"/>
              </w:rPr>
              <w:t xml:space="preserve"> </w:t>
            </w:r>
            <w:r w:rsidRPr="00EA14EF">
              <w:rPr>
                <w:rFonts w:cs="Arial"/>
                <w:sz w:val="20"/>
                <w:szCs w:val="20"/>
              </w:rPr>
              <w:t>Admitted Patient Care National Minimum Data Set (APC NMDS).</w:t>
            </w:r>
          </w:p>
        </w:tc>
      </w:tr>
      <w:tr w:rsidR="005E49D0" w:rsidRPr="00A446AA" w14:paraId="0082FEBB" w14:textId="77777777" w:rsidTr="00A84D5C">
        <w:tc>
          <w:tcPr>
            <w:tcW w:w="2595" w:type="dxa"/>
            <w:tcBorders>
              <w:top w:val="outset" w:sz="6" w:space="0" w:color="auto"/>
              <w:left w:val="single" w:sz="6" w:space="0" w:color="595959"/>
              <w:bottom w:val="single" w:sz="6" w:space="0" w:color="595959"/>
              <w:right w:val="single" w:sz="6" w:space="0" w:color="595959"/>
            </w:tcBorders>
            <w:shd w:val="clear" w:color="auto" w:fill="auto"/>
            <w:hideMark/>
          </w:tcPr>
          <w:p w14:paraId="610C0195" w14:textId="0E37FC83" w:rsidR="005E49D0" w:rsidRPr="00EA14EF" w:rsidRDefault="005E49D0" w:rsidP="00A84D5C">
            <w:pPr>
              <w:keepNext/>
              <w:spacing w:line="240" w:lineRule="auto"/>
              <w:ind w:right="-28"/>
              <w:textAlignment w:val="baseline"/>
              <w:rPr>
                <w:rFonts w:ascii="Segoe UI" w:hAnsi="Segoe UI" w:cs="Segoe UI"/>
                <w:sz w:val="20"/>
                <w:szCs w:val="20"/>
              </w:rPr>
            </w:pPr>
            <w:r w:rsidRPr="00EA14EF">
              <w:rPr>
                <w:rFonts w:cs="Arial"/>
                <w:sz w:val="20"/>
                <w:szCs w:val="20"/>
              </w:rPr>
              <w:t>Paediatric Adjustment eligibility table </w:t>
            </w:r>
          </w:p>
        </w:tc>
        <w:tc>
          <w:tcPr>
            <w:tcW w:w="6405" w:type="dxa"/>
            <w:tcBorders>
              <w:top w:val="outset" w:sz="6" w:space="0" w:color="auto"/>
              <w:left w:val="outset" w:sz="6" w:space="0" w:color="auto"/>
              <w:bottom w:val="single" w:sz="6" w:space="0" w:color="595959"/>
              <w:right w:val="single" w:sz="6" w:space="0" w:color="595959"/>
            </w:tcBorders>
            <w:shd w:val="clear" w:color="auto" w:fill="auto"/>
            <w:hideMark/>
          </w:tcPr>
          <w:p w14:paraId="24A59CF4" w14:textId="35B9D8C9" w:rsidR="005E49D0" w:rsidRPr="00EA14EF" w:rsidRDefault="005E49D0" w:rsidP="00A84D5C">
            <w:pPr>
              <w:keepNext/>
              <w:spacing w:line="240" w:lineRule="auto"/>
              <w:ind w:right="-28"/>
              <w:textAlignment w:val="baseline"/>
              <w:rPr>
                <w:rFonts w:ascii="Segoe UI" w:hAnsi="Segoe UI" w:cs="Segoe UI"/>
                <w:sz w:val="20"/>
                <w:szCs w:val="20"/>
              </w:rPr>
            </w:pPr>
            <w:r w:rsidRPr="00EA14EF">
              <w:rPr>
                <w:rFonts w:cs="Arial"/>
                <w:sz w:val="20"/>
                <w:szCs w:val="20"/>
              </w:rPr>
              <w:t xml:space="preserve">Table listing </w:t>
            </w:r>
            <w:r w:rsidR="004D34F7">
              <w:rPr>
                <w:rFonts w:cs="Arial"/>
                <w:sz w:val="20"/>
                <w:szCs w:val="20"/>
              </w:rPr>
              <w:t>eligible specialised children’s hospitals</w:t>
            </w:r>
            <w:r w:rsidRPr="00EA14EF">
              <w:rPr>
                <w:rFonts w:cs="Arial"/>
                <w:sz w:val="20"/>
                <w:szCs w:val="20"/>
              </w:rPr>
              <w:t>, found in the National Efficient Price Determination </w:t>
            </w:r>
            <w:r w:rsidR="00C4367D" w:rsidRPr="00EA14EF">
              <w:rPr>
                <w:rFonts w:cs="Arial"/>
                <w:sz w:val="20"/>
                <w:szCs w:val="20"/>
              </w:rPr>
              <w:t>202</w:t>
            </w:r>
            <w:r w:rsidR="00C4367D">
              <w:rPr>
                <w:rFonts w:cs="Arial"/>
                <w:sz w:val="20"/>
                <w:szCs w:val="20"/>
              </w:rPr>
              <w:t>2</w:t>
            </w:r>
            <w:r w:rsidRPr="00EA14EF">
              <w:rPr>
                <w:rFonts w:cs="Arial"/>
                <w:sz w:val="20"/>
                <w:szCs w:val="20"/>
              </w:rPr>
              <w:t>–2</w:t>
            </w:r>
            <w:r w:rsidR="005D0045">
              <w:rPr>
                <w:rFonts w:cs="Arial"/>
                <w:sz w:val="20"/>
                <w:szCs w:val="20"/>
              </w:rPr>
              <w:t>3</w:t>
            </w:r>
            <w:r w:rsidRPr="00EA14EF">
              <w:rPr>
                <w:rFonts w:cs="Arial"/>
                <w:sz w:val="20"/>
                <w:szCs w:val="20"/>
              </w:rPr>
              <w:t> and Glossary.   </w:t>
            </w:r>
          </w:p>
        </w:tc>
      </w:tr>
      <w:tr w:rsidR="005E49D0" w:rsidRPr="00A446AA" w14:paraId="782E7F30" w14:textId="77777777" w:rsidTr="00A84D5C">
        <w:tc>
          <w:tcPr>
            <w:tcW w:w="2595" w:type="dxa"/>
            <w:tcBorders>
              <w:top w:val="outset" w:sz="6" w:space="0" w:color="auto"/>
              <w:left w:val="single" w:sz="6" w:space="0" w:color="595959"/>
              <w:bottom w:val="single" w:sz="6" w:space="0" w:color="595959"/>
              <w:right w:val="single" w:sz="6" w:space="0" w:color="595959"/>
            </w:tcBorders>
            <w:shd w:val="clear" w:color="auto" w:fill="auto"/>
            <w:hideMark/>
          </w:tcPr>
          <w:p w14:paraId="3C73075A" w14:textId="77777777" w:rsidR="005E49D0" w:rsidRPr="00EA14EF" w:rsidRDefault="005E49D0" w:rsidP="00A84D5C">
            <w:pPr>
              <w:keepNext/>
              <w:spacing w:line="240" w:lineRule="auto"/>
              <w:ind w:right="-28"/>
              <w:textAlignment w:val="baseline"/>
              <w:rPr>
                <w:rFonts w:ascii="Segoe UI" w:hAnsi="Segoe UI" w:cs="Segoe UI"/>
                <w:sz w:val="20"/>
                <w:szCs w:val="20"/>
              </w:rPr>
            </w:pPr>
            <w:r w:rsidRPr="00EA14EF">
              <w:rPr>
                <w:rFonts w:cs="Arial"/>
                <w:sz w:val="20"/>
                <w:szCs w:val="20"/>
              </w:rPr>
              <w:t>Postcode table </w:t>
            </w:r>
          </w:p>
        </w:tc>
        <w:tc>
          <w:tcPr>
            <w:tcW w:w="6405" w:type="dxa"/>
            <w:tcBorders>
              <w:top w:val="outset" w:sz="6" w:space="0" w:color="auto"/>
              <w:left w:val="outset" w:sz="6" w:space="0" w:color="auto"/>
              <w:bottom w:val="single" w:sz="6" w:space="0" w:color="595959"/>
              <w:right w:val="single" w:sz="6" w:space="0" w:color="595959"/>
            </w:tcBorders>
            <w:shd w:val="clear" w:color="auto" w:fill="auto"/>
            <w:hideMark/>
          </w:tcPr>
          <w:p w14:paraId="23EDE31C" w14:textId="77777777" w:rsidR="005E49D0" w:rsidRPr="00EA14EF" w:rsidRDefault="005E49D0" w:rsidP="00A84D5C">
            <w:pPr>
              <w:keepNext/>
              <w:spacing w:line="240" w:lineRule="auto"/>
              <w:ind w:right="-28"/>
              <w:textAlignment w:val="baseline"/>
              <w:rPr>
                <w:rFonts w:ascii="Segoe UI" w:hAnsi="Segoe UI" w:cs="Segoe UI"/>
                <w:sz w:val="20"/>
                <w:szCs w:val="20"/>
              </w:rPr>
            </w:pPr>
            <w:r w:rsidRPr="00EA14EF">
              <w:rPr>
                <w:rFonts w:cs="Arial"/>
                <w:sz w:val="20"/>
                <w:szCs w:val="20"/>
              </w:rPr>
              <w:t>Table of postcodes mapped to the 2016 ASGS Remoteness Area classification. Each postcode is mapped to the Remoteness Area category within which the majority of the postcode’s population resides. PO Box postcodes are mapped to the Remoteness Area category within which the Post Office is located. </w:t>
            </w:r>
          </w:p>
        </w:tc>
      </w:tr>
      <w:tr w:rsidR="005E49D0" w:rsidRPr="00A446AA" w14:paraId="7CB8082F" w14:textId="77777777" w:rsidTr="00A84D5C">
        <w:tc>
          <w:tcPr>
            <w:tcW w:w="2595" w:type="dxa"/>
            <w:tcBorders>
              <w:top w:val="outset" w:sz="6" w:space="0" w:color="auto"/>
              <w:left w:val="single" w:sz="6" w:space="0" w:color="595959"/>
              <w:bottom w:val="single" w:sz="6" w:space="0" w:color="595959"/>
              <w:right w:val="single" w:sz="6" w:space="0" w:color="595959"/>
            </w:tcBorders>
            <w:shd w:val="clear" w:color="auto" w:fill="auto"/>
            <w:hideMark/>
          </w:tcPr>
          <w:p w14:paraId="2AD2425C" w14:textId="77777777" w:rsidR="005E49D0" w:rsidRPr="00EA14EF" w:rsidRDefault="005E49D0" w:rsidP="00A84D5C">
            <w:pPr>
              <w:keepNext/>
              <w:spacing w:line="240" w:lineRule="auto"/>
              <w:ind w:right="-28"/>
              <w:textAlignment w:val="baseline"/>
              <w:rPr>
                <w:rFonts w:ascii="Segoe UI" w:hAnsi="Segoe UI" w:cs="Segoe UI"/>
                <w:sz w:val="20"/>
                <w:szCs w:val="20"/>
              </w:rPr>
            </w:pPr>
            <w:r w:rsidRPr="00EA14EF">
              <w:rPr>
                <w:rFonts w:cs="Arial"/>
                <w:sz w:val="20"/>
                <w:szCs w:val="20"/>
              </w:rPr>
              <w:t>ASGS table </w:t>
            </w:r>
          </w:p>
        </w:tc>
        <w:tc>
          <w:tcPr>
            <w:tcW w:w="6405" w:type="dxa"/>
            <w:tcBorders>
              <w:top w:val="outset" w:sz="6" w:space="0" w:color="auto"/>
              <w:left w:val="outset" w:sz="6" w:space="0" w:color="auto"/>
              <w:bottom w:val="single" w:sz="6" w:space="0" w:color="595959"/>
              <w:right w:val="single" w:sz="6" w:space="0" w:color="595959"/>
            </w:tcBorders>
            <w:shd w:val="clear" w:color="auto" w:fill="auto"/>
            <w:hideMark/>
          </w:tcPr>
          <w:p w14:paraId="5F4888E1" w14:textId="77777777" w:rsidR="005E49D0" w:rsidRPr="00EA14EF" w:rsidRDefault="005E49D0" w:rsidP="00A84D5C">
            <w:pPr>
              <w:keepNext/>
              <w:spacing w:line="240" w:lineRule="auto"/>
              <w:ind w:right="-28"/>
              <w:textAlignment w:val="baseline"/>
              <w:rPr>
                <w:rFonts w:ascii="Segoe UI" w:hAnsi="Segoe UI" w:cs="Segoe UI"/>
                <w:sz w:val="20"/>
                <w:szCs w:val="20"/>
              </w:rPr>
            </w:pPr>
            <w:r w:rsidRPr="00EA14EF">
              <w:rPr>
                <w:rFonts w:cs="Arial"/>
                <w:sz w:val="20"/>
                <w:szCs w:val="20"/>
              </w:rPr>
              <w:t>Table of Australian Statistical Geography Standard (ASGS) mapped to the Remoteness Area category within which the majority of the ASGS’s population resides. </w:t>
            </w:r>
          </w:p>
        </w:tc>
      </w:tr>
      <w:tr w:rsidR="005E49D0" w:rsidRPr="00A446AA" w14:paraId="28E0B2E7" w14:textId="77777777" w:rsidTr="00A84D5C">
        <w:tc>
          <w:tcPr>
            <w:tcW w:w="2595" w:type="dxa"/>
            <w:tcBorders>
              <w:top w:val="outset" w:sz="6" w:space="0" w:color="auto"/>
              <w:left w:val="single" w:sz="6" w:space="0" w:color="595959"/>
              <w:bottom w:val="single" w:sz="6" w:space="0" w:color="595959"/>
              <w:right w:val="single" w:sz="6" w:space="0" w:color="595959"/>
            </w:tcBorders>
            <w:shd w:val="clear" w:color="auto" w:fill="auto"/>
            <w:hideMark/>
          </w:tcPr>
          <w:p w14:paraId="3B1EFB38" w14:textId="681ECB42" w:rsidR="005E49D0" w:rsidRPr="00EA14EF" w:rsidRDefault="0074437B" w:rsidP="00A84D5C">
            <w:pPr>
              <w:keepNext/>
              <w:spacing w:line="240" w:lineRule="auto"/>
              <w:ind w:right="-28"/>
              <w:textAlignment w:val="baseline"/>
              <w:rPr>
                <w:rFonts w:ascii="Segoe UI" w:hAnsi="Segoe UI" w:cs="Segoe UI"/>
                <w:sz w:val="20"/>
                <w:szCs w:val="20"/>
              </w:rPr>
            </w:pPr>
            <w:r>
              <w:rPr>
                <w:rFonts w:cs="Arial"/>
                <w:sz w:val="20"/>
                <w:szCs w:val="20"/>
              </w:rPr>
              <w:t>2022</w:t>
            </w:r>
            <w:r w:rsidR="005D0045">
              <w:rPr>
                <w:rFonts w:cs="Arial"/>
                <w:sz w:val="20"/>
                <w:szCs w:val="20"/>
              </w:rPr>
              <w:t>–</w:t>
            </w:r>
            <w:r>
              <w:rPr>
                <w:rFonts w:cs="Arial"/>
                <w:sz w:val="20"/>
                <w:szCs w:val="20"/>
              </w:rPr>
              <w:t>23 NWAU p</w:t>
            </w:r>
            <w:r w:rsidR="00D5403D">
              <w:rPr>
                <w:rFonts w:cs="Arial"/>
                <w:sz w:val="20"/>
                <w:szCs w:val="20"/>
              </w:rPr>
              <w:t xml:space="preserve">rice </w:t>
            </w:r>
            <w:r w:rsidR="005E49D0" w:rsidRPr="00EA14EF">
              <w:rPr>
                <w:rFonts w:cs="Arial"/>
                <w:sz w:val="20"/>
                <w:szCs w:val="20"/>
              </w:rPr>
              <w:t>weight table</w:t>
            </w:r>
          </w:p>
        </w:tc>
        <w:tc>
          <w:tcPr>
            <w:tcW w:w="6405" w:type="dxa"/>
            <w:tcBorders>
              <w:top w:val="outset" w:sz="6" w:space="0" w:color="auto"/>
              <w:left w:val="outset" w:sz="6" w:space="0" w:color="auto"/>
              <w:bottom w:val="single" w:sz="6" w:space="0" w:color="595959"/>
              <w:right w:val="single" w:sz="6" w:space="0" w:color="595959"/>
            </w:tcBorders>
            <w:shd w:val="clear" w:color="auto" w:fill="auto"/>
            <w:hideMark/>
          </w:tcPr>
          <w:p w14:paraId="2E986ED5" w14:textId="5FA98067" w:rsidR="005E49D0" w:rsidRPr="00EA14EF" w:rsidRDefault="00D5403D" w:rsidP="00A84D5C">
            <w:pPr>
              <w:keepNext/>
              <w:spacing w:line="240" w:lineRule="auto"/>
              <w:ind w:right="-28"/>
              <w:textAlignment w:val="baseline"/>
              <w:rPr>
                <w:rFonts w:ascii="Segoe UI" w:hAnsi="Segoe UI" w:cs="Segoe UI"/>
                <w:sz w:val="20"/>
                <w:szCs w:val="20"/>
              </w:rPr>
            </w:pPr>
            <w:r w:rsidRPr="00EA14EF">
              <w:rPr>
                <w:rFonts w:cs="Arial"/>
                <w:sz w:val="20"/>
                <w:szCs w:val="20"/>
              </w:rPr>
              <w:t>202</w:t>
            </w:r>
            <w:r>
              <w:rPr>
                <w:rFonts w:cs="Arial"/>
                <w:sz w:val="20"/>
                <w:szCs w:val="20"/>
              </w:rPr>
              <w:t>2</w:t>
            </w:r>
            <w:r w:rsidR="005E49D0" w:rsidRPr="00EA14EF">
              <w:rPr>
                <w:rFonts w:cs="Arial"/>
                <w:sz w:val="20"/>
                <w:szCs w:val="20"/>
              </w:rPr>
              <w:t>–</w:t>
            </w:r>
            <w:r w:rsidRPr="00EA14EF">
              <w:rPr>
                <w:rFonts w:cs="Arial"/>
                <w:sz w:val="20"/>
                <w:szCs w:val="20"/>
              </w:rPr>
              <w:t>2</w:t>
            </w:r>
            <w:r>
              <w:rPr>
                <w:rFonts w:cs="Arial"/>
                <w:sz w:val="20"/>
                <w:szCs w:val="20"/>
              </w:rPr>
              <w:t>3</w:t>
            </w:r>
            <w:r w:rsidRPr="00EA14EF">
              <w:rPr>
                <w:rFonts w:cs="Arial"/>
                <w:sz w:val="20"/>
                <w:szCs w:val="20"/>
              </w:rPr>
              <w:t> </w:t>
            </w:r>
            <w:r w:rsidR="005E49D0" w:rsidRPr="00EA14EF">
              <w:rPr>
                <w:rFonts w:cs="Arial"/>
                <w:sz w:val="20"/>
                <w:szCs w:val="20"/>
              </w:rPr>
              <w:t>Admitted mental health NWAU Price weight table, found in the National Efficient Price Determination </w:t>
            </w:r>
            <w:r w:rsidRPr="00EA14EF">
              <w:rPr>
                <w:rFonts w:cs="Arial"/>
                <w:sz w:val="20"/>
                <w:szCs w:val="20"/>
              </w:rPr>
              <w:t>202</w:t>
            </w:r>
            <w:r>
              <w:rPr>
                <w:rFonts w:cs="Arial"/>
                <w:sz w:val="20"/>
                <w:szCs w:val="20"/>
              </w:rPr>
              <w:t>2</w:t>
            </w:r>
            <w:r w:rsidR="005E49D0" w:rsidRPr="00EA14EF">
              <w:rPr>
                <w:rFonts w:cs="Arial"/>
                <w:sz w:val="20"/>
                <w:szCs w:val="20"/>
              </w:rPr>
              <w:t>–</w:t>
            </w:r>
            <w:r w:rsidRPr="00EA14EF">
              <w:rPr>
                <w:rFonts w:cs="Arial"/>
                <w:sz w:val="20"/>
                <w:szCs w:val="20"/>
              </w:rPr>
              <w:t>2</w:t>
            </w:r>
            <w:r>
              <w:rPr>
                <w:rFonts w:cs="Arial"/>
                <w:sz w:val="20"/>
                <w:szCs w:val="20"/>
              </w:rPr>
              <w:t>3</w:t>
            </w:r>
            <w:r w:rsidR="005E49D0" w:rsidRPr="00EA14EF">
              <w:rPr>
                <w:rFonts w:cs="Arial"/>
                <w:sz w:val="20"/>
                <w:szCs w:val="20"/>
              </w:rPr>
              <w:t>. </w:t>
            </w:r>
          </w:p>
        </w:tc>
      </w:tr>
      <w:tr w:rsidR="005E49D0" w:rsidRPr="00EB6C6B" w14:paraId="35E5DD30" w14:textId="77777777" w:rsidTr="00A84D5C">
        <w:tc>
          <w:tcPr>
            <w:tcW w:w="2595" w:type="dxa"/>
            <w:tcBorders>
              <w:top w:val="outset" w:sz="6" w:space="0" w:color="auto"/>
              <w:left w:val="single" w:sz="6" w:space="0" w:color="595959"/>
              <w:bottom w:val="outset" w:sz="6" w:space="0" w:color="auto"/>
              <w:right w:val="single" w:sz="6" w:space="0" w:color="595959"/>
            </w:tcBorders>
            <w:shd w:val="clear" w:color="auto" w:fill="auto"/>
            <w:hideMark/>
          </w:tcPr>
          <w:p w14:paraId="4F3C135F" w14:textId="44B70205" w:rsidR="005E49D0" w:rsidRPr="00EA14EF" w:rsidRDefault="00D5403D" w:rsidP="00A84D5C">
            <w:pPr>
              <w:keepNext/>
              <w:spacing w:line="240" w:lineRule="auto"/>
              <w:ind w:right="-28"/>
              <w:textAlignment w:val="baseline"/>
              <w:rPr>
                <w:rFonts w:ascii="Segoe UI" w:hAnsi="Segoe UI" w:cs="Segoe UI"/>
                <w:sz w:val="20"/>
                <w:szCs w:val="20"/>
              </w:rPr>
            </w:pPr>
            <w:r w:rsidRPr="00EA14EF">
              <w:rPr>
                <w:rFonts w:cs="Arial"/>
                <w:sz w:val="20"/>
                <w:szCs w:val="20"/>
              </w:rPr>
              <w:t>202</w:t>
            </w:r>
            <w:r>
              <w:rPr>
                <w:rFonts w:cs="Arial"/>
                <w:sz w:val="20"/>
                <w:szCs w:val="20"/>
              </w:rPr>
              <w:t>2</w:t>
            </w:r>
            <w:r w:rsidR="005E49D0" w:rsidRPr="00EA14EF">
              <w:rPr>
                <w:rFonts w:cs="Arial"/>
                <w:sz w:val="20"/>
                <w:szCs w:val="20"/>
              </w:rPr>
              <w:t>–</w:t>
            </w:r>
            <w:r w:rsidRPr="00EA14EF">
              <w:rPr>
                <w:rFonts w:cs="Arial"/>
                <w:sz w:val="20"/>
                <w:szCs w:val="20"/>
              </w:rPr>
              <w:t>2</w:t>
            </w:r>
            <w:r>
              <w:rPr>
                <w:rFonts w:cs="Arial"/>
                <w:sz w:val="20"/>
                <w:szCs w:val="20"/>
              </w:rPr>
              <w:t>3</w:t>
            </w:r>
            <w:r w:rsidRPr="00EA14EF">
              <w:rPr>
                <w:rFonts w:cs="Arial"/>
                <w:sz w:val="20"/>
                <w:szCs w:val="20"/>
              </w:rPr>
              <w:t> </w:t>
            </w:r>
            <w:r w:rsidR="005E49D0" w:rsidRPr="00EA14EF">
              <w:rPr>
                <w:rFonts w:cs="Arial"/>
                <w:sz w:val="20"/>
                <w:szCs w:val="20"/>
              </w:rPr>
              <w:t>Admitted Acute NWAU Adjustments </w:t>
            </w:r>
          </w:p>
        </w:tc>
        <w:tc>
          <w:tcPr>
            <w:tcW w:w="6405" w:type="dxa"/>
            <w:tcBorders>
              <w:top w:val="outset" w:sz="6" w:space="0" w:color="auto"/>
              <w:left w:val="outset" w:sz="6" w:space="0" w:color="auto"/>
              <w:bottom w:val="outset" w:sz="6" w:space="0" w:color="auto"/>
              <w:right w:val="single" w:sz="6" w:space="0" w:color="595959"/>
            </w:tcBorders>
            <w:shd w:val="clear" w:color="auto" w:fill="auto"/>
            <w:hideMark/>
          </w:tcPr>
          <w:p w14:paraId="4EBFF9FA" w14:textId="74C50E30" w:rsidR="005E49D0" w:rsidRPr="00EA14EF" w:rsidRDefault="00D5403D" w:rsidP="00A84D5C">
            <w:pPr>
              <w:keepNext/>
              <w:spacing w:line="240" w:lineRule="auto"/>
              <w:ind w:right="-28"/>
              <w:textAlignment w:val="baseline"/>
              <w:rPr>
                <w:rFonts w:ascii="Segoe UI" w:hAnsi="Segoe UI" w:cs="Segoe UI"/>
                <w:sz w:val="20"/>
                <w:szCs w:val="20"/>
              </w:rPr>
            </w:pPr>
            <w:r w:rsidRPr="00EA14EF">
              <w:rPr>
                <w:rFonts w:cs="Arial"/>
                <w:sz w:val="20"/>
                <w:szCs w:val="20"/>
              </w:rPr>
              <w:t>202</w:t>
            </w:r>
            <w:r>
              <w:rPr>
                <w:rFonts w:cs="Arial"/>
                <w:sz w:val="20"/>
                <w:szCs w:val="20"/>
              </w:rPr>
              <w:t>2</w:t>
            </w:r>
            <w:r w:rsidR="005E49D0" w:rsidRPr="00EA14EF">
              <w:rPr>
                <w:rFonts w:cs="Arial"/>
                <w:sz w:val="20"/>
                <w:szCs w:val="20"/>
              </w:rPr>
              <w:t>–</w:t>
            </w:r>
            <w:r w:rsidRPr="00EA14EF">
              <w:rPr>
                <w:rFonts w:cs="Arial"/>
                <w:sz w:val="20"/>
                <w:szCs w:val="20"/>
              </w:rPr>
              <w:t>2</w:t>
            </w:r>
            <w:r>
              <w:rPr>
                <w:rFonts w:cs="Arial"/>
                <w:sz w:val="20"/>
                <w:szCs w:val="20"/>
              </w:rPr>
              <w:t>3</w:t>
            </w:r>
            <w:r w:rsidRPr="00EA14EF">
              <w:rPr>
                <w:rFonts w:cs="Arial"/>
                <w:sz w:val="20"/>
                <w:szCs w:val="20"/>
              </w:rPr>
              <w:t> </w:t>
            </w:r>
            <w:r w:rsidR="005E49D0" w:rsidRPr="00EA14EF">
              <w:rPr>
                <w:rFonts w:cs="Arial"/>
                <w:sz w:val="20"/>
                <w:szCs w:val="20"/>
              </w:rPr>
              <w:t>Admitted acute NWAU Adjustments, found in the National Efficient Price Determination </w:t>
            </w:r>
            <w:r w:rsidRPr="00EA14EF">
              <w:rPr>
                <w:rFonts w:cs="Arial"/>
                <w:sz w:val="20"/>
                <w:szCs w:val="20"/>
              </w:rPr>
              <w:t>202</w:t>
            </w:r>
            <w:r>
              <w:rPr>
                <w:rFonts w:cs="Arial"/>
                <w:sz w:val="20"/>
                <w:szCs w:val="20"/>
              </w:rPr>
              <w:t>2</w:t>
            </w:r>
            <w:r w:rsidR="005E49D0" w:rsidRPr="00EA14EF">
              <w:rPr>
                <w:rFonts w:cs="Arial"/>
                <w:sz w:val="20"/>
                <w:szCs w:val="20"/>
              </w:rPr>
              <w:t>–</w:t>
            </w:r>
            <w:r w:rsidRPr="00EA14EF">
              <w:rPr>
                <w:rFonts w:cs="Arial"/>
                <w:sz w:val="20"/>
                <w:szCs w:val="20"/>
              </w:rPr>
              <w:t>2</w:t>
            </w:r>
            <w:r>
              <w:rPr>
                <w:rFonts w:cs="Arial"/>
                <w:sz w:val="20"/>
                <w:szCs w:val="20"/>
              </w:rPr>
              <w:t>3</w:t>
            </w:r>
            <w:r w:rsidR="005E49D0" w:rsidRPr="00EA14EF">
              <w:rPr>
                <w:rFonts w:cs="Arial"/>
                <w:sz w:val="20"/>
                <w:szCs w:val="20"/>
              </w:rPr>
              <w:t>. </w:t>
            </w:r>
          </w:p>
        </w:tc>
      </w:tr>
    </w:tbl>
    <w:p w14:paraId="4E634D75" w14:textId="7FCA032D" w:rsidR="005E49D0" w:rsidRPr="00F41C22" w:rsidRDefault="005E49D0" w:rsidP="005E49D0">
      <w:pPr>
        <w:keepNext/>
        <w:keepLines/>
        <w:tabs>
          <w:tab w:val="left" w:pos="1162"/>
        </w:tabs>
        <w:autoSpaceDE w:val="0"/>
        <w:autoSpaceDN w:val="0"/>
        <w:adjustRightInd w:val="0"/>
        <w:spacing w:before="240" w:line="240" w:lineRule="auto"/>
        <w:ind w:right="-28"/>
        <w:rPr>
          <w:rFonts w:cs="Arial"/>
          <w:b/>
          <w:szCs w:val="20"/>
        </w:rPr>
      </w:pPr>
      <w:r w:rsidRPr="00F41C22">
        <w:rPr>
          <w:rFonts w:cs="Arial"/>
          <w:b/>
          <w:szCs w:val="20"/>
        </w:rPr>
        <w:t xml:space="preserve">Table 6: </w:t>
      </w:r>
      <w:r w:rsidRPr="00776DEA">
        <w:rPr>
          <w:rFonts w:cs="Arial"/>
          <w:b/>
          <w:szCs w:val="20"/>
        </w:rPr>
        <w:t>Phase</w:t>
      </w:r>
      <w:r>
        <w:rPr>
          <w:rFonts w:cs="Arial"/>
          <w:b/>
          <w:szCs w:val="20"/>
        </w:rPr>
        <w:t xml:space="preserve"> level variables (based on </w:t>
      </w:r>
      <w:r w:rsidRPr="00F41C22">
        <w:rPr>
          <w:rFonts w:cs="Arial"/>
          <w:b/>
          <w:szCs w:val="20"/>
        </w:rPr>
        <w:t>MHC N</w:t>
      </w:r>
      <w:r>
        <w:rPr>
          <w:rFonts w:cs="Arial"/>
          <w:b/>
          <w:szCs w:val="20"/>
        </w:rPr>
        <w:t>BE</w:t>
      </w:r>
      <w:r w:rsidRPr="00F41C22">
        <w:rPr>
          <w:rFonts w:cs="Arial"/>
          <w:b/>
          <w:szCs w:val="20"/>
        </w:rPr>
        <w:t>DS</w:t>
      </w:r>
      <w:r>
        <w:rPr>
          <w:rFonts w:cs="Arial"/>
          <w:b/>
          <w:szCs w:val="20"/>
        </w:rPr>
        <w:t xml:space="preserve"> and APC</w:t>
      </w:r>
      <w:r w:rsidRPr="00F41C22">
        <w:rPr>
          <w:rFonts w:cs="Arial"/>
          <w:b/>
          <w:szCs w:val="20"/>
        </w:rPr>
        <w:t xml:space="preserve"> </w:t>
      </w:r>
      <w:r w:rsidRPr="00531856">
        <w:rPr>
          <w:rFonts w:cs="Arial"/>
          <w:b/>
          <w:szCs w:val="20"/>
        </w:rPr>
        <w:t xml:space="preserve">NMDS </w:t>
      </w:r>
      <w:r w:rsidRPr="00F41C22">
        <w:rPr>
          <w:rFonts w:cs="Arial"/>
          <w:b/>
          <w:szCs w:val="20"/>
        </w:rPr>
        <w:t>variables</w:t>
      </w:r>
      <w:r>
        <w:rPr>
          <w:rFonts w:cs="Arial"/>
          <w:b/>
          <w:szCs w:val="20"/>
        </w:rPr>
        <w:t>)</w:t>
      </w:r>
      <w:r w:rsidRPr="00F41C22">
        <w:rPr>
          <w:rFonts w:cs="Arial"/>
          <w:b/>
          <w:szCs w:val="20"/>
        </w:rPr>
        <w:t xml:space="preserve"> used to calculate </w:t>
      </w:r>
      <w:r w:rsidR="005E77D6" w:rsidRPr="00F41C22">
        <w:rPr>
          <w:rFonts w:cs="Arial"/>
          <w:b/>
          <w:szCs w:val="20"/>
        </w:rPr>
        <w:t>202</w:t>
      </w:r>
      <w:r w:rsidR="005E77D6">
        <w:rPr>
          <w:rFonts w:cs="Arial"/>
          <w:b/>
          <w:szCs w:val="20"/>
        </w:rPr>
        <w:t>2</w:t>
      </w:r>
      <w:r w:rsidR="005D0045">
        <w:rPr>
          <w:rFonts w:cs="Arial"/>
          <w:b/>
          <w:szCs w:val="20"/>
        </w:rPr>
        <w:t>–</w:t>
      </w:r>
      <w:r w:rsidR="005E77D6" w:rsidRPr="00F41C22">
        <w:rPr>
          <w:rFonts w:cs="Arial"/>
          <w:b/>
          <w:szCs w:val="20"/>
        </w:rPr>
        <w:t>2</w:t>
      </w:r>
      <w:r w:rsidR="005E77D6">
        <w:rPr>
          <w:rFonts w:cs="Arial"/>
          <w:b/>
          <w:szCs w:val="20"/>
        </w:rPr>
        <w:t>3</w:t>
      </w:r>
      <w:r w:rsidR="005E77D6" w:rsidRPr="00F41C22">
        <w:rPr>
          <w:rFonts w:cs="Arial"/>
          <w:b/>
          <w:szCs w:val="20"/>
        </w:rPr>
        <w:t xml:space="preserve"> </w:t>
      </w:r>
      <w:r w:rsidRPr="00F41C22">
        <w:rPr>
          <w:rFonts w:cs="Arial"/>
          <w:b/>
          <w:szCs w:val="20"/>
        </w:rPr>
        <w:t>admitted mental health NWAU</w:t>
      </w:r>
    </w:p>
    <w:tbl>
      <w:tblPr>
        <w:tblW w:w="67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4: APC NMDS variables used to calculate 2018-19 admitted acute NWAU."/>
      </w:tblPr>
      <w:tblGrid>
        <w:gridCol w:w="6743"/>
      </w:tblGrid>
      <w:tr w:rsidR="005E49D0" w:rsidRPr="00A446AA" w14:paraId="47FB7F92" w14:textId="77777777" w:rsidTr="00A84D5C">
        <w:trPr>
          <w:trHeight w:val="300"/>
          <w:tblHeader/>
        </w:trPr>
        <w:tc>
          <w:tcPr>
            <w:tcW w:w="6743" w:type="dxa"/>
            <w:tcBorders>
              <w:top w:val="outset" w:sz="6" w:space="0" w:color="auto"/>
              <w:left w:val="single" w:sz="6" w:space="0" w:color="595959"/>
              <w:bottom w:val="single" w:sz="6" w:space="0" w:color="595959"/>
              <w:right w:val="single" w:sz="6" w:space="0" w:color="595959"/>
            </w:tcBorders>
            <w:shd w:val="clear" w:color="auto" w:fill="288A32"/>
          </w:tcPr>
          <w:p w14:paraId="529F653C" w14:textId="77777777" w:rsidR="005E49D0" w:rsidRPr="00EA14EF" w:rsidRDefault="005E49D0" w:rsidP="003C0686">
            <w:pPr>
              <w:tabs>
                <w:tab w:val="left" w:pos="1162"/>
              </w:tabs>
              <w:spacing w:line="240" w:lineRule="auto"/>
              <w:rPr>
                <w:rFonts w:cs="Arial"/>
                <w:b/>
                <w:color w:val="FFFFFF" w:themeColor="background1"/>
                <w:sz w:val="20"/>
                <w:szCs w:val="20"/>
              </w:rPr>
            </w:pPr>
            <w:r w:rsidRPr="00EA14EF">
              <w:rPr>
                <w:rFonts w:cs="Arial"/>
                <w:b/>
                <w:color w:val="FFFFFF" w:themeColor="background1"/>
                <w:sz w:val="20"/>
                <w:szCs w:val="20"/>
              </w:rPr>
              <w:t>MHC NBEDS and APC NMDS variables</w:t>
            </w:r>
          </w:p>
        </w:tc>
      </w:tr>
      <w:tr w:rsidR="005E49D0" w:rsidRPr="00A446AA" w14:paraId="0F881F16" w14:textId="77777777" w:rsidTr="00A84D5C">
        <w:trPr>
          <w:trHeight w:val="300"/>
        </w:trPr>
        <w:tc>
          <w:tcPr>
            <w:tcW w:w="6743" w:type="dxa"/>
            <w:tcBorders>
              <w:top w:val="outset" w:sz="6" w:space="0" w:color="auto"/>
              <w:left w:val="single" w:sz="6" w:space="0" w:color="595959"/>
              <w:bottom w:val="single" w:sz="6" w:space="0" w:color="595959"/>
              <w:right w:val="single" w:sz="6" w:space="0" w:color="595959"/>
            </w:tcBorders>
            <w:shd w:val="clear" w:color="auto" w:fill="auto"/>
            <w:hideMark/>
          </w:tcPr>
          <w:p w14:paraId="1659D68A" w14:textId="77777777" w:rsidR="005E49D0" w:rsidRPr="00EA14EF" w:rsidRDefault="005E49D0" w:rsidP="003C0686">
            <w:pPr>
              <w:spacing w:line="240" w:lineRule="auto"/>
              <w:ind w:right="-28"/>
              <w:textAlignment w:val="baseline"/>
              <w:rPr>
                <w:rFonts w:cs="Arial"/>
                <w:sz w:val="20"/>
                <w:szCs w:val="20"/>
              </w:rPr>
            </w:pPr>
            <w:r w:rsidRPr="00EA14EF">
              <w:rPr>
                <w:rFonts w:cs="Arial"/>
                <w:sz w:val="20"/>
                <w:szCs w:val="20"/>
              </w:rPr>
              <w:t>State Identifier </w:t>
            </w:r>
          </w:p>
        </w:tc>
      </w:tr>
      <w:tr w:rsidR="005E49D0" w:rsidRPr="00A446AA" w14:paraId="2482A520" w14:textId="77777777" w:rsidTr="00A84D5C">
        <w:trPr>
          <w:trHeight w:val="300"/>
        </w:trPr>
        <w:tc>
          <w:tcPr>
            <w:tcW w:w="6743" w:type="dxa"/>
            <w:tcBorders>
              <w:top w:val="outset" w:sz="6" w:space="0" w:color="auto"/>
              <w:left w:val="single" w:sz="6" w:space="0" w:color="595959"/>
              <w:bottom w:val="single" w:sz="6" w:space="0" w:color="595959"/>
              <w:right w:val="single" w:sz="6" w:space="0" w:color="595959"/>
            </w:tcBorders>
            <w:shd w:val="clear" w:color="auto" w:fill="auto"/>
            <w:hideMark/>
          </w:tcPr>
          <w:p w14:paraId="741D563F" w14:textId="77777777" w:rsidR="005E49D0" w:rsidRPr="00EA14EF" w:rsidRDefault="005E49D0" w:rsidP="003C0686">
            <w:pPr>
              <w:spacing w:line="240" w:lineRule="auto"/>
              <w:ind w:right="-28"/>
              <w:textAlignment w:val="baseline"/>
              <w:rPr>
                <w:rFonts w:cs="Arial"/>
                <w:sz w:val="20"/>
                <w:szCs w:val="20"/>
              </w:rPr>
            </w:pPr>
            <w:r w:rsidRPr="00EA14EF">
              <w:rPr>
                <w:rFonts w:cs="Arial"/>
                <w:sz w:val="20"/>
                <w:szCs w:val="20"/>
              </w:rPr>
              <w:t>Establishment Identifier </w:t>
            </w:r>
          </w:p>
        </w:tc>
      </w:tr>
      <w:tr w:rsidR="005E49D0" w:rsidRPr="00A446AA" w14:paraId="464DBD37" w14:textId="77777777" w:rsidTr="00A84D5C">
        <w:trPr>
          <w:trHeight w:val="300"/>
        </w:trPr>
        <w:tc>
          <w:tcPr>
            <w:tcW w:w="6743" w:type="dxa"/>
            <w:tcBorders>
              <w:top w:val="outset" w:sz="6" w:space="0" w:color="auto"/>
              <w:left w:val="single" w:sz="6" w:space="0" w:color="595959"/>
              <w:bottom w:val="single" w:sz="6" w:space="0" w:color="595959"/>
              <w:right w:val="single" w:sz="6" w:space="0" w:color="595959"/>
            </w:tcBorders>
            <w:shd w:val="clear" w:color="auto" w:fill="auto"/>
            <w:hideMark/>
          </w:tcPr>
          <w:p w14:paraId="43058861" w14:textId="77777777" w:rsidR="005E49D0" w:rsidRPr="00EA14EF" w:rsidRDefault="005E49D0" w:rsidP="003C0686">
            <w:pPr>
              <w:spacing w:line="240" w:lineRule="auto"/>
              <w:ind w:right="-28"/>
              <w:textAlignment w:val="baseline"/>
              <w:rPr>
                <w:rFonts w:cs="Arial"/>
                <w:sz w:val="20"/>
                <w:szCs w:val="20"/>
              </w:rPr>
            </w:pPr>
            <w:r w:rsidRPr="00EA14EF">
              <w:rPr>
                <w:rFonts w:cs="Arial"/>
                <w:sz w:val="20"/>
                <w:szCs w:val="20"/>
              </w:rPr>
              <w:t>Hospital geographical Indicator </w:t>
            </w:r>
          </w:p>
        </w:tc>
      </w:tr>
      <w:tr w:rsidR="005E49D0" w:rsidRPr="00A446AA" w14:paraId="2EE03DCE" w14:textId="77777777" w:rsidTr="00A84D5C">
        <w:trPr>
          <w:trHeight w:val="300"/>
        </w:trPr>
        <w:tc>
          <w:tcPr>
            <w:tcW w:w="6743" w:type="dxa"/>
            <w:tcBorders>
              <w:top w:val="outset" w:sz="6" w:space="0" w:color="auto"/>
              <w:left w:val="single" w:sz="6" w:space="0" w:color="595959"/>
              <w:bottom w:val="single" w:sz="6" w:space="0" w:color="595959"/>
              <w:right w:val="single" w:sz="6" w:space="0" w:color="595959"/>
            </w:tcBorders>
            <w:shd w:val="clear" w:color="auto" w:fill="auto"/>
            <w:hideMark/>
          </w:tcPr>
          <w:p w14:paraId="2F60C7DD" w14:textId="77777777" w:rsidR="005E49D0" w:rsidRPr="00EA14EF" w:rsidRDefault="005E49D0" w:rsidP="003C0686">
            <w:pPr>
              <w:spacing w:line="240" w:lineRule="auto"/>
              <w:ind w:right="-28"/>
              <w:textAlignment w:val="baseline"/>
              <w:rPr>
                <w:rFonts w:cs="Arial"/>
                <w:sz w:val="20"/>
                <w:szCs w:val="20"/>
              </w:rPr>
            </w:pPr>
            <w:r w:rsidRPr="00EA14EF">
              <w:rPr>
                <w:rFonts w:cs="Arial"/>
                <w:sz w:val="20"/>
                <w:szCs w:val="20"/>
              </w:rPr>
              <w:t>Date of Birth </w:t>
            </w:r>
          </w:p>
        </w:tc>
      </w:tr>
      <w:tr w:rsidR="005E49D0" w:rsidRPr="00A446AA" w14:paraId="54D082C3" w14:textId="77777777" w:rsidTr="00A84D5C">
        <w:trPr>
          <w:trHeight w:val="300"/>
        </w:trPr>
        <w:tc>
          <w:tcPr>
            <w:tcW w:w="6743" w:type="dxa"/>
            <w:tcBorders>
              <w:top w:val="outset" w:sz="6" w:space="0" w:color="auto"/>
              <w:left w:val="single" w:sz="6" w:space="0" w:color="595959"/>
              <w:bottom w:val="single" w:sz="6" w:space="0" w:color="595959"/>
              <w:right w:val="single" w:sz="6" w:space="0" w:color="595959"/>
            </w:tcBorders>
            <w:shd w:val="clear" w:color="auto" w:fill="auto"/>
          </w:tcPr>
          <w:p w14:paraId="6BAFDD7A" w14:textId="77777777" w:rsidR="005E49D0" w:rsidRPr="00EA14EF" w:rsidRDefault="005E49D0" w:rsidP="003C0686">
            <w:pPr>
              <w:spacing w:line="240" w:lineRule="auto"/>
              <w:ind w:right="-28"/>
              <w:textAlignment w:val="baseline"/>
              <w:rPr>
                <w:rFonts w:cs="Arial"/>
                <w:sz w:val="20"/>
                <w:szCs w:val="20"/>
              </w:rPr>
            </w:pPr>
            <w:r w:rsidRPr="00EA14EF">
              <w:rPr>
                <w:rFonts w:cs="Arial"/>
                <w:sz w:val="20"/>
                <w:szCs w:val="20"/>
              </w:rPr>
              <w:t>Phase start date</w:t>
            </w:r>
          </w:p>
        </w:tc>
      </w:tr>
      <w:tr w:rsidR="005E49D0" w:rsidRPr="00A446AA" w14:paraId="3DD7005E" w14:textId="77777777" w:rsidTr="00A84D5C">
        <w:trPr>
          <w:trHeight w:val="300"/>
        </w:trPr>
        <w:tc>
          <w:tcPr>
            <w:tcW w:w="6743" w:type="dxa"/>
            <w:tcBorders>
              <w:top w:val="outset" w:sz="6" w:space="0" w:color="auto"/>
              <w:left w:val="single" w:sz="6" w:space="0" w:color="595959"/>
              <w:bottom w:val="single" w:sz="6" w:space="0" w:color="595959"/>
              <w:right w:val="single" w:sz="6" w:space="0" w:color="595959"/>
            </w:tcBorders>
            <w:shd w:val="clear" w:color="auto" w:fill="auto"/>
          </w:tcPr>
          <w:p w14:paraId="5E354CFA" w14:textId="77777777" w:rsidR="005E49D0" w:rsidRPr="00EA14EF" w:rsidRDefault="005E49D0" w:rsidP="003C0686">
            <w:pPr>
              <w:spacing w:line="240" w:lineRule="auto"/>
              <w:ind w:right="-28"/>
              <w:textAlignment w:val="baseline"/>
              <w:rPr>
                <w:rFonts w:cs="Arial"/>
                <w:sz w:val="20"/>
                <w:szCs w:val="20"/>
              </w:rPr>
            </w:pPr>
            <w:r w:rsidRPr="00EA14EF">
              <w:rPr>
                <w:rFonts w:cs="Arial"/>
                <w:sz w:val="20"/>
                <w:szCs w:val="20"/>
              </w:rPr>
              <w:t>Phase end date</w:t>
            </w:r>
          </w:p>
        </w:tc>
      </w:tr>
      <w:tr w:rsidR="005E49D0" w:rsidRPr="00A446AA" w14:paraId="39BAEBCF" w14:textId="77777777" w:rsidTr="00A84D5C">
        <w:trPr>
          <w:trHeight w:val="300"/>
        </w:trPr>
        <w:tc>
          <w:tcPr>
            <w:tcW w:w="6743" w:type="dxa"/>
            <w:tcBorders>
              <w:top w:val="outset" w:sz="6" w:space="0" w:color="auto"/>
              <w:left w:val="single" w:sz="6" w:space="0" w:color="595959"/>
              <w:bottom w:val="single" w:sz="6" w:space="0" w:color="595959"/>
              <w:right w:val="single" w:sz="6" w:space="0" w:color="595959"/>
            </w:tcBorders>
            <w:shd w:val="clear" w:color="auto" w:fill="auto"/>
            <w:hideMark/>
          </w:tcPr>
          <w:p w14:paraId="7C35DF0D" w14:textId="77777777" w:rsidR="005E49D0" w:rsidRPr="00EA14EF" w:rsidRDefault="005E49D0" w:rsidP="003C0686">
            <w:pPr>
              <w:spacing w:line="240" w:lineRule="auto"/>
              <w:ind w:right="-28"/>
              <w:textAlignment w:val="baseline"/>
              <w:rPr>
                <w:rFonts w:cs="Arial"/>
                <w:sz w:val="20"/>
                <w:szCs w:val="20"/>
              </w:rPr>
            </w:pPr>
            <w:r w:rsidRPr="00EA14EF">
              <w:rPr>
                <w:rFonts w:cs="Arial"/>
                <w:sz w:val="20"/>
                <w:szCs w:val="20"/>
              </w:rPr>
              <w:t>Indigenous Status </w:t>
            </w:r>
          </w:p>
        </w:tc>
      </w:tr>
      <w:tr w:rsidR="005E49D0" w:rsidRPr="00A446AA" w14:paraId="26E0C5B8" w14:textId="77777777" w:rsidTr="00A84D5C">
        <w:trPr>
          <w:trHeight w:val="300"/>
        </w:trPr>
        <w:tc>
          <w:tcPr>
            <w:tcW w:w="6743" w:type="dxa"/>
            <w:tcBorders>
              <w:top w:val="outset" w:sz="6" w:space="0" w:color="auto"/>
              <w:left w:val="single" w:sz="6" w:space="0" w:color="595959"/>
              <w:bottom w:val="single" w:sz="6" w:space="0" w:color="595959"/>
              <w:right w:val="single" w:sz="6" w:space="0" w:color="595959"/>
            </w:tcBorders>
            <w:shd w:val="clear" w:color="auto" w:fill="auto"/>
          </w:tcPr>
          <w:p w14:paraId="52F5483A" w14:textId="77777777" w:rsidR="005E49D0" w:rsidRPr="00EA14EF" w:rsidRDefault="005E49D0" w:rsidP="003C0686">
            <w:pPr>
              <w:spacing w:line="240" w:lineRule="auto"/>
              <w:ind w:right="-28"/>
              <w:textAlignment w:val="baseline"/>
              <w:rPr>
                <w:rFonts w:cs="Arial"/>
                <w:sz w:val="20"/>
                <w:szCs w:val="20"/>
              </w:rPr>
            </w:pPr>
            <w:r w:rsidRPr="00EA14EF">
              <w:rPr>
                <w:rFonts w:cs="Arial"/>
                <w:sz w:val="20"/>
                <w:szCs w:val="20"/>
              </w:rPr>
              <w:t>Mental health legal status</w:t>
            </w:r>
          </w:p>
        </w:tc>
      </w:tr>
      <w:tr w:rsidR="005E49D0" w:rsidRPr="00A446AA" w14:paraId="6837DD5F" w14:textId="77777777" w:rsidTr="00A84D5C">
        <w:trPr>
          <w:trHeight w:val="300"/>
        </w:trPr>
        <w:tc>
          <w:tcPr>
            <w:tcW w:w="6743" w:type="dxa"/>
            <w:tcBorders>
              <w:top w:val="outset" w:sz="6" w:space="0" w:color="auto"/>
              <w:left w:val="single" w:sz="6" w:space="0" w:color="595959"/>
              <w:bottom w:val="single" w:sz="6" w:space="0" w:color="595959"/>
              <w:right w:val="single" w:sz="6" w:space="0" w:color="595959"/>
            </w:tcBorders>
            <w:shd w:val="clear" w:color="auto" w:fill="auto"/>
            <w:hideMark/>
          </w:tcPr>
          <w:p w14:paraId="180DE5DC" w14:textId="03E8C25F" w:rsidR="005E49D0" w:rsidRPr="00EA14EF" w:rsidRDefault="005E49D0" w:rsidP="003C0686">
            <w:pPr>
              <w:spacing w:line="240" w:lineRule="auto"/>
              <w:ind w:right="-28"/>
              <w:textAlignment w:val="baseline"/>
              <w:rPr>
                <w:rFonts w:cs="Arial"/>
                <w:sz w:val="20"/>
                <w:szCs w:val="20"/>
              </w:rPr>
            </w:pPr>
            <w:r w:rsidRPr="00EA14EF">
              <w:rPr>
                <w:rFonts w:cs="Arial"/>
                <w:sz w:val="20"/>
                <w:szCs w:val="20"/>
              </w:rPr>
              <w:t>Funding Source</w:t>
            </w:r>
            <w:r w:rsidR="00CC6582">
              <w:rPr>
                <w:rStyle w:val="FootnoteReference"/>
                <w:rFonts w:cs="Arial"/>
                <w:sz w:val="20"/>
                <w:szCs w:val="20"/>
              </w:rPr>
              <w:footnoteReference w:id="16"/>
            </w:r>
            <w:r w:rsidRPr="00EA14EF">
              <w:rPr>
                <w:rFonts w:cs="Arial"/>
                <w:sz w:val="20"/>
                <w:szCs w:val="20"/>
              </w:rPr>
              <w:t> </w:t>
            </w:r>
          </w:p>
        </w:tc>
      </w:tr>
      <w:tr w:rsidR="005E49D0" w:rsidRPr="00A446AA" w14:paraId="6F154789" w14:textId="77777777" w:rsidTr="00A84D5C">
        <w:trPr>
          <w:trHeight w:val="300"/>
        </w:trPr>
        <w:tc>
          <w:tcPr>
            <w:tcW w:w="6743" w:type="dxa"/>
            <w:tcBorders>
              <w:top w:val="outset" w:sz="6" w:space="0" w:color="auto"/>
              <w:left w:val="single" w:sz="6" w:space="0" w:color="595959"/>
              <w:bottom w:val="single" w:sz="6" w:space="0" w:color="595959"/>
              <w:right w:val="single" w:sz="6" w:space="0" w:color="595959"/>
            </w:tcBorders>
            <w:shd w:val="clear" w:color="auto" w:fill="auto"/>
            <w:hideMark/>
          </w:tcPr>
          <w:p w14:paraId="4234650C" w14:textId="77777777" w:rsidR="005E49D0" w:rsidRPr="00EA14EF" w:rsidRDefault="005E49D0" w:rsidP="003C0686">
            <w:pPr>
              <w:spacing w:line="240" w:lineRule="auto"/>
              <w:ind w:right="-28"/>
              <w:textAlignment w:val="baseline"/>
              <w:rPr>
                <w:rFonts w:cs="Arial"/>
                <w:sz w:val="20"/>
                <w:szCs w:val="20"/>
              </w:rPr>
            </w:pPr>
            <w:r w:rsidRPr="00EA14EF">
              <w:rPr>
                <w:rFonts w:cs="Arial"/>
                <w:sz w:val="20"/>
                <w:szCs w:val="20"/>
              </w:rPr>
              <w:lastRenderedPageBreak/>
              <w:t>AMHCC Class </w:t>
            </w:r>
          </w:p>
        </w:tc>
      </w:tr>
      <w:tr w:rsidR="005E49D0" w:rsidRPr="00A446AA" w14:paraId="558737D8" w14:textId="77777777" w:rsidTr="00A84D5C">
        <w:trPr>
          <w:trHeight w:val="300"/>
        </w:trPr>
        <w:tc>
          <w:tcPr>
            <w:tcW w:w="6743" w:type="dxa"/>
            <w:tcBorders>
              <w:top w:val="outset" w:sz="6" w:space="0" w:color="auto"/>
              <w:left w:val="single" w:sz="6" w:space="0" w:color="595959"/>
              <w:bottom w:val="single" w:sz="6" w:space="0" w:color="595959"/>
              <w:right w:val="single" w:sz="6" w:space="0" w:color="595959"/>
            </w:tcBorders>
            <w:shd w:val="clear" w:color="auto" w:fill="auto"/>
            <w:hideMark/>
          </w:tcPr>
          <w:p w14:paraId="1E664C3B" w14:textId="77777777" w:rsidR="005E49D0" w:rsidRPr="00EA14EF" w:rsidRDefault="005E49D0" w:rsidP="003C0686">
            <w:pPr>
              <w:spacing w:line="240" w:lineRule="auto"/>
              <w:ind w:right="-28"/>
              <w:textAlignment w:val="baseline"/>
              <w:rPr>
                <w:rFonts w:cs="Arial"/>
                <w:sz w:val="20"/>
                <w:szCs w:val="20"/>
              </w:rPr>
            </w:pPr>
            <w:r w:rsidRPr="00EA14EF">
              <w:rPr>
                <w:rFonts w:cs="Arial"/>
                <w:sz w:val="20"/>
                <w:szCs w:val="20"/>
              </w:rPr>
              <w:t>Total leave days </w:t>
            </w:r>
          </w:p>
        </w:tc>
      </w:tr>
      <w:tr w:rsidR="005E49D0" w:rsidRPr="00A446AA" w14:paraId="57F0F350" w14:textId="77777777" w:rsidTr="00A84D5C">
        <w:trPr>
          <w:trHeight w:val="300"/>
        </w:trPr>
        <w:tc>
          <w:tcPr>
            <w:tcW w:w="6743" w:type="dxa"/>
            <w:tcBorders>
              <w:top w:val="outset" w:sz="6" w:space="0" w:color="auto"/>
              <w:left w:val="single" w:sz="6" w:space="0" w:color="595959"/>
              <w:bottom w:val="single" w:sz="6" w:space="0" w:color="595959"/>
              <w:right w:val="single" w:sz="6" w:space="0" w:color="595959"/>
            </w:tcBorders>
            <w:shd w:val="clear" w:color="auto" w:fill="auto"/>
            <w:hideMark/>
          </w:tcPr>
          <w:p w14:paraId="7FA0D3F9" w14:textId="77777777" w:rsidR="005E49D0" w:rsidRPr="00EA14EF" w:rsidRDefault="005E49D0" w:rsidP="003C0686">
            <w:pPr>
              <w:spacing w:line="240" w:lineRule="auto"/>
              <w:ind w:right="-28"/>
              <w:textAlignment w:val="baseline"/>
              <w:rPr>
                <w:rFonts w:cs="Arial"/>
                <w:sz w:val="20"/>
                <w:szCs w:val="20"/>
              </w:rPr>
            </w:pPr>
            <w:r w:rsidRPr="00EA14EF">
              <w:rPr>
                <w:rFonts w:cs="Arial"/>
                <w:sz w:val="20"/>
                <w:szCs w:val="20"/>
              </w:rPr>
              <w:t>Postcode of patient's usual residence </w:t>
            </w:r>
          </w:p>
        </w:tc>
      </w:tr>
      <w:tr w:rsidR="005E49D0" w:rsidRPr="00A446AA" w14:paraId="6104A7C7" w14:textId="77777777" w:rsidTr="00A84D5C">
        <w:trPr>
          <w:trHeight w:val="300"/>
        </w:trPr>
        <w:tc>
          <w:tcPr>
            <w:tcW w:w="6743" w:type="dxa"/>
            <w:tcBorders>
              <w:top w:val="outset" w:sz="6" w:space="0" w:color="auto"/>
              <w:left w:val="single" w:sz="6" w:space="0" w:color="595959"/>
              <w:bottom w:val="single" w:sz="6" w:space="0" w:color="595959"/>
              <w:right w:val="single" w:sz="6" w:space="0" w:color="595959"/>
            </w:tcBorders>
            <w:shd w:val="clear" w:color="auto" w:fill="auto"/>
            <w:hideMark/>
          </w:tcPr>
          <w:p w14:paraId="51B327A4" w14:textId="77777777" w:rsidR="005E49D0" w:rsidRPr="00EA14EF" w:rsidRDefault="005E49D0" w:rsidP="003C0686">
            <w:pPr>
              <w:spacing w:line="240" w:lineRule="auto"/>
              <w:ind w:right="-28"/>
              <w:textAlignment w:val="baseline"/>
              <w:rPr>
                <w:rFonts w:cs="Arial"/>
                <w:sz w:val="20"/>
                <w:szCs w:val="20"/>
              </w:rPr>
            </w:pPr>
            <w:r w:rsidRPr="00EA14EF">
              <w:rPr>
                <w:rFonts w:cs="Arial"/>
                <w:sz w:val="20"/>
                <w:szCs w:val="20"/>
              </w:rPr>
              <w:t>Australian Statistical Geography Standard (ASGS) of Patient's Usual Residence </w:t>
            </w:r>
          </w:p>
        </w:tc>
      </w:tr>
    </w:tbl>
    <w:p w14:paraId="4FA8A82F" w14:textId="77777777" w:rsidR="00550102" w:rsidRPr="00765488" w:rsidRDefault="00550102" w:rsidP="00A33F7B">
      <w:pPr>
        <w:pStyle w:val="Heading1"/>
      </w:pPr>
      <w:bookmarkStart w:id="120" w:name="_Toc26278334"/>
      <w:bookmarkStart w:id="121" w:name="_Toc26370512"/>
      <w:bookmarkStart w:id="122" w:name="_Toc65145946"/>
      <w:bookmarkStart w:id="123" w:name="_Toc98882295"/>
      <w:r w:rsidRPr="00765488">
        <w:lastRenderedPageBreak/>
        <w:t>Admitted subacute and non-acute care cost model</w:t>
      </w:r>
      <w:bookmarkEnd w:id="120"/>
      <w:bookmarkEnd w:id="121"/>
      <w:bookmarkEnd w:id="122"/>
      <w:bookmarkEnd w:id="123"/>
    </w:p>
    <w:p w14:paraId="1448F6A8" w14:textId="77777777" w:rsidR="00550102" w:rsidRPr="007E78AF" w:rsidRDefault="00550102" w:rsidP="00755433">
      <w:pPr>
        <w:pStyle w:val="Heading2"/>
      </w:pPr>
      <w:bookmarkStart w:id="124" w:name="_Toc26278335"/>
      <w:bookmarkStart w:id="125" w:name="_Toc26370513"/>
      <w:bookmarkStart w:id="126" w:name="_Toc65145947"/>
      <w:bookmarkStart w:id="127" w:name="_Toc98882296"/>
      <w:bookmarkStart w:id="128" w:name="_Toc499220996"/>
      <w:bookmarkStart w:id="129" w:name="_Toc499290922"/>
      <w:bookmarkStart w:id="130" w:name="_Toc380754736"/>
      <w:bookmarkStart w:id="131" w:name="_Toc466884193"/>
      <w:bookmarkStart w:id="132" w:name="_Toc467505206"/>
      <w:bookmarkStart w:id="133" w:name="_Toc467745580"/>
      <w:bookmarkStart w:id="134" w:name="_Toc467759579"/>
      <w:bookmarkStart w:id="135" w:name="_Toc468204045"/>
      <w:r>
        <w:t>General issues</w:t>
      </w:r>
      <w:bookmarkEnd w:id="124"/>
      <w:bookmarkEnd w:id="125"/>
      <w:bookmarkEnd w:id="126"/>
      <w:bookmarkEnd w:id="127"/>
    </w:p>
    <w:p w14:paraId="4E2B4DDE" w14:textId="77777777" w:rsidR="00550102" w:rsidRPr="001E55B4" w:rsidRDefault="00550102" w:rsidP="00755433">
      <w:pPr>
        <w:pStyle w:val="Heading3"/>
      </w:pPr>
      <w:r>
        <w:t>General issues cost unit</w:t>
      </w:r>
    </w:p>
    <w:p w14:paraId="6E571862" w14:textId="77777777" w:rsidR="00550102" w:rsidRPr="00C6319C" w:rsidRDefault="00550102" w:rsidP="00550102">
      <w:pPr>
        <w:tabs>
          <w:tab w:val="left" w:pos="1162"/>
        </w:tabs>
        <w:spacing w:line="240" w:lineRule="auto"/>
        <w:rPr>
          <w:rFonts w:cs="Arial"/>
          <w:szCs w:val="20"/>
        </w:rPr>
      </w:pPr>
      <w:r w:rsidRPr="00C6319C">
        <w:rPr>
          <w:rFonts w:cs="Arial"/>
          <w:szCs w:val="20"/>
        </w:rPr>
        <w:t>An ‘episode of admitted patient care’</w:t>
      </w:r>
      <w:r w:rsidRPr="00C6319C">
        <w:rPr>
          <w:rStyle w:val="FootnoteReference"/>
          <w:rFonts w:cs="Arial"/>
          <w:szCs w:val="20"/>
        </w:rPr>
        <w:footnoteReference w:id="17"/>
      </w:r>
      <w:r w:rsidRPr="00C6319C">
        <w:rPr>
          <w:rFonts w:cs="Arial"/>
          <w:szCs w:val="20"/>
        </w:rPr>
        <w:t xml:space="preserve"> is the cost unit for admitted subacute and non-acute patients. It is </w:t>
      </w:r>
      <w:r>
        <w:rPr>
          <w:rFonts w:cs="Arial"/>
          <w:szCs w:val="20"/>
        </w:rPr>
        <w:t>‘</w:t>
      </w:r>
      <w:r w:rsidRPr="00EC1F9C">
        <w:rPr>
          <w:rFonts w:cs="Arial"/>
          <w:szCs w:val="20"/>
        </w:rPr>
        <w:t>the period of admitted patient care… characterised by only one care type</w:t>
      </w:r>
      <w:r>
        <w:rPr>
          <w:rFonts w:cs="Arial"/>
          <w:szCs w:val="20"/>
        </w:rPr>
        <w:t>’</w:t>
      </w:r>
      <w:r w:rsidRPr="00C6319C">
        <w:rPr>
          <w:rStyle w:val="FootnoteReference"/>
          <w:rFonts w:cs="Arial"/>
          <w:szCs w:val="20"/>
        </w:rPr>
        <w:t xml:space="preserve"> </w:t>
      </w:r>
      <w:r w:rsidRPr="00C6319C">
        <w:rPr>
          <w:rStyle w:val="FootnoteReference"/>
          <w:rFonts w:cs="Arial"/>
          <w:szCs w:val="20"/>
        </w:rPr>
        <w:footnoteReference w:id="18"/>
      </w:r>
      <w:r w:rsidRPr="00C6319C">
        <w:rPr>
          <w:rFonts w:cs="Arial"/>
          <w:szCs w:val="20"/>
        </w:rPr>
        <w:t>, and covers the period of care from admission to separation.</w:t>
      </w:r>
    </w:p>
    <w:p w14:paraId="1E4F6688" w14:textId="77777777" w:rsidR="00550102" w:rsidRDefault="00550102" w:rsidP="00755433">
      <w:pPr>
        <w:pStyle w:val="Heading3"/>
      </w:pPr>
      <w:r>
        <w:t>In-scope activity</w:t>
      </w:r>
    </w:p>
    <w:p w14:paraId="671D3DDB" w14:textId="77777777" w:rsidR="00550102" w:rsidRPr="00C6319C" w:rsidRDefault="00550102" w:rsidP="00550102">
      <w:pPr>
        <w:tabs>
          <w:tab w:val="left" w:pos="1162"/>
        </w:tabs>
        <w:spacing w:line="240" w:lineRule="auto"/>
        <w:rPr>
          <w:rFonts w:cs="Arial"/>
          <w:szCs w:val="20"/>
        </w:rPr>
      </w:pPr>
      <w:r w:rsidRPr="00C6319C">
        <w:rPr>
          <w:rFonts w:cs="Arial"/>
          <w:szCs w:val="20"/>
        </w:rPr>
        <w:t>Admitted subacute and non-acute care is that provided to patients who undergo a facility’s formal admission</w:t>
      </w:r>
      <w:r w:rsidRPr="00700CE8">
        <w:rPr>
          <w:rStyle w:val="FootnoteReference"/>
          <w:rFonts w:cs="Arial"/>
          <w:szCs w:val="20"/>
        </w:rPr>
        <w:footnoteReference w:id="19"/>
      </w:r>
      <w:r w:rsidRPr="00C6319C">
        <w:rPr>
          <w:rFonts w:cs="Arial"/>
          <w:szCs w:val="20"/>
        </w:rPr>
        <w:t xml:space="preserve"> process, where the clinical intent or treatment goal is the provision of subacute or non-acute care.</w:t>
      </w:r>
    </w:p>
    <w:p w14:paraId="67DADB37" w14:textId="77777777" w:rsidR="00550102" w:rsidRPr="00700CE8" w:rsidRDefault="00550102" w:rsidP="00550102">
      <w:pPr>
        <w:tabs>
          <w:tab w:val="left" w:pos="1162"/>
        </w:tabs>
        <w:spacing w:line="240" w:lineRule="auto"/>
      </w:pPr>
      <w:r w:rsidRPr="00C6319C">
        <w:rPr>
          <w:rFonts w:cs="Arial"/>
          <w:szCs w:val="20"/>
        </w:rPr>
        <w:t>In-scope hospitals and patients are defined the same way as admitted acute patients, except that the patients are admitted into a care type for subacute or non-acute care</w:t>
      </w:r>
      <w:r w:rsidRPr="00700CE8">
        <w:t>.</w:t>
      </w:r>
    </w:p>
    <w:p w14:paraId="5218B2F5" w14:textId="77777777" w:rsidR="00550102" w:rsidRDefault="00550102" w:rsidP="00755433">
      <w:pPr>
        <w:pStyle w:val="Heading3"/>
      </w:pPr>
      <w:r>
        <w:t>Classification</w:t>
      </w:r>
    </w:p>
    <w:p w14:paraId="18964303" w14:textId="77777777" w:rsidR="0037465F" w:rsidRPr="001944E5" w:rsidRDefault="00550102" w:rsidP="0037465F">
      <w:pPr>
        <w:tabs>
          <w:tab w:val="left" w:pos="1162"/>
        </w:tabs>
        <w:spacing w:line="240" w:lineRule="auto"/>
        <w:rPr>
          <w:rFonts w:cs="Arial"/>
          <w:szCs w:val="20"/>
        </w:rPr>
      </w:pPr>
      <w:r w:rsidRPr="006D09BD">
        <w:rPr>
          <w:rFonts w:cs="Arial"/>
          <w:szCs w:val="20"/>
        </w:rPr>
        <w:t>Version 4</w:t>
      </w:r>
      <w:r>
        <w:rPr>
          <w:rFonts w:cs="Arial"/>
          <w:szCs w:val="20"/>
        </w:rPr>
        <w:t>.0</w:t>
      </w:r>
      <w:r w:rsidRPr="006D09BD">
        <w:rPr>
          <w:rFonts w:cs="Arial"/>
          <w:szCs w:val="20"/>
        </w:rPr>
        <w:t xml:space="preserve"> of the Australian National Subacute and Non-Acute Patient Classification (AN</w:t>
      </w:r>
      <w:r w:rsidRPr="006D09BD">
        <w:rPr>
          <w:rFonts w:cs="Arial"/>
          <w:szCs w:val="20"/>
        </w:rPr>
        <w:noBreakHyphen/>
        <w:t>SNAP) is used to classify admitted subacute and non-acute care. Where data</w:t>
      </w:r>
      <w:r>
        <w:rPr>
          <w:rFonts w:cs="Arial"/>
          <w:szCs w:val="20"/>
        </w:rPr>
        <w:t xml:space="preserve"> required to assign an</w:t>
      </w:r>
      <w:r w:rsidRPr="006D09BD">
        <w:rPr>
          <w:rFonts w:cs="Arial"/>
          <w:szCs w:val="20"/>
        </w:rPr>
        <w:t xml:space="preserve"> AN</w:t>
      </w:r>
      <w:r w:rsidRPr="006D09BD">
        <w:rPr>
          <w:rFonts w:cs="Arial"/>
          <w:szCs w:val="20"/>
        </w:rPr>
        <w:noBreakHyphen/>
        <w:t>SNAP classification is not available, the episodes are moved into the admitted acute care cost model.</w:t>
      </w:r>
      <w:r w:rsidR="0037465F" w:rsidRPr="0037465F">
        <w:rPr>
          <w:rFonts w:cs="Arial"/>
          <w:szCs w:val="20"/>
        </w:rPr>
        <w:t xml:space="preserve"> </w:t>
      </w:r>
      <w:r w:rsidR="0037465F" w:rsidRPr="001944E5">
        <w:rPr>
          <w:rFonts w:cs="Arial"/>
          <w:szCs w:val="20"/>
        </w:rPr>
        <w:t xml:space="preserve">Episodes without a valid AN-SNAP end class are transferred to the </w:t>
      </w:r>
      <w:r w:rsidR="00C915B3">
        <w:rPr>
          <w:rFonts w:cs="Arial"/>
          <w:szCs w:val="20"/>
        </w:rPr>
        <w:t xml:space="preserve">admitted </w:t>
      </w:r>
      <w:r w:rsidR="0037465F" w:rsidRPr="001944E5">
        <w:rPr>
          <w:rFonts w:cs="Arial"/>
          <w:szCs w:val="20"/>
        </w:rPr>
        <w:t xml:space="preserve">acute care model and priced according to their </w:t>
      </w:r>
      <w:r w:rsidR="0037465F">
        <w:rPr>
          <w:rFonts w:cs="Arial"/>
          <w:szCs w:val="20"/>
        </w:rPr>
        <w:t>AR-</w:t>
      </w:r>
      <w:r w:rsidR="0037465F" w:rsidRPr="001944E5">
        <w:rPr>
          <w:rFonts w:cs="Arial"/>
          <w:szCs w:val="20"/>
        </w:rPr>
        <w:t>DRG classification.</w:t>
      </w:r>
    </w:p>
    <w:p w14:paraId="5795940B" w14:textId="77777777" w:rsidR="00550102" w:rsidRDefault="00550102" w:rsidP="00755433">
      <w:pPr>
        <w:pStyle w:val="Heading2"/>
      </w:pPr>
      <w:bookmarkStart w:id="136" w:name="_Toc65145830"/>
      <w:bookmarkStart w:id="137" w:name="_Toc65146767"/>
      <w:bookmarkStart w:id="138" w:name="_Toc65154770"/>
      <w:bookmarkStart w:id="139" w:name="_Toc65145832"/>
      <w:bookmarkStart w:id="140" w:name="_Toc65146769"/>
      <w:bookmarkStart w:id="141" w:name="_Toc65154772"/>
      <w:bookmarkStart w:id="142" w:name="_Toc65145833"/>
      <w:bookmarkStart w:id="143" w:name="_Toc65146770"/>
      <w:bookmarkStart w:id="144" w:name="_Toc65154773"/>
      <w:bookmarkStart w:id="145" w:name="_Toc65145835"/>
      <w:bookmarkStart w:id="146" w:name="_Toc65146772"/>
      <w:bookmarkStart w:id="147" w:name="_Toc65154775"/>
      <w:bookmarkStart w:id="148" w:name="_Toc65145948"/>
      <w:bookmarkStart w:id="149" w:name="_Toc98882297"/>
      <w:bookmarkEnd w:id="136"/>
      <w:bookmarkEnd w:id="137"/>
      <w:bookmarkEnd w:id="138"/>
      <w:bookmarkEnd w:id="139"/>
      <w:bookmarkEnd w:id="140"/>
      <w:bookmarkEnd w:id="141"/>
      <w:bookmarkEnd w:id="142"/>
      <w:bookmarkEnd w:id="143"/>
      <w:bookmarkEnd w:id="144"/>
      <w:bookmarkEnd w:id="145"/>
      <w:bookmarkEnd w:id="146"/>
      <w:bookmarkEnd w:id="147"/>
      <w:r w:rsidRPr="001E55B4">
        <w:t>Analysis of costs to derive NWAU for subacute</w:t>
      </w:r>
      <w:r w:rsidR="00A277B9">
        <w:t xml:space="preserve"> and non-acute</w:t>
      </w:r>
      <w:r w:rsidRPr="001E55B4">
        <w:t xml:space="preserve"> admitted care</w:t>
      </w:r>
      <w:bookmarkEnd w:id="148"/>
      <w:bookmarkEnd w:id="149"/>
    </w:p>
    <w:p w14:paraId="205D4E8D" w14:textId="77777777" w:rsidR="00550102" w:rsidRPr="00700CE8" w:rsidRDefault="00550102" w:rsidP="00550102">
      <w:pPr>
        <w:tabs>
          <w:tab w:val="left" w:pos="1162"/>
        </w:tabs>
        <w:spacing w:line="240" w:lineRule="auto"/>
        <w:rPr>
          <w:rFonts w:cs="Arial"/>
          <w:szCs w:val="20"/>
        </w:rPr>
      </w:pPr>
      <w:r w:rsidRPr="00700CE8">
        <w:rPr>
          <w:rFonts w:cs="Arial"/>
          <w:szCs w:val="20"/>
        </w:rPr>
        <w:t>The following steps are taken in developing the cost parameters and weights for admitted subacute and non-acute care:</w:t>
      </w:r>
    </w:p>
    <w:p w14:paraId="369B47EC" w14:textId="77777777" w:rsidR="00550102" w:rsidRPr="00700CE8" w:rsidRDefault="00B06FC0" w:rsidP="00FE1EA1">
      <w:pPr>
        <w:pStyle w:val="ListParagraph"/>
        <w:numPr>
          <w:ilvl w:val="0"/>
          <w:numId w:val="19"/>
        </w:numPr>
      </w:pPr>
      <w:r>
        <w:t>D</w:t>
      </w:r>
      <w:r w:rsidR="00550102">
        <w:t>ata preparation</w:t>
      </w:r>
      <w:r>
        <w:t>.</w:t>
      </w:r>
    </w:p>
    <w:p w14:paraId="7E22F442" w14:textId="77777777" w:rsidR="00550102" w:rsidRPr="00700CE8" w:rsidRDefault="00B06FC0" w:rsidP="00FE1EA1">
      <w:pPr>
        <w:pStyle w:val="ListParagraph"/>
        <w:numPr>
          <w:ilvl w:val="0"/>
          <w:numId w:val="19"/>
        </w:numPr>
      </w:pPr>
      <w:r>
        <w:t>D</w:t>
      </w:r>
      <w:r w:rsidR="00550102" w:rsidRPr="00700CE8">
        <w:t>evel</w:t>
      </w:r>
      <w:r w:rsidR="00550102">
        <w:t>op sample-to-population weights</w:t>
      </w:r>
      <w:r>
        <w:t>.</w:t>
      </w:r>
    </w:p>
    <w:p w14:paraId="1E018BC7" w14:textId="77777777" w:rsidR="00550102" w:rsidRPr="00700CE8" w:rsidRDefault="00B06FC0" w:rsidP="00FE1EA1">
      <w:pPr>
        <w:pStyle w:val="ListParagraph"/>
        <w:numPr>
          <w:ilvl w:val="0"/>
          <w:numId w:val="19"/>
        </w:numPr>
      </w:pPr>
      <w:r>
        <w:t>C</w:t>
      </w:r>
      <w:r w:rsidR="00550102" w:rsidRPr="00700CE8">
        <w:t xml:space="preserve">lassify AN-SNAP episodes into relevant categories: inliers, short-stay and </w:t>
      </w:r>
      <w:r w:rsidR="00550102">
        <w:br/>
      </w:r>
      <w:r w:rsidR="00550102" w:rsidRPr="00700CE8">
        <w:t>long-stay outliers usi</w:t>
      </w:r>
      <w:r w:rsidR="00550102">
        <w:t>ng the ABF L1.5H1.5 methodology</w:t>
      </w:r>
      <w:r>
        <w:t>.</w:t>
      </w:r>
    </w:p>
    <w:p w14:paraId="3C5C1840" w14:textId="77777777" w:rsidR="00550102" w:rsidRPr="00700CE8" w:rsidRDefault="00B06FC0" w:rsidP="00FE1EA1">
      <w:pPr>
        <w:pStyle w:val="ListParagraph"/>
        <w:numPr>
          <w:ilvl w:val="0"/>
          <w:numId w:val="19"/>
        </w:numPr>
      </w:pPr>
      <w:r>
        <w:t>A</w:t>
      </w:r>
      <w:r w:rsidR="00550102" w:rsidRPr="00700CE8">
        <w:t>pply Indigenous</w:t>
      </w:r>
      <w:r w:rsidR="00550102">
        <w:t xml:space="preserve">, radiotherapy, dialysis, and </w:t>
      </w:r>
      <w:r w:rsidR="00550102" w:rsidRPr="00700CE8">
        <w:t>remoteness adjustments inherited from the</w:t>
      </w:r>
      <w:r w:rsidR="00550102">
        <w:t xml:space="preserve"> admitted acute care cost model</w:t>
      </w:r>
      <w:r w:rsidR="00B40D1D">
        <w:t>.</w:t>
      </w:r>
    </w:p>
    <w:p w14:paraId="341B299D" w14:textId="77777777" w:rsidR="00550102" w:rsidRPr="00700CE8" w:rsidRDefault="00B06FC0" w:rsidP="00FE1EA1">
      <w:pPr>
        <w:pStyle w:val="ListParagraph"/>
        <w:numPr>
          <w:ilvl w:val="0"/>
          <w:numId w:val="19"/>
        </w:numPr>
      </w:pPr>
      <w:r>
        <w:t>D</w:t>
      </w:r>
      <w:r w:rsidR="00550102" w:rsidRPr="00700CE8">
        <w:t>erive private patient service adjustments for each care type</w:t>
      </w:r>
      <w:r w:rsidR="00CB7314">
        <w:t xml:space="preserve"> and jurisdiction</w:t>
      </w:r>
      <w:r w:rsidR="00550102" w:rsidRPr="00700CE8">
        <w:t>.</w:t>
      </w:r>
    </w:p>
    <w:p w14:paraId="11184820" w14:textId="77777777" w:rsidR="00550102" w:rsidRPr="00700CE8" w:rsidRDefault="00550102" w:rsidP="00550102">
      <w:pPr>
        <w:tabs>
          <w:tab w:val="left" w:pos="1162"/>
        </w:tabs>
        <w:spacing w:line="240" w:lineRule="auto"/>
        <w:rPr>
          <w:rFonts w:cs="Arial"/>
          <w:szCs w:val="20"/>
        </w:rPr>
      </w:pPr>
      <w:r w:rsidRPr="00700CE8">
        <w:rPr>
          <w:rFonts w:cs="Arial"/>
          <w:szCs w:val="20"/>
        </w:rPr>
        <w:t>These steps are described in more detail in the following sections.</w:t>
      </w:r>
    </w:p>
    <w:p w14:paraId="6B93B02A" w14:textId="77777777" w:rsidR="00550102" w:rsidRPr="00700CE8" w:rsidRDefault="00550102" w:rsidP="00755433">
      <w:pPr>
        <w:pStyle w:val="Heading3"/>
      </w:pPr>
      <w:r>
        <w:lastRenderedPageBreak/>
        <w:t>Data preparation</w:t>
      </w:r>
    </w:p>
    <w:p w14:paraId="1BDA3279" w14:textId="4CD808D0" w:rsidR="00550102" w:rsidRDefault="00550102" w:rsidP="00550102">
      <w:pPr>
        <w:tabs>
          <w:tab w:val="left" w:pos="1162"/>
        </w:tabs>
        <w:spacing w:line="240" w:lineRule="auto"/>
        <w:rPr>
          <w:rFonts w:cs="Arial"/>
          <w:szCs w:val="20"/>
        </w:rPr>
      </w:pPr>
      <w:r w:rsidRPr="00700CE8">
        <w:rPr>
          <w:rFonts w:cs="Arial"/>
          <w:szCs w:val="20"/>
        </w:rPr>
        <w:t xml:space="preserve">The </w:t>
      </w:r>
      <w:r w:rsidR="00881515">
        <w:rPr>
          <w:rFonts w:cs="Arial"/>
          <w:szCs w:val="20"/>
        </w:rPr>
        <w:t>2019</w:t>
      </w:r>
      <w:r>
        <w:rPr>
          <w:rFonts w:cs="Arial"/>
          <w:szCs w:val="20"/>
        </w:rPr>
        <w:t>–</w:t>
      </w:r>
      <w:r w:rsidR="00881515">
        <w:rPr>
          <w:rFonts w:cs="Arial"/>
          <w:szCs w:val="20"/>
        </w:rPr>
        <w:t>20</w:t>
      </w:r>
      <w:r w:rsidR="00881515" w:rsidRPr="00700CE8">
        <w:rPr>
          <w:rFonts w:cs="Arial"/>
          <w:szCs w:val="20"/>
        </w:rPr>
        <w:t xml:space="preserve"> </w:t>
      </w:r>
      <w:r w:rsidRPr="00700CE8">
        <w:rPr>
          <w:rFonts w:cs="Arial"/>
          <w:szCs w:val="20"/>
        </w:rPr>
        <w:t>admitted subacute</w:t>
      </w:r>
      <w:r w:rsidR="00A277B9">
        <w:rPr>
          <w:rFonts w:cs="Arial"/>
          <w:szCs w:val="20"/>
        </w:rPr>
        <w:t xml:space="preserve"> and non-acute</w:t>
      </w:r>
      <w:r w:rsidRPr="00700CE8">
        <w:rPr>
          <w:rFonts w:cs="Arial"/>
          <w:szCs w:val="20"/>
        </w:rPr>
        <w:t xml:space="preserve"> cost sample consists of the following </w:t>
      </w:r>
      <w:r w:rsidR="00E87FE9">
        <w:rPr>
          <w:rFonts w:cs="Arial"/>
          <w:szCs w:val="20"/>
        </w:rPr>
        <w:t>groups in Table </w:t>
      </w:r>
      <w:r w:rsidR="00302145">
        <w:rPr>
          <w:rFonts w:cs="Arial"/>
          <w:szCs w:val="20"/>
        </w:rPr>
        <w:t>6</w:t>
      </w:r>
      <w:r>
        <w:rPr>
          <w:rFonts w:cs="Arial"/>
          <w:szCs w:val="20"/>
        </w:rPr>
        <w:t>.</w:t>
      </w:r>
    </w:p>
    <w:p w14:paraId="1CCEFF23" w14:textId="77777777" w:rsidR="00550102" w:rsidRPr="00293EA0" w:rsidRDefault="00550102" w:rsidP="00836FC5">
      <w:pPr>
        <w:pStyle w:val="TableHeading"/>
      </w:pPr>
      <w:r w:rsidRPr="005E2928">
        <w:t xml:space="preserve">Table </w:t>
      </w:r>
      <w:r w:rsidR="00302145">
        <w:t>6</w:t>
      </w:r>
      <w:r w:rsidRPr="005E2928">
        <w:t xml:space="preserve">: Admitted </w:t>
      </w:r>
      <w:r>
        <w:t>subacute cost sample breakdown</w:t>
      </w:r>
    </w:p>
    <w:tbl>
      <w:tblPr>
        <w:tblStyle w:val="TableGrid"/>
        <w:tblW w:w="0" w:type="auto"/>
        <w:tblLayout w:type="fixed"/>
        <w:tblLook w:val="04A0" w:firstRow="1" w:lastRow="0" w:firstColumn="1" w:lastColumn="0" w:noHBand="0" w:noVBand="1"/>
        <w:tblCaption w:val="Table 7: Admitted subacute cost sample breakdown."/>
      </w:tblPr>
      <w:tblGrid>
        <w:gridCol w:w="2604"/>
        <w:gridCol w:w="2109"/>
        <w:gridCol w:w="2109"/>
        <w:gridCol w:w="2110"/>
      </w:tblGrid>
      <w:tr w:rsidR="00550102" w:rsidRPr="00293EA0" w14:paraId="376CE724" w14:textId="77777777" w:rsidTr="00A84D5C">
        <w:trPr>
          <w:tblHeader/>
        </w:trPr>
        <w:tc>
          <w:tcPr>
            <w:tcW w:w="2604" w:type="dxa"/>
            <w:shd w:val="clear" w:color="auto" w:fill="288A32"/>
          </w:tcPr>
          <w:p w14:paraId="4C1E9783" w14:textId="77777777" w:rsidR="00550102" w:rsidRPr="008B5EB8" w:rsidRDefault="00550102" w:rsidP="003A708C">
            <w:pPr>
              <w:tabs>
                <w:tab w:val="left" w:pos="1162"/>
              </w:tabs>
              <w:spacing w:line="240" w:lineRule="auto"/>
              <w:rPr>
                <w:rFonts w:cs="Arial"/>
                <w:b/>
                <w:color w:val="FFFFFF" w:themeColor="background1"/>
                <w:sz w:val="20"/>
                <w:szCs w:val="20"/>
              </w:rPr>
            </w:pPr>
            <w:r w:rsidRPr="008B5EB8">
              <w:rPr>
                <w:rFonts w:cs="Arial"/>
                <w:b/>
                <w:color w:val="FFFFFF" w:themeColor="background1"/>
                <w:sz w:val="20"/>
                <w:szCs w:val="20"/>
              </w:rPr>
              <w:t>Group</w:t>
            </w:r>
          </w:p>
        </w:tc>
        <w:tc>
          <w:tcPr>
            <w:tcW w:w="2109" w:type="dxa"/>
            <w:shd w:val="clear" w:color="auto" w:fill="288A32"/>
          </w:tcPr>
          <w:p w14:paraId="4CA76677" w14:textId="77777777" w:rsidR="00550102" w:rsidRPr="008B5EB8" w:rsidRDefault="00550102" w:rsidP="003A708C">
            <w:pPr>
              <w:tabs>
                <w:tab w:val="left" w:pos="1162"/>
              </w:tabs>
              <w:spacing w:line="240" w:lineRule="auto"/>
              <w:rPr>
                <w:rFonts w:cs="Arial"/>
                <w:b/>
                <w:color w:val="FFFFFF" w:themeColor="background1"/>
                <w:sz w:val="20"/>
                <w:szCs w:val="20"/>
              </w:rPr>
            </w:pPr>
            <w:r w:rsidRPr="008B5EB8">
              <w:rPr>
                <w:rFonts w:cs="Arial"/>
                <w:b/>
                <w:color w:val="FFFFFF" w:themeColor="background1"/>
                <w:sz w:val="20"/>
                <w:szCs w:val="20"/>
              </w:rPr>
              <w:t>Establishments</w:t>
            </w:r>
          </w:p>
        </w:tc>
        <w:tc>
          <w:tcPr>
            <w:tcW w:w="2109" w:type="dxa"/>
            <w:shd w:val="clear" w:color="auto" w:fill="288A32"/>
          </w:tcPr>
          <w:p w14:paraId="4D12AFF5" w14:textId="77777777" w:rsidR="00550102" w:rsidRPr="008B5EB8" w:rsidRDefault="00550102" w:rsidP="003A708C">
            <w:pPr>
              <w:tabs>
                <w:tab w:val="left" w:pos="1162"/>
              </w:tabs>
              <w:spacing w:line="240" w:lineRule="auto"/>
              <w:jc w:val="center"/>
              <w:rPr>
                <w:rFonts w:cs="Arial"/>
                <w:b/>
                <w:color w:val="FFFFFF" w:themeColor="background1"/>
                <w:sz w:val="20"/>
                <w:szCs w:val="20"/>
              </w:rPr>
            </w:pPr>
            <w:r w:rsidRPr="008B5EB8">
              <w:rPr>
                <w:rFonts w:cs="Arial"/>
                <w:b/>
                <w:color w:val="FFFFFF" w:themeColor="background1"/>
                <w:sz w:val="20"/>
                <w:szCs w:val="20"/>
              </w:rPr>
              <w:t>Total records</w:t>
            </w:r>
          </w:p>
        </w:tc>
        <w:tc>
          <w:tcPr>
            <w:tcW w:w="2110" w:type="dxa"/>
            <w:shd w:val="clear" w:color="auto" w:fill="288A32"/>
          </w:tcPr>
          <w:p w14:paraId="60F523D7" w14:textId="77777777" w:rsidR="00550102" w:rsidRPr="008B5EB8" w:rsidRDefault="00550102" w:rsidP="003A708C">
            <w:pPr>
              <w:tabs>
                <w:tab w:val="left" w:pos="1162"/>
              </w:tabs>
              <w:spacing w:line="240" w:lineRule="auto"/>
              <w:jc w:val="center"/>
              <w:rPr>
                <w:rFonts w:cs="Arial"/>
                <w:b/>
                <w:color w:val="FFFFFF" w:themeColor="background1"/>
                <w:sz w:val="20"/>
                <w:szCs w:val="20"/>
              </w:rPr>
            </w:pPr>
            <w:r w:rsidRPr="008B5EB8">
              <w:rPr>
                <w:rFonts w:cs="Arial"/>
                <w:b/>
                <w:color w:val="FFFFFF" w:themeColor="background1"/>
                <w:sz w:val="20"/>
                <w:szCs w:val="20"/>
              </w:rPr>
              <w:t>Total days</w:t>
            </w:r>
          </w:p>
        </w:tc>
      </w:tr>
      <w:tr w:rsidR="00550102" w14:paraId="101B0858" w14:textId="77777777" w:rsidTr="00A84D5C">
        <w:tc>
          <w:tcPr>
            <w:tcW w:w="2604" w:type="dxa"/>
          </w:tcPr>
          <w:p w14:paraId="67EC2977"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Total National Hospital Cost Data Collection (NHCDC) sample</w:t>
            </w:r>
          </w:p>
        </w:tc>
        <w:tc>
          <w:tcPr>
            <w:tcW w:w="2109" w:type="dxa"/>
          </w:tcPr>
          <w:p w14:paraId="69FFAED1" w14:textId="1401BC9F" w:rsidR="00550102" w:rsidRPr="00521F7C" w:rsidRDefault="29C08A8C" w:rsidP="003A708C">
            <w:pPr>
              <w:tabs>
                <w:tab w:val="left" w:pos="1162"/>
              </w:tabs>
              <w:spacing w:line="240" w:lineRule="auto"/>
              <w:jc w:val="center"/>
              <w:rPr>
                <w:rFonts w:cs="Arial"/>
                <w:sz w:val="20"/>
                <w:szCs w:val="20"/>
              </w:rPr>
            </w:pPr>
            <w:r w:rsidRPr="10F705FC">
              <w:rPr>
                <w:rFonts w:cs="Arial"/>
                <w:sz w:val="20"/>
                <w:szCs w:val="20"/>
              </w:rPr>
              <w:t xml:space="preserve"> </w:t>
            </w:r>
            <w:r w:rsidR="654C0982" w:rsidRPr="10F705FC">
              <w:rPr>
                <w:rFonts w:cs="Arial"/>
                <w:sz w:val="20"/>
                <w:szCs w:val="20"/>
              </w:rPr>
              <w:t>243</w:t>
            </w:r>
          </w:p>
        </w:tc>
        <w:tc>
          <w:tcPr>
            <w:tcW w:w="2109" w:type="dxa"/>
          </w:tcPr>
          <w:p w14:paraId="10E27A0B" w14:textId="2628AA57" w:rsidR="000D327E" w:rsidRPr="00521F7C" w:rsidRDefault="00CB7314" w:rsidP="003A708C">
            <w:pPr>
              <w:tabs>
                <w:tab w:val="left" w:pos="1162"/>
              </w:tabs>
              <w:spacing w:line="240" w:lineRule="auto"/>
              <w:jc w:val="center"/>
            </w:pPr>
            <w:r w:rsidRPr="00521F7C">
              <w:rPr>
                <w:rFonts w:cs="Arial"/>
                <w:sz w:val="20"/>
                <w:szCs w:val="20"/>
              </w:rPr>
              <w:t xml:space="preserve"> </w:t>
            </w:r>
            <w:r w:rsidR="10F705FC" w:rsidRPr="64748B1F">
              <w:rPr>
                <w:rFonts w:cs="Arial"/>
                <w:sz w:val="20"/>
                <w:szCs w:val="20"/>
              </w:rPr>
              <w:t>209</w:t>
            </w:r>
            <w:r w:rsidR="10F705FC" w:rsidRPr="10F705FC">
              <w:rPr>
                <w:rFonts w:cs="Arial"/>
                <w:sz w:val="20"/>
                <w:szCs w:val="20"/>
              </w:rPr>
              <w:t>,991</w:t>
            </w:r>
          </w:p>
        </w:tc>
        <w:tc>
          <w:tcPr>
            <w:tcW w:w="2110" w:type="dxa"/>
          </w:tcPr>
          <w:p w14:paraId="5B70C3F9" w14:textId="011B9723" w:rsidR="00550102" w:rsidRPr="00521F7C" w:rsidRDefault="00CB7314" w:rsidP="003A708C">
            <w:pPr>
              <w:tabs>
                <w:tab w:val="left" w:pos="1162"/>
              </w:tabs>
              <w:spacing w:line="240" w:lineRule="auto"/>
              <w:jc w:val="center"/>
              <w:rPr>
                <w:rFonts w:cs="Arial"/>
                <w:sz w:val="20"/>
                <w:szCs w:val="20"/>
              </w:rPr>
            </w:pPr>
            <w:r w:rsidRPr="00521F7C">
              <w:rPr>
                <w:rFonts w:cs="Arial"/>
                <w:color w:val="000000" w:themeColor="text1"/>
                <w:sz w:val="20"/>
                <w:szCs w:val="20"/>
              </w:rPr>
              <w:t xml:space="preserve"> </w:t>
            </w:r>
            <w:r w:rsidR="654C0982" w:rsidRPr="10F705FC">
              <w:rPr>
                <w:rFonts w:cs="Arial"/>
                <w:color w:val="000000" w:themeColor="text1"/>
                <w:sz w:val="20"/>
                <w:szCs w:val="20"/>
              </w:rPr>
              <w:t>2,</w:t>
            </w:r>
            <w:r w:rsidR="654C0982" w:rsidRPr="4F1C327B">
              <w:rPr>
                <w:rFonts w:cs="Arial"/>
                <w:color w:val="000000" w:themeColor="text1"/>
                <w:sz w:val="20"/>
                <w:szCs w:val="20"/>
              </w:rPr>
              <w:t>596,340</w:t>
            </w:r>
          </w:p>
        </w:tc>
      </w:tr>
      <w:tr w:rsidR="00550102" w14:paraId="4CCAF376" w14:textId="77777777" w:rsidTr="00A84D5C">
        <w:tc>
          <w:tcPr>
            <w:tcW w:w="2604" w:type="dxa"/>
          </w:tcPr>
          <w:p w14:paraId="781BC61F"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 xml:space="preserve">AN-SNAP classified data </w:t>
            </w:r>
          </w:p>
        </w:tc>
        <w:tc>
          <w:tcPr>
            <w:tcW w:w="2109" w:type="dxa"/>
          </w:tcPr>
          <w:p w14:paraId="5C8C8F44" w14:textId="1A81D0CA" w:rsidR="00550102" w:rsidRPr="00521F7C" w:rsidRDefault="00CB7314" w:rsidP="003A708C">
            <w:pPr>
              <w:tabs>
                <w:tab w:val="left" w:pos="1162"/>
              </w:tabs>
              <w:spacing w:line="240" w:lineRule="auto"/>
              <w:jc w:val="center"/>
              <w:rPr>
                <w:rFonts w:cs="Arial"/>
                <w:sz w:val="20"/>
                <w:szCs w:val="20"/>
              </w:rPr>
            </w:pPr>
            <w:r w:rsidRPr="00521F7C">
              <w:rPr>
                <w:rFonts w:cs="Arial"/>
                <w:sz w:val="20"/>
                <w:szCs w:val="20"/>
              </w:rPr>
              <w:t xml:space="preserve"> </w:t>
            </w:r>
            <w:r w:rsidR="63CB4B19" w:rsidRPr="5D9F52E3">
              <w:rPr>
                <w:rFonts w:cs="Arial"/>
                <w:sz w:val="20"/>
                <w:szCs w:val="20"/>
              </w:rPr>
              <w:t>249</w:t>
            </w:r>
          </w:p>
        </w:tc>
        <w:tc>
          <w:tcPr>
            <w:tcW w:w="2109" w:type="dxa"/>
          </w:tcPr>
          <w:p w14:paraId="17611539" w14:textId="01339C45" w:rsidR="00550102" w:rsidRPr="00521F7C" w:rsidRDefault="5F8F0866" w:rsidP="003A708C">
            <w:pPr>
              <w:tabs>
                <w:tab w:val="left" w:pos="1162"/>
              </w:tabs>
              <w:spacing w:line="240" w:lineRule="auto"/>
              <w:jc w:val="center"/>
              <w:rPr>
                <w:szCs w:val="22"/>
              </w:rPr>
            </w:pPr>
            <w:r w:rsidRPr="5D9F52E3">
              <w:rPr>
                <w:rFonts w:cs="Arial"/>
                <w:color w:val="000000" w:themeColor="text1"/>
                <w:sz w:val="20"/>
                <w:szCs w:val="20"/>
              </w:rPr>
              <w:t xml:space="preserve"> </w:t>
            </w:r>
            <w:r w:rsidR="5D9F52E3" w:rsidRPr="5D9F52E3">
              <w:rPr>
                <w:rFonts w:cs="Arial"/>
                <w:color w:val="000000" w:themeColor="text1"/>
                <w:sz w:val="20"/>
                <w:szCs w:val="20"/>
              </w:rPr>
              <w:t>206,868</w:t>
            </w:r>
          </w:p>
        </w:tc>
        <w:tc>
          <w:tcPr>
            <w:tcW w:w="2110" w:type="dxa"/>
          </w:tcPr>
          <w:p w14:paraId="0277E64E" w14:textId="33FEBB9A" w:rsidR="00550102" w:rsidRPr="00521F7C" w:rsidRDefault="00CB7314" w:rsidP="003A708C">
            <w:pPr>
              <w:tabs>
                <w:tab w:val="left" w:pos="1162"/>
              </w:tabs>
              <w:spacing w:line="240" w:lineRule="auto"/>
              <w:jc w:val="center"/>
              <w:rPr>
                <w:rFonts w:cs="Arial"/>
                <w:sz w:val="20"/>
                <w:szCs w:val="20"/>
              </w:rPr>
            </w:pPr>
            <w:r w:rsidRPr="00521F7C">
              <w:rPr>
                <w:rFonts w:cs="Arial"/>
                <w:color w:val="000000" w:themeColor="text1"/>
                <w:sz w:val="20"/>
                <w:szCs w:val="20"/>
              </w:rPr>
              <w:t xml:space="preserve"> </w:t>
            </w:r>
            <w:r w:rsidR="63CB4B19" w:rsidRPr="5D9F52E3">
              <w:rPr>
                <w:rFonts w:cs="Arial"/>
                <w:color w:val="000000" w:themeColor="text1"/>
                <w:sz w:val="20"/>
                <w:szCs w:val="20"/>
              </w:rPr>
              <w:t>2,576,828</w:t>
            </w:r>
          </w:p>
        </w:tc>
      </w:tr>
    </w:tbl>
    <w:p w14:paraId="20EAC765" w14:textId="0C3A8ACE" w:rsidR="002640DB" w:rsidRDefault="002640DB" w:rsidP="00550102">
      <w:pPr>
        <w:tabs>
          <w:tab w:val="left" w:pos="1162"/>
        </w:tabs>
        <w:spacing w:before="200" w:line="240" w:lineRule="auto"/>
        <w:rPr>
          <w:rFonts w:cs="Arial"/>
        </w:rPr>
      </w:pPr>
      <w:r w:rsidRPr="0061D9B5">
        <w:rPr>
          <w:rFonts w:cs="Arial"/>
        </w:rPr>
        <w:t xml:space="preserve">The costs of care associated with other Commonwealth programs for blood costs, pharmaceuticals </w:t>
      </w:r>
      <w:r w:rsidR="4B29D229" w:rsidRPr="0818E4E3">
        <w:rPr>
          <w:rFonts w:cs="Arial"/>
        </w:rPr>
        <w:t xml:space="preserve">and </w:t>
      </w:r>
      <w:r w:rsidR="000429D3">
        <w:rPr>
          <w:rFonts w:cs="Arial"/>
        </w:rPr>
        <w:t>S</w:t>
      </w:r>
      <w:r w:rsidR="4B29D229" w:rsidRPr="0818E4E3">
        <w:rPr>
          <w:rFonts w:cs="Arial"/>
        </w:rPr>
        <w:t xml:space="preserve">tate </w:t>
      </w:r>
      <w:r w:rsidR="000429D3">
        <w:rPr>
          <w:rFonts w:cs="Arial"/>
        </w:rPr>
        <w:t>P</w:t>
      </w:r>
      <w:r w:rsidR="4B29D229" w:rsidRPr="0818E4E3">
        <w:rPr>
          <w:rFonts w:cs="Arial"/>
        </w:rPr>
        <w:t xml:space="preserve">ublic </w:t>
      </w:r>
      <w:r w:rsidR="000429D3">
        <w:rPr>
          <w:rFonts w:cs="Arial"/>
        </w:rPr>
        <w:t>H</w:t>
      </w:r>
      <w:r w:rsidR="4B29D229" w:rsidRPr="0818E4E3">
        <w:rPr>
          <w:rFonts w:cs="Arial"/>
        </w:rPr>
        <w:t xml:space="preserve">ealth </w:t>
      </w:r>
      <w:r w:rsidR="000429D3">
        <w:rPr>
          <w:rFonts w:cs="Arial"/>
        </w:rPr>
        <w:t>P</w:t>
      </w:r>
      <w:r w:rsidR="4B29D229" w:rsidRPr="0818E4E3">
        <w:rPr>
          <w:rFonts w:cs="Arial"/>
        </w:rPr>
        <w:t>ayments</w:t>
      </w:r>
      <w:r w:rsidR="4B29D229" w:rsidRPr="0061D9B5">
        <w:rPr>
          <w:rFonts w:cs="Arial"/>
        </w:rPr>
        <w:t xml:space="preserve"> </w:t>
      </w:r>
      <w:r w:rsidRPr="0061D9B5">
        <w:rPr>
          <w:rFonts w:cs="Arial"/>
        </w:rPr>
        <w:t xml:space="preserve">are removed from NHCDC costs in the same manner described for the admitted acute model in Section 2.2. </w:t>
      </w:r>
      <w:r w:rsidR="00CE2FDC" w:rsidRPr="0061D9B5">
        <w:rPr>
          <w:rFonts w:cs="Arial"/>
        </w:rPr>
        <w:t>When costs are reported at the episode level but must be deducted from the reported cost of multiple phases of a palliative care episode, deductions</w:t>
      </w:r>
      <w:r w:rsidRPr="0061D9B5">
        <w:rPr>
          <w:rFonts w:cs="Arial"/>
        </w:rPr>
        <w:t xml:space="preserve"> are attributed to each phase according to the proportion of</w:t>
      </w:r>
      <w:r w:rsidR="00CE2FDC" w:rsidRPr="0061D9B5">
        <w:rPr>
          <w:rFonts w:cs="Arial"/>
        </w:rPr>
        <w:t xml:space="preserve"> pre-deduction</w:t>
      </w:r>
      <w:r w:rsidRPr="0061D9B5">
        <w:rPr>
          <w:rFonts w:cs="Arial"/>
        </w:rPr>
        <w:t xml:space="preserve"> in-scope costs accrued at that phase.</w:t>
      </w:r>
    </w:p>
    <w:p w14:paraId="69F029C8" w14:textId="5E935AD1" w:rsidR="00550102" w:rsidRPr="00700CE8" w:rsidRDefault="00550102" w:rsidP="00550102">
      <w:pPr>
        <w:tabs>
          <w:tab w:val="left" w:pos="1162"/>
        </w:tabs>
        <w:spacing w:before="200" w:line="240" w:lineRule="auto"/>
        <w:rPr>
          <w:rFonts w:cs="Arial"/>
          <w:szCs w:val="20"/>
        </w:rPr>
      </w:pPr>
      <w:r w:rsidRPr="00700CE8">
        <w:rPr>
          <w:rFonts w:cs="Arial"/>
          <w:szCs w:val="20"/>
        </w:rPr>
        <w:t xml:space="preserve">As in the admitted </w:t>
      </w:r>
      <w:r w:rsidR="00A277B9">
        <w:rPr>
          <w:rFonts w:cs="Arial"/>
          <w:szCs w:val="20"/>
        </w:rPr>
        <w:t>acute</w:t>
      </w:r>
      <w:r w:rsidRPr="00700CE8">
        <w:rPr>
          <w:rFonts w:cs="Arial"/>
          <w:szCs w:val="20"/>
        </w:rPr>
        <w:t xml:space="preserve"> care cost model, HCP data </w:t>
      </w:r>
      <w:r>
        <w:rPr>
          <w:rFonts w:cs="Arial"/>
          <w:szCs w:val="20"/>
        </w:rPr>
        <w:t>i</w:t>
      </w:r>
      <w:r w:rsidRPr="00700CE8">
        <w:rPr>
          <w:rFonts w:cs="Arial"/>
          <w:szCs w:val="20"/>
        </w:rPr>
        <w:t>s used to correct for the missing private patient costs in the NHCDC, as well as for subsequent estimates of private patient service adjustments (</w:t>
      </w:r>
      <w:r w:rsidRPr="00B90D33">
        <w:rPr>
          <w:rFonts w:cs="Arial"/>
          <w:szCs w:val="20"/>
        </w:rPr>
        <w:t>see Section</w:t>
      </w:r>
      <w:r w:rsidR="00515CFB" w:rsidRPr="00B90D33">
        <w:rPr>
          <w:rFonts w:cs="Arial"/>
          <w:szCs w:val="20"/>
        </w:rPr>
        <w:t xml:space="preserve"> </w:t>
      </w:r>
      <w:r w:rsidR="00A84D5C">
        <w:rPr>
          <w:rFonts w:cs="Arial"/>
          <w:color w:val="2B579A"/>
          <w:szCs w:val="20"/>
          <w:shd w:val="clear" w:color="auto" w:fill="E6E6E6"/>
        </w:rPr>
        <w:fldChar w:fldCharType="begin"/>
      </w:r>
      <w:r w:rsidR="00A84D5C">
        <w:rPr>
          <w:rFonts w:cs="Arial"/>
          <w:szCs w:val="20"/>
        </w:rPr>
        <w:instrText xml:space="preserve"> REF _Ref57034802 \r \h </w:instrText>
      </w:r>
      <w:r w:rsidR="00A84D5C">
        <w:rPr>
          <w:rFonts w:cs="Arial"/>
          <w:color w:val="2B579A"/>
          <w:szCs w:val="20"/>
          <w:shd w:val="clear" w:color="auto" w:fill="E6E6E6"/>
        </w:rPr>
      </w:r>
      <w:r w:rsidR="00A84D5C">
        <w:rPr>
          <w:rFonts w:cs="Arial"/>
          <w:color w:val="2B579A"/>
          <w:szCs w:val="20"/>
          <w:shd w:val="clear" w:color="auto" w:fill="E6E6E6"/>
        </w:rPr>
        <w:fldChar w:fldCharType="separate"/>
      </w:r>
      <w:r w:rsidR="003F234C">
        <w:rPr>
          <w:rFonts w:cs="Arial"/>
          <w:szCs w:val="20"/>
        </w:rPr>
        <w:t>2.2.10</w:t>
      </w:r>
      <w:r w:rsidR="00A84D5C">
        <w:rPr>
          <w:rFonts w:cs="Arial"/>
          <w:color w:val="2B579A"/>
          <w:szCs w:val="20"/>
          <w:shd w:val="clear" w:color="auto" w:fill="E6E6E6"/>
        </w:rPr>
        <w:fldChar w:fldCharType="end"/>
      </w:r>
      <w:r w:rsidRPr="00B90D33">
        <w:rPr>
          <w:rFonts w:cs="Arial"/>
          <w:szCs w:val="20"/>
        </w:rPr>
        <w:t>).</w:t>
      </w:r>
    </w:p>
    <w:p w14:paraId="3D7FD16C" w14:textId="77777777" w:rsidR="00550102" w:rsidRPr="00700CE8" w:rsidRDefault="00550102" w:rsidP="00550102">
      <w:pPr>
        <w:tabs>
          <w:tab w:val="left" w:pos="1162"/>
        </w:tabs>
        <w:spacing w:line="240" w:lineRule="auto"/>
        <w:rPr>
          <w:rFonts w:cs="Arial"/>
          <w:szCs w:val="20"/>
        </w:rPr>
      </w:pPr>
      <w:r>
        <w:rPr>
          <w:rFonts w:cs="Arial"/>
          <w:szCs w:val="20"/>
        </w:rPr>
        <w:t>T</w:t>
      </w:r>
      <w:r w:rsidRPr="00700CE8">
        <w:rPr>
          <w:rFonts w:cs="Arial"/>
          <w:szCs w:val="20"/>
        </w:rPr>
        <w:t xml:space="preserve">he data </w:t>
      </w:r>
      <w:r>
        <w:rPr>
          <w:rFonts w:cs="Arial"/>
          <w:szCs w:val="20"/>
        </w:rPr>
        <w:t>i</w:t>
      </w:r>
      <w:r w:rsidRPr="00700CE8">
        <w:rPr>
          <w:rFonts w:cs="Arial"/>
          <w:szCs w:val="20"/>
        </w:rPr>
        <w:t xml:space="preserve">s trimmed for extreme outliers using similar methodology to the admitted acute care cost model. The following data was not used to derive the AN-SNAP </w:t>
      </w:r>
      <w:r w:rsidR="00515CFB">
        <w:rPr>
          <w:rFonts w:cs="Arial"/>
          <w:szCs w:val="20"/>
        </w:rPr>
        <w:t xml:space="preserve">Version </w:t>
      </w:r>
      <w:r w:rsidRPr="00700CE8">
        <w:rPr>
          <w:rFonts w:cs="Arial"/>
          <w:szCs w:val="20"/>
        </w:rPr>
        <w:t>4</w:t>
      </w:r>
      <w:r>
        <w:rPr>
          <w:rFonts w:cs="Arial"/>
          <w:szCs w:val="20"/>
        </w:rPr>
        <w:t>.0</w:t>
      </w:r>
      <w:r w:rsidRPr="00700CE8">
        <w:rPr>
          <w:rFonts w:cs="Arial"/>
          <w:szCs w:val="20"/>
        </w:rPr>
        <w:t xml:space="preserve"> cost profiles:  </w:t>
      </w:r>
    </w:p>
    <w:p w14:paraId="6B91E80F" w14:textId="77777777" w:rsidR="00550102" w:rsidRPr="00700CE8" w:rsidRDefault="00614B2E" w:rsidP="00887853">
      <w:pPr>
        <w:pStyle w:val="ListBullet"/>
      </w:pPr>
      <w:r>
        <w:t>R</w:t>
      </w:r>
      <w:r w:rsidR="00550102" w:rsidRPr="00700CE8">
        <w:t>ecords that had an in-scope cost of $0</w:t>
      </w:r>
      <w:r>
        <w:t>.</w:t>
      </w:r>
    </w:p>
    <w:p w14:paraId="578080C2" w14:textId="77777777" w:rsidR="00497EA1" w:rsidRDefault="00614B2E" w:rsidP="00887853">
      <w:pPr>
        <w:pStyle w:val="ListBullet"/>
      </w:pPr>
      <w:r>
        <w:t>R</w:t>
      </w:r>
      <w:r w:rsidR="00550102" w:rsidRPr="00700CE8">
        <w:t xml:space="preserve">ecords with an </w:t>
      </w:r>
      <w:r w:rsidR="00550102">
        <w:t>e</w:t>
      </w:r>
      <w:r w:rsidR="00550102" w:rsidRPr="00700CE8">
        <w:t xml:space="preserve">rror </w:t>
      </w:r>
      <w:r w:rsidR="00497EA1">
        <w:t>AN-SNAP Version 4.0 class</w:t>
      </w:r>
      <w:r w:rsidR="00144199">
        <w:t>.</w:t>
      </w:r>
    </w:p>
    <w:p w14:paraId="77D86F4F" w14:textId="77777777" w:rsidR="00272236" w:rsidRPr="00272236" w:rsidRDefault="00A277B9" w:rsidP="00272236">
      <w:pPr>
        <w:pStyle w:val="ListBullet"/>
      </w:pPr>
      <w:r>
        <w:t xml:space="preserve">Records pertaining to persons under the age of 18 with </w:t>
      </w:r>
      <w:r w:rsidR="00C9046B">
        <w:t xml:space="preserve">an </w:t>
      </w:r>
      <w:r>
        <w:t>AN-SNAP Version 4.0 class within either Psychogeriatric Care or Geriatric Evaluation and Management care types.</w:t>
      </w:r>
    </w:p>
    <w:p w14:paraId="5AF41D9C" w14:textId="16B20160" w:rsidR="5D08CEC8" w:rsidRDefault="7C1327F2" w:rsidP="5D08CEC8">
      <w:pPr>
        <w:pStyle w:val="ListBullet"/>
      </w:pPr>
      <w:r w:rsidRPr="7C1327F2">
        <w:rPr>
          <w:szCs w:val="22"/>
        </w:rPr>
        <w:t>Records pertaining to persons under the age of 18 with an AN-SNAP Version 4.0 class that does not correspond to a paediatric AN-SNAP Version 4.0 class.</w:t>
      </w:r>
    </w:p>
    <w:p w14:paraId="45332BED" w14:textId="77777777" w:rsidR="00550102" w:rsidRPr="00700CE8" w:rsidRDefault="00497EA1" w:rsidP="00887853">
      <w:pPr>
        <w:pStyle w:val="ListBullet"/>
      </w:pPr>
      <w:r>
        <w:t>Records that had not been assigned an</w:t>
      </w:r>
      <w:r w:rsidR="00550102" w:rsidRPr="00700CE8">
        <w:t xml:space="preserve"> AN-SNAP </w:t>
      </w:r>
      <w:r w:rsidR="00550102">
        <w:t xml:space="preserve">Version </w:t>
      </w:r>
      <w:r w:rsidR="00550102" w:rsidRPr="00700CE8">
        <w:t>4</w:t>
      </w:r>
      <w:r w:rsidR="00550102">
        <w:t>.0</w:t>
      </w:r>
      <w:r w:rsidR="00550102" w:rsidRPr="00700CE8">
        <w:t xml:space="preserve"> class</w:t>
      </w:r>
      <w:r w:rsidR="00614B2E">
        <w:t>.</w:t>
      </w:r>
    </w:p>
    <w:p w14:paraId="5728F13F" w14:textId="77777777" w:rsidR="00550102" w:rsidRPr="00700CE8" w:rsidRDefault="00550102" w:rsidP="00887853">
      <w:pPr>
        <w:pStyle w:val="ListBullet"/>
      </w:pPr>
      <w:r w:rsidRPr="00700CE8">
        <w:t xml:space="preserve">Extreme cost outliers within an AN-SNAP </w:t>
      </w:r>
      <w:r>
        <w:t xml:space="preserve">Version </w:t>
      </w:r>
      <w:r w:rsidRPr="00700CE8">
        <w:t>4</w:t>
      </w:r>
      <w:r>
        <w:t>.0</w:t>
      </w:r>
      <w:r w:rsidRPr="00700CE8">
        <w:t xml:space="preserve"> class.</w:t>
      </w:r>
    </w:p>
    <w:p w14:paraId="58BBE908" w14:textId="77777777" w:rsidR="00550102" w:rsidRPr="00700CE8" w:rsidRDefault="00550102" w:rsidP="00755433">
      <w:pPr>
        <w:pStyle w:val="Heading3"/>
      </w:pPr>
      <w:r>
        <w:t>Stratification and weighting</w:t>
      </w:r>
    </w:p>
    <w:p w14:paraId="3BE7CE5E" w14:textId="644514E4" w:rsidR="00550102" w:rsidRPr="00700CE8" w:rsidRDefault="00550102" w:rsidP="00550102">
      <w:pPr>
        <w:tabs>
          <w:tab w:val="left" w:pos="1162"/>
        </w:tabs>
        <w:spacing w:line="240" w:lineRule="auto"/>
        <w:rPr>
          <w:rFonts w:cs="Arial"/>
          <w:szCs w:val="20"/>
        </w:rPr>
      </w:pPr>
      <w:r w:rsidRPr="00700CE8">
        <w:rPr>
          <w:rFonts w:cs="Arial"/>
          <w:szCs w:val="20"/>
        </w:rPr>
        <w:t xml:space="preserve">The sample of AN-SNAP classified data </w:t>
      </w:r>
      <w:r>
        <w:rPr>
          <w:rFonts w:cs="Arial"/>
          <w:szCs w:val="20"/>
        </w:rPr>
        <w:t>i</w:t>
      </w:r>
      <w:r w:rsidRPr="00700CE8">
        <w:rPr>
          <w:rFonts w:cs="Arial"/>
          <w:szCs w:val="20"/>
        </w:rPr>
        <w:t xml:space="preserve">s weighted to account for the fact that the used sample excludes all activity with an admission date prior to 1 July </w:t>
      </w:r>
      <w:r w:rsidR="00F20A46" w:rsidRPr="00700CE8">
        <w:rPr>
          <w:rFonts w:cs="Arial"/>
          <w:szCs w:val="20"/>
        </w:rPr>
        <w:t>20</w:t>
      </w:r>
      <w:r w:rsidR="00F20A46">
        <w:rPr>
          <w:rFonts w:cs="Arial"/>
          <w:szCs w:val="20"/>
        </w:rPr>
        <w:t>18</w:t>
      </w:r>
      <w:r w:rsidRPr="00700CE8">
        <w:rPr>
          <w:rFonts w:cs="Arial"/>
          <w:szCs w:val="20"/>
        </w:rPr>
        <w:t>.</w:t>
      </w:r>
    </w:p>
    <w:p w14:paraId="46E4CCA8" w14:textId="77777777" w:rsidR="0037465F" w:rsidRDefault="0037465F" w:rsidP="0037465F">
      <w:pPr>
        <w:pStyle w:val="Heading3"/>
      </w:pPr>
      <w:r>
        <w:t>Inlier Bounds</w:t>
      </w:r>
    </w:p>
    <w:p w14:paraId="528C2112" w14:textId="3B551769" w:rsidR="0037465F" w:rsidRDefault="00CE2FDC" w:rsidP="004A03A2">
      <w:pPr>
        <w:tabs>
          <w:tab w:val="left" w:pos="1162"/>
        </w:tabs>
        <w:spacing w:line="240" w:lineRule="auto"/>
      </w:pPr>
      <w:r>
        <w:rPr>
          <w:rFonts w:cs="Arial"/>
          <w:szCs w:val="20"/>
        </w:rPr>
        <w:t>Inlier bounds for each AN-SNAP Version 4.0 class, other than same-day classes, are determined using the L1.5H1.5 methodology described in Section</w:t>
      </w:r>
      <w:r w:rsidR="00A84D5C">
        <w:rPr>
          <w:rFonts w:cs="Arial"/>
          <w:szCs w:val="20"/>
        </w:rPr>
        <w:t xml:space="preserve"> </w:t>
      </w:r>
      <w:r w:rsidR="00A84D5C">
        <w:rPr>
          <w:rFonts w:cs="Arial"/>
          <w:color w:val="2B579A"/>
          <w:szCs w:val="20"/>
          <w:shd w:val="clear" w:color="auto" w:fill="E6E6E6"/>
        </w:rPr>
        <w:fldChar w:fldCharType="begin"/>
      </w:r>
      <w:r w:rsidR="00A84D5C">
        <w:rPr>
          <w:rFonts w:cs="Arial"/>
          <w:szCs w:val="20"/>
        </w:rPr>
        <w:instrText xml:space="preserve"> REF _Ref57029192 \r \h </w:instrText>
      </w:r>
      <w:r w:rsidR="00A84D5C">
        <w:rPr>
          <w:rFonts w:cs="Arial"/>
          <w:color w:val="2B579A"/>
          <w:szCs w:val="20"/>
          <w:shd w:val="clear" w:color="auto" w:fill="E6E6E6"/>
        </w:rPr>
      </w:r>
      <w:r w:rsidR="00A84D5C">
        <w:rPr>
          <w:rFonts w:cs="Arial"/>
          <w:color w:val="2B579A"/>
          <w:szCs w:val="20"/>
          <w:shd w:val="clear" w:color="auto" w:fill="E6E6E6"/>
        </w:rPr>
        <w:fldChar w:fldCharType="separate"/>
      </w:r>
      <w:r w:rsidR="003F234C">
        <w:rPr>
          <w:rFonts w:cs="Arial"/>
          <w:szCs w:val="20"/>
        </w:rPr>
        <w:t>2.2.5</w:t>
      </w:r>
      <w:r w:rsidR="00A84D5C">
        <w:rPr>
          <w:rFonts w:cs="Arial"/>
          <w:color w:val="2B579A"/>
          <w:szCs w:val="20"/>
          <w:shd w:val="clear" w:color="auto" w:fill="E6E6E6"/>
        </w:rPr>
        <w:fldChar w:fldCharType="end"/>
      </w:r>
      <w:r>
        <w:rPr>
          <w:rFonts w:cs="Arial"/>
          <w:szCs w:val="20"/>
        </w:rPr>
        <w:t xml:space="preserve">. </w:t>
      </w:r>
      <w:r w:rsidR="0037465F">
        <w:t xml:space="preserve">The inlier bounds of each AN-SNAP </w:t>
      </w:r>
      <w:r>
        <w:t xml:space="preserve">Version 4.0 </w:t>
      </w:r>
      <w:r w:rsidR="0037465F">
        <w:t xml:space="preserve">class are subject to the same stabilisation methodology as that which is applied to AR-DRG classes in the admitted acute model. This process limits the degree to which inlier bounds are liable to change as a result of statistical noise. This policy dictates that if the inlier lower bound in </w:t>
      </w:r>
      <w:r w:rsidR="00F20A46">
        <w:t xml:space="preserve">NEP21 </w:t>
      </w:r>
      <w:r w:rsidR="0037465F">
        <w:t xml:space="preserve">is within a 95 per cent confidence interval (with respect to a normal distribution) of the lower bound calculated for </w:t>
      </w:r>
      <w:r w:rsidR="00F20A46">
        <w:t xml:space="preserve">NEP22 </w:t>
      </w:r>
      <w:r w:rsidR="0037465F">
        <w:t xml:space="preserve">then the lower bound in </w:t>
      </w:r>
      <w:r w:rsidR="00F20A46">
        <w:t xml:space="preserve">NEP21 </w:t>
      </w:r>
      <w:r w:rsidR="0037465F">
        <w:t xml:space="preserve">is also used in </w:t>
      </w:r>
      <w:r w:rsidR="00F20A46">
        <w:t>NEP22</w:t>
      </w:r>
      <w:r w:rsidR="0037465F">
        <w:t>. The same rule is applied to the inlier upper bound.</w:t>
      </w:r>
    </w:p>
    <w:p w14:paraId="64DD99C9" w14:textId="77777777" w:rsidR="0037465F" w:rsidRDefault="0037465F" w:rsidP="0037465F">
      <w:r>
        <w:lastRenderedPageBreak/>
        <w:t>Moreover, even if the previous year’s bounds are outside these confidence intervals, changes in bounds are only implemented if doing so is considered material. Changes are considered material if they impact the separation category of at least 1 per cent of separations in a given AN</w:t>
      </w:r>
      <w:r w:rsidR="00ED2DFF">
        <w:noBreakHyphen/>
      </w:r>
      <w:r>
        <w:t xml:space="preserve">SNAP class and at least 10 separations in that class. </w:t>
      </w:r>
    </w:p>
    <w:p w14:paraId="2461A397" w14:textId="2CC05FF2" w:rsidR="00DC3C36" w:rsidRPr="00DC3C36" w:rsidRDefault="0037465F" w:rsidP="00DC3C36">
      <w:r>
        <w:t xml:space="preserve">IHPA’s Stability Policy has been applied to limit the change in price weights of each AN-SNAP class between </w:t>
      </w:r>
      <w:r w:rsidR="008363F8">
        <w:t xml:space="preserve">NEP21 </w:t>
      </w:r>
      <w:r>
        <w:t xml:space="preserve">and </w:t>
      </w:r>
      <w:r w:rsidR="008363F8">
        <w:t>NEP22</w:t>
      </w:r>
      <w:r>
        <w:t xml:space="preserve">. This policy applies to every AN-SNAP class with the same inlier bounds in </w:t>
      </w:r>
      <w:r w:rsidR="008363F8">
        <w:t xml:space="preserve">NEP21 </w:t>
      </w:r>
      <w:r>
        <w:t xml:space="preserve">and </w:t>
      </w:r>
      <w:r w:rsidR="008363F8">
        <w:t xml:space="preserve">NEP22 </w:t>
      </w:r>
      <w:r>
        <w:t xml:space="preserve">and for which fewer than 1,000 separations were used in the admitted subacute model. </w:t>
      </w:r>
      <w:r w:rsidR="0060690B">
        <w:t xml:space="preserve">In line with </w:t>
      </w:r>
      <w:r>
        <w:t xml:space="preserve">the Stability Policy, the price weight of such a class must be within 20 per cent of the price weight of the same class in </w:t>
      </w:r>
      <w:r w:rsidR="008363F8">
        <w:t>NEP21</w:t>
      </w:r>
      <w:r>
        <w:t>.</w:t>
      </w:r>
    </w:p>
    <w:p w14:paraId="67B42505" w14:textId="5EF4357B" w:rsidR="001372C5" w:rsidRPr="00DC3C36" w:rsidRDefault="001372C5" w:rsidP="00DC3C36">
      <w:r>
        <w:t>If the average length of stay of an AN-SNAP class falls outside the inlier lower and upper bounds, then the changes in bounds will be implemented even if they do not meet the stability and materiality considerations above.</w:t>
      </w:r>
    </w:p>
    <w:p w14:paraId="50CD9D17" w14:textId="77777777" w:rsidR="00550102" w:rsidRPr="00700CE8" w:rsidRDefault="00550102" w:rsidP="00755433">
      <w:pPr>
        <w:pStyle w:val="Heading3"/>
      </w:pPr>
      <w:r>
        <w:t>Determining AN-SNAP Version 4.0 cost parameters</w:t>
      </w:r>
    </w:p>
    <w:p w14:paraId="7B104EE6" w14:textId="77777777" w:rsidR="00550102" w:rsidRPr="00700CE8" w:rsidRDefault="00550102" w:rsidP="00550102">
      <w:pPr>
        <w:tabs>
          <w:tab w:val="left" w:pos="1162"/>
        </w:tabs>
        <w:spacing w:line="240" w:lineRule="auto"/>
        <w:rPr>
          <w:rFonts w:cs="Arial"/>
          <w:szCs w:val="20"/>
        </w:rPr>
      </w:pPr>
      <w:r w:rsidRPr="00700CE8">
        <w:rPr>
          <w:rFonts w:cs="Arial"/>
          <w:szCs w:val="20"/>
        </w:rPr>
        <w:t xml:space="preserve">The AN-SNAP cost model parameters comprise the following: </w:t>
      </w:r>
    </w:p>
    <w:p w14:paraId="3BAFBBB3" w14:textId="77777777" w:rsidR="00550102" w:rsidRPr="00DC1933" w:rsidRDefault="00550102" w:rsidP="00887853">
      <w:pPr>
        <w:pStyle w:val="ListBullet"/>
      </w:pPr>
      <w:r w:rsidRPr="00EC1F9C">
        <w:t xml:space="preserve">Same-day </w:t>
      </w:r>
      <w:r>
        <w:t>price weight</w:t>
      </w:r>
      <w:r w:rsidRPr="00EC1F9C">
        <w:t>:</w:t>
      </w:r>
      <w:r w:rsidRPr="00DC1933">
        <w:t xml:space="preserve"> applicable to records within a same-day </w:t>
      </w:r>
      <w:r w:rsidR="00B40D1D">
        <w:t>AN-</w:t>
      </w:r>
      <w:r w:rsidRPr="00DC1933">
        <w:t>SNAP class</w:t>
      </w:r>
      <w:r w:rsidR="00DD6260">
        <w:t>.</w:t>
      </w:r>
    </w:p>
    <w:p w14:paraId="5FC09C77" w14:textId="77777777" w:rsidR="00550102" w:rsidRPr="00DC1933" w:rsidRDefault="00550102" w:rsidP="00887853">
      <w:pPr>
        <w:pStyle w:val="ListBullet"/>
      </w:pPr>
      <w:r w:rsidRPr="00EC1F9C">
        <w:t xml:space="preserve">Short-stay outlier per </w:t>
      </w:r>
      <w:r>
        <w:t>d</w:t>
      </w:r>
      <w:r w:rsidRPr="00EC1F9C">
        <w:t xml:space="preserve">iem rate: </w:t>
      </w:r>
      <w:r w:rsidRPr="00DC1933">
        <w:t xml:space="preserve">applicable to records </w:t>
      </w:r>
      <w:r w:rsidR="00DD6260">
        <w:t xml:space="preserve">which do not belong to a same-day AN-SNAP Version 4.0 class </w:t>
      </w:r>
      <w:r w:rsidRPr="00DC1933">
        <w:t xml:space="preserve">and have a length of stay shorter than the </w:t>
      </w:r>
      <w:r w:rsidR="00DD6260">
        <w:t xml:space="preserve">inlier </w:t>
      </w:r>
      <w:r w:rsidRPr="00DC1933">
        <w:t>lower bound</w:t>
      </w:r>
      <w:r w:rsidR="00C85983">
        <w:t>.</w:t>
      </w:r>
    </w:p>
    <w:p w14:paraId="7B3F6448" w14:textId="77777777" w:rsidR="00550102" w:rsidRPr="00DC1933" w:rsidRDefault="00550102" w:rsidP="00887853">
      <w:pPr>
        <w:pStyle w:val="ListBullet"/>
      </w:pPr>
      <w:r w:rsidRPr="00EC1F9C">
        <w:t>Inlier episodic rate:</w:t>
      </w:r>
      <w:r w:rsidRPr="00DC1933">
        <w:t xml:space="preserve"> applicable to records </w:t>
      </w:r>
      <w:r w:rsidR="00DD6260">
        <w:t xml:space="preserve">which do not belong to a same-day AN-SNAP Version 4.0 class and which have </w:t>
      </w:r>
      <w:r w:rsidRPr="00DC1933">
        <w:t xml:space="preserve">a length of stay </w:t>
      </w:r>
      <w:r w:rsidR="00F17711">
        <w:t>greater than or equal to the inlier lower bound for their</w:t>
      </w:r>
      <w:r w:rsidRPr="00DC1933">
        <w:t xml:space="preserve"> AN-SNAP </w:t>
      </w:r>
      <w:r>
        <w:t xml:space="preserve">Version </w:t>
      </w:r>
      <w:r w:rsidRPr="00DC1933">
        <w:t>4.0 class</w:t>
      </w:r>
      <w:r w:rsidR="00C85983">
        <w:t>.</w:t>
      </w:r>
    </w:p>
    <w:p w14:paraId="49F7234E" w14:textId="77777777" w:rsidR="00550102" w:rsidRPr="00700CE8" w:rsidRDefault="00550102" w:rsidP="00887853">
      <w:pPr>
        <w:pStyle w:val="ListBullet"/>
      </w:pPr>
      <w:r w:rsidRPr="00EC1F9C">
        <w:t xml:space="preserve">Long-stay outlier per </w:t>
      </w:r>
      <w:r>
        <w:t>d</w:t>
      </w:r>
      <w:r w:rsidRPr="00EC1F9C">
        <w:t>iem rate</w:t>
      </w:r>
      <w:r w:rsidRPr="00F41C22">
        <w:t>:</w:t>
      </w:r>
      <w:r w:rsidRPr="00700CE8">
        <w:t xml:space="preserve"> applicable to records </w:t>
      </w:r>
      <w:r w:rsidR="00DD6260">
        <w:t>which do not belong to a same-day AN</w:t>
      </w:r>
      <w:r w:rsidR="00DD6C57">
        <w:noBreakHyphen/>
      </w:r>
      <w:r w:rsidR="00DD6260">
        <w:t xml:space="preserve">SNAP Version 4.0 class and which have </w:t>
      </w:r>
      <w:r w:rsidRPr="00700CE8">
        <w:t xml:space="preserve">a length of stay longer than the </w:t>
      </w:r>
      <w:r w:rsidR="00DD6260">
        <w:t xml:space="preserve">inlier </w:t>
      </w:r>
      <w:r w:rsidRPr="00700CE8">
        <w:t>upper bound</w:t>
      </w:r>
      <w:r w:rsidR="00DD6260">
        <w:t xml:space="preserve"> for their AN-SNAP Version 4.0 class</w:t>
      </w:r>
      <w:r w:rsidRPr="00700CE8">
        <w:t xml:space="preserve">. </w:t>
      </w:r>
    </w:p>
    <w:p w14:paraId="291238A3" w14:textId="77777777" w:rsidR="00550102" w:rsidRPr="00700CE8" w:rsidRDefault="00550102" w:rsidP="00755433">
      <w:pPr>
        <w:pStyle w:val="Heading3"/>
      </w:pPr>
      <w:r>
        <w:t>Calculation of additional adjustments</w:t>
      </w:r>
    </w:p>
    <w:p w14:paraId="3B137BC3" w14:textId="477CBA81" w:rsidR="00550102" w:rsidRPr="00700CE8" w:rsidRDefault="00550102" w:rsidP="00550102">
      <w:pPr>
        <w:tabs>
          <w:tab w:val="left" w:pos="1162"/>
        </w:tabs>
        <w:spacing w:line="240" w:lineRule="auto"/>
        <w:rPr>
          <w:rFonts w:cs="Arial"/>
          <w:szCs w:val="20"/>
        </w:rPr>
      </w:pPr>
      <w:r w:rsidRPr="00700CE8">
        <w:rPr>
          <w:rFonts w:cs="Arial"/>
          <w:szCs w:val="20"/>
        </w:rPr>
        <w:t xml:space="preserve">The following adjustments </w:t>
      </w:r>
      <w:r>
        <w:rPr>
          <w:rFonts w:cs="Arial"/>
          <w:szCs w:val="20"/>
        </w:rPr>
        <w:t>a</w:t>
      </w:r>
      <w:r w:rsidRPr="00700CE8">
        <w:rPr>
          <w:rFonts w:cs="Arial"/>
          <w:szCs w:val="20"/>
        </w:rPr>
        <w:t xml:space="preserve">re </w:t>
      </w:r>
      <w:r w:rsidR="00245976">
        <w:rPr>
          <w:rFonts w:cs="Arial"/>
          <w:szCs w:val="20"/>
        </w:rPr>
        <w:t>applied</w:t>
      </w:r>
      <w:r w:rsidR="00245976" w:rsidRPr="00700CE8">
        <w:rPr>
          <w:rFonts w:cs="Arial"/>
          <w:szCs w:val="20"/>
        </w:rPr>
        <w:t xml:space="preserve"> </w:t>
      </w:r>
      <w:r w:rsidRPr="00700CE8">
        <w:rPr>
          <w:rFonts w:cs="Arial"/>
          <w:szCs w:val="20"/>
        </w:rPr>
        <w:t>within the admitted subacute cost model:</w:t>
      </w:r>
    </w:p>
    <w:p w14:paraId="757FCAAB" w14:textId="77777777" w:rsidR="00550102" w:rsidRPr="0065109A" w:rsidRDefault="00550102" w:rsidP="00FE1EA1">
      <w:pPr>
        <w:pStyle w:val="ListParagraph"/>
        <w:numPr>
          <w:ilvl w:val="0"/>
          <w:numId w:val="27"/>
        </w:numPr>
      </w:pPr>
      <w:r w:rsidRPr="00765488">
        <w:t xml:space="preserve">Private patient service adjustment: </w:t>
      </w:r>
      <w:r w:rsidRPr="0065109A">
        <w:t xml:space="preserve">This adjustment is calculated by care type </w:t>
      </w:r>
      <w:r w:rsidR="00C9105B">
        <w:t xml:space="preserve">and jurisdiction </w:t>
      </w:r>
      <w:r w:rsidRPr="0065109A">
        <w:t xml:space="preserve">in the same </w:t>
      </w:r>
      <w:r w:rsidR="00C9105B">
        <w:t xml:space="preserve">manner as that which </w:t>
      </w:r>
      <w:r w:rsidRPr="0065109A">
        <w:t xml:space="preserve">is calculated </w:t>
      </w:r>
      <w:r w:rsidR="00C9105B">
        <w:t xml:space="preserve">for </w:t>
      </w:r>
      <w:r w:rsidR="008B1D8E">
        <w:t>AR-DRGs</w:t>
      </w:r>
      <w:r w:rsidRPr="0065109A">
        <w:t xml:space="preserve"> within the admitted acute cost model.</w:t>
      </w:r>
    </w:p>
    <w:p w14:paraId="428EF25D" w14:textId="170BC221" w:rsidR="00550102" w:rsidRPr="0065109A" w:rsidRDefault="00245976" w:rsidP="00FE1EA1">
      <w:pPr>
        <w:pStyle w:val="ListParagraph"/>
        <w:numPr>
          <w:ilvl w:val="0"/>
          <w:numId w:val="27"/>
        </w:numPr>
      </w:pPr>
      <w:r>
        <w:t xml:space="preserve">A number of other adjustments are </w:t>
      </w:r>
      <w:r w:rsidR="00550102" w:rsidRPr="0065109A">
        <w:t xml:space="preserve">derived within the admitted acute cost model and applied in the subacute stream:  </w:t>
      </w:r>
    </w:p>
    <w:p w14:paraId="00F4B786" w14:textId="77777777" w:rsidR="00550102" w:rsidRPr="00EC1F9C" w:rsidRDefault="00550102" w:rsidP="00FE1EA1">
      <w:pPr>
        <w:pStyle w:val="ListParagraph"/>
        <w:numPr>
          <w:ilvl w:val="0"/>
          <w:numId w:val="20"/>
        </w:numPr>
      </w:pPr>
      <w:r w:rsidRPr="00EC1F9C">
        <w:t>Indigenous</w:t>
      </w:r>
    </w:p>
    <w:p w14:paraId="47314C12" w14:textId="77777777" w:rsidR="00550102" w:rsidRPr="00EC1F9C" w:rsidRDefault="00550102" w:rsidP="00FE1EA1">
      <w:pPr>
        <w:pStyle w:val="ListParagraph"/>
        <w:numPr>
          <w:ilvl w:val="0"/>
          <w:numId w:val="20"/>
        </w:numPr>
      </w:pPr>
      <w:r w:rsidRPr="00EC1F9C">
        <w:t>residential remoteness</w:t>
      </w:r>
    </w:p>
    <w:p w14:paraId="494037D0" w14:textId="77777777" w:rsidR="00550102" w:rsidRPr="00EC1F9C" w:rsidRDefault="005C2975" w:rsidP="00FE1EA1">
      <w:pPr>
        <w:pStyle w:val="ListParagraph"/>
        <w:numPr>
          <w:ilvl w:val="0"/>
          <w:numId w:val="20"/>
        </w:numPr>
      </w:pPr>
      <w:r>
        <w:t>r</w:t>
      </w:r>
      <w:r w:rsidR="00550102" w:rsidRPr="00EC1F9C">
        <w:t>adiotherapy</w:t>
      </w:r>
    </w:p>
    <w:p w14:paraId="3FAA13BC" w14:textId="77777777" w:rsidR="00550102" w:rsidRPr="00EC1F9C" w:rsidRDefault="005C2975" w:rsidP="00FE1EA1">
      <w:pPr>
        <w:pStyle w:val="ListParagraph"/>
        <w:numPr>
          <w:ilvl w:val="0"/>
          <w:numId w:val="20"/>
        </w:numPr>
      </w:pPr>
      <w:r>
        <w:t>d</w:t>
      </w:r>
      <w:r w:rsidR="00550102" w:rsidRPr="00EC1F9C">
        <w:t>ialysis</w:t>
      </w:r>
    </w:p>
    <w:p w14:paraId="7AC3DFB8" w14:textId="77777777" w:rsidR="00550102" w:rsidRPr="00DC1933" w:rsidRDefault="00550102" w:rsidP="00FE1EA1">
      <w:pPr>
        <w:pStyle w:val="ListParagraph"/>
        <w:numPr>
          <w:ilvl w:val="0"/>
          <w:numId w:val="20"/>
        </w:numPr>
      </w:pPr>
      <w:r w:rsidRPr="00EC1F9C">
        <w:t>treatment remoteness</w:t>
      </w:r>
      <w:r w:rsidRPr="00DC1933">
        <w:t>.</w:t>
      </w:r>
    </w:p>
    <w:p w14:paraId="476AA089" w14:textId="77777777" w:rsidR="00550102" w:rsidRPr="00700CE8" w:rsidRDefault="00550102" w:rsidP="00550102">
      <w:pPr>
        <w:tabs>
          <w:tab w:val="left" w:pos="1162"/>
        </w:tabs>
        <w:spacing w:before="0" w:line="240" w:lineRule="auto"/>
        <w:rPr>
          <w:rFonts w:cs="Arial"/>
        </w:rPr>
      </w:pPr>
      <w:r w:rsidRPr="76ABC984">
        <w:rPr>
          <w:rFonts w:cs="Arial"/>
        </w:rPr>
        <w:t>The proportion of NHCDC activity for which the adjustments apply are as follows:</w:t>
      </w:r>
    </w:p>
    <w:p w14:paraId="609D8A00" w14:textId="3BA49963" w:rsidR="00550102" w:rsidRPr="008E442A" w:rsidRDefault="00C85983" w:rsidP="00887853">
      <w:pPr>
        <w:pStyle w:val="ListBullet"/>
      </w:pPr>
      <w:r>
        <w:t>T</w:t>
      </w:r>
      <w:r w:rsidR="00550102" w:rsidRPr="00700CE8">
        <w:t>he Indi</w:t>
      </w:r>
      <w:r w:rsidR="00550102">
        <w:t xml:space="preserve">genous adjustment applied to </w:t>
      </w:r>
      <w:r w:rsidR="239A6BC4">
        <w:t xml:space="preserve">2.2 </w:t>
      </w:r>
      <w:r w:rsidR="00550102">
        <w:t>per cent</w:t>
      </w:r>
      <w:r w:rsidR="00550102" w:rsidRPr="008E442A">
        <w:t xml:space="preserve"> of subacute activity</w:t>
      </w:r>
      <w:r>
        <w:t>.</w:t>
      </w:r>
    </w:p>
    <w:p w14:paraId="16C400DD" w14:textId="349D4242" w:rsidR="00550102" w:rsidRPr="008E442A" w:rsidRDefault="00C85983" w:rsidP="00887853">
      <w:pPr>
        <w:pStyle w:val="ListBullet"/>
      </w:pPr>
      <w:r>
        <w:t>T</w:t>
      </w:r>
      <w:r w:rsidR="00550102" w:rsidRPr="008E442A">
        <w:t xml:space="preserve">he residential remoteness adjustment applied to </w:t>
      </w:r>
      <w:r w:rsidR="79CE691D" w:rsidRPr="76ABC984">
        <w:rPr>
          <w:color w:val="000000" w:themeColor="text1"/>
        </w:rPr>
        <w:t>7.3</w:t>
      </w:r>
      <w:r w:rsidR="00F17711">
        <w:rPr>
          <w:color w:val="000000" w:themeColor="text1"/>
        </w:rPr>
        <w:t xml:space="preserve"> </w:t>
      </w:r>
      <w:r w:rsidR="00550102">
        <w:t>per cent</w:t>
      </w:r>
      <w:r w:rsidR="00550102" w:rsidRPr="008E442A">
        <w:t xml:space="preserve"> of subacute activity</w:t>
      </w:r>
      <w:r>
        <w:t>.</w:t>
      </w:r>
    </w:p>
    <w:p w14:paraId="7861D01C" w14:textId="77739855" w:rsidR="00550102" w:rsidRPr="008E442A" w:rsidRDefault="00C85983" w:rsidP="00887853">
      <w:pPr>
        <w:pStyle w:val="ListBullet"/>
      </w:pPr>
      <w:r>
        <w:t>T</w:t>
      </w:r>
      <w:r w:rsidR="00550102" w:rsidRPr="008E442A">
        <w:t xml:space="preserve">he radiotherapy adjustment applied to </w:t>
      </w:r>
      <w:r w:rsidR="239A6BC4">
        <w:t xml:space="preserve">0.6 </w:t>
      </w:r>
      <w:r w:rsidR="00550102">
        <w:t>per cent</w:t>
      </w:r>
      <w:r w:rsidR="00550102" w:rsidRPr="008E442A">
        <w:t xml:space="preserve"> of subacute activity</w:t>
      </w:r>
      <w:r>
        <w:t>.</w:t>
      </w:r>
    </w:p>
    <w:p w14:paraId="5B79BA5B" w14:textId="28A7DCBB" w:rsidR="00550102" w:rsidRPr="008E442A" w:rsidRDefault="00C85983" w:rsidP="00887853">
      <w:pPr>
        <w:pStyle w:val="ListBullet"/>
      </w:pPr>
      <w:r>
        <w:t>T</w:t>
      </w:r>
      <w:r w:rsidR="00550102" w:rsidRPr="008E442A">
        <w:t xml:space="preserve">he dialysis adjustment applied to </w:t>
      </w:r>
      <w:r w:rsidR="79CE691D">
        <w:t>0.7</w:t>
      </w:r>
      <w:r w:rsidR="00F17711">
        <w:t xml:space="preserve"> </w:t>
      </w:r>
      <w:r w:rsidR="00550102">
        <w:t>per cent</w:t>
      </w:r>
      <w:r w:rsidR="00550102" w:rsidRPr="008E442A">
        <w:t xml:space="preserve"> of subacute activity</w:t>
      </w:r>
      <w:r>
        <w:t>.</w:t>
      </w:r>
    </w:p>
    <w:p w14:paraId="67EF1C62" w14:textId="4ACBC27B" w:rsidR="00550102" w:rsidRPr="008E442A" w:rsidRDefault="00C85983" w:rsidP="00887853">
      <w:pPr>
        <w:pStyle w:val="ListBullet"/>
      </w:pPr>
      <w:r>
        <w:t>T</w:t>
      </w:r>
      <w:r w:rsidR="00550102" w:rsidRPr="008E442A">
        <w:t xml:space="preserve">he treatment remoteness adjustment applied to </w:t>
      </w:r>
      <w:r w:rsidR="79CE691D" w:rsidRPr="76ABC984">
        <w:rPr>
          <w:color w:val="000000" w:themeColor="text1"/>
        </w:rPr>
        <w:t>0.4</w:t>
      </w:r>
      <w:r w:rsidR="00550102" w:rsidRPr="008F2D63">
        <w:rPr>
          <w:color w:val="000000" w:themeColor="text1"/>
        </w:rPr>
        <w:t xml:space="preserve"> </w:t>
      </w:r>
      <w:r w:rsidR="00550102">
        <w:t>per cent</w:t>
      </w:r>
      <w:r w:rsidR="00550102" w:rsidRPr="008E442A">
        <w:t xml:space="preserve"> of subacute activity</w:t>
      </w:r>
      <w:r>
        <w:t>.</w:t>
      </w:r>
    </w:p>
    <w:p w14:paraId="5B20C7F2" w14:textId="05F0CCA4" w:rsidR="00550102" w:rsidRPr="00700CE8" w:rsidRDefault="00C85983" w:rsidP="00887853">
      <w:pPr>
        <w:pStyle w:val="ListBullet"/>
      </w:pPr>
      <w:r>
        <w:t>T</w:t>
      </w:r>
      <w:r w:rsidR="00550102" w:rsidRPr="008E442A">
        <w:t xml:space="preserve">he private patient adjustments applied to </w:t>
      </w:r>
      <w:r w:rsidR="79CE691D" w:rsidRPr="76ABC984">
        <w:rPr>
          <w:color w:val="000000" w:themeColor="text1"/>
        </w:rPr>
        <w:t>21.0</w:t>
      </w:r>
      <w:r w:rsidR="00F17711">
        <w:rPr>
          <w:color w:val="000000" w:themeColor="text1"/>
        </w:rPr>
        <w:t xml:space="preserve"> </w:t>
      </w:r>
      <w:r w:rsidR="00550102">
        <w:t>per cent</w:t>
      </w:r>
      <w:r w:rsidR="00550102" w:rsidRPr="008E442A">
        <w:t xml:space="preserve"> of </w:t>
      </w:r>
      <w:r w:rsidR="00550102" w:rsidRPr="00700CE8">
        <w:t>subacute activity</w:t>
      </w:r>
      <w:r w:rsidR="00550102">
        <w:t>.</w:t>
      </w:r>
    </w:p>
    <w:p w14:paraId="13A381C8" w14:textId="77777777" w:rsidR="00550102" w:rsidRPr="00700CE8" w:rsidRDefault="00550102" w:rsidP="00550102">
      <w:pPr>
        <w:tabs>
          <w:tab w:val="left" w:pos="1162"/>
        </w:tabs>
        <w:spacing w:before="200" w:line="240" w:lineRule="auto"/>
        <w:rPr>
          <w:rFonts w:cs="Arial"/>
          <w:szCs w:val="20"/>
        </w:rPr>
      </w:pPr>
      <w:r w:rsidRPr="00700CE8">
        <w:lastRenderedPageBreak/>
        <w:t>T</w:t>
      </w:r>
      <w:r w:rsidRPr="00700CE8">
        <w:rPr>
          <w:rFonts w:cs="Arial"/>
          <w:szCs w:val="20"/>
        </w:rPr>
        <w:t xml:space="preserve">he cost model (including all adjustments except the private patient adjustments) </w:t>
      </w:r>
      <w:r>
        <w:rPr>
          <w:rFonts w:cs="Arial"/>
          <w:szCs w:val="20"/>
        </w:rPr>
        <w:t>i</w:t>
      </w:r>
      <w:r w:rsidRPr="00700CE8">
        <w:rPr>
          <w:rFonts w:cs="Arial"/>
          <w:szCs w:val="20"/>
        </w:rPr>
        <w:t xml:space="preserve">s then calibrated to ensure </w:t>
      </w:r>
      <w:r w:rsidR="00F17711">
        <w:rPr>
          <w:rFonts w:cs="Arial"/>
          <w:szCs w:val="20"/>
        </w:rPr>
        <w:t xml:space="preserve">that the sum of </w:t>
      </w:r>
      <w:r w:rsidRPr="00700CE8">
        <w:rPr>
          <w:rFonts w:cs="Arial"/>
          <w:szCs w:val="20"/>
        </w:rPr>
        <w:t xml:space="preserve">model costs </w:t>
      </w:r>
      <w:r w:rsidR="00F17711">
        <w:rPr>
          <w:rFonts w:cs="Arial"/>
          <w:szCs w:val="20"/>
        </w:rPr>
        <w:t>in the subacute cohort is the same as that of in</w:t>
      </w:r>
      <w:r w:rsidR="00DD6C57">
        <w:rPr>
          <w:rFonts w:cs="Arial"/>
          <w:szCs w:val="20"/>
        </w:rPr>
        <w:noBreakHyphen/>
      </w:r>
      <w:r w:rsidR="00F17711">
        <w:rPr>
          <w:rFonts w:cs="Arial"/>
          <w:szCs w:val="20"/>
        </w:rPr>
        <w:t>scope costs</w:t>
      </w:r>
      <w:r w:rsidRPr="00700CE8">
        <w:rPr>
          <w:rFonts w:cs="Arial"/>
          <w:szCs w:val="20"/>
        </w:rPr>
        <w:t>.</w:t>
      </w:r>
    </w:p>
    <w:p w14:paraId="02B69A98" w14:textId="77777777" w:rsidR="00550102" w:rsidRPr="00700CE8" w:rsidRDefault="00550102" w:rsidP="00755433">
      <w:pPr>
        <w:pStyle w:val="Heading3"/>
      </w:pPr>
      <w:r>
        <w:t>Subacute and non-acute stabilisation</w:t>
      </w:r>
    </w:p>
    <w:p w14:paraId="325570E4" w14:textId="41212061" w:rsidR="00550102" w:rsidRPr="00700CE8" w:rsidRDefault="00550102" w:rsidP="00550102">
      <w:pPr>
        <w:spacing w:line="240" w:lineRule="auto"/>
        <w:rPr>
          <w:rFonts w:cs="Arial"/>
        </w:rPr>
      </w:pPr>
      <w:r w:rsidRPr="00700CE8">
        <w:rPr>
          <w:rFonts w:cs="Arial"/>
        </w:rPr>
        <w:t xml:space="preserve">Refer to </w:t>
      </w:r>
      <w:r>
        <w:rPr>
          <w:rFonts w:cs="Arial"/>
        </w:rPr>
        <w:t>Section</w:t>
      </w:r>
      <w:r w:rsidR="00A84D5C">
        <w:rPr>
          <w:rFonts w:cs="Arial"/>
        </w:rPr>
        <w:t xml:space="preserve"> </w:t>
      </w:r>
      <w:r w:rsidR="00A84D5C">
        <w:rPr>
          <w:rFonts w:cs="Arial"/>
          <w:color w:val="2B579A"/>
          <w:shd w:val="clear" w:color="auto" w:fill="E6E6E6"/>
        </w:rPr>
        <w:fldChar w:fldCharType="begin"/>
      </w:r>
      <w:r w:rsidR="00A84D5C">
        <w:rPr>
          <w:rFonts w:cs="Arial"/>
        </w:rPr>
        <w:instrText xml:space="preserve"> REF _Ref88053573 \r \h </w:instrText>
      </w:r>
      <w:r w:rsidR="00A84D5C">
        <w:rPr>
          <w:rFonts w:cs="Arial"/>
          <w:color w:val="2B579A"/>
          <w:shd w:val="clear" w:color="auto" w:fill="E6E6E6"/>
        </w:rPr>
      </w:r>
      <w:r w:rsidR="00A84D5C">
        <w:rPr>
          <w:rFonts w:cs="Arial"/>
          <w:color w:val="2B579A"/>
          <w:shd w:val="clear" w:color="auto" w:fill="E6E6E6"/>
        </w:rPr>
        <w:fldChar w:fldCharType="separate"/>
      </w:r>
      <w:r w:rsidR="003F234C">
        <w:rPr>
          <w:rFonts w:cs="Arial"/>
        </w:rPr>
        <w:t>2.2.16</w:t>
      </w:r>
      <w:r w:rsidR="00A84D5C">
        <w:rPr>
          <w:rFonts w:cs="Arial"/>
          <w:color w:val="2B579A"/>
          <w:shd w:val="clear" w:color="auto" w:fill="E6E6E6"/>
        </w:rPr>
        <w:fldChar w:fldCharType="end"/>
      </w:r>
      <w:r w:rsidRPr="00700CE8">
        <w:rPr>
          <w:rFonts w:cs="Arial"/>
        </w:rPr>
        <w:t xml:space="preserve"> for information about the stabilisation process. The same methodology has been applied to the admitted subacute and non-acute cost model.</w:t>
      </w:r>
    </w:p>
    <w:p w14:paraId="12D8B319" w14:textId="77777777" w:rsidR="00550102" w:rsidRPr="00700CE8" w:rsidRDefault="00550102" w:rsidP="00755433">
      <w:pPr>
        <w:pStyle w:val="Heading3"/>
      </w:pPr>
      <w:r>
        <w:t>Price weights and NWAU</w:t>
      </w:r>
    </w:p>
    <w:p w14:paraId="1E5B8F84" w14:textId="77777777" w:rsidR="00550102" w:rsidRDefault="00F17711" w:rsidP="00550102">
      <w:r>
        <w:t xml:space="preserve">Price weights are obtained by </w:t>
      </w:r>
      <w:r w:rsidR="00550102" w:rsidRPr="00700CE8">
        <w:t xml:space="preserve">dividing the dollar-valued cost parameters by the reference cost (from the </w:t>
      </w:r>
      <w:r w:rsidR="00550102" w:rsidRPr="00700CE8">
        <w:rPr>
          <w:szCs w:val="20"/>
        </w:rPr>
        <w:t>admitted</w:t>
      </w:r>
      <w:r w:rsidR="00550102" w:rsidRPr="00700CE8">
        <w:t xml:space="preserve"> acute care cost model) to obtain cost weights. The same reference cost is used across all streams of activity and is discussed in </w:t>
      </w:r>
      <w:r w:rsidR="00550102">
        <w:t>Chapter</w:t>
      </w:r>
      <w:r w:rsidR="00550102" w:rsidRPr="00700CE8">
        <w:t> </w:t>
      </w:r>
      <w:r w:rsidR="00550102">
        <w:t>7</w:t>
      </w:r>
      <w:r w:rsidR="00550102" w:rsidRPr="00700CE8">
        <w:t>.</w:t>
      </w:r>
    </w:p>
    <w:p w14:paraId="399D6EBB" w14:textId="77777777" w:rsidR="00550102" w:rsidRDefault="00550102" w:rsidP="00755433">
      <w:pPr>
        <w:pStyle w:val="Heading3"/>
      </w:pPr>
      <w:r>
        <w:t>Applying the NEP</w:t>
      </w:r>
    </w:p>
    <w:p w14:paraId="67ADC31D" w14:textId="02DE7EB3" w:rsidR="00550102" w:rsidRDefault="00550102" w:rsidP="00550102">
      <w:pPr>
        <w:tabs>
          <w:tab w:val="left" w:pos="1162"/>
        </w:tabs>
        <w:spacing w:line="240" w:lineRule="auto"/>
        <w:rPr>
          <w:rFonts w:cs="Arial"/>
        </w:rPr>
      </w:pPr>
      <w:r w:rsidRPr="00E36060">
        <w:rPr>
          <w:rFonts w:cs="Arial"/>
        </w:rPr>
        <w:t xml:space="preserve">As set out in </w:t>
      </w:r>
      <w:r>
        <w:rPr>
          <w:rFonts w:cs="Arial"/>
        </w:rPr>
        <w:t xml:space="preserve">the </w:t>
      </w:r>
      <w:r w:rsidRPr="00057977">
        <w:rPr>
          <w:rFonts w:cs="Arial"/>
        </w:rPr>
        <w:t>National Efficient Price Determination</w:t>
      </w:r>
      <w:r w:rsidR="00F17711">
        <w:rPr>
          <w:rFonts w:cs="Arial"/>
        </w:rPr>
        <w:t xml:space="preserve"> </w:t>
      </w:r>
      <w:r w:rsidR="00B8779F">
        <w:rPr>
          <w:rFonts w:cs="Arial"/>
        </w:rPr>
        <w:t>2022</w:t>
      </w:r>
      <w:r w:rsidR="00F17711">
        <w:rPr>
          <w:rFonts w:cs="Arial"/>
        </w:rPr>
        <w:t>–</w:t>
      </w:r>
      <w:r w:rsidR="00B8779F">
        <w:rPr>
          <w:rFonts w:cs="Arial"/>
        </w:rPr>
        <w:t>23</w:t>
      </w:r>
      <w:r w:rsidRPr="00E36060">
        <w:rPr>
          <w:rFonts w:cs="Arial"/>
        </w:rPr>
        <w:t xml:space="preserve">, the price of an ABF </w:t>
      </w:r>
      <w:r>
        <w:rPr>
          <w:rFonts w:cs="Arial"/>
          <w:szCs w:val="20"/>
        </w:rPr>
        <w:t>admitted</w:t>
      </w:r>
      <w:r>
        <w:rPr>
          <w:rFonts w:cs="Arial"/>
        </w:rPr>
        <w:t xml:space="preserve"> subacute a</w:t>
      </w:r>
      <w:r w:rsidRPr="00E36060">
        <w:rPr>
          <w:rFonts w:cs="Arial"/>
        </w:rPr>
        <w:t>ctivity is calculated using the following formula, with adjustments applied as applicable:</w:t>
      </w:r>
    </w:p>
    <w:p w14:paraId="10231ECF" w14:textId="77777777" w:rsidR="00550102" w:rsidRPr="009F697A" w:rsidRDefault="00550102" w:rsidP="00550102">
      <w:pPr>
        <w:tabs>
          <w:tab w:val="left" w:pos="1162"/>
        </w:tabs>
        <w:spacing w:line="240" w:lineRule="auto"/>
        <w:rPr>
          <w:rFonts w:cs="Arial"/>
          <w:b/>
        </w:rPr>
      </w:pPr>
      <w:r w:rsidRPr="009F697A">
        <w:rPr>
          <w:rFonts w:cs="Arial"/>
          <w:b/>
        </w:rPr>
        <w:t>Price of an admitt</w:t>
      </w:r>
      <w:r>
        <w:rPr>
          <w:rFonts w:cs="Arial"/>
          <w:b/>
        </w:rPr>
        <w:t>ed subacute ABF activity</w:t>
      </w:r>
    </w:p>
    <w:p w14:paraId="2E619490" w14:textId="77777777" w:rsidR="00550102" w:rsidRPr="00B63028" w:rsidRDefault="00550102" w:rsidP="00550102">
      <w:pPr>
        <w:tabs>
          <w:tab w:val="left" w:pos="0"/>
        </w:tabs>
        <w:spacing w:line="240" w:lineRule="auto"/>
        <w:rPr>
          <w:rFonts w:cs="Arial"/>
          <w:szCs w:val="20"/>
        </w:rPr>
      </w:pPr>
      <m:oMathPara>
        <m:oMathParaPr>
          <m:jc m:val="left"/>
        </m:oMathParaPr>
        <m:oMath>
          <m:r>
            <m:rPr>
              <m:sty m:val="p"/>
            </m:rPr>
            <w:rPr>
              <w:rFonts w:ascii="Cambria Math" w:hAnsi="Cambria Math" w:cs="Arial"/>
              <w:szCs w:val="20"/>
            </w:rPr>
            <m:t>={</m:t>
          </m:r>
          <m:d>
            <m:dPr>
              <m:begChr m:val="["/>
              <m:endChr m:val="]"/>
              <m:ctrlPr>
                <w:rPr>
                  <w:rFonts w:ascii="Cambria Math" w:hAnsi="Cambria Math" w:cs="Arial"/>
                  <w:szCs w:val="20"/>
                </w:rPr>
              </m:ctrlPr>
            </m:dPr>
            <m:e>
              <m:r>
                <m:rPr>
                  <m:sty m:val="p"/>
                </m:rPr>
                <w:rPr>
                  <w:rFonts w:ascii="Cambria Math" w:hAnsi="Cambria Math" w:cs="Arial"/>
                  <w:szCs w:val="20"/>
                </w:rPr>
                <m:t>PW×</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RT</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Dia</m:t>
                      </m:r>
                    </m:sub>
                  </m:sSub>
                </m:e>
              </m:d>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r>
                <w:rPr>
                  <w:rFonts w:ascii="Cambria Math" w:hAnsi="Cambria Math" w:cs="Arial"/>
                  <w:szCs w:val="20"/>
                </w:rPr>
                <m:t>)</m:t>
              </m:r>
            </m:e>
          </m:d>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r>
            <m:rPr>
              <m:sty m:val="p"/>
            </m:rPr>
            <w:rPr>
              <w:rFonts w:ascii="Cambria Math" w:hAnsi="Cambria Math" w:cs="Arial"/>
              <w:szCs w:val="20"/>
            </w:rPr>
            <m:t>]}×NEP</m:t>
          </m:r>
        </m:oMath>
      </m:oMathPara>
    </w:p>
    <w:p w14:paraId="708D15FA" w14:textId="77777777" w:rsidR="00550102" w:rsidRPr="00E90F0A" w:rsidRDefault="00550102" w:rsidP="00550102">
      <w:pPr>
        <w:spacing w:line="240" w:lineRule="auto"/>
        <w:rPr>
          <w:rFonts w:cs="Arial"/>
          <w:szCs w:val="20"/>
        </w:rPr>
      </w:pPr>
      <w:r w:rsidRPr="00E90F0A">
        <w:rPr>
          <w:rFonts w:cs="Arial"/>
          <w:szCs w:val="20"/>
        </w:rPr>
        <w:t>Where:</w:t>
      </w:r>
    </w:p>
    <w:p w14:paraId="6F910477" w14:textId="77777777" w:rsidR="00550102" w:rsidRPr="00EC1F9C" w:rsidRDefault="00550102" w:rsidP="00550102">
      <w:pPr>
        <w:spacing w:before="100" w:after="100" w:line="240" w:lineRule="auto"/>
        <w:ind w:left="1985" w:hanging="1985"/>
        <w:rPr>
          <w:rFonts w:cs="Arial"/>
        </w:rPr>
      </w:pPr>
      <w:r w:rsidRPr="000306BE">
        <w:rPr>
          <w:rFonts w:cs="Arial"/>
          <w:b/>
        </w:rPr>
        <w:t>A</w:t>
      </w:r>
      <w:r w:rsidRPr="000306BE">
        <w:rPr>
          <w:rFonts w:cs="Arial"/>
          <w:b/>
          <w:vertAlign w:val="subscript"/>
        </w:rPr>
        <w:t>Ind</w:t>
      </w:r>
      <w:r w:rsidRPr="000306BE">
        <w:rPr>
          <w:rFonts w:cs="Arial"/>
          <w:vertAlign w:val="subscript"/>
        </w:rPr>
        <w:tab/>
      </w:r>
      <w:r w:rsidRPr="000306BE">
        <w:rPr>
          <w:rFonts w:cs="Arial"/>
        </w:rPr>
        <w:t xml:space="preserve">means the </w:t>
      </w:r>
      <w:r w:rsidRPr="00EC1F9C">
        <w:rPr>
          <w:rFonts w:cs="Arial"/>
        </w:rPr>
        <w:t xml:space="preserve">Indigenous </w:t>
      </w:r>
      <w:r>
        <w:rPr>
          <w:rFonts w:cs="Arial"/>
        </w:rPr>
        <w:t>a</w:t>
      </w:r>
      <w:r w:rsidRPr="00EC1F9C">
        <w:rPr>
          <w:rFonts w:cs="Arial"/>
        </w:rPr>
        <w:t>djustment</w:t>
      </w:r>
    </w:p>
    <w:p w14:paraId="296531C2" w14:textId="77777777" w:rsidR="00550102" w:rsidRPr="00EC1F9C" w:rsidRDefault="00550102" w:rsidP="00550102">
      <w:pPr>
        <w:spacing w:before="100" w:after="100" w:line="240" w:lineRule="auto"/>
        <w:ind w:left="1985" w:hanging="1985"/>
        <w:rPr>
          <w:rFonts w:cs="Arial"/>
        </w:rPr>
      </w:pPr>
      <w:r w:rsidRPr="000306BE">
        <w:rPr>
          <w:rFonts w:cs="Arial"/>
          <w:b/>
        </w:rPr>
        <w:t>A</w:t>
      </w:r>
      <w:r>
        <w:rPr>
          <w:rFonts w:cs="Arial"/>
          <w:b/>
          <w:vertAlign w:val="subscript"/>
        </w:rPr>
        <w:t>Res</w:t>
      </w:r>
      <w:r w:rsidRPr="000306BE">
        <w:rPr>
          <w:rFonts w:cs="Arial"/>
          <w:vertAlign w:val="subscript"/>
        </w:rPr>
        <w:tab/>
      </w:r>
      <w:r w:rsidRPr="000306BE">
        <w:rPr>
          <w:rFonts w:cs="Arial"/>
        </w:rPr>
        <w:t xml:space="preserve">means each or any </w:t>
      </w:r>
      <w:r>
        <w:rPr>
          <w:rFonts w:cs="Arial"/>
        </w:rPr>
        <w:t>p</w:t>
      </w:r>
      <w:r w:rsidRPr="00EC1F9C">
        <w:rPr>
          <w:rFonts w:cs="Arial"/>
        </w:rPr>
        <w:t>atient</w:t>
      </w:r>
      <w:r w:rsidRPr="00DC1933">
        <w:rPr>
          <w:rFonts w:cs="Arial"/>
        </w:rPr>
        <w:t xml:space="preserve"> </w:t>
      </w:r>
      <w:r>
        <w:rPr>
          <w:rFonts w:cs="Arial"/>
        </w:rPr>
        <w:t>r</w:t>
      </w:r>
      <w:r w:rsidRPr="00EC1F9C">
        <w:rPr>
          <w:rFonts w:cs="Arial"/>
        </w:rPr>
        <w:t>esidential</w:t>
      </w:r>
      <w:r w:rsidRPr="00DC1933">
        <w:rPr>
          <w:rFonts w:cs="Arial"/>
        </w:rPr>
        <w:t xml:space="preserve"> </w:t>
      </w:r>
      <w:r>
        <w:rPr>
          <w:rFonts w:cs="Arial"/>
        </w:rPr>
        <w:t>r</w:t>
      </w:r>
      <w:r w:rsidRPr="00EC1F9C">
        <w:rPr>
          <w:rFonts w:cs="Arial"/>
        </w:rPr>
        <w:t>emoteness</w:t>
      </w:r>
      <w:r w:rsidRPr="00DC1933">
        <w:rPr>
          <w:rFonts w:cs="Arial"/>
        </w:rPr>
        <w:t xml:space="preserve"> </w:t>
      </w:r>
      <w:r>
        <w:rPr>
          <w:rFonts w:cs="Arial"/>
        </w:rPr>
        <w:t>a</w:t>
      </w:r>
      <w:r w:rsidRPr="00EC1F9C">
        <w:rPr>
          <w:rFonts w:cs="Arial"/>
        </w:rPr>
        <w:t xml:space="preserve">rea </w:t>
      </w:r>
      <w:r>
        <w:rPr>
          <w:rFonts w:cs="Arial"/>
        </w:rPr>
        <w:t>a</w:t>
      </w:r>
      <w:r w:rsidRPr="00EC1F9C">
        <w:rPr>
          <w:rFonts w:cs="Arial"/>
        </w:rPr>
        <w:t>djustment</w:t>
      </w:r>
    </w:p>
    <w:p w14:paraId="2A32A1F1" w14:textId="77777777" w:rsidR="00550102" w:rsidRDefault="00550102" w:rsidP="00550102">
      <w:pPr>
        <w:spacing w:before="100" w:after="100" w:line="240" w:lineRule="auto"/>
        <w:ind w:left="1985" w:hanging="1985"/>
        <w:rPr>
          <w:rFonts w:cs="Arial"/>
          <w:i/>
        </w:rPr>
      </w:pPr>
      <w:r w:rsidRPr="00DF7079">
        <w:rPr>
          <w:rFonts w:cs="Arial"/>
          <w:b/>
        </w:rPr>
        <w:t>A</w:t>
      </w:r>
      <w:r w:rsidRPr="00DF7079">
        <w:rPr>
          <w:rFonts w:cs="Arial"/>
          <w:b/>
          <w:vertAlign w:val="subscript"/>
        </w:rPr>
        <w:t>RT</w:t>
      </w:r>
      <w:r w:rsidRPr="00DF7079">
        <w:rPr>
          <w:rFonts w:cs="Arial"/>
          <w:vertAlign w:val="subscript"/>
        </w:rPr>
        <w:tab/>
      </w:r>
      <w:r w:rsidRPr="00DF7079">
        <w:rPr>
          <w:rFonts w:cs="Arial"/>
        </w:rPr>
        <w:t xml:space="preserve">means the </w:t>
      </w:r>
      <w:r>
        <w:rPr>
          <w:rFonts w:cs="Arial"/>
        </w:rPr>
        <w:t>r</w:t>
      </w:r>
      <w:r w:rsidRPr="00EC1F9C">
        <w:rPr>
          <w:rFonts w:cs="Arial"/>
        </w:rPr>
        <w:t xml:space="preserve">adiotherapy </w:t>
      </w:r>
      <w:r>
        <w:rPr>
          <w:rFonts w:cs="Arial"/>
        </w:rPr>
        <w:t>a</w:t>
      </w:r>
      <w:r w:rsidRPr="00EC1F9C">
        <w:rPr>
          <w:rFonts w:cs="Arial"/>
        </w:rPr>
        <w:t>djustment</w:t>
      </w:r>
    </w:p>
    <w:p w14:paraId="737B5272" w14:textId="77777777" w:rsidR="00550102" w:rsidRPr="00EC1F9C" w:rsidRDefault="00550102" w:rsidP="00550102">
      <w:pPr>
        <w:spacing w:before="100" w:after="100" w:line="240" w:lineRule="auto"/>
        <w:ind w:left="1985" w:hanging="1985"/>
        <w:rPr>
          <w:rFonts w:cs="Arial"/>
        </w:rPr>
      </w:pPr>
      <w:r w:rsidRPr="00DF7079">
        <w:rPr>
          <w:rFonts w:cs="Arial"/>
          <w:b/>
        </w:rPr>
        <w:t>A</w:t>
      </w:r>
      <w:r w:rsidRPr="00DF7079">
        <w:rPr>
          <w:rFonts w:cs="Arial"/>
          <w:b/>
          <w:vertAlign w:val="subscript"/>
        </w:rPr>
        <w:t>Dia</w:t>
      </w:r>
      <w:r w:rsidRPr="00DF7079">
        <w:rPr>
          <w:rFonts w:cs="Arial"/>
          <w:b/>
        </w:rPr>
        <w:tab/>
      </w:r>
      <w:r w:rsidRPr="00DF7079">
        <w:rPr>
          <w:rFonts w:cs="Arial"/>
        </w:rPr>
        <w:t xml:space="preserve">means the </w:t>
      </w:r>
      <w:r>
        <w:rPr>
          <w:rFonts w:cs="Arial"/>
        </w:rPr>
        <w:t>d</w:t>
      </w:r>
      <w:r w:rsidRPr="00EC1F9C">
        <w:rPr>
          <w:rFonts w:cs="Arial"/>
        </w:rPr>
        <w:t xml:space="preserve">ialysis </w:t>
      </w:r>
      <w:r>
        <w:rPr>
          <w:rFonts w:cs="Arial"/>
        </w:rPr>
        <w:t>a</w:t>
      </w:r>
      <w:r w:rsidRPr="00EC1F9C">
        <w:rPr>
          <w:rFonts w:cs="Arial"/>
        </w:rPr>
        <w:t>djustment</w:t>
      </w:r>
    </w:p>
    <w:p w14:paraId="5D16CC95" w14:textId="77777777" w:rsidR="00550102" w:rsidRPr="00EC1F9C" w:rsidRDefault="00550102" w:rsidP="00550102">
      <w:pPr>
        <w:spacing w:before="100" w:after="100" w:line="240" w:lineRule="auto"/>
        <w:ind w:left="1985" w:hanging="1985"/>
        <w:rPr>
          <w:rFonts w:cs="Arial"/>
        </w:rPr>
      </w:pPr>
      <w:r w:rsidRPr="00DF7079">
        <w:rPr>
          <w:rFonts w:cs="Arial"/>
          <w:b/>
        </w:rPr>
        <w:t>A</w:t>
      </w:r>
      <w:r w:rsidRPr="00DF7079">
        <w:rPr>
          <w:rFonts w:cs="Arial"/>
          <w:b/>
          <w:vertAlign w:val="subscript"/>
        </w:rPr>
        <w:t>Treat</w:t>
      </w:r>
      <w:r w:rsidRPr="00DF7079">
        <w:rPr>
          <w:rFonts w:cs="Arial"/>
          <w:b/>
        </w:rPr>
        <w:tab/>
      </w:r>
      <w:r w:rsidRPr="00DF7079">
        <w:rPr>
          <w:rFonts w:cs="Arial"/>
        </w:rPr>
        <w:t xml:space="preserve">means </w:t>
      </w:r>
      <w:r w:rsidR="00F17711">
        <w:rPr>
          <w:rFonts w:cs="Arial"/>
        </w:rPr>
        <w:t xml:space="preserve">each or any </w:t>
      </w:r>
      <w:r>
        <w:rPr>
          <w:rFonts w:cs="Arial"/>
        </w:rPr>
        <w:t>p</w:t>
      </w:r>
      <w:r w:rsidRPr="00EC1F9C">
        <w:rPr>
          <w:rFonts w:cs="Arial"/>
        </w:rPr>
        <w:t xml:space="preserve">atient </w:t>
      </w:r>
      <w:r>
        <w:rPr>
          <w:rFonts w:cs="Arial"/>
        </w:rPr>
        <w:t>t</w:t>
      </w:r>
      <w:r w:rsidRPr="00EC1F9C">
        <w:rPr>
          <w:rFonts w:cs="Arial"/>
        </w:rPr>
        <w:t xml:space="preserve">reatment </w:t>
      </w:r>
      <w:r>
        <w:rPr>
          <w:rFonts w:cs="Arial"/>
        </w:rPr>
        <w:t>r</w:t>
      </w:r>
      <w:r w:rsidRPr="00EC1F9C">
        <w:rPr>
          <w:rFonts w:cs="Arial"/>
        </w:rPr>
        <w:t xml:space="preserve">emoteness </w:t>
      </w:r>
      <w:r>
        <w:rPr>
          <w:rFonts w:cs="Arial"/>
        </w:rPr>
        <w:t>a</w:t>
      </w:r>
      <w:r w:rsidRPr="00EC1F9C">
        <w:rPr>
          <w:rFonts w:cs="Arial"/>
        </w:rPr>
        <w:t xml:space="preserve">rea </w:t>
      </w:r>
      <w:r>
        <w:rPr>
          <w:rFonts w:cs="Arial"/>
        </w:rPr>
        <w:t>a</w:t>
      </w:r>
      <w:r w:rsidRPr="00EC1F9C">
        <w:rPr>
          <w:rFonts w:cs="Arial"/>
        </w:rPr>
        <w:t>djustment</w:t>
      </w:r>
    </w:p>
    <w:p w14:paraId="4EB362FE" w14:textId="77777777" w:rsidR="00550102" w:rsidRPr="00DC1933" w:rsidRDefault="00550102" w:rsidP="00550102">
      <w:pPr>
        <w:spacing w:before="100" w:after="100" w:line="240" w:lineRule="auto"/>
        <w:ind w:left="1985" w:hanging="1985"/>
        <w:rPr>
          <w:rFonts w:cs="Arial"/>
        </w:rPr>
      </w:pPr>
      <w:r w:rsidRPr="000306BE">
        <w:rPr>
          <w:rFonts w:cs="Arial"/>
          <w:b/>
        </w:rPr>
        <w:t>A</w:t>
      </w:r>
      <w:r w:rsidRPr="000306BE">
        <w:rPr>
          <w:rFonts w:cs="Arial"/>
          <w:b/>
          <w:vertAlign w:val="subscript"/>
        </w:rPr>
        <w:t>PPS</w:t>
      </w:r>
      <w:r w:rsidRPr="000306BE">
        <w:rPr>
          <w:rFonts w:cs="Arial"/>
          <w:vertAlign w:val="subscript"/>
        </w:rPr>
        <w:tab/>
      </w:r>
      <w:r w:rsidRPr="000306BE">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s</w:t>
      </w:r>
      <w:r w:rsidRPr="00EC1F9C">
        <w:rPr>
          <w:rFonts w:cs="Arial"/>
        </w:rPr>
        <w:t xml:space="preserve">ervice </w:t>
      </w:r>
      <w:r>
        <w:rPr>
          <w:rFonts w:cs="Arial"/>
        </w:rPr>
        <w:t>a</w:t>
      </w:r>
      <w:r w:rsidRPr="00EC1F9C">
        <w:rPr>
          <w:rFonts w:cs="Arial"/>
        </w:rPr>
        <w:t>djustment</w:t>
      </w:r>
      <w:r w:rsidR="00F17711">
        <w:rPr>
          <w:rFonts w:cs="Arial"/>
        </w:rPr>
        <w:t>, determined by care type and state of hospitalisation.</w:t>
      </w:r>
    </w:p>
    <w:p w14:paraId="52E99592" w14:textId="77777777" w:rsidR="00550102" w:rsidRDefault="00550102" w:rsidP="00550102">
      <w:pPr>
        <w:spacing w:before="100" w:after="100" w:line="240" w:lineRule="auto"/>
        <w:ind w:left="1985" w:hanging="1985"/>
        <w:rPr>
          <w:rFonts w:cs="Arial"/>
        </w:rPr>
      </w:pPr>
      <w:r w:rsidRPr="000306BE">
        <w:rPr>
          <w:rFonts w:cs="Arial"/>
          <w:b/>
        </w:rPr>
        <w:t>A</w:t>
      </w:r>
      <w:r w:rsidRPr="000306BE">
        <w:rPr>
          <w:rFonts w:cs="Arial"/>
          <w:b/>
          <w:vertAlign w:val="subscript"/>
        </w:rPr>
        <w:t>Acc</w:t>
      </w:r>
      <w:r w:rsidRPr="000306BE">
        <w:rPr>
          <w:rFonts w:cs="Arial"/>
          <w:b/>
          <w:vertAlign w:val="subscript"/>
        </w:rPr>
        <w:tab/>
      </w:r>
      <w:r w:rsidRPr="000306BE">
        <w:rPr>
          <w:rFonts w:cs="Arial"/>
        </w:rPr>
        <w:t xml:space="preserve">means </w:t>
      </w:r>
      <w:r w:rsidRPr="00DC1933">
        <w:rPr>
          <w:rFonts w:cs="Arial"/>
        </w:rPr>
        <w:t xml:space="preserve">the </w:t>
      </w:r>
      <w:r>
        <w:rPr>
          <w:rFonts w:cs="Arial"/>
        </w:rPr>
        <w:t>p</w:t>
      </w:r>
      <w:r w:rsidRPr="00EC1F9C">
        <w:rPr>
          <w:rFonts w:cs="Arial"/>
        </w:rPr>
        <w:t xml:space="preserve">rivate </w:t>
      </w:r>
      <w:r>
        <w:rPr>
          <w:rFonts w:cs="Arial"/>
        </w:rPr>
        <w:t>p</w:t>
      </w:r>
      <w:r w:rsidRPr="00EC1F9C">
        <w:rPr>
          <w:rFonts w:cs="Arial"/>
        </w:rPr>
        <w:t xml:space="preserve">atient </w:t>
      </w:r>
      <w:r>
        <w:rPr>
          <w:rFonts w:cs="Arial"/>
        </w:rPr>
        <w:t>a</w:t>
      </w:r>
      <w:r w:rsidRPr="00EC1F9C">
        <w:rPr>
          <w:rFonts w:cs="Arial"/>
        </w:rPr>
        <w:t xml:space="preserve">ccommodation </w:t>
      </w:r>
      <w:r>
        <w:rPr>
          <w:rFonts w:cs="Arial"/>
        </w:rPr>
        <w:t>a</w:t>
      </w:r>
      <w:r w:rsidRPr="00EC1F9C">
        <w:rPr>
          <w:rFonts w:cs="Arial"/>
        </w:rPr>
        <w:t>djustment</w:t>
      </w:r>
      <w:r w:rsidRPr="000306BE">
        <w:rPr>
          <w:rFonts w:cs="Arial"/>
          <w:i/>
        </w:rPr>
        <w:t xml:space="preserve"> </w:t>
      </w:r>
      <w:r w:rsidR="00F17711">
        <w:rPr>
          <w:rFonts w:cs="Arial"/>
        </w:rPr>
        <w:t xml:space="preserve">determined by </w:t>
      </w:r>
      <w:r w:rsidRPr="000306BE">
        <w:rPr>
          <w:rFonts w:cs="Arial"/>
        </w:rPr>
        <w:t xml:space="preserve">the </w:t>
      </w:r>
      <w:r>
        <w:rPr>
          <w:rFonts w:cs="Arial"/>
        </w:rPr>
        <w:t>s</w:t>
      </w:r>
      <w:r w:rsidRPr="000306BE">
        <w:rPr>
          <w:rFonts w:cs="Arial"/>
        </w:rPr>
        <w:t>tate of hospitalisation and length of stay</w:t>
      </w:r>
    </w:p>
    <w:p w14:paraId="661BE012" w14:textId="77777777" w:rsidR="00550102" w:rsidRPr="006928E7" w:rsidRDefault="00550102" w:rsidP="00550102">
      <w:pPr>
        <w:spacing w:before="100" w:after="100" w:line="240" w:lineRule="auto"/>
        <w:ind w:left="1985" w:hanging="1985"/>
        <w:rPr>
          <w:rFonts w:cs="Arial"/>
          <w:i/>
        </w:rPr>
      </w:pPr>
      <w:r w:rsidRPr="000306BE">
        <w:rPr>
          <w:rFonts w:cs="Arial"/>
          <w:b/>
        </w:rPr>
        <w:t>LOS</w:t>
      </w:r>
      <w:r w:rsidRPr="000306BE">
        <w:rPr>
          <w:rFonts w:cs="Arial"/>
        </w:rPr>
        <w:tab/>
        <w:t xml:space="preserve">means </w:t>
      </w:r>
      <w:r w:rsidRPr="00687CB0">
        <w:rPr>
          <w:rFonts w:cs="Arial"/>
        </w:rPr>
        <w:t>length of stay in hospital (in days)</w:t>
      </w:r>
    </w:p>
    <w:p w14:paraId="5670112B" w14:textId="7163D524" w:rsidR="00550102" w:rsidRPr="000306BE" w:rsidRDefault="00550102" w:rsidP="00550102">
      <w:pPr>
        <w:spacing w:before="100" w:after="100" w:line="240" w:lineRule="auto"/>
        <w:ind w:left="1985" w:hanging="1985"/>
        <w:rPr>
          <w:rFonts w:cs="Arial"/>
        </w:rPr>
      </w:pPr>
      <w:r w:rsidRPr="000306BE">
        <w:rPr>
          <w:rFonts w:cs="Arial"/>
          <w:b/>
        </w:rPr>
        <w:t>NEP</w:t>
      </w:r>
      <w:r w:rsidRPr="000306BE">
        <w:rPr>
          <w:rFonts w:cs="Arial"/>
        </w:rPr>
        <w:tab/>
      </w:r>
      <w:r w:rsidR="00543F98">
        <w:rPr>
          <w:rFonts w:cs="Arial"/>
        </w:rPr>
        <w:t>means N</w:t>
      </w:r>
      <w:r w:rsidRPr="000306BE">
        <w:rPr>
          <w:rFonts w:cs="Arial"/>
        </w:rPr>
        <w:t xml:space="preserve">ational </w:t>
      </w:r>
      <w:r w:rsidR="00543F98">
        <w:rPr>
          <w:rFonts w:cs="Arial"/>
        </w:rPr>
        <w:t>E</w:t>
      </w:r>
      <w:r w:rsidRPr="000306BE">
        <w:rPr>
          <w:rFonts w:cs="Arial"/>
        </w:rPr>
        <w:t xml:space="preserve">fficient </w:t>
      </w:r>
      <w:r w:rsidR="00543F98">
        <w:rPr>
          <w:rFonts w:cs="Arial"/>
        </w:rPr>
        <w:t>P</w:t>
      </w:r>
      <w:r w:rsidRPr="000306BE">
        <w:rPr>
          <w:rFonts w:cs="Arial"/>
        </w:rPr>
        <w:t xml:space="preserve">rice </w:t>
      </w:r>
      <w:r w:rsidR="00B8779F">
        <w:rPr>
          <w:rFonts w:cs="Arial"/>
        </w:rPr>
        <w:t>2022</w:t>
      </w:r>
      <w:r>
        <w:rPr>
          <w:rFonts w:cs="Arial"/>
        </w:rPr>
        <w:t>–</w:t>
      </w:r>
      <w:r w:rsidR="00B8779F">
        <w:rPr>
          <w:rFonts w:cs="Arial"/>
        </w:rPr>
        <w:t>23</w:t>
      </w:r>
    </w:p>
    <w:p w14:paraId="244F776A" w14:textId="3977EF44" w:rsidR="00550102" w:rsidRPr="006B7863" w:rsidRDefault="00550102" w:rsidP="00550102">
      <w:pPr>
        <w:spacing w:before="100" w:after="100" w:line="240" w:lineRule="auto"/>
        <w:ind w:left="1985" w:hanging="1985"/>
        <w:rPr>
          <w:rFonts w:cs="Arial"/>
        </w:rPr>
      </w:pPr>
      <w:r w:rsidRPr="000306BE">
        <w:rPr>
          <w:rFonts w:cs="Arial"/>
          <w:b/>
        </w:rPr>
        <w:t>PW</w:t>
      </w:r>
      <w:r w:rsidRPr="000306BE">
        <w:rPr>
          <w:rFonts w:cs="Arial"/>
          <w:b/>
        </w:rPr>
        <w:tab/>
      </w:r>
      <w:r w:rsidRPr="000306BE">
        <w:rPr>
          <w:rFonts w:cs="Arial"/>
        </w:rPr>
        <w:t xml:space="preserve">means the </w:t>
      </w:r>
      <w:r>
        <w:rPr>
          <w:rFonts w:cs="Arial"/>
        </w:rPr>
        <w:t>p</w:t>
      </w:r>
      <w:r w:rsidRPr="000306BE">
        <w:rPr>
          <w:rFonts w:cs="Arial"/>
        </w:rPr>
        <w:t xml:space="preserve">rice </w:t>
      </w:r>
      <w:r>
        <w:rPr>
          <w:rFonts w:cs="Arial"/>
        </w:rPr>
        <w:t>w</w:t>
      </w:r>
      <w:r w:rsidRPr="000306BE">
        <w:rPr>
          <w:rFonts w:cs="Arial"/>
        </w:rPr>
        <w:t>eight f</w:t>
      </w:r>
      <w:r>
        <w:rPr>
          <w:rFonts w:cs="Arial"/>
        </w:rPr>
        <w:t xml:space="preserve">or an ABF activity as set out in </w:t>
      </w:r>
      <w:r w:rsidRPr="00EC1F9C">
        <w:rPr>
          <w:rFonts w:cs="Arial"/>
          <w:b/>
        </w:rPr>
        <w:t>Appendix I</w:t>
      </w:r>
      <w:r>
        <w:rPr>
          <w:rFonts w:cs="Arial"/>
        </w:rPr>
        <w:t xml:space="preserve"> of the </w:t>
      </w:r>
      <w:r w:rsidRPr="005A1510">
        <w:rPr>
          <w:rFonts w:cs="Arial"/>
        </w:rPr>
        <w:t xml:space="preserve">National Efficient Price Determination </w:t>
      </w:r>
      <w:r w:rsidR="00C0296E" w:rsidRPr="005A1510">
        <w:rPr>
          <w:rFonts w:cs="Arial"/>
        </w:rPr>
        <w:t>202</w:t>
      </w:r>
      <w:r w:rsidR="00C0296E">
        <w:rPr>
          <w:rFonts w:cs="Arial"/>
        </w:rPr>
        <w:t>2</w:t>
      </w:r>
      <w:r w:rsidRPr="005A1510">
        <w:rPr>
          <w:rFonts w:cs="Arial"/>
        </w:rPr>
        <w:t>–</w:t>
      </w:r>
      <w:r w:rsidR="00C0296E" w:rsidRPr="005A1510">
        <w:rPr>
          <w:rFonts w:cs="Arial"/>
        </w:rPr>
        <w:t>2</w:t>
      </w:r>
      <w:r w:rsidR="00C0296E">
        <w:rPr>
          <w:rFonts w:cs="Arial"/>
        </w:rPr>
        <w:t>3</w:t>
      </w:r>
    </w:p>
    <w:p w14:paraId="17A4DA5A" w14:textId="77777777" w:rsidR="00550102" w:rsidRDefault="00550102" w:rsidP="00550102">
      <w:pPr>
        <w:tabs>
          <w:tab w:val="left" w:pos="1162"/>
        </w:tabs>
        <w:autoSpaceDE w:val="0"/>
        <w:autoSpaceDN w:val="0"/>
        <w:adjustRightInd w:val="0"/>
        <w:spacing w:line="240" w:lineRule="auto"/>
        <w:rPr>
          <w:rFonts w:cs="Arial"/>
          <w:szCs w:val="20"/>
        </w:rPr>
      </w:pPr>
      <w:r w:rsidRPr="00183A38">
        <w:rPr>
          <w:rFonts w:cs="Arial"/>
          <w:szCs w:val="20"/>
        </w:rPr>
        <w:t>In the event that the application of the private patient accommodation adjustment and the private patient service adjustment returns a negative NWAU value for a patient</w:t>
      </w:r>
      <w:r w:rsidR="00C9105B">
        <w:rPr>
          <w:rFonts w:cs="Arial"/>
          <w:szCs w:val="20"/>
        </w:rPr>
        <w:t xml:space="preserve"> then an NWAU of zero is assigned to that patient.</w:t>
      </w:r>
    </w:p>
    <w:p w14:paraId="2A59750E" w14:textId="77777777" w:rsidR="00550102" w:rsidRPr="00765488" w:rsidRDefault="00C85983" w:rsidP="00550102">
      <w:pPr>
        <w:tabs>
          <w:tab w:val="left" w:pos="1162"/>
        </w:tabs>
        <w:autoSpaceDE w:val="0"/>
        <w:autoSpaceDN w:val="0"/>
        <w:adjustRightInd w:val="0"/>
        <w:spacing w:line="240" w:lineRule="auto"/>
        <w:rPr>
          <w:rFonts w:cs="Arial"/>
          <w:szCs w:val="20"/>
        </w:rPr>
      </w:pPr>
      <w:r>
        <w:rPr>
          <w:rFonts w:cs="Arial"/>
          <w:szCs w:val="20"/>
        </w:rPr>
        <w:t xml:space="preserve">Table </w:t>
      </w:r>
      <w:r w:rsidR="00302145">
        <w:rPr>
          <w:rFonts w:cs="Arial"/>
          <w:szCs w:val="20"/>
        </w:rPr>
        <w:t xml:space="preserve">7 </w:t>
      </w:r>
      <w:r w:rsidR="00550102">
        <w:rPr>
          <w:rFonts w:cs="Arial"/>
          <w:szCs w:val="20"/>
        </w:rPr>
        <w:t xml:space="preserve">outlines the required information in order to apply the above formula. </w:t>
      </w:r>
    </w:p>
    <w:p w14:paraId="44EC6311" w14:textId="77777777" w:rsidR="00550102" w:rsidRPr="00EB35DF" w:rsidRDefault="00550102" w:rsidP="00836FC5">
      <w:pPr>
        <w:pStyle w:val="TableHeading"/>
      </w:pPr>
      <w:r w:rsidRPr="00B654F0">
        <w:lastRenderedPageBreak/>
        <w:t>Table</w:t>
      </w:r>
      <w:r w:rsidRPr="00EB35DF">
        <w:t xml:space="preserve"> </w:t>
      </w:r>
      <w:r w:rsidR="00302145">
        <w:t>7</w:t>
      </w:r>
      <w:r w:rsidRPr="00EB35DF">
        <w:t>: Datasets and tables used for assignment of NWAU to admitted subacute patient data</w:t>
      </w:r>
    </w:p>
    <w:tbl>
      <w:tblPr>
        <w:tblW w:w="965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8: Datasets and tables used for assignment of NWAU to admitted subacute patient data."/>
      </w:tblPr>
      <w:tblGrid>
        <w:gridCol w:w="2605"/>
        <w:gridCol w:w="7049"/>
      </w:tblGrid>
      <w:tr w:rsidR="00550102" w:rsidRPr="007B29F7" w14:paraId="2BA1299C" w14:textId="77777777" w:rsidTr="00A84D5C">
        <w:trPr>
          <w:cantSplit/>
          <w:trHeight w:val="225"/>
          <w:tblHeader/>
        </w:trPr>
        <w:tc>
          <w:tcPr>
            <w:tcW w:w="2605" w:type="dxa"/>
            <w:shd w:val="clear" w:color="auto" w:fill="288A32"/>
            <w:hideMark/>
          </w:tcPr>
          <w:p w14:paraId="3BA159DE" w14:textId="77777777" w:rsidR="00550102" w:rsidRPr="00521F7C" w:rsidRDefault="00550102" w:rsidP="003A708C">
            <w:pPr>
              <w:tabs>
                <w:tab w:val="left" w:pos="1162"/>
              </w:tabs>
              <w:spacing w:line="240" w:lineRule="auto"/>
              <w:rPr>
                <w:rFonts w:cs="Arial"/>
                <w:b/>
                <w:bCs/>
                <w:color w:val="FFFFFF" w:themeColor="background1"/>
                <w:sz w:val="20"/>
                <w:szCs w:val="20"/>
              </w:rPr>
            </w:pPr>
            <w:r w:rsidRPr="00521F7C">
              <w:rPr>
                <w:rFonts w:cs="Arial"/>
                <w:b/>
                <w:bCs/>
                <w:color w:val="FFFFFF" w:themeColor="background1"/>
                <w:sz w:val="20"/>
                <w:szCs w:val="20"/>
              </w:rPr>
              <w:t>Input dataset or table</w:t>
            </w:r>
          </w:p>
        </w:tc>
        <w:tc>
          <w:tcPr>
            <w:tcW w:w="7049" w:type="dxa"/>
            <w:shd w:val="clear" w:color="auto" w:fill="288A32"/>
            <w:hideMark/>
          </w:tcPr>
          <w:p w14:paraId="3801798F" w14:textId="77777777" w:rsidR="00550102" w:rsidRPr="00521F7C" w:rsidRDefault="00550102" w:rsidP="003A708C">
            <w:pPr>
              <w:tabs>
                <w:tab w:val="left" w:pos="1162"/>
              </w:tabs>
              <w:spacing w:line="240" w:lineRule="auto"/>
              <w:rPr>
                <w:rFonts w:cs="Arial"/>
                <w:b/>
                <w:bCs/>
                <w:color w:val="FFFFFF" w:themeColor="background1"/>
                <w:sz w:val="20"/>
                <w:szCs w:val="20"/>
              </w:rPr>
            </w:pPr>
            <w:r w:rsidRPr="00521F7C">
              <w:rPr>
                <w:rFonts w:cs="Arial"/>
                <w:b/>
                <w:bCs/>
                <w:color w:val="FFFFFF" w:themeColor="background1"/>
                <w:sz w:val="20"/>
                <w:szCs w:val="20"/>
              </w:rPr>
              <w:t>Description</w:t>
            </w:r>
          </w:p>
        </w:tc>
      </w:tr>
      <w:tr w:rsidR="00550102" w:rsidRPr="007B29F7" w14:paraId="6DFF07A3" w14:textId="77777777" w:rsidTr="00A84D5C">
        <w:trPr>
          <w:cantSplit/>
          <w:trHeight w:val="450"/>
        </w:trPr>
        <w:tc>
          <w:tcPr>
            <w:tcW w:w="2605" w:type="dxa"/>
            <w:shd w:val="clear" w:color="auto" w:fill="auto"/>
            <w:hideMark/>
          </w:tcPr>
          <w:p w14:paraId="60C60429"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 xml:space="preserve">APC NMDS and ASNHC DSS </w:t>
            </w:r>
          </w:p>
        </w:tc>
        <w:tc>
          <w:tcPr>
            <w:tcW w:w="7049" w:type="dxa"/>
            <w:shd w:val="clear" w:color="auto" w:fill="auto"/>
            <w:hideMark/>
          </w:tcPr>
          <w:p w14:paraId="279A8578"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Dataset based on the Admitted Patient Care National Minimum Data Set (APC NMDS), with extra AN</w:t>
            </w:r>
            <w:r w:rsidRPr="00521F7C">
              <w:rPr>
                <w:rFonts w:cs="Arial"/>
                <w:color w:val="000000"/>
                <w:sz w:val="20"/>
                <w:szCs w:val="20"/>
              </w:rPr>
              <w:noBreakHyphen/>
              <w:t>SNAP information from the Admitted Subacute and Non-acute hospital care DSS (ASNHC DSS), where available. Dataset specifications are located on the IHPA website.</w:t>
            </w:r>
          </w:p>
        </w:tc>
      </w:tr>
      <w:tr w:rsidR="00550102" w:rsidRPr="007B29F7" w14:paraId="682AD060" w14:textId="77777777" w:rsidTr="00A84D5C">
        <w:trPr>
          <w:cantSplit/>
          <w:trHeight w:val="450"/>
        </w:trPr>
        <w:tc>
          <w:tcPr>
            <w:tcW w:w="2605" w:type="dxa"/>
            <w:shd w:val="clear" w:color="auto" w:fill="auto"/>
            <w:hideMark/>
          </w:tcPr>
          <w:p w14:paraId="6BD4D72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Postcode table</w:t>
            </w:r>
          </w:p>
        </w:tc>
        <w:tc>
          <w:tcPr>
            <w:tcW w:w="7049" w:type="dxa"/>
            <w:shd w:val="clear" w:color="auto" w:fill="auto"/>
            <w:hideMark/>
          </w:tcPr>
          <w:p w14:paraId="5F4EAC09"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Table of postcodes mapped to the 2016 Australian Statistical Geography Standard (ASGS) remoteness area classification. Each postcode is mapped to the remoteness area category within which the majority of the postcode’s population reside. PO Box postcodes are mapped to the remoteness area category within which the Post Office is located.</w:t>
            </w:r>
          </w:p>
        </w:tc>
      </w:tr>
      <w:tr w:rsidR="00550102" w:rsidRPr="007B29F7" w14:paraId="143FA12E" w14:textId="77777777" w:rsidTr="00A84D5C">
        <w:trPr>
          <w:cantSplit/>
          <w:trHeight w:val="450"/>
        </w:trPr>
        <w:tc>
          <w:tcPr>
            <w:tcW w:w="2605" w:type="dxa"/>
            <w:shd w:val="clear" w:color="auto" w:fill="auto"/>
          </w:tcPr>
          <w:p w14:paraId="4D88DD6C"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ASGS table</w:t>
            </w:r>
          </w:p>
        </w:tc>
        <w:tc>
          <w:tcPr>
            <w:tcW w:w="7049" w:type="dxa"/>
            <w:shd w:val="clear" w:color="auto" w:fill="auto"/>
          </w:tcPr>
          <w:p w14:paraId="16A35D51"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 xml:space="preserve">Table of ASGS </w:t>
            </w:r>
            <w:r w:rsidR="00C9105B" w:rsidRPr="00521F7C">
              <w:rPr>
                <w:rFonts w:cs="Arial"/>
                <w:sz w:val="20"/>
                <w:szCs w:val="20"/>
              </w:rPr>
              <w:t xml:space="preserve">codes </w:t>
            </w:r>
            <w:r w:rsidRPr="00521F7C">
              <w:rPr>
                <w:rFonts w:cs="Arial"/>
                <w:sz w:val="20"/>
                <w:szCs w:val="20"/>
              </w:rPr>
              <w:t xml:space="preserve">mapped to the remoteness area category within which the majority of the population </w:t>
            </w:r>
            <w:r w:rsidR="00C9105B" w:rsidRPr="00521F7C">
              <w:rPr>
                <w:rFonts w:cs="Arial"/>
                <w:sz w:val="20"/>
                <w:szCs w:val="20"/>
              </w:rPr>
              <w:t xml:space="preserve">of the ASGS </w:t>
            </w:r>
            <w:r w:rsidRPr="00521F7C">
              <w:rPr>
                <w:rFonts w:cs="Arial"/>
                <w:sz w:val="20"/>
                <w:szCs w:val="20"/>
              </w:rPr>
              <w:t>resides.</w:t>
            </w:r>
          </w:p>
        </w:tc>
      </w:tr>
      <w:tr w:rsidR="00550102" w:rsidRPr="007B29F7" w14:paraId="47CE268F" w14:textId="77777777" w:rsidTr="00A84D5C">
        <w:trPr>
          <w:cantSplit/>
          <w:trHeight w:val="225"/>
        </w:trPr>
        <w:tc>
          <w:tcPr>
            <w:tcW w:w="2605" w:type="dxa"/>
            <w:shd w:val="clear" w:color="auto" w:fill="auto"/>
            <w:hideMark/>
          </w:tcPr>
          <w:p w14:paraId="68171064" w14:textId="57EAC291" w:rsidR="00550102" w:rsidRPr="00521F7C" w:rsidRDefault="00C0296E" w:rsidP="003A708C">
            <w:pPr>
              <w:tabs>
                <w:tab w:val="left" w:pos="1162"/>
              </w:tabs>
              <w:spacing w:line="240" w:lineRule="auto"/>
              <w:rPr>
                <w:rFonts w:cs="Arial"/>
                <w:color w:val="000000"/>
                <w:sz w:val="20"/>
                <w:szCs w:val="20"/>
              </w:rPr>
            </w:pPr>
            <w:r w:rsidRPr="00521F7C">
              <w:rPr>
                <w:rFonts w:cs="Arial"/>
                <w:color w:val="000000"/>
                <w:sz w:val="20"/>
                <w:szCs w:val="20"/>
              </w:rPr>
              <w:t>202</w:t>
            </w:r>
            <w:r>
              <w:rPr>
                <w:rFonts w:cs="Arial"/>
                <w:color w:val="000000"/>
                <w:sz w:val="20"/>
                <w:szCs w:val="20"/>
              </w:rPr>
              <w:t>2</w:t>
            </w:r>
            <w:r w:rsidR="00C9105B" w:rsidRPr="00521F7C">
              <w:rPr>
                <w:rFonts w:cs="Arial"/>
                <w:color w:val="000000"/>
                <w:sz w:val="20"/>
                <w:szCs w:val="20"/>
              </w:rPr>
              <w:t>–</w:t>
            </w:r>
            <w:r w:rsidRPr="00521F7C">
              <w:rPr>
                <w:rFonts w:cs="Arial"/>
                <w:color w:val="000000"/>
                <w:sz w:val="20"/>
                <w:szCs w:val="20"/>
              </w:rPr>
              <w:t>2</w:t>
            </w:r>
            <w:r>
              <w:rPr>
                <w:rFonts w:cs="Arial"/>
                <w:color w:val="000000"/>
                <w:sz w:val="20"/>
                <w:szCs w:val="20"/>
              </w:rPr>
              <w:t>3</w:t>
            </w:r>
            <w:r w:rsidRPr="00521F7C">
              <w:rPr>
                <w:rFonts w:cs="Arial"/>
                <w:color w:val="000000"/>
                <w:sz w:val="20"/>
                <w:szCs w:val="20"/>
              </w:rPr>
              <w:t xml:space="preserve"> </w:t>
            </w:r>
            <w:r w:rsidR="00550102" w:rsidRPr="00521F7C">
              <w:rPr>
                <w:rFonts w:cs="Arial"/>
                <w:color w:val="000000"/>
                <w:sz w:val="20"/>
                <w:szCs w:val="20"/>
              </w:rPr>
              <w:t>NWAU price weight tables</w:t>
            </w:r>
          </w:p>
        </w:tc>
        <w:tc>
          <w:tcPr>
            <w:tcW w:w="7049" w:type="dxa"/>
            <w:shd w:val="clear" w:color="auto" w:fill="auto"/>
            <w:hideMark/>
          </w:tcPr>
          <w:p w14:paraId="57DCAC63" w14:textId="634A03A6" w:rsidR="00550102" w:rsidRPr="00521F7C" w:rsidRDefault="00C0296E" w:rsidP="003A708C">
            <w:pPr>
              <w:tabs>
                <w:tab w:val="left" w:pos="1162"/>
              </w:tabs>
              <w:spacing w:line="240" w:lineRule="auto"/>
              <w:rPr>
                <w:rFonts w:cs="Arial"/>
                <w:color w:val="000000"/>
                <w:sz w:val="20"/>
                <w:szCs w:val="20"/>
              </w:rPr>
            </w:pPr>
            <w:r w:rsidRPr="00521F7C">
              <w:rPr>
                <w:rFonts w:cs="Arial"/>
                <w:color w:val="000000"/>
                <w:sz w:val="20"/>
                <w:szCs w:val="20"/>
              </w:rPr>
              <w:t>202</w:t>
            </w:r>
            <w:r>
              <w:rPr>
                <w:rFonts w:cs="Arial"/>
                <w:color w:val="000000"/>
                <w:sz w:val="20"/>
                <w:szCs w:val="20"/>
              </w:rPr>
              <w:t>2</w:t>
            </w:r>
            <w:r w:rsidR="00C9105B" w:rsidRPr="00521F7C">
              <w:rPr>
                <w:rFonts w:cs="Arial"/>
                <w:color w:val="000000"/>
                <w:sz w:val="20"/>
                <w:szCs w:val="20"/>
              </w:rPr>
              <w:t>–</w:t>
            </w:r>
            <w:r w:rsidRPr="00521F7C">
              <w:rPr>
                <w:rFonts w:cs="Arial"/>
                <w:color w:val="000000"/>
                <w:sz w:val="20"/>
                <w:szCs w:val="20"/>
              </w:rPr>
              <w:t>2</w:t>
            </w:r>
            <w:r>
              <w:rPr>
                <w:rFonts w:cs="Arial"/>
                <w:color w:val="000000"/>
                <w:sz w:val="20"/>
                <w:szCs w:val="20"/>
              </w:rPr>
              <w:t>3</w:t>
            </w:r>
            <w:r w:rsidRPr="00521F7C">
              <w:rPr>
                <w:rFonts w:cs="Arial"/>
                <w:color w:val="000000"/>
                <w:sz w:val="20"/>
                <w:szCs w:val="20"/>
              </w:rPr>
              <w:t xml:space="preserve"> </w:t>
            </w:r>
            <w:r w:rsidR="00550102" w:rsidRPr="00521F7C">
              <w:rPr>
                <w:rFonts w:cs="Arial"/>
                <w:color w:val="000000"/>
                <w:sz w:val="20"/>
                <w:szCs w:val="20"/>
              </w:rPr>
              <w:t xml:space="preserve">NWAU admitted subacute and non-acute AN-SNAP and care type same-day and overnight per diem price weight tables, found in the National Efficient Price Determination </w:t>
            </w:r>
            <w:r w:rsidRPr="00521F7C">
              <w:rPr>
                <w:rFonts w:cs="Arial"/>
                <w:color w:val="000000"/>
                <w:sz w:val="20"/>
                <w:szCs w:val="20"/>
              </w:rPr>
              <w:t>202</w:t>
            </w:r>
            <w:r>
              <w:rPr>
                <w:rFonts w:cs="Arial"/>
                <w:color w:val="000000"/>
                <w:sz w:val="20"/>
                <w:szCs w:val="20"/>
              </w:rPr>
              <w:t>2</w:t>
            </w:r>
            <w:r w:rsidR="00C9105B" w:rsidRPr="00521F7C">
              <w:rPr>
                <w:rFonts w:cs="Arial"/>
                <w:color w:val="000000"/>
                <w:sz w:val="20"/>
                <w:szCs w:val="20"/>
              </w:rPr>
              <w:t>–</w:t>
            </w:r>
            <w:r w:rsidRPr="00521F7C">
              <w:rPr>
                <w:rFonts w:cs="Arial"/>
                <w:color w:val="000000"/>
                <w:sz w:val="20"/>
                <w:szCs w:val="20"/>
              </w:rPr>
              <w:t>2</w:t>
            </w:r>
            <w:r>
              <w:rPr>
                <w:rFonts w:cs="Arial"/>
                <w:color w:val="000000"/>
                <w:sz w:val="20"/>
                <w:szCs w:val="20"/>
              </w:rPr>
              <w:t>3</w:t>
            </w:r>
            <w:r w:rsidR="00550102" w:rsidRPr="00521F7C">
              <w:rPr>
                <w:rFonts w:cs="Arial"/>
                <w:color w:val="000000"/>
                <w:sz w:val="20"/>
                <w:szCs w:val="20"/>
              </w:rPr>
              <w:t xml:space="preserve">. </w:t>
            </w:r>
          </w:p>
        </w:tc>
      </w:tr>
      <w:tr w:rsidR="00550102" w:rsidRPr="007B29F7" w14:paraId="2B59186E" w14:textId="77777777" w:rsidTr="00A84D5C">
        <w:trPr>
          <w:cantSplit/>
          <w:trHeight w:val="225"/>
        </w:trPr>
        <w:tc>
          <w:tcPr>
            <w:tcW w:w="2605" w:type="dxa"/>
            <w:shd w:val="clear" w:color="auto" w:fill="auto"/>
            <w:hideMark/>
          </w:tcPr>
          <w:p w14:paraId="4AAA188F" w14:textId="6BC9BB2A" w:rsidR="00550102" w:rsidRPr="00521F7C" w:rsidRDefault="00C0296E" w:rsidP="003A708C">
            <w:pPr>
              <w:tabs>
                <w:tab w:val="left" w:pos="1162"/>
              </w:tabs>
              <w:spacing w:line="240" w:lineRule="auto"/>
              <w:rPr>
                <w:rFonts w:cs="Arial"/>
                <w:color w:val="000000"/>
                <w:sz w:val="20"/>
                <w:szCs w:val="20"/>
              </w:rPr>
            </w:pPr>
            <w:r w:rsidRPr="00521F7C">
              <w:rPr>
                <w:rFonts w:cs="Arial"/>
                <w:color w:val="000000"/>
                <w:sz w:val="20"/>
                <w:szCs w:val="20"/>
              </w:rPr>
              <w:t>202</w:t>
            </w:r>
            <w:r>
              <w:rPr>
                <w:rFonts w:cs="Arial"/>
                <w:color w:val="000000"/>
                <w:sz w:val="20"/>
                <w:szCs w:val="20"/>
              </w:rPr>
              <w:t>2</w:t>
            </w:r>
            <w:r w:rsidR="00C9105B" w:rsidRPr="00521F7C">
              <w:rPr>
                <w:rFonts w:cs="Arial"/>
                <w:color w:val="000000"/>
                <w:sz w:val="20"/>
                <w:szCs w:val="20"/>
              </w:rPr>
              <w:t>–</w:t>
            </w:r>
            <w:r w:rsidRPr="00521F7C">
              <w:rPr>
                <w:rFonts w:cs="Arial"/>
                <w:color w:val="000000"/>
                <w:sz w:val="20"/>
                <w:szCs w:val="20"/>
              </w:rPr>
              <w:t>2</w:t>
            </w:r>
            <w:r>
              <w:rPr>
                <w:rFonts w:cs="Arial"/>
                <w:color w:val="000000"/>
                <w:sz w:val="20"/>
                <w:szCs w:val="20"/>
              </w:rPr>
              <w:t>3</w:t>
            </w:r>
            <w:r w:rsidRPr="00521F7C">
              <w:rPr>
                <w:rFonts w:cs="Arial"/>
                <w:color w:val="000000"/>
                <w:sz w:val="20"/>
                <w:szCs w:val="20"/>
              </w:rPr>
              <w:t xml:space="preserve"> </w:t>
            </w:r>
            <w:r w:rsidR="00550102" w:rsidRPr="00521F7C">
              <w:rPr>
                <w:rFonts w:cs="Arial"/>
                <w:color w:val="000000"/>
                <w:sz w:val="20"/>
                <w:szCs w:val="20"/>
              </w:rPr>
              <w:t>NWAU adjustments</w:t>
            </w:r>
          </w:p>
        </w:tc>
        <w:tc>
          <w:tcPr>
            <w:tcW w:w="7049" w:type="dxa"/>
            <w:shd w:val="clear" w:color="auto" w:fill="auto"/>
            <w:hideMark/>
          </w:tcPr>
          <w:p w14:paraId="7A7D1344" w14:textId="2D64FD01" w:rsidR="00550102" w:rsidRPr="00521F7C" w:rsidRDefault="00C0296E" w:rsidP="003A708C">
            <w:pPr>
              <w:tabs>
                <w:tab w:val="left" w:pos="1162"/>
              </w:tabs>
              <w:spacing w:line="240" w:lineRule="auto"/>
              <w:rPr>
                <w:rFonts w:cs="Arial"/>
                <w:color w:val="000000"/>
                <w:sz w:val="20"/>
                <w:szCs w:val="20"/>
              </w:rPr>
            </w:pPr>
            <w:r w:rsidRPr="00521F7C">
              <w:rPr>
                <w:rFonts w:cs="Arial"/>
                <w:color w:val="000000"/>
                <w:sz w:val="20"/>
                <w:szCs w:val="20"/>
              </w:rPr>
              <w:t>202</w:t>
            </w:r>
            <w:r>
              <w:rPr>
                <w:rFonts w:cs="Arial"/>
                <w:color w:val="000000"/>
                <w:sz w:val="20"/>
                <w:szCs w:val="20"/>
              </w:rPr>
              <w:t>2</w:t>
            </w:r>
            <w:r w:rsidR="00C9105B" w:rsidRPr="00521F7C">
              <w:rPr>
                <w:rFonts w:cs="Arial"/>
                <w:color w:val="000000"/>
                <w:sz w:val="20"/>
                <w:szCs w:val="20"/>
              </w:rPr>
              <w:t>–</w:t>
            </w:r>
            <w:r w:rsidRPr="00521F7C">
              <w:rPr>
                <w:rFonts w:cs="Arial"/>
                <w:color w:val="000000"/>
                <w:sz w:val="20"/>
                <w:szCs w:val="20"/>
              </w:rPr>
              <w:t>2</w:t>
            </w:r>
            <w:r>
              <w:rPr>
                <w:rFonts w:cs="Arial"/>
                <w:color w:val="000000"/>
                <w:sz w:val="20"/>
                <w:szCs w:val="20"/>
              </w:rPr>
              <w:t>3</w:t>
            </w:r>
            <w:r w:rsidRPr="00521F7C">
              <w:rPr>
                <w:rFonts w:cs="Arial"/>
                <w:color w:val="000000"/>
                <w:sz w:val="20"/>
                <w:szCs w:val="20"/>
              </w:rPr>
              <w:t xml:space="preserve"> </w:t>
            </w:r>
            <w:r w:rsidR="00550102" w:rsidRPr="00521F7C">
              <w:rPr>
                <w:rFonts w:cs="Arial"/>
                <w:color w:val="000000"/>
                <w:sz w:val="20"/>
                <w:szCs w:val="20"/>
              </w:rPr>
              <w:t xml:space="preserve">NWAU admitted subacute and non-acute adjustments, found in the National Efficient Price Determination </w:t>
            </w:r>
            <w:r w:rsidRPr="00521F7C">
              <w:rPr>
                <w:rFonts w:cs="Arial"/>
                <w:color w:val="000000"/>
                <w:sz w:val="20"/>
                <w:szCs w:val="20"/>
              </w:rPr>
              <w:t>202</w:t>
            </w:r>
            <w:r>
              <w:rPr>
                <w:rFonts w:cs="Arial"/>
                <w:color w:val="000000"/>
                <w:sz w:val="20"/>
                <w:szCs w:val="20"/>
              </w:rPr>
              <w:t>2</w:t>
            </w:r>
            <w:r w:rsidR="00C9105B" w:rsidRPr="00521F7C">
              <w:rPr>
                <w:rFonts w:cs="Arial"/>
                <w:color w:val="000000"/>
                <w:sz w:val="20"/>
                <w:szCs w:val="20"/>
              </w:rPr>
              <w:t>–</w:t>
            </w:r>
            <w:r w:rsidRPr="00521F7C">
              <w:rPr>
                <w:rFonts w:cs="Arial"/>
                <w:color w:val="000000"/>
                <w:sz w:val="20"/>
                <w:szCs w:val="20"/>
              </w:rPr>
              <w:t>2</w:t>
            </w:r>
            <w:r>
              <w:rPr>
                <w:rFonts w:cs="Arial"/>
                <w:color w:val="000000"/>
                <w:sz w:val="20"/>
                <w:szCs w:val="20"/>
              </w:rPr>
              <w:t>3</w:t>
            </w:r>
            <w:r w:rsidR="00550102" w:rsidRPr="00521F7C">
              <w:rPr>
                <w:rFonts w:cs="Arial"/>
                <w:color w:val="000000"/>
                <w:sz w:val="20"/>
                <w:szCs w:val="20"/>
              </w:rPr>
              <w:t xml:space="preserve">. </w:t>
            </w:r>
          </w:p>
        </w:tc>
      </w:tr>
    </w:tbl>
    <w:p w14:paraId="140B1033" w14:textId="3880ACFE" w:rsidR="00550102" w:rsidRDefault="00640FD5" w:rsidP="00550102">
      <w:pPr>
        <w:spacing w:line="240" w:lineRule="auto"/>
        <w:rPr>
          <w:rFonts w:cs="Arial"/>
          <w:szCs w:val="20"/>
        </w:rPr>
      </w:pPr>
      <w:r>
        <w:rPr>
          <w:rFonts w:cs="Arial"/>
          <w:szCs w:val="20"/>
        </w:rPr>
        <w:t>Fourteen</w:t>
      </w:r>
      <w:r w:rsidR="00550102" w:rsidRPr="00EB35DF">
        <w:rPr>
          <w:rFonts w:cs="Arial"/>
          <w:szCs w:val="20"/>
        </w:rPr>
        <w:t xml:space="preserve"> variables are required to form the input APC dataset. These variables form part of the APC NMDS and the ASNHC DSS </w:t>
      </w:r>
      <w:r w:rsidR="00550102">
        <w:rPr>
          <w:rFonts w:cs="Arial"/>
          <w:szCs w:val="20"/>
        </w:rPr>
        <w:t xml:space="preserve">are </w:t>
      </w:r>
      <w:r w:rsidR="00550102" w:rsidRPr="00EB35DF">
        <w:rPr>
          <w:rFonts w:cs="Arial"/>
          <w:szCs w:val="20"/>
        </w:rPr>
        <w:t xml:space="preserve">on the IHPA website and are listed in </w:t>
      </w:r>
      <w:r w:rsidR="00550102" w:rsidRPr="00CC15B6">
        <w:rPr>
          <w:rFonts w:asciiTheme="majorHAnsi" w:hAnsiTheme="majorHAnsi" w:cstheme="majorHAnsi"/>
        </w:rPr>
        <w:t xml:space="preserve">Table </w:t>
      </w:r>
      <w:r w:rsidR="00302145">
        <w:rPr>
          <w:rFonts w:asciiTheme="majorHAnsi" w:hAnsiTheme="majorHAnsi" w:cstheme="majorHAnsi"/>
          <w:noProof/>
        </w:rPr>
        <w:t>8</w:t>
      </w:r>
      <w:r w:rsidR="00550102" w:rsidRPr="00EB35DF">
        <w:rPr>
          <w:rFonts w:cs="Arial"/>
          <w:szCs w:val="20"/>
        </w:rPr>
        <w:t>.</w:t>
      </w:r>
    </w:p>
    <w:p w14:paraId="07793F03" w14:textId="0EFBCDC7" w:rsidR="00550102" w:rsidRPr="00EB35DF" w:rsidRDefault="00550102" w:rsidP="00836FC5">
      <w:pPr>
        <w:pStyle w:val="TableHeading"/>
      </w:pPr>
      <w:r w:rsidRPr="00EB35DF">
        <w:t xml:space="preserve">Table </w:t>
      </w:r>
      <w:r w:rsidR="00302145">
        <w:rPr>
          <w:noProof/>
        </w:rPr>
        <w:t>8</w:t>
      </w:r>
      <w:r w:rsidRPr="00EB35DF">
        <w:t xml:space="preserve">: APC </w:t>
      </w:r>
      <w:r>
        <w:t>and</w:t>
      </w:r>
      <w:r w:rsidRPr="00EB35DF">
        <w:t xml:space="preserve"> ASNHC DSS variables</w:t>
      </w:r>
      <w:r w:rsidR="00302145">
        <w:t xml:space="preserve"> </w:t>
      </w:r>
      <w:r w:rsidRPr="00EB35DF">
        <w:t xml:space="preserve">used to calculate </w:t>
      </w:r>
      <w:r w:rsidR="00C0296E">
        <w:t>2022</w:t>
      </w:r>
      <w:r>
        <w:t>–</w:t>
      </w:r>
      <w:r w:rsidR="00C0296E">
        <w:t>23</w:t>
      </w:r>
      <w:r w:rsidR="00C0296E" w:rsidRPr="00EB35DF">
        <w:t xml:space="preserve"> </w:t>
      </w:r>
      <w:r w:rsidRPr="00EB35DF">
        <w:t>admitted subacute NWAU</w:t>
      </w:r>
    </w:p>
    <w:tbl>
      <w:tblPr>
        <w:tblW w:w="763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9: APC &amp; ASNHC DSS variables used to calculate 2018-19 admitted subacute NWAU."/>
      </w:tblPr>
      <w:tblGrid>
        <w:gridCol w:w="1701"/>
        <w:gridCol w:w="5935"/>
      </w:tblGrid>
      <w:tr w:rsidR="00550102" w:rsidRPr="00EB35DF" w14:paraId="1C22F9DF" w14:textId="77777777" w:rsidTr="00A84D5C">
        <w:trPr>
          <w:cantSplit/>
          <w:trHeight w:val="259"/>
          <w:tblHeader/>
        </w:trPr>
        <w:tc>
          <w:tcPr>
            <w:tcW w:w="1701" w:type="dxa"/>
            <w:shd w:val="clear" w:color="auto" w:fill="288A32"/>
          </w:tcPr>
          <w:p w14:paraId="5172F855" w14:textId="77777777" w:rsidR="00550102" w:rsidRPr="00521F7C" w:rsidRDefault="00550102" w:rsidP="003A708C">
            <w:pPr>
              <w:tabs>
                <w:tab w:val="left" w:pos="1162"/>
              </w:tabs>
              <w:spacing w:line="240" w:lineRule="auto"/>
              <w:rPr>
                <w:rFonts w:cs="Arial"/>
                <w:color w:val="FFFFFF" w:themeColor="background1"/>
                <w:sz w:val="20"/>
                <w:szCs w:val="20"/>
              </w:rPr>
            </w:pPr>
            <w:r w:rsidRPr="00521F7C">
              <w:rPr>
                <w:rFonts w:cs="Arial"/>
                <w:b/>
                <w:bCs/>
                <w:color w:val="FFFFFF" w:themeColor="background1"/>
                <w:sz w:val="20"/>
                <w:szCs w:val="20"/>
              </w:rPr>
              <w:t>Dataset</w:t>
            </w:r>
          </w:p>
        </w:tc>
        <w:tc>
          <w:tcPr>
            <w:tcW w:w="5935" w:type="dxa"/>
            <w:shd w:val="clear" w:color="auto" w:fill="288A32"/>
            <w:noWrap/>
          </w:tcPr>
          <w:p w14:paraId="42ADAF18" w14:textId="77777777" w:rsidR="00550102" w:rsidRPr="00521F7C" w:rsidRDefault="00550102" w:rsidP="003A708C">
            <w:pPr>
              <w:tabs>
                <w:tab w:val="left" w:pos="1162"/>
              </w:tabs>
              <w:spacing w:line="240" w:lineRule="auto"/>
              <w:rPr>
                <w:rFonts w:cs="Arial"/>
                <w:color w:val="FFFFFF" w:themeColor="background1"/>
                <w:sz w:val="20"/>
                <w:szCs w:val="20"/>
              </w:rPr>
            </w:pPr>
            <w:r w:rsidRPr="00521F7C">
              <w:rPr>
                <w:rFonts w:cs="Arial"/>
                <w:b/>
                <w:bCs/>
                <w:color w:val="FFFFFF" w:themeColor="background1"/>
                <w:sz w:val="20"/>
                <w:szCs w:val="20"/>
              </w:rPr>
              <w:t>Variable</w:t>
            </w:r>
          </w:p>
        </w:tc>
      </w:tr>
      <w:tr w:rsidR="00550102" w:rsidRPr="00EB35DF" w14:paraId="05902FC4" w14:textId="77777777" w:rsidTr="00A84D5C">
        <w:trPr>
          <w:cantSplit/>
          <w:trHeight w:val="259"/>
        </w:trPr>
        <w:tc>
          <w:tcPr>
            <w:tcW w:w="1701" w:type="dxa"/>
            <w:vMerge w:val="restart"/>
            <w:shd w:val="clear" w:color="auto" w:fill="auto"/>
            <w:hideMark/>
          </w:tcPr>
          <w:p w14:paraId="414163BC" w14:textId="77777777" w:rsidR="00AC28F5"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APC NMDS</w:t>
            </w:r>
          </w:p>
          <w:p w14:paraId="049BFA25" w14:textId="2659AFCF" w:rsidR="00AC28F5" w:rsidRPr="00521F7C" w:rsidRDefault="00AC28F5" w:rsidP="003A708C">
            <w:pPr>
              <w:tabs>
                <w:tab w:val="left" w:pos="1162"/>
              </w:tabs>
              <w:spacing w:line="240" w:lineRule="auto"/>
              <w:rPr>
                <w:rFonts w:cs="Arial"/>
                <w:color w:val="000000"/>
                <w:sz w:val="20"/>
                <w:szCs w:val="20"/>
              </w:rPr>
            </w:pPr>
          </w:p>
          <w:p w14:paraId="04D8A4CD" w14:textId="3B7F868D"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0636F63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State identifier</w:t>
            </w:r>
          </w:p>
        </w:tc>
      </w:tr>
      <w:tr w:rsidR="00550102" w:rsidRPr="00EB35DF" w14:paraId="3668AB1E" w14:textId="77777777" w:rsidTr="00A84D5C">
        <w:trPr>
          <w:cantSplit/>
          <w:trHeight w:val="259"/>
        </w:trPr>
        <w:tc>
          <w:tcPr>
            <w:tcW w:w="1701" w:type="dxa"/>
            <w:vMerge/>
            <w:hideMark/>
          </w:tcPr>
          <w:p w14:paraId="078523E2"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9BE58FD"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Hospital geographical indicator</w:t>
            </w:r>
          </w:p>
        </w:tc>
      </w:tr>
      <w:tr w:rsidR="00550102" w:rsidRPr="00EB35DF" w14:paraId="1BF95957" w14:textId="77777777" w:rsidTr="00A84D5C">
        <w:trPr>
          <w:cantSplit/>
          <w:trHeight w:val="259"/>
        </w:trPr>
        <w:tc>
          <w:tcPr>
            <w:tcW w:w="1701" w:type="dxa"/>
            <w:vMerge/>
            <w:hideMark/>
          </w:tcPr>
          <w:p w14:paraId="68796321"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3DCE2E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Date of birth</w:t>
            </w:r>
          </w:p>
        </w:tc>
      </w:tr>
      <w:tr w:rsidR="00550102" w:rsidRPr="00EB35DF" w14:paraId="635ABBB4" w14:textId="77777777" w:rsidTr="00A84D5C">
        <w:trPr>
          <w:cantSplit/>
          <w:trHeight w:val="259"/>
        </w:trPr>
        <w:tc>
          <w:tcPr>
            <w:tcW w:w="1701" w:type="dxa"/>
            <w:vMerge/>
            <w:hideMark/>
          </w:tcPr>
          <w:p w14:paraId="47E51288"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3A04C087"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Date of admission</w:t>
            </w:r>
          </w:p>
        </w:tc>
      </w:tr>
      <w:tr w:rsidR="00550102" w:rsidRPr="00EB35DF" w14:paraId="7760AFE2" w14:textId="77777777" w:rsidTr="00A84D5C">
        <w:trPr>
          <w:cantSplit/>
          <w:trHeight w:val="259"/>
        </w:trPr>
        <w:tc>
          <w:tcPr>
            <w:tcW w:w="1701" w:type="dxa"/>
            <w:vMerge/>
            <w:hideMark/>
          </w:tcPr>
          <w:p w14:paraId="2ADFDF3A"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6983910E"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Date of separation</w:t>
            </w:r>
          </w:p>
        </w:tc>
      </w:tr>
      <w:tr w:rsidR="00550102" w:rsidRPr="00EB35DF" w14:paraId="52DA1E4A" w14:textId="77777777" w:rsidTr="00A84D5C">
        <w:trPr>
          <w:cantSplit/>
          <w:trHeight w:val="259"/>
        </w:trPr>
        <w:tc>
          <w:tcPr>
            <w:tcW w:w="1701" w:type="dxa"/>
            <w:vMerge/>
            <w:hideMark/>
          </w:tcPr>
          <w:p w14:paraId="53485D39"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A2D31BF"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Care type</w:t>
            </w:r>
          </w:p>
        </w:tc>
      </w:tr>
      <w:tr w:rsidR="00550102" w:rsidRPr="00EB35DF" w14:paraId="3738EEA9" w14:textId="77777777" w:rsidTr="00A84D5C">
        <w:trPr>
          <w:cantSplit/>
          <w:trHeight w:val="259"/>
        </w:trPr>
        <w:tc>
          <w:tcPr>
            <w:tcW w:w="1701" w:type="dxa"/>
            <w:vMerge/>
            <w:hideMark/>
          </w:tcPr>
          <w:p w14:paraId="14C8D5AD"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77BA0AB0"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Indigenous status</w:t>
            </w:r>
          </w:p>
        </w:tc>
      </w:tr>
      <w:tr w:rsidR="00550102" w:rsidRPr="00EB35DF" w14:paraId="7C675B79" w14:textId="77777777" w:rsidTr="00A84D5C">
        <w:trPr>
          <w:cantSplit/>
          <w:trHeight w:val="259"/>
        </w:trPr>
        <w:tc>
          <w:tcPr>
            <w:tcW w:w="1701" w:type="dxa"/>
            <w:vMerge/>
            <w:hideMark/>
          </w:tcPr>
          <w:p w14:paraId="1E289274"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5872371"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Funding source</w:t>
            </w:r>
          </w:p>
        </w:tc>
      </w:tr>
      <w:tr w:rsidR="00550102" w:rsidRPr="00EB35DF" w14:paraId="76289881" w14:textId="77777777" w:rsidTr="00A84D5C">
        <w:trPr>
          <w:cantSplit/>
          <w:trHeight w:val="259"/>
        </w:trPr>
        <w:tc>
          <w:tcPr>
            <w:tcW w:w="1701" w:type="dxa"/>
            <w:vMerge/>
            <w:hideMark/>
          </w:tcPr>
          <w:p w14:paraId="242D1E5B"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71F2440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Total leave days</w:t>
            </w:r>
          </w:p>
        </w:tc>
      </w:tr>
      <w:tr w:rsidR="00550102" w:rsidRPr="00EB35DF" w14:paraId="3E76AE19" w14:textId="77777777" w:rsidTr="00A84D5C">
        <w:trPr>
          <w:cantSplit/>
          <w:trHeight w:val="259"/>
        </w:trPr>
        <w:tc>
          <w:tcPr>
            <w:tcW w:w="1701" w:type="dxa"/>
            <w:vMerge/>
            <w:hideMark/>
          </w:tcPr>
          <w:p w14:paraId="0E6F96A9"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69F3865E"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Postcode of patient's usual residence</w:t>
            </w:r>
          </w:p>
        </w:tc>
      </w:tr>
      <w:tr w:rsidR="00550102" w:rsidRPr="00EB35DF" w14:paraId="128A5524" w14:textId="77777777" w:rsidTr="00A84D5C">
        <w:trPr>
          <w:cantSplit/>
          <w:trHeight w:val="259"/>
        </w:trPr>
        <w:tc>
          <w:tcPr>
            <w:tcW w:w="1701" w:type="dxa"/>
            <w:vMerge/>
          </w:tcPr>
          <w:p w14:paraId="6A01C8C6"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tcPr>
          <w:p w14:paraId="61805002"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 xml:space="preserve">Australian Statistical Geography Standard </w:t>
            </w:r>
            <w:r w:rsidR="00A53159" w:rsidRPr="00521F7C">
              <w:rPr>
                <w:rFonts w:cs="Arial"/>
                <w:color w:val="000000"/>
                <w:sz w:val="20"/>
                <w:szCs w:val="20"/>
              </w:rPr>
              <w:t xml:space="preserve">(ASGS) </w:t>
            </w:r>
            <w:r w:rsidRPr="00521F7C">
              <w:rPr>
                <w:rFonts w:cs="Arial"/>
                <w:color w:val="000000"/>
                <w:sz w:val="20"/>
                <w:szCs w:val="20"/>
              </w:rPr>
              <w:t>of patient’s usual residence</w:t>
            </w:r>
          </w:p>
        </w:tc>
      </w:tr>
      <w:tr w:rsidR="00AC28F5" w:rsidRPr="00EB35DF" w14:paraId="057D4046" w14:textId="77777777" w:rsidTr="00A84D5C">
        <w:trPr>
          <w:cantSplit/>
          <w:trHeight w:val="259"/>
        </w:trPr>
        <w:tc>
          <w:tcPr>
            <w:tcW w:w="1701" w:type="dxa"/>
            <w:vMerge/>
          </w:tcPr>
          <w:p w14:paraId="255EF062" w14:textId="75A726EE" w:rsidR="00AC28F5" w:rsidRPr="00521F7C" w:rsidRDefault="00AC28F5" w:rsidP="003A708C">
            <w:pPr>
              <w:tabs>
                <w:tab w:val="left" w:pos="1162"/>
              </w:tabs>
              <w:spacing w:line="240" w:lineRule="auto"/>
              <w:rPr>
                <w:rFonts w:cs="Arial"/>
                <w:color w:val="000000"/>
                <w:sz w:val="20"/>
                <w:szCs w:val="20"/>
              </w:rPr>
            </w:pPr>
          </w:p>
        </w:tc>
        <w:tc>
          <w:tcPr>
            <w:tcW w:w="5935" w:type="dxa"/>
            <w:shd w:val="clear" w:color="auto" w:fill="auto"/>
            <w:noWrap/>
          </w:tcPr>
          <w:p w14:paraId="4638A0CA" w14:textId="6B872699" w:rsidR="00AC28F5" w:rsidRPr="00521F7C" w:rsidRDefault="00AC28F5" w:rsidP="003A708C">
            <w:pPr>
              <w:tabs>
                <w:tab w:val="left" w:pos="1162"/>
              </w:tabs>
              <w:spacing w:line="240" w:lineRule="auto"/>
              <w:rPr>
                <w:rFonts w:cs="Arial"/>
                <w:color w:val="000000"/>
                <w:sz w:val="20"/>
                <w:szCs w:val="20"/>
              </w:rPr>
            </w:pPr>
            <w:r w:rsidRPr="003A708C">
              <w:rPr>
                <w:rFonts w:cs="Arial"/>
                <w:color w:val="000000"/>
                <w:sz w:val="20"/>
                <w:szCs w:val="20"/>
              </w:rPr>
              <w:t>Either the identifier signifying radiotherapy treatment/planning or the list of patient’s ICD-10-AM procedure codes.</w:t>
            </w:r>
          </w:p>
        </w:tc>
      </w:tr>
      <w:tr w:rsidR="00AC28F5" w:rsidRPr="00EB35DF" w14:paraId="1DB8FC1F" w14:textId="77777777" w:rsidTr="00A84D5C">
        <w:trPr>
          <w:cantSplit/>
          <w:trHeight w:val="259"/>
        </w:trPr>
        <w:tc>
          <w:tcPr>
            <w:tcW w:w="1701" w:type="dxa"/>
            <w:vMerge/>
          </w:tcPr>
          <w:p w14:paraId="3B5FA008" w14:textId="3EFDF68F" w:rsidR="00AC28F5" w:rsidRPr="00521F7C" w:rsidRDefault="00AC28F5" w:rsidP="003A708C">
            <w:pPr>
              <w:tabs>
                <w:tab w:val="left" w:pos="1162"/>
              </w:tabs>
              <w:spacing w:line="240" w:lineRule="auto"/>
              <w:rPr>
                <w:rFonts w:cs="Arial"/>
                <w:color w:val="000000"/>
                <w:sz w:val="20"/>
                <w:szCs w:val="20"/>
              </w:rPr>
            </w:pPr>
          </w:p>
        </w:tc>
        <w:tc>
          <w:tcPr>
            <w:tcW w:w="5935" w:type="dxa"/>
            <w:shd w:val="clear" w:color="auto" w:fill="auto"/>
            <w:noWrap/>
          </w:tcPr>
          <w:p w14:paraId="5E8B368F" w14:textId="77DF67AE" w:rsidR="00AC28F5" w:rsidRPr="00521F7C" w:rsidRDefault="00AC28F5" w:rsidP="003A708C">
            <w:pPr>
              <w:tabs>
                <w:tab w:val="left" w:pos="1162"/>
              </w:tabs>
              <w:spacing w:line="240" w:lineRule="auto"/>
              <w:rPr>
                <w:rFonts w:cs="Arial"/>
                <w:color w:val="000000"/>
                <w:sz w:val="20"/>
                <w:szCs w:val="20"/>
              </w:rPr>
            </w:pPr>
            <w:r w:rsidRPr="003A708C">
              <w:rPr>
                <w:rFonts w:cs="Arial"/>
                <w:color w:val="000000"/>
                <w:sz w:val="20"/>
                <w:szCs w:val="20"/>
              </w:rPr>
              <w:t>Either the identifier signifying dialysis or the list of patient’s ICD-10-AM procedure codes.</w:t>
            </w:r>
          </w:p>
        </w:tc>
      </w:tr>
      <w:tr w:rsidR="00550102" w:rsidRPr="00EB35DF" w14:paraId="34A46729" w14:textId="77777777" w:rsidTr="00A84D5C">
        <w:trPr>
          <w:cantSplit/>
          <w:trHeight w:val="259"/>
        </w:trPr>
        <w:tc>
          <w:tcPr>
            <w:tcW w:w="1701" w:type="dxa"/>
            <w:vMerge w:val="restart"/>
            <w:shd w:val="clear" w:color="auto" w:fill="auto"/>
          </w:tcPr>
          <w:p w14:paraId="5FF0F595"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ASNHC DSS</w:t>
            </w:r>
          </w:p>
        </w:tc>
        <w:tc>
          <w:tcPr>
            <w:tcW w:w="5935" w:type="dxa"/>
            <w:shd w:val="clear" w:color="auto" w:fill="auto"/>
            <w:noWrap/>
          </w:tcPr>
          <w:p w14:paraId="3A0A351D"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AN-SNAP class (Version 4.0)</w:t>
            </w:r>
          </w:p>
        </w:tc>
      </w:tr>
      <w:tr w:rsidR="00550102" w:rsidRPr="00EB35DF" w14:paraId="560F6B6C" w14:textId="77777777" w:rsidTr="00A84D5C">
        <w:trPr>
          <w:cantSplit/>
          <w:trHeight w:val="259"/>
        </w:trPr>
        <w:tc>
          <w:tcPr>
            <w:tcW w:w="1701" w:type="dxa"/>
            <w:vMerge/>
            <w:shd w:val="clear" w:color="auto" w:fill="auto"/>
          </w:tcPr>
          <w:p w14:paraId="221670A1"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tcPr>
          <w:p w14:paraId="51EB9712"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Palliative phase of care start date</w:t>
            </w:r>
          </w:p>
        </w:tc>
      </w:tr>
      <w:tr w:rsidR="00550102" w:rsidRPr="00496274" w14:paraId="0049F373" w14:textId="77777777" w:rsidTr="00A84D5C">
        <w:trPr>
          <w:cantSplit/>
          <w:trHeight w:val="259"/>
        </w:trPr>
        <w:tc>
          <w:tcPr>
            <w:tcW w:w="1701" w:type="dxa"/>
            <w:vMerge/>
            <w:shd w:val="clear" w:color="auto" w:fill="auto"/>
            <w:hideMark/>
          </w:tcPr>
          <w:p w14:paraId="2898FEEE"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078AB22"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Palliative phase of care end date</w:t>
            </w:r>
          </w:p>
        </w:tc>
      </w:tr>
    </w:tbl>
    <w:p w14:paraId="300D29D1" w14:textId="6AD044B8" w:rsidR="00550102" w:rsidRDefault="00550102" w:rsidP="00A33F7B">
      <w:pPr>
        <w:pStyle w:val="Heading1"/>
      </w:pPr>
      <w:bookmarkStart w:id="150" w:name="_Toc466884210"/>
      <w:bookmarkStart w:id="151" w:name="_Toc467505223"/>
      <w:bookmarkStart w:id="152" w:name="_Toc467676236"/>
      <w:bookmarkStart w:id="153" w:name="_Toc467745597"/>
      <w:bookmarkStart w:id="154" w:name="_Toc467759582"/>
      <w:bookmarkStart w:id="155" w:name="_Toc468204059"/>
      <w:bookmarkStart w:id="156" w:name="_Toc499220999"/>
      <w:bookmarkStart w:id="157" w:name="_Toc499290936"/>
      <w:bookmarkStart w:id="158" w:name="_Toc26278337"/>
      <w:bookmarkStart w:id="159" w:name="_Toc26370515"/>
      <w:bookmarkStart w:id="160" w:name="_Toc65145949"/>
      <w:bookmarkStart w:id="161" w:name="_Toc98882298"/>
      <w:bookmarkEnd w:id="128"/>
      <w:bookmarkEnd w:id="129"/>
      <w:bookmarkEnd w:id="130"/>
      <w:bookmarkEnd w:id="131"/>
      <w:bookmarkEnd w:id="132"/>
      <w:bookmarkEnd w:id="133"/>
      <w:bookmarkEnd w:id="134"/>
      <w:bookmarkEnd w:id="135"/>
      <w:r w:rsidRPr="00825A7A">
        <w:lastRenderedPageBreak/>
        <w:t>Emergency care cost model</w:t>
      </w:r>
      <w:bookmarkEnd w:id="150"/>
      <w:bookmarkEnd w:id="151"/>
      <w:bookmarkEnd w:id="152"/>
      <w:bookmarkEnd w:id="153"/>
      <w:bookmarkEnd w:id="154"/>
      <w:bookmarkEnd w:id="155"/>
      <w:bookmarkEnd w:id="156"/>
      <w:bookmarkEnd w:id="157"/>
      <w:bookmarkEnd w:id="158"/>
      <w:bookmarkEnd w:id="159"/>
      <w:bookmarkEnd w:id="160"/>
      <w:bookmarkEnd w:id="161"/>
    </w:p>
    <w:p w14:paraId="040A02C2" w14:textId="77777777" w:rsidR="00550102" w:rsidRDefault="00550102" w:rsidP="00755433">
      <w:pPr>
        <w:pStyle w:val="Heading2"/>
      </w:pPr>
      <w:bookmarkStart w:id="162" w:name="_Toc26278338"/>
      <w:bookmarkStart w:id="163" w:name="_Toc26370516"/>
      <w:bookmarkStart w:id="164" w:name="_Toc65145950"/>
      <w:bookmarkStart w:id="165" w:name="_Toc98882299"/>
      <w:bookmarkStart w:id="166" w:name="_Toc499221000"/>
      <w:bookmarkStart w:id="167" w:name="_Toc499290937"/>
      <w:bookmarkStart w:id="168" w:name="_Toc467745598"/>
      <w:bookmarkStart w:id="169" w:name="_Toc467759583"/>
      <w:bookmarkStart w:id="170" w:name="_Toc468204060"/>
      <w:r w:rsidRPr="009225AC">
        <w:t>General issues</w:t>
      </w:r>
      <w:bookmarkEnd w:id="162"/>
      <w:bookmarkEnd w:id="163"/>
      <w:bookmarkEnd w:id="164"/>
      <w:bookmarkEnd w:id="165"/>
    </w:p>
    <w:p w14:paraId="0F188773" w14:textId="77777777" w:rsidR="00550102" w:rsidRPr="00831C09" w:rsidRDefault="00550102" w:rsidP="00755433">
      <w:pPr>
        <w:pStyle w:val="Heading3"/>
      </w:pPr>
      <w:r>
        <w:t>Cost unit</w:t>
      </w:r>
    </w:p>
    <w:p w14:paraId="3B10F861" w14:textId="77777777" w:rsidR="00550102" w:rsidRDefault="00550102" w:rsidP="00550102">
      <w:pPr>
        <w:tabs>
          <w:tab w:val="left" w:pos="1162"/>
        </w:tabs>
        <w:spacing w:line="240" w:lineRule="auto"/>
        <w:rPr>
          <w:rFonts w:cs="Arial"/>
          <w:szCs w:val="20"/>
        </w:rPr>
      </w:pPr>
      <w:r w:rsidRPr="002909DA">
        <w:rPr>
          <w:rFonts w:cs="Arial"/>
          <w:szCs w:val="20"/>
        </w:rPr>
        <w:t xml:space="preserve">The </w:t>
      </w:r>
      <w:r>
        <w:rPr>
          <w:rFonts w:cs="Arial"/>
          <w:szCs w:val="20"/>
        </w:rPr>
        <w:t xml:space="preserve">cost </w:t>
      </w:r>
      <w:r w:rsidRPr="002909DA">
        <w:rPr>
          <w:rFonts w:cs="Arial"/>
          <w:szCs w:val="20"/>
        </w:rPr>
        <w:t xml:space="preserve">unit for </w:t>
      </w:r>
      <w:r w:rsidR="00A53159">
        <w:rPr>
          <w:rFonts w:cs="Arial"/>
          <w:szCs w:val="20"/>
        </w:rPr>
        <w:t>ABF</w:t>
      </w:r>
      <w:r w:rsidRPr="002909DA">
        <w:rPr>
          <w:rFonts w:cs="Arial"/>
          <w:szCs w:val="20"/>
        </w:rPr>
        <w:t xml:space="preserve"> for emergency care is an ‘emergency department stay’</w:t>
      </w:r>
      <w:r w:rsidRPr="002909DA">
        <w:rPr>
          <w:rStyle w:val="FootnoteReference"/>
          <w:rFonts w:cs="Arial"/>
          <w:szCs w:val="20"/>
        </w:rPr>
        <w:footnoteReference w:id="20"/>
      </w:r>
      <w:r w:rsidRPr="002909DA">
        <w:rPr>
          <w:rFonts w:cs="Arial"/>
          <w:szCs w:val="20"/>
        </w:rPr>
        <w:t xml:space="preserve"> or presentation. It includes stays for patients who are treated and go home, and ones </w:t>
      </w:r>
      <w:r>
        <w:rPr>
          <w:rFonts w:cs="Arial"/>
          <w:szCs w:val="20"/>
        </w:rPr>
        <w:t>who</w:t>
      </w:r>
      <w:r w:rsidRPr="002909DA">
        <w:rPr>
          <w:rFonts w:cs="Arial"/>
          <w:szCs w:val="20"/>
        </w:rPr>
        <w:t xml:space="preserve"> are subsequently admitted to hospital or transferred to another facility for further care.</w:t>
      </w:r>
    </w:p>
    <w:p w14:paraId="15158485" w14:textId="77777777" w:rsidR="00550102" w:rsidRDefault="00550102" w:rsidP="00755433">
      <w:pPr>
        <w:pStyle w:val="Heading3"/>
      </w:pPr>
      <w:r>
        <w:t>Scope</w:t>
      </w:r>
    </w:p>
    <w:p w14:paraId="7589AFA4" w14:textId="77777777" w:rsidR="00550102" w:rsidRPr="002909DA" w:rsidRDefault="00550102" w:rsidP="00550102">
      <w:pPr>
        <w:tabs>
          <w:tab w:val="left" w:pos="1162"/>
        </w:tabs>
        <w:spacing w:line="240" w:lineRule="auto"/>
        <w:rPr>
          <w:rFonts w:cs="Arial"/>
          <w:szCs w:val="20"/>
        </w:rPr>
      </w:pPr>
      <w:r w:rsidRPr="002909DA">
        <w:rPr>
          <w:rFonts w:cs="Arial"/>
          <w:szCs w:val="20"/>
        </w:rPr>
        <w:t xml:space="preserve">Emergency care is that provided to patients registered for care in an emergency department </w:t>
      </w:r>
      <w:r>
        <w:rPr>
          <w:rFonts w:cs="Arial"/>
          <w:szCs w:val="20"/>
        </w:rPr>
        <w:t>with</w:t>
      </w:r>
      <w:r w:rsidRPr="002909DA">
        <w:rPr>
          <w:rFonts w:cs="Arial"/>
          <w:szCs w:val="20"/>
        </w:rPr>
        <w:t xml:space="preserve">in </w:t>
      </w:r>
      <w:r>
        <w:rPr>
          <w:rFonts w:cs="Arial"/>
          <w:szCs w:val="20"/>
        </w:rPr>
        <w:t xml:space="preserve">a </w:t>
      </w:r>
      <w:r w:rsidRPr="002909DA">
        <w:rPr>
          <w:rFonts w:cs="Arial"/>
          <w:szCs w:val="20"/>
        </w:rPr>
        <w:t>selected public hospital</w:t>
      </w:r>
      <w:r>
        <w:rPr>
          <w:rFonts w:cs="Arial"/>
          <w:szCs w:val="20"/>
        </w:rPr>
        <w:t>. P</w:t>
      </w:r>
      <w:r w:rsidRPr="002909DA">
        <w:rPr>
          <w:rFonts w:cs="Arial"/>
          <w:szCs w:val="20"/>
        </w:rPr>
        <w:t xml:space="preserve">atients </w:t>
      </w:r>
      <w:r>
        <w:rPr>
          <w:rFonts w:cs="Arial"/>
          <w:szCs w:val="20"/>
        </w:rPr>
        <w:t>declared</w:t>
      </w:r>
      <w:r w:rsidRPr="002909DA">
        <w:rPr>
          <w:rFonts w:cs="Arial"/>
          <w:szCs w:val="20"/>
        </w:rPr>
        <w:t xml:space="preserve"> dead on arrival are</w:t>
      </w:r>
      <w:r>
        <w:rPr>
          <w:rFonts w:cs="Arial"/>
          <w:szCs w:val="20"/>
        </w:rPr>
        <w:t xml:space="preserve"> considered </w:t>
      </w:r>
      <w:r w:rsidRPr="002909DA">
        <w:rPr>
          <w:rFonts w:cs="Arial"/>
          <w:szCs w:val="20"/>
        </w:rPr>
        <w:t>in</w:t>
      </w:r>
      <w:r>
        <w:rPr>
          <w:rFonts w:cs="Arial"/>
          <w:szCs w:val="20"/>
        </w:rPr>
        <w:t>-</w:t>
      </w:r>
      <w:r w:rsidRPr="002909DA">
        <w:rPr>
          <w:rFonts w:cs="Arial"/>
          <w:szCs w:val="20"/>
        </w:rPr>
        <w:t xml:space="preserve">scope if </w:t>
      </w:r>
      <w:r>
        <w:rPr>
          <w:rFonts w:cs="Arial"/>
          <w:szCs w:val="20"/>
        </w:rPr>
        <w:t xml:space="preserve">the death is certified by </w:t>
      </w:r>
      <w:r w:rsidRPr="002909DA">
        <w:rPr>
          <w:rFonts w:cs="Arial"/>
          <w:szCs w:val="20"/>
        </w:rPr>
        <w:t xml:space="preserve">an emergency </w:t>
      </w:r>
      <w:r>
        <w:rPr>
          <w:rFonts w:cs="Arial"/>
          <w:szCs w:val="20"/>
        </w:rPr>
        <w:t>care</w:t>
      </w:r>
      <w:r w:rsidRPr="002909DA">
        <w:rPr>
          <w:rFonts w:cs="Arial"/>
          <w:szCs w:val="20"/>
        </w:rPr>
        <w:t xml:space="preserve"> clinician</w:t>
      </w:r>
      <w:r>
        <w:rPr>
          <w:rFonts w:cs="Arial"/>
          <w:szCs w:val="20"/>
        </w:rPr>
        <w:t xml:space="preserve">. </w:t>
      </w:r>
      <w:r w:rsidRPr="002909DA">
        <w:rPr>
          <w:rFonts w:cs="Arial"/>
          <w:szCs w:val="20"/>
        </w:rPr>
        <w:t xml:space="preserve">Patients who leave emergency </w:t>
      </w:r>
      <w:r>
        <w:rPr>
          <w:rFonts w:cs="Arial"/>
          <w:szCs w:val="20"/>
        </w:rPr>
        <w:t>care</w:t>
      </w:r>
      <w:r w:rsidRPr="002909DA">
        <w:rPr>
          <w:rFonts w:cs="Arial"/>
          <w:szCs w:val="20"/>
        </w:rPr>
        <w:t xml:space="preserve"> after being triaged and advised of alternative treatment options</w:t>
      </w:r>
      <w:r>
        <w:rPr>
          <w:rFonts w:cs="Arial"/>
          <w:szCs w:val="20"/>
        </w:rPr>
        <w:t>,</w:t>
      </w:r>
      <w:r w:rsidRPr="002909DA">
        <w:rPr>
          <w:rFonts w:cs="Arial"/>
          <w:szCs w:val="20"/>
        </w:rPr>
        <w:t xml:space="preserve"> are also</w:t>
      </w:r>
      <w:r>
        <w:rPr>
          <w:rFonts w:cs="Arial"/>
          <w:szCs w:val="20"/>
        </w:rPr>
        <w:t xml:space="preserve"> considered </w:t>
      </w:r>
      <w:r w:rsidRPr="002909DA">
        <w:rPr>
          <w:rFonts w:cs="Arial"/>
          <w:szCs w:val="20"/>
        </w:rPr>
        <w:t>in</w:t>
      </w:r>
      <w:r>
        <w:rPr>
          <w:rFonts w:cs="Arial"/>
          <w:szCs w:val="20"/>
        </w:rPr>
        <w:t>-</w:t>
      </w:r>
      <w:r w:rsidRPr="002909DA">
        <w:rPr>
          <w:rFonts w:cs="Arial"/>
          <w:szCs w:val="20"/>
        </w:rPr>
        <w:t xml:space="preserve">scope. </w:t>
      </w:r>
      <w:r>
        <w:rPr>
          <w:rFonts w:cs="Arial"/>
          <w:szCs w:val="20"/>
        </w:rPr>
        <w:t>All patients in the ABF e</w:t>
      </w:r>
      <w:r w:rsidRPr="005B7C15">
        <w:rPr>
          <w:rFonts w:cs="Arial"/>
          <w:szCs w:val="20"/>
        </w:rPr>
        <w:t xml:space="preserve">mergency </w:t>
      </w:r>
      <w:r>
        <w:rPr>
          <w:rFonts w:cs="Arial"/>
          <w:szCs w:val="20"/>
        </w:rPr>
        <w:t>s</w:t>
      </w:r>
      <w:r w:rsidRPr="005B7C15">
        <w:rPr>
          <w:rFonts w:cs="Arial"/>
          <w:szCs w:val="20"/>
        </w:rPr>
        <w:t xml:space="preserve">ervices </w:t>
      </w:r>
      <w:r>
        <w:rPr>
          <w:rFonts w:cs="Arial"/>
          <w:szCs w:val="20"/>
        </w:rPr>
        <w:t>care</w:t>
      </w:r>
      <w:r w:rsidR="00A53159">
        <w:rPr>
          <w:rFonts w:cs="Arial"/>
          <w:szCs w:val="20"/>
        </w:rPr>
        <w:t xml:space="preserve"> (ESC)</w:t>
      </w:r>
      <w:r>
        <w:rPr>
          <w:rFonts w:cs="Arial"/>
          <w:szCs w:val="20"/>
        </w:rPr>
        <w:t xml:space="preserve"> </w:t>
      </w:r>
      <w:r w:rsidR="00A53159">
        <w:rPr>
          <w:rFonts w:cs="Arial"/>
          <w:szCs w:val="20"/>
        </w:rPr>
        <w:t>data set specification (</w:t>
      </w:r>
      <w:r>
        <w:rPr>
          <w:rFonts w:cs="Arial"/>
          <w:szCs w:val="20"/>
        </w:rPr>
        <w:t>ABF ESC DSS) are in-scope.</w:t>
      </w:r>
    </w:p>
    <w:p w14:paraId="3E2411CD" w14:textId="77777777" w:rsidR="00550102" w:rsidRDefault="00550102" w:rsidP="00550102">
      <w:pPr>
        <w:tabs>
          <w:tab w:val="left" w:pos="1162"/>
        </w:tabs>
        <w:spacing w:line="240" w:lineRule="auto"/>
        <w:rPr>
          <w:rFonts w:cs="Arial"/>
          <w:szCs w:val="20"/>
        </w:rPr>
      </w:pPr>
      <w:r w:rsidRPr="002909DA">
        <w:rPr>
          <w:rFonts w:cs="Arial"/>
          <w:szCs w:val="20"/>
        </w:rPr>
        <w:t xml:space="preserve">Patients being treated in emergency departments may subsequently </w:t>
      </w:r>
      <w:r>
        <w:rPr>
          <w:rFonts w:cs="Arial"/>
          <w:szCs w:val="20"/>
        </w:rPr>
        <w:t>undergo a formal admission process</w:t>
      </w:r>
      <w:r w:rsidRPr="002909DA">
        <w:rPr>
          <w:rFonts w:cs="Arial"/>
          <w:szCs w:val="20"/>
        </w:rPr>
        <w:t xml:space="preserve">. All patients remain </w:t>
      </w:r>
      <w:r>
        <w:rPr>
          <w:rFonts w:cs="Arial"/>
          <w:szCs w:val="20"/>
        </w:rPr>
        <w:t>in-scope</w:t>
      </w:r>
      <w:r w:rsidRPr="002909DA">
        <w:rPr>
          <w:rFonts w:cs="Arial"/>
          <w:szCs w:val="20"/>
        </w:rPr>
        <w:t xml:space="preserve"> for ABF for emergency care until they are recorded as having physically departed the emergency departmen</w:t>
      </w:r>
      <w:r>
        <w:rPr>
          <w:rFonts w:cs="Arial"/>
          <w:szCs w:val="20"/>
        </w:rPr>
        <w:t>t</w:t>
      </w:r>
      <w:r w:rsidRPr="002909DA">
        <w:rPr>
          <w:rFonts w:cs="Arial"/>
          <w:szCs w:val="20"/>
        </w:rPr>
        <w:t>, regardless of w</w:t>
      </w:r>
      <w:r>
        <w:rPr>
          <w:rFonts w:cs="Arial"/>
          <w:szCs w:val="20"/>
        </w:rPr>
        <w:t>hether they have been admitted.</w:t>
      </w:r>
    </w:p>
    <w:p w14:paraId="08CBBC9E" w14:textId="77777777" w:rsidR="00550102" w:rsidRDefault="00550102" w:rsidP="00755433">
      <w:pPr>
        <w:pStyle w:val="Heading3"/>
      </w:pPr>
      <w:r>
        <w:t>Classification</w:t>
      </w:r>
    </w:p>
    <w:p w14:paraId="0B0FB665" w14:textId="6730CF20" w:rsidR="001C3204" w:rsidRDefault="001C3204" w:rsidP="00CE4DFC">
      <w:r w:rsidRPr="002909DA">
        <w:t xml:space="preserve">Two systems are used to classify emergency care for the purposes of ABF: </w:t>
      </w:r>
      <w:r w:rsidRPr="000702B7">
        <w:t xml:space="preserve">Australian Emergency Care Classification </w:t>
      </w:r>
      <w:r>
        <w:t xml:space="preserve">(AECC) </w:t>
      </w:r>
      <w:r w:rsidR="00565FFE">
        <w:t>Version 1.</w:t>
      </w:r>
      <w:r w:rsidR="0005021D">
        <w:t>0</w:t>
      </w:r>
      <w:r w:rsidRPr="002909DA">
        <w:t xml:space="preserve"> and Urgency Disposition Groups (UDGs) </w:t>
      </w:r>
      <w:r>
        <w:t>V</w:t>
      </w:r>
      <w:r w:rsidRPr="002909DA">
        <w:t>ersion 1.3. The</w:t>
      </w:r>
      <w:r>
        <w:t xml:space="preserve"> former applies to level 3B</w:t>
      </w:r>
      <w:r w:rsidR="00584A06">
        <w:t>, affecting</w:t>
      </w:r>
      <w:r>
        <w:t xml:space="preserve"> six</w:t>
      </w:r>
      <w:r w:rsidRPr="002909DA">
        <w:t xml:space="preserve"> emergency departments, and the latter to </w:t>
      </w:r>
      <w:r>
        <w:t xml:space="preserve">emergency services </w:t>
      </w:r>
      <w:r w:rsidRPr="002909DA">
        <w:t>(</w:t>
      </w:r>
      <w:r>
        <w:t>that is,</w:t>
      </w:r>
      <w:r w:rsidRPr="002909DA">
        <w:t xml:space="preserve"> levels 1 to 3A)</w:t>
      </w:r>
      <w:r>
        <w:t xml:space="preserve">. </w:t>
      </w:r>
      <w:r w:rsidRPr="002909DA">
        <w:t>The levels are defined i</w:t>
      </w:r>
      <w:r>
        <w:t xml:space="preserve">n the </w:t>
      </w:r>
      <w:r w:rsidRPr="005A1510">
        <w:t xml:space="preserve">National Efficient Price Determination </w:t>
      </w:r>
      <w:r w:rsidR="00C0296E" w:rsidRPr="005A1510">
        <w:t>202</w:t>
      </w:r>
      <w:r w:rsidR="00C0296E">
        <w:t>2</w:t>
      </w:r>
      <w:r w:rsidRPr="005A1510">
        <w:t>–</w:t>
      </w:r>
      <w:r w:rsidR="00C0296E" w:rsidRPr="005A1510">
        <w:t>2</w:t>
      </w:r>
      <w:r w:rsidR="00C0296E">
        <w:t>3</w:t>
      </w:r>
      <w:r w:rsidR="00C0296E" w:rsidRPr="005A1510">
        <w:t xml:space="preserve"> </w:t>
      </w:r>
      <w:r w:rsidRPr="005A1510">
        <w:t>– Online Glossary</w:t>
      </w:r>
      <w:r w:rsidR="009850F8">
        <w:t>.</w:t>
      </w:r>
    </w:p>
    <w:p w14:paraId="74D4EE9F" w14:textId="77777777" w:rsidR="00550102" w:rsidRDefault="00550102" w:rsidP="00755433">
      <w:pPr>
        <w:pStyle w:val="Heading2"/>
      </w:pPr>
      <w:bookmarkStart w:id="171" w:name="_Toc26278339"/>
      <w:bookmarkStart w:id="172" w:name="_Toc26370517"/>
      <w:bookmarkStart w:id="173" w:name="_Toc65145951"/>
      <w:bookmarkStart w:id="174" w:name="_Toc98882300"/>
      <w:r>
        <w:t>Analysis of costs to derive NWAU for emergency care</w:t>
      </w:r>
      <w:bookmarkEnd w:id="171"/>
      <w:bookmarkEnd w:id="172"/>
      <w:bookmarkEnd w:id="173"/>
      <w:bookmarkEnd w:id="174"/>
    </w:p>
    <w:p w14:paraId="27D330DD" w14:textId="77777777" w:rsidR="00550102" w:rsidRDefault="00550102" w:rsidP="00755433">
      <w:pPr>
        <w:pStyle w:val="Heading3"/>
      </w:pPr>
      <w:r>
        <w:t>Data preparation</w:t>
      </w:r>
    </w:p>
    <w:p w14:paraId="6C0665B9" w14:textId="7C92837B" w:rsidR="00550102" w:rsidRPr="00755DBD" w:rsidRDefault="00111560" w:rsidP="00550102">
      <w:pPr>
        <w:tabs>
          <w:tab w:val="left" w:pos="1162"/>
        </w:tabs>
        <w:spacing w:line="240" w:lineRule="auto"/>
        <w:rPr>
          <w:rFonts w:cs="Arial"/>
        </w:rPr>
      </w:pPr>
      <w:r w:rsidRPr="67F8334F">
        <w:rPr>
          <w:rFonts w:cs="Arial"/>
        </w:rPr>
        <w:t xml:space="preserve">NHCDC Round </w:t>
      </w:r>
      <w:r w:rsidR="00C0296E" w:rsidRPr="67F8334F">
        <w:rPr>
          <w:rFonts w:cs="Arial"/>
        </w:rPr>
        <w:t xml:space="preserve">24 </w:t>
      </w:r>
      <w:r w:rsidR="00550102" w:rsidRPr="67F8334F">
        <w:rPr>
          <w:rFonts w:cs="Arial"/>
        </w:rPr>
        <w:t xml:space="preserve">reported </w:t>
      </w:r>
      <w:r w:rsidR="0013160E" w:rsidRPr="67F8334F">
        <w:rPr>
          <w:rFonts w:cs="Arial"/>
        </w:rPr>
        <w:t>7,859,437</w:t>
      </w:r>
      <w:r w:rsidR="00550102" w:rsidRPr="67F8334F">
        <w:rPr>
          <w:rFonts w:cs="Arial"/>
        </w:rPr>
        <w:t xml:space="preserve"> presentations in </w:t>
      </w:r>
      <w:r w:rsidR="005A76AC" w:rsidRPr="67F8334F">
        <w:rPr>
          <w:rFonts w:cs="Arial"/>
        </w:rPr>
        <w:t xml:space="preserve">196 </w:t>
      </w:r>
      <w:r w:rsidR="00550102" w:rsidRPr="67F8334F">
        <w:rPr>
          <w:rFonts w:cs="Arial"/>
        </w:rPr>
        <w:t xml:space="preserve">ABF establishments with patient-level cost data. This represents </w:t>
      </w:r>
      <w:r w:rsidR="005A76AC" w:rsidRPr="67F8334F">
        <w:rPr>
          <w:rFonts w:cs="Arial"/>
        </w:rPr>
        <w:t xml:space="preserve">96 </w:t>
      </w:r>
      <w:r w:rsidR="00550102" w:rsidRPr="67F8334F">
        <w:rPr>
          <w:rFonts w:cs="Arial"/>
        </w:rPr>
        <w:t>per cent of the total emergency care population as reported in the ABF DSS datasets and NHCDC.</w:t>
      </w:r>
    </w:p>
    <w:p w14:paraId="4C79696F" w14:textId="5F9E8D81" w:rsidR="00550102" w:rsidRPr="000D5149" w:rsidRDefault="00550102" w:rsidP="00550102">
      <w:pPr>
        <w:tabs>
          <w:tab w:val="left" w:pos="1162"/>
        </w:tabs>
        <w:spacing w:line="240" w:lineRule="auto"/>
        <w:rPr>
          <w:rFonts w:cs="Arial"/>
        </w:rPr>
      </w:pPr>
      <w:r w:rsidRPr="26E462A9">
        <w:rPr>
          <w:rFonts w:cs="Arial"/>
        </w:rPr>
        <w:t xml:space="preserve">IHPA undertook an initial data preparation process in line with that employed for </w:t>
      </w:r>
      <w:r w:rsidR="00C0296E" w:rsidRPr="26E462A9">
        <w:rPr>
          <w:rFonts w:cs="Arial"/>
        </w:rPr>
        <w:t xml:space="preserve">NEP21, </w:t>
      </w:r>
      <w:r w:rsidR="1F75B41D" w:rsidRPr="1A0BF094">
        <w:rPr>
          <w:rFonts w:cs="Arial"/>
        </w:rPr>
        <w:t xml:space="preserve">including the removal of </w:t>
      </w:r>
      <w:r w:rsidR="00147EF1" w:rsidRPr="1A0BF094">
        <w:rPr>
          <w:rFonts w:cs="Arial"/>
        </w:rPr>
        <w:t>out</w:t>
      </w:r>
      <w:r w:rsidR="00147EF1">
        <w:rPr>
          <w:rFonts w:cs="Arial"/>
        </w:rPr>
        <w:t>-</w:t>
      </w:r>
      <w:r w:rsidR="00147EF1" w:rsidRPr="1A0BF094">
        <w:rPr>
          <w:rFonts w:cs="Arial"/>
        </w:rPr>
        <w:t>of</w:t>
      </w:r>
      <w:r w:rsidR="00147EF1">
        <w:rPr>
          <w:rFonts w:cs="Arial"/>
        </w:rPr>
        <w:t>-</w:t>
      </w:r>
      <w:r w:rsidR="1F75B41D" w:rsidRPr="1A0BF094">
        <w:rPr>
          <w:rFonts w:cs="Arial"/>
        </w:rPr>
        <w:t xml:space="preserve">scope blood, pharmaceutical, and teaching costs. For NEP22, the </w:t>
      </w:r>
      <w:r w:rsidR="00C0296E" w:rsidRPr="26E462A9">
        <w:rPr>
          <w:rFonts w:cs="Arial"/>
        </w:rPr>
        <w:t xml:space="preserve">additional step of removing </w:t>
      </w:r>
      <w:r w:rsidR="002C665D">
        <w:rPr>
          <w:rFonts w:cs="Arial"/>
        </w:rPr>
        <w:t>S</w:t>
      </w:r>
      <w:r w:rsidR="00C0296E" w:rsidRPr="26E462A9">
        <w:rPr>
          <w:rFonts w:cs="Arial"/>
        </w:rPr>
        <w:t xml:space="preserve">tate </w:t>
      </w:r>
      <w:r w:rsidR="002C665D">
        <w:rPr>
          <w:rFonts w:cs="Arial"/>
        </w:rPr>
        <w:t>P</w:t>
      </w:r>
      <w:r w:rsidR="00C0296E" w:rsidRPr="26E462A9">
        <w:rPr>
          <w:rFonts w:cs="Arial"/>
        </w:rPr>
        <w:t xml:space="preserve">ublic </w:t>
      </w:r>
      <w:r w:rsidR="002C665D">
        <w:rPr>
          <w:rFonts w:cs="Arial"/>
        </w:rPr>
        <w:t>H</w:t>
      </w:r>
      <w:r w:rsidR="00C0296E" w:rsidRPr="26E462A9">
        <w:rPr>
          <w:rFonts w:cs="Arial"/>
        </w:rPr>
        <w:t xml:space="preserve">ealth </w:t>
      </w:r>
      <w:r w:rsidR="002C665D">
        <w:rPr>
          <w:rFonts w:cs="Arial"/>
        </w:rPr>
        <w:t>P</w:t>
      </w:r>
      <w:r w:rsidR="00C0296E" w:rsidRPr="700AA5DA">
        <w:rPr>
          <w:rFonts w:cs="Arial"/>
        </w:rPr>
        <w:t>ayments from</w:t>
      </w:r>
      <w:r w:rsidR="00C0296E" w:rsidRPr="26E462A9">
        <w:rPr>
          <w:rFonts w:cs="Arial"/>
        </w:rPr>
        <w:t xml:space="preserve"> cost data</w:t>
      </w:r>
      <w:r w:rsidR="1F75B41D" w:rsidRPr="1A0BF094">
        <w:rPr>
          <w:rFonts w:cs="Arial"/>
        </w:rPr>
        <w:t xml:space="preserve"> was taken.</w:t>
      </w:r>
      <w:r w:rsidR="002C665D">
        <w:rPr>
          <w:rFonts w:cs="Arial"/>
        </w:rPr>
        <w:t xml:space="preserve"> </w:t>
      </w:r>
      <w:r w:rsidRPr="26E462A9">
        <w:rPr>
          <w:rFonts w:cs="Arial"/>
        </w:rPr>
        <w:t xml:space="preserve">The cleansed data is episode level data grouped by </w:t>
      </w:r>
      <w:r w:rsidR="00C6411B" w:rsidRPr="26E462A9">
        <w:rPr>
          <w:rFonts w:cs="Arial"/>
        </w:rPr>
        <w:t xml:space="preserve">AECC </w:t>
      </w:r>
      <w:r w:rsidRPr="26E462A9">
        <w:rPr>
          <w:rFonts w:cs="Arial"/>
        </w:rPr>
        <w:t>or UDG. The following da</w:t>
      </w:r>
      <w:r w:rsidR="005407E0" w:rsidRPr="26E462A9">
        <w:rPr>
          <w:rFonts w:cs="Arial"/>
        </w:rPr>
        <w:t xml:space="preserve">ta </w:t>
      </w:r>
      <w:r w:rsidR="008D01B7" w:rsidRPr="26E462A9">
        <w:rPr>
          <w:rFonts w:cs="Arial"/>
        </w:rPr>
        <w:t xml:space="preserve">was </w:t>
      </w:r>
      <w:r w:rsidRPr="26E462A9">
        <w:rPr>
          <w:rFonts w:cs="Arial"/>
        </w:rPr>
        <w:t xml:space="preserve">not used in deriving relativities across </w:t>
      </w:r>
      <w:r w:rsidR="00C6411B" w:rsidRPr="26E462A9">
        <w:rPr>
          <w:rFonts w:cs="Arial"/>
        </w:rPr>
        <w:t xml:space="preserve">AECCs </w:t>
      </w:r>
      <w:r w:rsidRPr="26E462A9">
        <w:rPr>
          <w:rFonts w:cs="Arial"/>
        </w:rPr>
        <w:t>and UDGs, but was used to calibrate the overall cost level of the model:</w:t>
      </w:r>
    </w:p>
    <w:p w14:paraId="68CEB1A5" w14:textId="77777777" w:rsidR="00550102" w:rsidRPr="00703353" w:rsidRDefault="00550102" w:rsidP="00887853">
      <w:pPr>
        <w:pStyle w:val="ListBullet"/>
      </w:pPr>
      <w:r>
        <w:t xml:space="preserve">Presentations that grouped to error </w:t>
      </w:r>
      <w:r w:rsidR="5BEE35C8">
        <w:t>AECC</w:t>
      </w:r>
      <w:r>
        <w:t xml:space="preserve">s due to missing or invalid </w:t>
      </w:r>
      <w:r w:rsidRPr="00703353">
        <w:t xml:space="preserve">data </w:t>
      </w:r>
      <w:r>
        <w:t>fields</w:t>
      </w:r>
      <w:r w:rsidR="00655257">
        <w:t>.</w:t>
      </w:r>
    </w:p>
    <w:p w14:paraId="5C81FD7A" w14:textId="77777777" w:rsidR="00550102" w:rsidRPr="00E3615A" w:rsidRDefault="00550102" w:rsidP="00887853">
      <w:pPr>
        <w:pStyle w:val="ListBullet"/>
      </w:pPr>
      <w:r w:rsidRPr="000D5149">
        <w:t xml:space="preserve">Presentations that were </w:t>
      </w:r>
      <w:r w:rsidRPr="00E3615A">
        <w:t>less than $5</w:t>
      </w:r>
      <w:r w:rsidR="00655257">
        <w:t>.</w:t>
      </w:r>
    </w:p>
    <w:p w14:paraId="01E618CD" w14:textId="77777777" w:rsidR="00550102" w:rsidRDefault="00550102" w:rsidP="00887853">
      <w:pPr>
        <w:pStyle w:val="ListBullet"/>
      </w:pPr>
      <w:r>
        <w:t xml:space="preserve">Extreme cost outliers within each </w:t>
      </w:r>
      <w:r w:rsidR="4DD21942">
        <w:t>AECC</w:t>
      </w:r>
      <w:r w:rsidRPr="000D5149">
        <w:t xml:space="preserve"> </w:t>
      </w:r>
      <w:r>
        <w:t>class</w:t>
      </w:r>
      <w:r w:rsidR="00655257">
        <w:t>.</w:t>
      </w:r>
    </w:p>
    <w:p w14:paraId="73521E07" w14:textId="77777777" w:rsidR="008B7DC0" w:rsidRDefault="008B7DC0" w:rsidP="00887853">
      <w:pPr>
        <w:pStyle w:val="ListBullet"/>
      </w:pPr>
      <w:r>
        <w:t>Presentations at establishments with</w:t>
      </w:r>
      <w:r w:rsidR="002F320A">
        <w:t xml:space="preserve"> an</w:t>
      </w:r>
      <w:r>
        <w:t xml:space="preserve"> extreme cost ratio.  </w:t>
      </w:r>
    </w:p>
    <w:p w14:paraId="3056DD2B" w14:textId="77777777" w:rsidR="00550102" w:rsidRDefault="00550102" w:rsidP="00755433">
      <w:pPr>
        <w:pStyle w:val="Heading3"/>
      </w:pPr>
      <w:r>
        <w:lastRenderedPageBreak/>
        <w:t>Sample weights</w:t>
      </w:r>
    </w:p>
    <w:p w14:paraId="0F6F9750" w14:textId="77777777" w:rsidR="00550102" w:rsidRDefault="00550102" w:rsidP="00550102">
      <w:pPr>
        <w:tabs>
          <w:tab w:val="left" w:pos="1162"/>
        </w:tabs>
        <w:spacing w:line="240" w:lineRule="auto"/>
        <w:rPr>
          <w:rFonts w:cs="Arial"/>
          <w:szCs w:val="20"/>
        </w:rPr>
      </w:pPr>
      <w:r w:rsidRPr="00D2117F">
        <w:rPr>
          <w:rFonts w:cs="Arial"/>
          <w:szCs w:val="20"/>
        </w:rPr>
        <w:t>The NHCDC provides a sample of emergency care activity in public hospitals</w:t>
      </w:r>
      <w:r>
        <w:rPr>
          <w:rFonts w:cs="Arial"/>
          <w:szCs w:val="20"/>
        </w:rPr>
        <w:t xml:space="preserve">. </w:t>
      </w:r>
      <w:r w:rsidRPr="00D2117F">
        <w:rPr>
          <w:rFonts w:cs="Arial"/>
          <w:szCs w:val="20"/>
        </w:rPr>
        <w:t xml:space="preserve">To ensure the resulting calculations for the NWAU </w:t>
      </w:r>
      <w:r>
        <w:rPr>
          <w:rFonts w:cs="Arial"/>
          <w:szCs w:val="20"/>
        </w:rPr>
        <w:t>are</w:t>
      </w:r>
      <w:r w:rsidRPr="00D2117F">
        <w:rPr>
          <w:rFonts w:cs="Arial"/>
          <w:szCs w:val="20"/>
        </w:rPr>
        <w:t xml:space="preserve"> appropriate for the full population of emergency care activity, observations from the NHCDC </w:t>
      </w:r>
      <w:r>
        <w:rPr>
          <w:rFonts w:cs="Arial"/>
          <w:szCs w:val="20"/>
        </w:rPr>
        <w:t>are</w:t>
      </w:r>
      <w:r w:rsidRPr="00D2117F">
        <w:rPr>
          <w:rFonts w:cs="Arial"/>
          <w:szCs w:val="20"/>
        </w:rPr>
        <w:t xml:space="preserve"> weighted up to reflect the entire population of emergency care activity by state</w:t>
      </w:r>
      <w:r>
        <w:rPr>
          <w:rFonts w:cs="Arial"/>
          <w:szCs w:val="20"/>
        </w:rPr>
        <w:t xml:space="preserve"> or </w:t>
      </w:r>
      <w:r w:rsidRPr="00D2117F">
        <w:rPr>
          <w:rFonts w:cs="Arial"/>
          <w:szCs w:val="20"/>
        </w:rPr>
        <w:t>territory.</w:t>
      </w:r>
    </w:p>
    <w:p w14:paraId="470C7FA0" w14:textId="77777777" w:rsidR="00550102" w:rsidRDefault="00550102" w:rsidP="00755433">
      <w:pPr>
        <w:pStyle w:val="Heading3"/>
      </w:pPr>
      <w:r>
        <w:t>Cost parameters and adjustments</w:t>
      </w:r>
    </w:p>
    <w:p w14:paraId="4588F35E" w14:textId="77777777" w:rsidR="00550102" w:rsidRDefault="00550102" w:rsidP="00550102">
      <w:pPr>
        <w:tabs>
          <w:tab w:val="left" w:pos="1162"/>
        </w:tabs>
        <w:spacing w:line="240" w:lineRule="auto"/>
        <w:rPr>
          <w:rFonts w:cs="Arial"/>
          <w:szCs w:val="20"/>
        </w:rPr>
      </w:pPr>
      <w:r>
        <w:rPr>
          <w:rFonts w:cs="Arial"/>
          <w:szCs w:val="20"/>
        </w:rPr>
        <w:t>Data enters the co</w:t>
      </w:r>
      <w:r w:rsidR="00A53159">
        <w:rPr>
          <w:rFonts w:cs="Arial"/>
          <w:szCs w:val="20"/>
        </w:rPr>
        <w:t xml:space="preserve">st model in three levels, </w:t>
      </w:r>
      <w:r w:rsidR="00D14AA4">
        <w:rPr>
          <w:rFonts w:cs="Arial"/>
          <w:szCs w:val="20"/>
        </w:rPr>
        <w:t>by presentation at the</w:t>
      </w:r>
      <w:r>
        <w:rPr>
          <w:rFonts w:cs="Arial"/>
          <w:szCs w:val="20"/>
        </w:rPr>
        <w:t xml:space="preserve"> </w:t>
      </w:r>
      <w:r w:rsidR="006D307C">
        <w:rPr>
          <w:rFonts w:cs="Arial"/>
          <w:szCs w:val="20"/>
        </w:rPr>
        <w:t xml:space="preserve">AECC </w:t>
      </w:r>
      <w:r w:rsidR="00B40D1D">
        <w:rPr>
          <w:rFonts w:cs="Arial"/>
          <w:szCs w:val="20"/>
        </w:rPr>
        <w:t>level</w:t>
      </w:r>
      <w:r w:rsidR="00AE7A56">
        <w:rPr>
          <w:rFonts w:cs="Arial"/>
          <w:szCs w:val="20"/>
        </w:rPr>
        <w:t xml:space="preserve"> and</w:t>
      </w:r>
      <w:r>
        <w:rPr>
          <w:rFonts w:cs="Arial"/>
          <w:szCs w:val="20"/>
        </w:rPr>
        <w:t xml:space="preserve"> UDG </w:t>
      </w:r>
      <w:r w:rsidR="00B40D1D">
        <w:rPr>
          <w:rFonts w:cs="Arial"/>
          <w:szCs w:val="20"/>
        </w:rPr>
        <w:t xml:space="preserve">level, </w:t>
      </w:r>
      <w:r>
        <w:rPr>
          <w:rFonts w:cs="Arial"/>
          <w:szCs w:val="20"/>
        </w:rPr>
        <w:t xml:space="preserve">and at an aggregate </w:t>
      </w:r>
      <w:r w:rsidR="001C391A">
        <w:rPr>
          <w:rFonts w:cs="Arial"/>
          <w:szCs w:val="20"/>
        </w:rPr>
        <w:t xml:space="preserve">UDG </w:t>
      </w:r>
      <w:r>
        <w:rPr>
          <w:rFonts w:cs="Arial"/>
          <w:szCs w:val="20"/>
        </w:rPr>
        <w:t xml:space="preserve">level. It is possible for an episode to have an </w:t>
      </w:r>
      <w:r w:rsidR="006D307C">
        <w:rPr>
          <w:rFonts w:cs="Arial"/>
          <w:szCs w:val="20"/>
        </w:rPr>
        <w:t xml:space="preserve">AECC </w:t>
      </w:r>
      <w:r>
        <w:rPr>
          <w:rFonts w:cs="Arial"/>
          <w:szCs w:val="20"/>
        </w:rPr>
        <w:t xml:space="preserve">and a UDG associated to it. The </w:t>
      </w:r>
      <w:r w:rsidR="006D307C">
        <w:rPr>
          <w:rFonts w:cs="Arial"/>
          <w:szCs w:val="20"/>
        </w:rPr>
        <w:t>AECC</w:t>
      </w:r>
      <w:r>
        <w:rPr>
          <w:rFonts w:cs="Arial"/>
          <w:szCs w:val="20"/>
        </w:rPr>
        <w:t xml:space="preserve"> data is combined, and price weights are calculated. </w:t>
      </w:r>
      <w:r w:rsidR="00F859C2" w:rsidRPr="00AE7A56">
        <w:rPr>
          <w:rFonts w:cs="Arial"/>
          <w:szCs w:val="20"/>
        </w:rPr>
        <w:t>The same</w:t>
      </w:r>
      <w:r w:rsidRPr="00AE7A56">
        <w:rPr>
          <w:rFonts w:cs="Arial"/>
          <w:szCs w:val="20"/>
        </w:rPr>
        <w:t xml:space="preserve"> process is used for UDGs. </w:t>
      </w:r>
      <w:r w:rsidR="001A0CDB">
        <w:rPr>
          <w:rFonts w:cs="Arial"/>
          <w:szCs w:val="20"/>
        </w:rPr>
        <w:t xml:space="preserve">Price weights are calibrated to ensure that </w:t>
      </w:r>
      <w:r w:rsidR="006D307C">
        <w:rPr>
          <w:rFonts w:cs="Arial"/>
          <w:szCs w:val="20"/>
        </w:rPr>
        <w:t xml:space="preserve">AECC </w:t>
      </w:r>
      <w:r w:rsidR="001A0CDB">
        <w:rPr>
          <w:rFonts w:cs="Arial"/>
          <w:szCs w:val="20"/>
        </w:rPr>
        <w:t>and UDG cost models return total actual costs at a national level</w:t>
      </w:r>
      <w:r w:rsidR="00AE7A56">
        <w:rPr>
          <w:rFonts w:cs="Arial"/>
          <w:szCs w:val="20"/>
        </w:rPr>
        <w:t>.</w:t>
      </w:r>
      <w:r w:rsidR="006D307C">
        <w:rPr>
          <w:rFonts w:cs="Arial"/>
          <w:szCs w:val="20"/>
        </w:rPr>
        <w:t xml:space="preserve">  </w:t>
      </w:r>
    </w:p>
    <w:p w14:paraId="31ED399C" w14:textId="1A84B75C" w:rsidR="00550102" w:rsidRDefault="00550102" w:rsidP="00550102">
      <w:pPr>
        <w:tabs>
          <w:tab w:val="left" w:pos="1162"/>
        </w:tabs>
        <w:spacing w:line="240" w:lineRule="auto"/>
      </w:pPr>
      <w:r w:rsidRPr="00CA0633">
        <w:t xml:space="preserve">The approach to pricing emergency care services incorporates an adjustment for </w:t>
      </w:r>
      <w:r w:rsidR="006F5A0A">
        <w:t>I</w:t>
      </w:r>
      <w:r w:rsidR="006F1DF9" w:rsidRPr="00CA0633">
        <w:t>ndigenous</w:t>
      </w:r>
      <w:r w:rsidRPr="00CA0633">
        <w:t xml:space="preserve"> status</w:t>
      </w:r>
      <w:r>
        <w:t>, patient remoteness, and treatment remoteness</w:t>
      </w:r>
      <w:r w:rsidRPr="00CA0633">
        <w:t>.</w:t>
      </w:r>
      <w:r>
        <w:t xml:space="preserve"> The </w:t>
      </w:r>
      <w:r w:rsidRPr="00765488">
        <w:t xml:space="preserve">Indigenous </w:t>
      </w:r>
      <w:r>
        <w:t>a</w:t>
      </w:r>
      <w:r w:rsidRPr="00765488">
        <w:t>djustment</w:t>
      </w:r>
      <w:r w:rsidR="00A53159">
        <w:t xml:space="preserve"> </w:t>
      </w:r>
      <w:r w:rsidR="006D307C">
        <w:t>is a weighted average calculated across the admitted acute, admitted subacute and non-acute care, emergency department and non-admitted streams</w:t>
      </w:r>
      <w:r>
        <w:t xml:space="preserve">. The </w:t>
      </w:r>
      <w:r w:rsidRPr="005E0DDF">
        <w:t>patient residential area remoteness adjustment</w:t>
      </w:r>
      <w:r>
        <w:t xml:space="preserve"> is a single adjustment derived and applied to patients assigned to remote and very remote locations, and the </w:t>
      </w:r>
      <w:r w:rsidRPr="005E0DDF">
        <w:t>patient treatment remoteness area adjustment</w:t>
      </w:r>
      <w:r>
        <w:t xml:space="preserve"> is calculated and applied in a similar manner. </w:t>
      </w:r>
    </w:p>
    <w:p w14:paraId="74C7F50D" w14:textId="13252057" w:rsidR="00550102" w:rsidRPr="00300F35" w:rsidRDefault="00550102" w:rsidP="00550102">
      <w:pPr>
        <w:spacing w:after="0" w:line="240" w:lineRule="auto"/>
        <w:rPr>
          <w:rFonts w:ascii="Calibri" w:hAnsi="Calibri"/>
          <w:color w:val="000000"/>
          <w:lang w:val="en-US" w:eastAsia="en-US"/>
        </w:rPr>
      </w:pPr>
      <w:r>
        <w:t xml:space="preserve">The </w:t>
      </w:r>
      <w:r w:rsidRPr="005A1510">
        <w:t>Stability Policy</w:t>
      </w:r>
      <w:r>
        <w:t xml:space="preserve"> requires that the year to year movements in price weights are capped at 20</w:t>
      </w:r>
      <w:r w:rsidR="00C2012D">
        <w:t> </w:t>
      </w:r>
      <w:r>
        <w:t xml:space="preserve">per cent. For </w:t>
      </w:r>
      <w:r w:rsidR="00C0296E">
        <w:t xml:space="preserve">NEP22 </w:t>
      </w:r>
      <w:r w:rsidR="006D307C">
        <w:t xml:space="preserve">the AECC price weights were compared to the price weights published for </w:t>
      </w:r>
      <w:r w:rsidR="00C0296E">
        <w:t>NEP21</w:t>
      </w:r>
      <w:r w:rsidR="006D307C">
        <w:t xml:space="preserve">. </w:t>
      </w:r>
      <w:r w:rsidR="00F0064B">
        <w:t xml:space="preserve">For </w:t>
      </w:r>
      <w:r w:rsidR="00C0296E">
        <w:t>NEP22</w:t>
      </w:r>
      <w:r w:rsidR="006D307C">
        <w:t xml:space="preserve"> </w:t>
      </w:r>
      <w:r w:rsidR="00F0064B">
        <w:t xml:space="preserve">there was a single price weight movement, that of AECC code </w:t>
      </w:r>
      <w:r w:rsidR="263F2012" w:rsidRPr="1A0BF094">
        <w:rPr>
          <w:i/>
          <w:iCs/>
        </w:rPr>
        <w:t>E6010C</w:t>
      </w:r>
      <w:r w:rsidR="009B04F9" w:rsidRPr="005D0045">
        <w:rPr>
          <w:i/>
          <w:iCs/>
        </w:rPr>
        <w:t xml:space="preserve"> – Forensic Examination Complexity Level C</w:t>
      </w:r>
      <w:r w:rsidR="000B5EAE">
        <w:t xml:space="preserve">, which was of sufficient magnitude to warrant stabilisation, and </w:t>
      </w:r>
      <w:r w:rsidR="263F2012">
        <w:t>no</w:t>
      </w:r>
      <w:r w:rsidR="00AC3B1D">
        <w:t xml:space="preserve"> UDG price w</w:t>
      </w:r>
      <w:r w:rsidR="002309DF">
        <w:t>e</w:t>
      </w:r>
      <w:r w:rsidR="00AC3B1D">
        <w:t xml:space="preserve">ight movements </w:t>
      </w:r>
      <w:r w:rsidR="00F314E8">
        <w:t>large enough to meet this stabilisation threshold.</w:t>
      </w:r>
      <w:r w:rsidR="006D307C">
        <w:t xml:space="preserve">  </w:t>
      </w:r>
    </w:p>
    <w:p w14:paraId="3610FCB1" w14:textId="77777777" w:rsidR="00550102" w:rsidRDefault="00550102" w:rsidP="00755433">
      <w:pPr>
        <w:pStyle w:val="Heading3"/>
      </w:pPr>
      <w:r>
        <w:t>Price weights and NWAU</w:t>
      </w:r>
    </w:p>
    <w:p w14:paraId="44BAEDA3" w14:textId="77777777" w:rsidR="00550102" w:rsidRDefault="00550102" w:rsidP="00A47F6C">
      <w:r>
        <w:t xml:space="preserve">The final step of the process involves the conversion of cost parameters to cost weights. This is done by </w:t>
      </w:r>
      <w:r w:rsidRPr="00D2117F">
        <w:t xml:space="preserve">dividing the </w:t>
      </w:r>
      <w:r w:rsidR="035A3273">
        <w:t>AECC</w:t>
      </w:r>
      <w:r w:rsidRPr="005E0DDF">
        <w:t xml:space="preserve"> and UDG</w:t>
      </w:r>
      <w:r w:rsidRPr="00D2117F">
        <w:t xml:space="preserve"> </w:t>
      </w:r>
      <w:r>
        <w:t>cost parameters</w:t>
      </w:r>
      <w:r w:rsidRPr="00D2117F">
        <w:t xml:space="preserve"> by the </w:t>
      </w:r>
      <w:r>
        <w:t>reference</w:t>
      </w:r>
      <w:r w:rsidRPr="0068154B">
        <w:t xml:space="preserve"> cost for </w:t>
      </w:r>
      <w:r>
        <w:t>the admitted acute cost model</w:t>
      </w:r>
      <w:r w:rsidRPr="00D2117F">
        <w:t>.</w:t>
      </w:r>
      <w:r>
        <w:t xml:space="preserve"> These cost weights are then converted to the price weights used to calculate the NWAU</w:t>
      </w:r>
      <w:r w:rsidRPr="00D2117F">
        <w:t>.</w:t>
      </w:r>
      <w:r w:rsidR="006D307C">
        <w:t xml:space="preserve">  </w:t>
      </w:r>
    </w:p>
    <w:p w14:paraId="523B702A" w14:textId="50E25CE0" w:rsidR="00550102" w:rsidRDefault="006D307C" w:rsidP="00A47F6C">
      <w:r>
        <w:t>T</w:t>
      </w:r>
      <w:r w:rsidR="00550102">
        <w:t xml:space="preserve">he price of an emergency care ABF activity is calculated using the following formula with adjustments as applicable. </w:t>
      </w:r>
    </w:p>
    <w:p w14:paraId="4D4ACEF4" w14:textId="0B68A0C2" w:rsidR="00550102" w:rsidRPr="00E24499" w:rsidRDefault="00550102" w:rsidP="00A47F6C">
      <w:pPr>
        <w:rPr>
          <w:b/>
        </w:rPr>
      </w:pPr>
      <w:r w:rsidRPr="00E24499">
        <w:rPr>
          <w:b/>
        </w:rPr>
        <w:t>Price of an emergency care or emergency service ABF activity</w:t>
      </w:r>
    </w:p>
    <w:p w14:paraId="49F23C5C" w14:textId="77777777" w:rsidR="00550102" w:rsidRPr="00282D32" w:rsidRDefault="00070BE1" w:rsidP="00A47F6C">
      <m:oMathPara>
        <m:oMath>
          <m:r>
            <m:rPr>
              <m:sty m:val="p"/>
            </m:rPr>
            <w:rPr>
              <w:rFonts w:ascii="Cambria Math" w:hAnsi="Cambria Math"/>
            </w:rPr>
            <m:t>={</m:t>
          </m:r>
          <m:r>
            <m:rPr>
              <m:sty m:val="b"/>
            </m:rPr>
            <w:rPr>
              <w:rFonts w:ascii="Cambria Math" w:hAnsi="Cambria Math"/>
            </w:rPr>
            <m:t>PW</m:t>
          </m:r>
          <m:r>
            <m:rPr>
              <m:sty m:val="p"/>
            </m:rPr>
            <w:rPr>
              <w:rFonts w:ascii="Cambria Math" w:hAnsi="Cambria Math"/>
            </w:rPr>
            <m:t>×</m:t>
          </m:r>
          <m:d>
            <m:dPr>
              <m:ctrlPr>
                <w:rPr>
                  <w:rFonts w:ascii="Cambria Math" w:hAnsi="Cambria Math"/>
                </w:rPr>
              </m:ctrlPr>
            </m:dPr>
            <m:e>
              <m:r>
                <m:rPr>
                  <m:sty m:val="b"/>
                </m:rPr>
                <w:rPr>
                  <w:rFonts w:ascii="Cambria Math" w:hAnsi="Cambria Math"/>
                </w:rPr>
                <m:t>1</m:t>
              </m:r>
              <m:r>
                <m:rPr>
                  <m:sty m:val="p"/>
                </m:rPr>
                <w:rPr>
                  <w:rFonts w:ascii="Cambria Math" w:hAnsi="Cambria Math"/>
                </w:rPr>
                <m:t>+</m:t>
              </m:r>
              <m:sSub>
                <m:sSubPr>
                  <m:ctrlPr>
                    <w:rPr>
                      <w:rFonts w:ascii="Cambria Math" w:hAnsi="Cambria Math"/>
                    </w:rPr>
                  </m:ctrlPr>
                </m:sSubPr>
                <m:e>
                  <m:r>
                    <m:rPr>
                      <m:sty m:val="b"/>
                    </m:rPr>
                    <w:rPr>
                      <w:rFonts w:ascii="Cambria Math" w:hAnsi="Cambria Math"/>
                    </w:rPr>
                    <m:t>A</m:t>
                  </m:r>
                </m:e>
                <m:sub>
                  <m:r>
                    <m:rPr>
                      <m:sty m:val="b"/>
                    </m:rPr>
                    <w:rPr>
                      <w:rFonts w:ascii="Cambria Math" w:hAnsi="Cambria Math"/>
                    </w:rPr>
                    <m:t>Ind</m:t>
                  </m:r>
                </m:sub>
              </m:sSub>
              <m:r>
                <w:rPr>
                  <w:rFonts w:ascii="Cambria Math" w:hAnsi="Cambria Math"/>
                </w:rPr>
                <m:t>+</m:t>
              </m:r>
              <m:sSub>
                <m:sSubPr>
                  <m:ctrlPr>
                    <w:rPr>
                      <w:rFonts w:ascii="Cambria Math" w:hAnsi="Cambria Math"/>
                    </w:rPr>
                  </m:ctrlPr>
                </m:sSubPr>
                <m:e>
                  <m:r>
                    <m:rPr>
                      <m:sty m:val="b"/>
                    </m:rPr>
                    <w:rPr>
                      <w:rFonts w:ascii="Cambria Math" w:hAnsi="Cambria Math"/>
                    </w:rPr>
                    <m:t>A</m:t>
                  </m:r>
                </m:e>
                <m:sub>
                  <m:r>
                    <m:rPr>
                      <m:sty m:val="b"/>
                    </m:rPr>
                    <w:rPr>
                      <w:rFonts w:ascii="Cambria Math" w:hAnsi="Cambria Math"/>
                    </w:rPr>
                    <m:t>Res</m:t>
                  </m:r>
                </m:sub>
              </m:sSub>
            </m:e>
          </m:d>
          <m:r>
            <m:rPr>
              <m:sty m:val="p"/>
            </m:rPr>
            <w:rPr>
              <w:rFonts w:ascii="Cambria Math" w:hAnsi="Cambria Math"/>
            </w:rPr>
            <m:t>×(</m:t>
          </m:r>
          <m:r>
            <m:rPr>
              <m:sty m:val="b"/>
            </m:rPr>
            <w:rPr>
              <w:rFonts w:ascii="Cambria Math" w:hAnsi="Cambria Math"/>
            </w:rPr>
            <m:t>1</m:t>
          </m:r>
          <m:r>
            <m:rPr>
              <m:sty m:val="p"/>
            </m:rPr>
            <w:rPr>
              <w:rFonts w:ascii="Cambria Math" w:hAnsi="Cambria Math"/>
            </w:rPr>
            <m:t>+</m:t>
          </m:r>
          <m:sSub>
            <m:sSubPr>
              <m:ctrlPr>
                <w:rPr>
                  <w:rFonts w:ascii="Cambria Math" w:hAnsi="Cambria Math"/>
                </w:rPr>
              </m:ctrlPr>
            </m:sSubPr>
            <m:e>
              <m:r>
                <m:rPr>
                  <m:sty m:val="b"/>
                </m:rPr>
                <w:rPr>
                  <w:rFonts w:ascii="Cambria Math" w:hAnsi="Cambria Math"/>
                </w:rPr>
                <m:t>A</m:t>
              </m:r>
            </m:e>
            <m:sub>
              <m:r>
                <m:rPr>
                  <m:sty m:val="b"/>
                </m:rPr>
                <w:rPr>
                  <w:rFonts w:ascii="Cambria Math" w:hAnsi="Cambria Math"/>
                </w:rPr>
                <m:t>Treat</m:t>
              </m:r>
            </m:sub>
          </m:sSub>
          <m:r>
            <m:rPr>
              <m:sty m:val="p"/>
            </m:rPr>
            <w:rPr>
              <w:rFonts w:ascii="Cambria Math" w:hAnsi="Cambria Math"/>
            </w:rPr>
            <m:t>)}×</m:t>
          </m:r>
          <m:r>
            <m:rPr>
              <m:sty m:val="b"/>
            </m:rPr>
            <w:rPr>
              <w:rFonts w:ascii="Cambria Math" w:hAnsi="Cambria Math"/>
            </w:rPr>
            <m:t>NEP</m:t>
          </m:r>
        </m:oMath>
      </m:oMathPara>
    </w:p>
    <w:p w14:paraId="6D026777" w14:textId="607702AE" w:rsidR="00550102" w:rsidRPr="000306BE" w:rsidRDefault="00550102" w:rsidP="00A47F6C">
      <w:r w:rsidRPr="000306BE">
        <w:t>Where:</w:t>
      </w:r>
      <w:r w:rsidRPr="002A1927">
        <w:t xml:space="preserve"> </w:t>
      </w:r>
    </w:p>
    <w:p w14:paraId="10483C77" w14:textId="77777777" w:rsidR="00550102" w:rsidRDefault="00550102" w:rsidP="00565FFE">
      <w:pPr>
        <w:spacing w:before="100" w:after="100" w:line="240" w:lineRule="auto"/>
        <w:ind w:left="1985" w:hanging="1985"/>
      </w:pPr>
      <w:r w:rsidRPr="00565FFE">
        <w:rPr>
          <w:b/>
        </w:rPr>
        <w:t>A</w:t>
      </w:r>
      <w:r w:rsidRPr="00565FFE">
        <w:rPr>
          <w:b/>
          <w:vertAlign w:val="subscript"/>
        </w:rPr>
        <w:t>Ind</w:t>
      </w:r>
      <w:r w:rsidRPr="000306BE">
        <w:rPr>
          <w:vertAlign w:val="subscript"/>
        </w:rPr>
        <w:tab/>
      </w:r>
      <w:r w:rsidRPr="000306BE">
        <w:t xml:space="preserve">means the </w:t>
      </w:r>
      <w:r w:rsidRPr="00EC1F9C">
        <w:t xml:space="preserve">Indigenous </w:t>
      </w:r>
      <w:r>
        <w:t>a</w:t>
      </w:r>
      <w:r w:rsidRPr="00EC1F9C">
        <w:t>djustment</w:t>
      </w:r>
      <w:r w:rsidR="009B1250">
        <w:t xml:space="preserve"> (emergency departments only)</w:t>
      </w:r>
    </w:p>
    <w:p w14:paraId="3E445B00" w14:textId="77777777" w:rsidR="00550102" w:rsidRDefault="00550102" w:rsidP="00565FFE">
      <w:pPr>
        <w:spacing w:before="100" w:after="100" w:line="240" w:lineRule="auto"/>
        <w:ind w:left="1985" w:hanging="1985"/>
        <w:rPr>
          <w:i/>
        </w:rPr>
      </w:pPr>
      <w:r w:rsidRPr="00565FFE">
        <w:rPr>
          <w:b/>
        </w:rPr>
        <w:t>A</w:t>
      </w:r>
      <w:r w:rsidRPr="00565FFE">
        <w:rPr>
          <w:b/>
          <w:vertAlign w:val="subscript"/>
        </w:rPr>
        <w:t>Res</w:t>
      </w:r>
      <w:r w:rsidRPr="000306BE">
        <w:rPr>
          <w:vertAlign w:val="subscript"/>
        </w:rPr>
        <w:tab/>
      </w:r>
      <w:r w:rsidRPr="000306BE">
        <w:t xml:space="preserve">means </w:t>
      </w:r>
      <w:r w:rsidR="003C0B85">
        <w:t xml:space="preserve">each or any </w:t>
      </w:r>
      <w:r>
        <w:t>p</w:t>
      </w:r>
      <w:r w:rsidRPr="00EC1F9C">
        <w:t xml:space="preserve">atient </w:t>
      </w:r>
      <w:r>
        <w:t>r</w:t>
      </w:r>
      <w:r w:rsidRPr="00EC1F9C">
        <w:t>esidential</w:t>
      </w:r>
      <w:r w:rsidRPr="005E6F12">
        <w:t xml:space="preserve"> </w:t>
      </w:r>
      <w:r>
        <w:t>r</w:t>
      </w:r>
      <w:r w:rsidRPr="00EC1F9C">
        <w:t>emoteness</w:t>
      </w:r>
      <w:r w:rsidRPr="005E6F12">
        <w:t xml:space="preserve"> </w:t>
      </w:r>
      <w:r>
        <w:t>a</w:t>
      </w:r>
      <w:r w:rsidRPr="00EC1F9C">
        <w:t xml:space="preserve">rea </w:t>
      </w:r>
      <w:r>
        <w:t>a</w:t>
      </w:r>
      <w:r w:rsidRPr="00EC1F9C">
        <w:t>djustment</w:t>
      </w:r>
      <w:r w:rsidR="009B1250">
        <w:t xml:space="preserve"> </w:t>
      </w:r>
      <w:r w:rsidR="009B1250" w:rsidRPr="00543F98">
        <w:t>(emergency departments only)</w:t>
      </w:r>
    </w:p>
    <w:p w14:paraId="5F63EA90" w14:textId="77777777" w:rsidR="00550102" w:rsidRDefault="00550102" w:rsidP="00565FFE">
      <w:pPr>
        <w:spacing w:before="100" w:after="100" w:line="240" w:lineRule="auto"/>
        <w:ind w:left="1985" w:hanging="1985"/>
        <w:rPr>
          <w:i/>
        </w:rPr>
      </w:pPr>
      <w:r w:rsidRPr="00565FFE">
        <w:rPr>
          <w:b/>
        </w:rPr>
        <w:t>A</w:t>
      </w:r>
      <w:r w:rsidRPr="00565FFE">
        <w:rPr>
          <w:b/>
          <w:vertAlign w:val="subscript"/>
        </w:rPr>
        <w:t>Treat</w:t>
      </w:r>
      <w:r w:rsidRPr="000306BE">
        <w:rPr>
          <w:vertAlign w:val="subscript"/>
        </w:rPr>
        <w:tab/>
      </w:r>
      <w:r w:rsidRPr="000306BE">
        <w:t xml:space="preserve">means </w:t>
      </w:r>
      <w:r w:rsidR="003C0B85">
        <w:t xml:space="preserve">each or any </w:t>
      </w:r>
      <w:r>
        <w:t>p</w:t>
      </w:r>
      <w:r w:rsidRPr="00EC1F9C">
        <w:t>atient</w:t>
      </w:r>
      <w:r w:rsidRPr="005E6F12">
        <w:t xml:space="preserve"> </w:t>
      </w:r>
      <w:r>
        <w:t>t</w:t>
      </w:r>
      <w:r w:rsidRPr="00EC1F9C">
        <w:t>reatment</w:t>
      </w:r>
      <w:r w:rsidRPr="005E6F12">
        <w:t xml:space="preserve"> </w:t>
      </w:r>
      <w:r>
        <w:t>r</w:t>
      </w:r>
      <w:r w:rsidRPr="00EC1F9C">
        <w:t>emoteness</w:t>
      </w:r>
      <w:r w:rsidRPr="005E6F12">
        <w:t xml:space="preserve"> </w:t>
      </w:r>
      <w:r>
        <w:t>a</w:t>
      </w:r>
      <w:r w:rsidRPr="00EC1F9C">
        <w:t xml:space="preserve">rea </w:t>
      </w:r>
      <w:r>
        <w:t>a</w:t>
      </w:r>
      <w:r w:rsidRPr="00EC1F9C">
        <w:t>djustment</w:t>
      </w:r>
    </w:p>
    <w:p w14:paraId="172A6ECE" w14:textId="5D7A21B7" w:rsidR="00550102" w:rsidRPr="000306BE" w:rsidRDefault="00550102" w:rsidP="00565FFE">
      <w:pPr>
        <w:spacing w:before="100" w:after="100" w:line="240" w:lineRule="auto"/>
        <w:ind w:left="1985" w:hanging="1985"/>
      </w:pPr>
      <w:r w:rsidRPr="00565FFE">
        <w:rPr>
          <w:b/>
        </w:rPr>
        <w:t>NEP</w:t>
      </w:r>
      <w:r w:rsidRPr="000306BE">
        <w:tab/>
      </w:r>
      <w:r w:rsidR="003C0B85">
        <w:t>means N</w:t>
      </w:r>
      <w:r w:rsidR="003C0B85" w:rsidRPr="000306BE">
        <w:t xml:space="preserve">ational </w:t>
      </w:r>
      <w:r w:rsidR="003C0B85">
        <w:t>E</w:t>
      </w:r>
      <w:r w:rsidRPr="000306BE">
        <w:t xml:space="preserve">fficient </w:t>
      </w:r>
      <w:r w:rsidR="003C0B85">
        <w:t>P</w:t>
      </w:r>
      <w:r w:rsidRPr="000306BE">
        <w:t xml:space="preserve">rice </w:t>
      </w:r>
      <w:r w:rsidR="00881335">
        <w:t>2022</w:t>
      </w:r>
      <w:r>
        <w:t>–</w:t>
      </w:r>
      <w:r w:rsidR="00881335">
        <w:t>23</w:t>
      </w:r>
    </w:p>
    <w:p w14:paraId="51E99C2B" w14:textId="598C507D" w:rsidR="00550102" w:rsidRPr="00A53159" w:rsidRDefault="00550102" w:rsidP="00565FFE">
      <w:pPr>
        <w:spacing w:before="100" w:after="100" w:line="240" w:lineRule="auto"/>
        <w:ind w:left="1985" w:hanging="1985"/>
      </w:pPr>
      <w:r w:rsidRPr="00565FFE">
        <w:rPr>
          <w:b/>
        </w:rPr>
        <w:t>PW</w:t>
      </w:r>
      <w:r w:rsidRPr="000306BE">
        <w:tab/>
        <w:t xml:space="preserve">means the </w:t>
      </w:r>
      <w:r>
        <w:t>p</w:t>
      </w:r>
      <w:r w:rsidRPr="000306BE">
        <w:t xml:space="preserve">rice </w:t>
      </w:r>
      <w:r>
        <w:t>w</w:t>
      </w:r>
      <w:r w:rsidRPr="000306BE">
        <w:t>eight f</w:t>
      </w:r>
      <w:r>
        <w:t>or an ABF activity as set out in</w:t>
      </w:r>
      <w:r w:rsidRPr="000306BE">
        <w:t xml:space="preserve"> </w:t>
      </w:r>
      <w:r w:rsidRPr="002D4A0B">
        <w:rPr>
          <w:b/>
        </w:rPr>
        <w:t>Appendix L</w:t>
      </w:r>
      <w:r w:rsidRPr="001E4AE7">
        <w:t xml:space="preserve"> (for</w:t>
      </w:r>
      <w:r>
        <w:t xml:space="preserve"> emergency </w:t>
      </w:r>
      <w:r w:rsidR="003C0B85">
        <w:t>department</w:t>
      </w:r>
      <w:r>
        <w:t xml:space="preserve">) or </w:t>
      </w:r>
      <w:r w:rsidRPr="002D4A0B">
        <w:rPr>
          <w:b/>
        </w:rPr>
        <w:t>Appendix M</w:t>
      </w:r>
      <w:r w:rsidRPr="001E4AE7">
        <w:t xml:space="preserve"> (</w:t>
      </w:r>
      <w:r>
        <w:t>for emergency service</w:t>
      </w:r>
      <w:r w:rsidR="003C0B85">
        <w:t>s</w:t>
      </w:r>
      <w:r>
        <w:t xml:space="preserve">) of the </w:t>
      </w:r>
      <w:r w:rsidRPr="00A53159">
        <w:t xml:space="preserve">National Efficient Price Determination </w:t>
      </w:r>
      <w:r w:rsidR="00881335" w:rsidRPr="00A53159">
        <w:t>202</w:t>
      </w:r>
      <w:r w:rsidR="00881335">
        <w:t>2</w:t>
      </w:r>
      <w:r w:rsidRPr="00A53159">
        <w:t>–</w:t>
      </w:r>
      <w:r w:rsidR="00881335" w:rsidRPr="00A53159">
        <w:t>2</w:t>
      </w:r>
      <w:r w:rsidR="00881335">
        <w:t>3</w:t>
      </w:r>
      <w:r w:rsidRPr="00A53159">
        <w:t xml:space="preserve">.  </w:t>
      </w:r>
    </w:p>
    <w:p w14:paraId="0A18F477" w14:textId="77777777" w:rsidR="00550102" w:rsidRDefault="001F7202" w:rsidP="00A47F6C">
      <w:r>
        <w:t>T</w:t>
      </w:r>
      <w:r w:rsidR="00550102">
        <w:t>able</w:t>
      </w:r>
      <w:r w:rsidR="00176BB4">
        <w:t xml:space="preserve"> </w:t>
      </w:r>
      <w:r w:rsidR="00302145">
        <w:t xml:space="preserve">9 </w:t>
      </w:r>
      <w:r w:rsidR="00550102">
        <w:t xml:space="preserve">outlines the required information in order to apply the above formula. </w:t>
      </w:r>
    </w:p>
    <w:p w14:paraId="7A6740B5" w14:textId="77777777" w:rsidR="00550102" w:rsidRPr="000351BD" w:rsidRDefault="00550102" w:rsidP="00836FC5">
      <w:pPr>
        <w:pStyle w:val="TableHeading"/>
      </w:pPr>
      <w:r w:rsidRPr="000351BD">
        <w:lastRenderedPageBreak/>
        <w:t xml:space="preserve">Table </w:t>
      </w:r>
      <w:r w:rsidR="00302145">
        <w:t>9</w:t>
      </w:r>
      <w:r w:rsidRPr="000351BD">
        <w:t>: Dataset and tables required for assignment of NWAU to emergency department patient data</w:t>
      </w:r>
    </w:p>
    <w:tbl>
      <w:tblPr>
        <w:tblStyle w:val="TableGrid"/>
        <w:tblW w:w="893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10: Dataset and tables required for assignment of NWAU to emergency department patient data."/>
        <w:tblDescription w:val="A summary of table 8 is outlined in the text prior to this table."/>
      </w:tblPr>
      <w:tblGrid>
        <w:gridCol w:w="2977"/>
        <w:gridCol w:w="5953"/>
      </w:tblGrid>
      <w:tr w:rsidR="00550102" w:rsidRPr="008B0A88" w14:paraId="1AE80926" w14:textId="77777777" w:rsidTr="00A84D5C">
        <w:trPr>
          <w:cantSplit/>
          <w:tblHeader/>
        </w:trPr>
        <w:tc>
          <w:tcPr>
            <w:tcW w:w="2977" w:type="dxa"/>
            <w:shd w:val="clear" w:color="auto" w:fill="288A32"/>
          </w:tcPr>
          <w:p w14:paraId="662A6AE5" w14:textId="77777777" w:rsidR="00550102" w:rsidRPr="00866D5B" w:rsidRDefault="00550102" w:rsidP="00F41C22">
            <w:pPr>
              <w:rPr>
                <w:color w:val="FFFFFF" w:themeColor="background1"/>
                <w:sz w:val="20"/>
                <w:szCs w:val="20"/>
              </w:rPr>
            </w:pPr>
            <w:r w:rsidRPr="00866D5B">
              <w:rPr>
                <w:color w:val="FFFFFF" w:themeColor="background1"/>
                <w:sz w:val="20"/>
                <w:szCs w:val="20"/>
              </w:rPr>
              <w:t>Input dataset or table</w:t>
            </w:r>
          </w:p>
        </w:tc>
        <w:tc>
          <w:tcPr>
            <w:tcW w:w="5953" w:type="dxa"/>
            <w:shd w:val="clear" w:color="auto" w:fill="288A32"/>
          </w:tcPr>
          <w:p w14:paraId="0453B8E0" w14:textId="77777777" w:rsidR="00550102" w:rsidRPr="00866D5B" w:rsidRDefault="00550102" w:rsidP="00F41C22">
            <w:pPr>
              <w:rPr>
                <w:color w:val="FFFFFF" w:themeColor="background1"/>
                <w:sz w:val="20"/>
                <w:szCs w:val="20"/>
              </w:rPr>
            </w:pPr>
            <w:r w:rsidRPr="00866D5B">
              <w:rPr>
                <w:color w:val="FFFFFF" w:themeColor="background1"/>
                <w:sz w:val="20"/>
                <w:szCs w:val="20"/>
              </w:rPr>
              <w:t>Description</w:t>
            </w:r>
          </w:p>
        </w:tc>
      </w:tr>
      <w:tr w:rsidR="00550102" w:rsidRPr="00F30FA1" w14:paraId="4F87B688" w14:textId="77777777" w:rsidTr="00A84D5C">
        <w:trPr>
          <w:cantSplit/>
        </w:trPr>
        <w:tc>
          <w:tcPr>
            <w:tcW w:w="2977" w:type="dxa"/>
          </w:tcPr>
          <w:p w14:paraId="52B3AAE1" w14:textId="77777777" w:rsidR="00550102" w:rsidRPr="00521F7C" w:rsidRDefault="00550102" w:rsidP="00F41C22">
            <w:pPr>
              <w:rPr>
                <w:sz w:val="20"/>
                <w:szCs w:val="20"/>
              </w:rPr>
            </w:pPr>
            <w:r w:rsidRPr="00521F7C">
              <w:rPr>
                <w:sz w:val="20"/>
                <w:szCs w:val="20"/>
              </w:rPr>
              <w:t>NAPEDC NMDS</w:t>
            </w:r>
          </w:p>
        </w:tc>
        <w:tc>
          <w:tcPr>
            <w:tcW w:w="5953" w:type="dxa"/>
          </w:tcPr>
          <w:p w14:paraId="51AF5CCB" w14:textId="77777777" w:rsidR="00550102" w:rsidRPr="00521F7C" w:rsidRDefault="00550102" w:rsidP="00F41C22">
            <w:pPr>
              <w:rPr>
                <w:sz w:val="20"/>
                <w:szCs w:val="20"/>
              </w:rPr>
            </w:pPr>
            <w:r w:rsidRPr="00521F7C">
              <w:rPr>
                <w:sz w:val="20"/>
                <w:szCs w:val="20"/>
              </w:rPr>
              <w:t>Non-admitted patient emergency department care national minimum data set (NAP EDC NMDS).</w:t>
            </w:r>
          </w:p>
        </w:tc>
      </w:tr>
      <w:tr w:rsidR="00550102" w:rsidRPr="00F30FA1" w14:paraId="26DF90EA" w14:textId="77777777" w:rsidTr="00A84D5C">
        <w:trPr>
          <w:cantSplit/>
        </w:trPr>
        <w:tc>
          <w:tcPr>
            <w:tcW w:w="2977" w:type="dxa"/>
          </w:tcPr>
          <w:p w14:paraId="247250A1" w14:textId="1BA9DC33" w:rsidR="00550102" w:rsidRPr="00521F7C" w:rsidRDefault="006653EB" w:rsidP="009B1250">
            <w:pPr>
              <w:rPr>
                <w:sz w:val="20"/>
                <w:szCs w:val="20"/>
              </w:rPr>
            </w:pPr>
            <w:r w:rsidRPr="00521F7C">
              <w:rPr>
                <w:sz w:val="20"/>
                <w:szCs w:val="20"/>
              </w:rPr>
              <w:t>202</w:t>
            </w:r>
            <w:r>
              <w:rPr>
                <w:sz w:val="20"/>
                <w:szCs w:val="20"/>
              </w:rPr>
              <w:t>2</w:t>
            </w:r>
            <w:r w:rsidR="00550102" w:rsidRPr="00521F7C">
              <w:rPr>
                <w:sz w:val="20"/>
                <w:szCs w:val="20"/>
              </w:rPr>
              <w:t>–</w:t>
            </w:r>
            <w:r w:rsidRPr="00521F7C">
              <w:rPr>
                <w:sz w:val="20"/>
                <w:szCs w:val="20"/>
              </w:rPr>
              <w:t>2</w:t>
            </w:r>
            <w:r>
              <w:rPr>
                <w:sz w:val="20"/>
                <w:szCs w:val="20"/>
              </w:rPr>
              <w:t>3</w:t>
            </w:r>
            <w:r w:rsidRPr="00521F7C">
              <w:rPr>
                <w:sz w:val="20"/>
                <w:szCs w:val="20"/>
              </w:rPr>
              <w:t xml:space="preserve"> </w:t>
            </w:r>
            <w:r w:rsidR="00550102" w:rsidRPr="00521F7C">
              <w:rPr>
                <w:sz w:val="20"/>
                <w:szCs w:val="20"/>
              </w:rPr>
              <w:t>NWAU price weight tables</w:t>
            </w:r>
          </w:p>
        </w:tc>
        <w:tc>
          <w:tcPr>
            <w:tcW w:w="5953" w:type="dxa"/>
          </w:tcPr>
          <w:p w14:paraId="508C066E" w14:textId="31BB2767" w:rsidR="00550102" w:rsidRPr="00521F7C" w:rsidRDefault="006653EB" w:rsidP="006B4155">
            <w:pPr>
              <w:rPr>
                <w:sz w:val="20"/>
                <w:szCs w:val="20"/>
              </w:rPr>
            </w:pPr>
            <w:r w:rsidRPr="00521F7C">
              <w:rPr>
                <w:sz w:val="20"/>
                <w:szCs w:val="20"/>
              </w:rPr>
              <w:t>202</w:t>
            </w:r>
            <w:r>
              <w:rPr>
                <w:sz w:val="20"/>
                <w:szCs w:val="20"/>
              </w:rPr>
              <w:t>2</w:t>
            </w:r>
            <w:r w:rsidR="00550102" w:rsidRPr="00521F7C">
              <w:rPr>
                <w:sz w:val="20"/>
                <w:szCs w:val="20"/>
              </w:rPr>
              <w:t>–</w:t>
            </w:r>
            <w:r w:rsidRPr="00521F7C">
              <w:rPr>
                <w:sz w:val="20"/>
                <w:szCs w:val="20"/>
              </w:rPr>
              <w:t>2</w:t>
            </w:r>
            <w:r>
              <w:rPr>
                <w:sz w:val="20"/>
                <w:szCs w:val="20"/>
              </w:rPr>
              <w:t>3</w:t>
            </w:r>
            <w:r w:rsidRPr="00521F7C">
              <w:rPr>
                <w:sz w:val="20"/>
                <w:szCs w:val="20"/>
              </w:rPr>
              <w:t xml:space="preserve"> </w:t>
            </w:r>
            <w:r w:rsidR="00550102" w:rsidRPr="00521F7C">
              <w:rPr>
                <w:sz w:val="20"/>
                <w:szCs w:val="20"/>
              </w:rPr>
              <w:t xml:space="preserve">emergency care NWAU </w:t>
            </w:r>
            <w:r w:rsidR="006B4155" w:rsidRPr="00521F7C">
              <w:rPr>
                <w:sz w:val="20"/>
                <w:szCs w:val="20"/>
              </w:rPr>
              <w:t xml:space="preserve">AECC </w:t>
            </w:r>
            <w:r w:rsidR="00550102" w:rsidRPr="00521F7C">
              <w:rPr>
                <w:sz w:val="20"/>
                <w:szCs w:val="20"/>
              </w:rPr>
              <w:t xml:space="preserve">and UDG price weight tables, found in the National Efficient Price Determination </w:t>
            </w:r>
            <w:r w:rsidRPr="00521F7C">
              <w:rPr>
                <w:sz w:val="20"/>
                <w:szCs w:val="20"/>
              </w:rPr>
              <w:t>202</w:t>
            </w:r>
            <w:r>
              <w:rPr>
                <w:sz w:val="20"/>
                <w:szCs w:val="20"/>
              </w:rPr>
              <w:t>2</w:t>
            </w:r>
            <w:r w:rsidR="00550102" w:rsidRPr="00521F7C">
              <w:rPr>
                <w:sz w:val="20"/>
                <w:szCs w:val="20"/>
              </w:rPr>
              <w:t>–</w:t>
            </w:r>
            <w:r w:rsidRPr="00521F7C">
              <w:rPr>
                <w:sz w:val="20"/>
                <w:szCs w:val="20"/>
              </w:rPr>
              <w:t>2</w:t>
            </w:r>
            <w:r>
              <w:rPr>
                <w:sz w:val="20"/>
                <w:szCs w:val="20"/>
              </w:rPr>
              <w:t>3</w:t>
            </w:r>
            <w:r w:rsidR="00550102" w:rsidRPr="00521F7C">
              <w:rPr>
                <w:sz w:val="20"/>
                <w:szCs w:val="20"/>
              </w:rPr>
              <w:t>.</w:t>
            </w:r>
          </w:p>
        </w:tc>
      </w:tr>
      <w:tr w:rsidR="001944E5" w:rsidRPr="00F30FA1" w14:paraId="36A4CA17" w14:textId="77777777" w:rsidTr="00A84D5C">
        <w:trPr>
          <w:cantSplit/>
        </w:trPr>
        <w:tc>
          <w:tcPr>
            <w:tcW w:w="2977" w:type="dxa"/>
          </w:tcPr>
          <w:p w14:paraId="69C72A83" w14:textId="5FD19AFD" w:rsidR="00550102" w:rsidRPr="00521F7C" w:rsidRDefault="006653EB" w:rsidP="009B1250">
            <w:pPr>
              <w:rPr>
                <w:sz w:val="20"/>
                <w:szCs w:val="20"/>
              </w:rPr>
            </w:pPr>
            <w:r w:rsidRPr="00521F7C">
              <w:rPr>
                <w:sz w:val="20"/>
                <w:szCs w:val="20"/>
              </w:rPr>
              <w:t>202</w:t>
            </w:r>
            <w:r>
              <w:rPr>
                <w:sz w:val="20"/>
                <w:szCs w:val="20"/>
              </w:rPr>
              <w:t>2</w:t>
            </w:r>
            <w:r w:rsidR="00550102" w:rsidRPr="00521F7C">
              <w:rPr>
                <w:sz w:val="20"/>
                <w:szCs w:val="20"/>
              </w:rPr>
              <w:t>–</w:t>
            </w:r>
            <w:r w:rsidRPr="00521F7C">
              <w:rPr>
                <w:sz w:val="20"/>
                <w:szCs w:val="20"/>
              </w:rPr>
              <w:t>2</w:t>
            </w:r>
            <w:r>
              <w:rPr>
                <w:sz w:val="20"/>
                <w:szCs w:val="20"/>
              </w:rPr>
              <w:t>3</w:t>
            </w:r>
            <w:r w:rsidRPr="00521F7C">
              <w:rPr>
                <w:sz w:val="20"/>
                <w:szCs w:val="20"/>
              </w:rPr>
              <w:t xml:space="preserve"> </w:t>
            </w:r>
            <w:r w:rsidR="00550102" w:rsidRPr="00521F7C">
              <w:rPr>
                <w:sz w:val="20"/>
                <w:szCs w:val="20"/>
              </w:rPr>
              <w:t>NWAU adjustments</w:t>
            </w:r>
          </w:p>
        </w:tc>
        <w:tc>
          <w:tcPr>
            <w:tcW w:w="5953" w:type="dxa"/>
          </w:tcPr>
          <w:p w14:paraId="18B6C4B3" w14:textId="6A82D776" w:rsidR="00550102" w:rsidRPr="00521F7C" w:rsidRDefault="006653EB">
            <w:pPr>
              <w:rPr>
                <w:sz w:val="20"/>
                <w:szCs w:val="20"/>
              </w:rPr>
            </w:pPr>
            <w:r w:rsidRPr="00521F7C">
              <w:rPr>
                <w:sz w:val="20"/>
                <w:szCs w:val="20"/>
              </w:rPr>
              <w:t>202</w:t>
            </w:r>
            <w:r>
              <w:rPr>
                <w:sz w:val="20"/>
                <w:szCs w:val="20"/>
              </w:rPr>
              <w:t>2</w:t>
            </w:r>
            <w:r w:rsidR="00550102" w:rsidRPr="00521F7C">
              <w:rPr>
                <w:sz w:val="20"/>
                <w:szCs w:val="20"/>
              </w:rPr>
              <w:t>–</w:t>
            </w:r>
            <w:r w:rsidRPr="00521F7C">
              <w:rPr>
                <w:sz w:val="20"/>
                <w:szCs w:val="20"/>
              </w:rPr>
              <w:t>2</w:t>
            </w:r>
            <w:r>
              <w:rPr>
                <w:sz w:val="20"/>
                <w:szCs w:val="20"/>
              </w:rPr>
              <w:t>3</w:t>
            </w:r>
            <w:r w:rsidRPr="00521F7C">
              <w:rPr>
                <w:sz w:val="20"/>
                <w:szCs w:val="20"/>
              </w:rPr>
              <w:t xml:space="preserve"> </w:t>
            </w:r>
            <w:r w:rsidR="00550102" w:rsidRPr="00521F7C">
              <w:rPr>
                <w:sz w:val="20"/>
                <w:szCs w:val="20"/>
              </w:rPr>
              <w:t xml:space="preserve">emergency care NWAU adjustments, found in the National Efficient Price Determination </w:t>
            </w:r>
            <w:r w:rsidRPr="00521F7C">
              <w:rPr>
                <w:sz w:val="20"/>
                <w:szCs w:val="20"/>
              </w:rPr>
              <w:t>202</w:t>
            </w:r>
            <w:r>
              <w:rPr>
                <w:sz w:val="20"/>
                <w:szCs w:val="20"/>
              </w:rPr>
              <w:t>2</w:t>
            </w:r>
            <w:r w:rsidR="00550102" w:rsidRPr="00521F7C">
              <w:rPr>
                <w:sz w:val="20"/>
                <w:szCs w:val="20"/>
              </w:rPr>
              <w:t>–</w:t>
            </w:r>
            <w:r w:rsidRPr="00521F7C">
              <w:rPr>
                <w:sz w:val="20"/>
                <w:szCs w:val="20"/>
              </w:rPr>
              <w:t>2</w:t>
            </w:r>
            <w:r>
              <w:rPr>
                <w:sz w:val="20"/>
                <w:szCs w:val="20"/>
              </w:rPr>
              <w:t>3</w:t>
            </w:r>
            <w:r w:rsidR="00550102" w:rsidRPr="00521F7C">
              <w:rPr>
                <w:sz w:val="20"/>
                <w:szCs w:val="20"/>
              </w:rPr>
              <w:t>.</w:t>
            </w:r>
          </w:p>
        </w:tc>
      </w:tr>
    </w:tbl>
    <w:p w14:paraId="6AE99DA2" w14:textId="77777777" w:rsidR="00550102" w:rsidRDefault="00550102" w:rsidP="00F41C22">
      <w:r>
        <w:t xml:space="preserve">The </w:t>
      </w:r>
      <w:r w:rsidRPr="001B61CF">
        <w:t xml:space="preserve">variables </w:t>
      </w:r>
      <w:r w:rsidR="00176BB4">
        <w:t>in Table 1</w:t>
      </w:r>
      <w:r w:rsidR="00302145">
        <w:t>0</w:t>
      </w:r>
      <w:r w:rsidR="00C0193B">
        <w:t xml:space="preserve"> </w:t>
      </w:r>
      <w:r w:rsidRPr="001B61CF">
        <w:t xml:space="preserve">are required to form the input </w:t>
      </w:r>
      <w:r>
        <w:t>emergency care</w:t>
      </w:r>
      <w:r w:rsidR="00C0193B">
        <w:t xml:space="preserve"> dataset.</w:t>
      </w:r>
    </w:p>
    <w:p w14:paraId="1F51426B" w14:textId="430ABDA1" w:rsidR="00C0193B" w:rsidRPr="001B61CF" w:rsidRDefault="00176BB4" w:rsidP="00836FC5">
      <w:pPr>
        <w:pStyle w:val="TableHeading"/>
      </w:pPr>
      <w:r>
        <w:t xml:space="preserve">Table </w:t>
      </w:r>
      <w:r w:rsidRPr="001E4AE7">
        <w:t>1</w:t>
      </w:r>
      <w:r w:rsidR="00302145">
        <w:t>0</w:t>
      </w:r>
      <w:r w:rsidR="00C0193B" w:rsidRPr="001E4AE7">
        <w:t xml:space="preserve">: NAPEDC NMDS variables used to calculate the </w:t>
      </w:r>
      <w:r w:rsidR="006653EB" w:rsidRPr="001E4AE7">
        <w:t>202</w:t>
      </w:r>
      <w:r w:rsidR="006653EB">
        <w:t>2</w:t>
      </w:r>
      <w:r w:rsidR="00A84D5C">
        <w:t>–</w:t>
      </w:r>
      <w:r w:rsidR="006653EB" w:rsidRPr="001E4AE7">
        <w:t>2</w:t>
      </w:r>
      <w:r w:rsidR="006653EB">
        <w:t>3</w:t>
      </w:r>
      <w:r w:rsidR="006653EB" w:rsidRPr="001E4AE7">
        <w:t xml:space="preserve"> </w:t>
      </w:r>
      <w:r w:rsidR="00C0193B" w:rsidRPr="001E4AE7">
        <w:t>NWAU</w:t>
      </w:r>
    </w:p>
    <w:tbl>
      <w:tblPr>
        <w:tblStyle w:val="TableGrid"/>
        <w:tblW w:w="0" w:type="auto"/>
        <w:tblLook w:val="04A0" w:firstRow="1" w:lastRow="0" w:firstColumn="1" w:lastColumn="0" w:noHBand="0" w:noVBand="1"/>
      </w:tblPr>
      <w:tblGrid>
        <w:gridCol w:w="8715"/>
      </w:tblGrid>
      <w:tr w:rsidR="00C0193B" w:rsidRPr="00C0193B" w14:paraId="0F2C55A4" w14:textId="77777777" w:rsidTr="00A84D5C">
        <w:tc>
          <w:tcPr>
            <w:tcW w:w="8715" w:type="dxa"/>
            <w:shd w:val="clear" w:color="auto" w:fill="288A32"/>
          </w:tcPr>
          <w:p w14:paraId="0B6DD260" w14:textId="77777777" w:rsidR="00C0193B" w:rsidRPr="00C1596D" w:rsidRDefault="00C0193B" w:rsidP="00C1596D">
            <w:pPr>
              <w:rPr>
                <w:sz w:val="20"/>
                <w:szCs w:val="20"/>
              </w:rPr>
            </w:pPr>
            <w:r w:rsidRPr="00C1596D">
              <w:rPr>
                <w:color w:val="FFFFFF" w:themeColor="background1"/>
                <w:sz w:val="20"/>
                <w:szCs w:val="20"/>
              </w:rPr>
              <w:t>NAPEDC NMDS variable</w:t>
            </w:r>
            <w:r w:rsidRPr="00C1596D">
              <w:rPr>
                <w:sz w:val="20"/>
                <w:szCs w:val="20"/>
              </w:rPr>
              <w:t xml:space="preserve"> </w:t>
            </w:r>
          </w:p>
        </w:tc>
      </w:tr>
      <w:tr w:rsidR="00C0193B" w:rsidRPr="00C0193B" w14:paraId="0E9F7F2D" w14:textId="77777777" w:rsidTr="00A84D5C">
        <w:tc>
          <w:tcPr>
            <w:tcW w:w="8715" w:type="dxa"/>
          </w:tcPr>
          <w:p w14:paraId="32DE20DD" w14:textId="77777777" w:rsidR="00C0193B" w:rsidRPr="00C1596D" w:rsidRDefault="00C0193B" w:rsidP="00C1596D">
            <w:pPr>
              <w:rPr>
                <w:sz w:val="20"/>
                <w:szCs w:val="20"/>
              </w:rPr>
            </w:pPr>
            <w:r w:rsidRPr="00C1596D">
              <w:rPr>
                <w:sz w:val="20"/>
                <w:szCs w:val="20"/>
              </w:rPr>
              <w:t>State Identifier</w:t>
            </w:r>
          </w:p>
        </w:tc>
      </w:tr>
      <w:tr w:rsidR="00C0193B" w:rsidRPr="00C0193B" w14:paraId="52BAE068" w14:textId="77777777" w:rsidTr="00A84D5C">
        <w:tc>
          <w:tcPr>
            <w:tcW w:w="8715" w:type="dxa"/>
          </w:tcPr>
          <w:p w14:paraId="17DEA05D" w14:textId="77777777" w:rsidR="00C0193B" w:rsidRPr="00C1596D" w:rsidRDefault="00C0193B" w:rsidP="00C1596D">
            <w:pPr>
              <w:rPr>
                <w:sz w:val="20"/>
                <w:szCs w:val="20"/>
              </w:rPr>
            </w:pPr>
            <w:r w:rsidRPr="00C1596D">
              <w:rPr>
                <w:sz w:val="20"/>
                <w:szCs w:val="20"/>
              </w:rPr>
              <w:t>Establishment identifier</w:t>
            </w:r>
          </w:p>
        </w:tc>
      </w:tr>
      <w:tr w:rsidR="00C0193B" w:rsidRPr="00C0193B" w14:paraId="3B9C3AF3" w14:textId="77777777" w:rsidTr="00A84D5C">
        <w:tc>
          <w:tcPr>
            <w:tcW w:w="8715" w:type="dxa"/>
          </w:tcPr>
          <w:p w14:paraId="663FE0B4" w14:textId="77777777" w:rsidR="00C0193B" w:rsidRPr="00C1596D" w:rsidRDefault="00640FD5" w:rsidP="00C1596D">
            <w:pPr>
              <w:rPr>
                <w:sz w:val="20"/>
                <w:szCs w:val="20"/>
              </w:rPr>
            </w:pPr>
            <w:r w:rsidRPr="00C1596D">
              <w:rPr>
                <w:sz w:val="20"/>
                <w:szCs w:val="20"/>
              </w:rPr>
              <w:t>Hospital geographical indicator</w:t>
            </w:r>
          </w:p>
        </w:tc>
      </w:tr>
      <w:tr w:rsidR="00C0193B" w:rsidRPr="00C0193B" w14:paraId="33A4EFF0" w14:textId="77777777" w:rsidTr="00A84D5C">
        <w:tc>
          <w:tcPr>
            <w:tcW w:w="8715" w:type="dxa"/>
          </w:tcPr>
          <w:p w14:paraId="738E42C8" w14:textId="77777777" w:rsidR="00C0193B" w:rsidRPr="00C1596D" w:rsidRDefault="00640FD5" w:rsidP="00C1596D">
            <w:pPr>
              <w:rPr>
                <w:sz w:val="20"/>
                <w:szCs w:val="20"/>
              </w:rPr>
            </w:pPr>
            <w:r w:rsidRPr="00C1596D">
              <w:rPr>
                <w:sz w:val="20"/>
                <w:szCs w:val="20"/>
              </w:rPr>
              <w:t>Postcode of patie</w:t>
            </w:r>
            <w:r w:rsidR="00C0193B" w:rsidRPr="00C1596D">
              <w:rPr>
                <w:sz w:val="20"/>
                <w:szCs w:val="20"/>
              </w:rPr>
              <w:t>nt's usual residence</w:t>
            </w:r>
          </w:p>
        </w:tc>
      </w:tr>
      <w:tr w:rsidR="00C0193B" w:rsidRPr="00C0193B" w14:paraId="5B0D85DF" w14:textId="77777777" w:rsidTr="00A84D5C">
        <w:tc>
          <w:tcPr>
            <w:tcW w:w="8715" w:type="dxa"/>
          </w:tcPr>
          <w:p w14:paraId="599598A3" w14:textId="77777777" w:rsidR="00C0193B" w:rsidRPr="00C1596D" w:rsidRDefault="00C0193B" w:rsidP="00C1596D">
            <w:pPr>
              <w:rPr>
                <w:sz w:val="20"/>
                <w:szCs w:val="20"/>
              </w:rPr>
            </w:pPr>
            <w:r w:rsidRPr="00C1596D">
              <w:rPr>
                <w:sz w:val="20"/>
                <w:szCs w:val="20"/>
              </w:rPr>
              <w:t>ASGS of patient’s usual residence</w:t>
            </w:r>
          </w:p>
        </w:tc>
      </w:tr>
      <w:tr w:rsidR="00C0193B" w:rsidRPr="00C0193B" w14:paraId="0EB448EB" w14:textId="77777777" w:rsidTr="00A84D5C">
        <w:tc>
          <w:tcPr>
            <w:tcW w:w="8715" w:type="dxa"/>
          </w:tcPr>
          <w:p w14:paraId="30D5A1FE" w14:textId="77777777" w:rsidR="00C0193B" w:rsidRPr="00C1596D" w:rsidRDefault="00C0193B" w:rsidP="00C1596D">
            <w:pPr>
              <w:rPr>
                <w:sz w:val="20"/>
                <w:szCs w:val="20"/>
              </w:rPr>
            </w:pPr>
            <w:r w:rsidRPr="00C1596D">
              <w:rPr>
                <w:sz w:val="20"/>
                <w:szCs w:val="20"/>
              </w:rPr>
              <w:t>Indigenous status</w:t>
            </w:r>
          </w:p>
        </w:tc>
      </w:tr>
      <w:tr w:rsidR="00C0193B" w:rsidRPr="00C0193B" w14:paraId="786439B4" w14:textId="77777777" w:rsidTr="00A84D5C">
        <w:tc>
          <w:tcPr>
            <w:tcW w:w="8715" w:type="dxa"/>
          </w:tcPr>
          <w:p w14:paraId="355E2954" w14:textId="77777777" w:rsidR="00C0193B" w:rsidRPr="00C1596D" w:rsidRDefault="00640FD5" w:rsidP="00C1596D">
            <w:pPr>
              <w:rPr>
                <w:sz w:val="20"/>
                <w:szCs w:val="20"/>
              </w:rPr>
            </w:pPr>
            <w:r w:rsidRPr="00C1596D">
              <w:rPr>
                <w:sz w:val="20"/>
                <w:szCs w:val="20"/>
              </w:rPr>
              <w:t>Date of admission</w:t>
            </w:r>
          </w:p>
        </w:tc>
      </w:tr>
      <w:tr w:rsidR="00C0193B" w:rsidRPr="00C0193B" w14:paraId="09E595BA" w14:textId="77777777" w:rsidTr="00A84D5C">
        <w:tc>
          <w:tcPr>
            <w:tcW w:w="8715" w:type="dxa"/>
          </w:tcPr>
          <w:p w14:paraId="6FD6436D" w14:textId="77777777" w:rsidR="00C0193B" w:rsidRPr="00C1596D" w:rsidRDefault="00640FD5" w:rsidP="00C1596D">
            <w:pPr>
              <w:rPr>
                <w:sz w:val="20"/>
                <w:szCs w:val="20"/>
              </w:rPr>
            </w:pPr>
            <w:r w:rsidRPr="00C1596D">
              <w:rPr>
                <w:sz w:val="20"/>
                <w:szCs w:val="20"/>
              </w:rPr>
              <w:t>Episode end status</w:t>
            </w:r>
          </w:p>
        </w:tc>
      </w:tr>
      <w:tr w:rsidR="00C0193B" w:rsidRPr="00C0193B" w14:paraId="6CFB0C60" w14:textId="77777777" w:rsidTr="00A84D5C">
        <w:tc>
          <w:tcPr>
            <w:tcW w:w="8715" w:type="dxa"/>
          </w:tcPr>
          <w:p w14:paraId="47ADAE0D" w14:textId="77777777" w:rsidR="00C0193B" w:rsidRPr="00C1596D" w:rsidRDefault="00640FD5" w:rsidP="00C1596D">
            <w:pPr>
              <w:rPr>
                <w:sz w:val="20"/>
                <w:szCs w:val="20"/>
              </w:rPr>
            </w:pPr>
            <w:r w:rsidRPr="00C1596D">
              <w:rPr>
                <w:sz w:val="20"/>
                <w:szCs w:val="20"/>
              </w:rPr>
              <w:t>Type of visit to emergency care</w:t>
            </w:r>
          </w:p>
        </w:tc>
      </w:tr>
      <w:tr w:rsidR="00C0193B" w:rsidRPr="00C0193B" w14:paraId="5F460FB0" w14:textId="77777777" w:rsidTr="00A84D5C">
        <w:tc>
          <w:tcPr>
            <w:tcW w:w="8715" w:type="dxa"/>
          </w:tcPr>
          <w:p w14:paraId="7616AF0A" w14:textId="77777777" w:rsidR="00C0193B" w:rsidRPr="00C1596D" w:rsidRDefault="00640FD5" w:rsidP="00C1596D">
            <w:pPr>
              <w:rPr>
                <w:sz w:val="20"/>
                <w:szCs w:val="20"/>
              </w:rPr>
            </w:pPr>
            <w:r w:rsidRPr="00C1596D">
              <w:rPr>
                <w:sz w:val="20"/>
                <w:szCs w:val="20"/>
              </w:rPr>
              <w:t>Triage category</w:t>
            </w:r>
          </w:p>
        </w:tc>
      </w:tr>
      <w:tr w:rsidR="00C0193B" w:rsidRPr="00C0193B" w14:paraId="03E0D55D" w14:textId="77777777" w:rsidTr="00A84D5C">
        <w:tc>
          <w:tcPr>
            <w:tcW w:w="8715" w:type="dxa"/>
          </w:tcPr>
          <w:p w14:paraId="1DD4B2EC" w14:textId="77777777" w:rsidR="00C0193B" w:rsidRPr="00C1596D" w:rsidRDefault="00565FFE" w:rsidP="00C1596D">
            <w:pPr>
              <w:rPr>
                <w:sz w:val="20"/>
                <w:szCs w:val="20"/>
              </w:rPr>
            </w:pPr>
            <w:r w:rsidRPr="00C1596D">
              <w:rPr>
                <w:sz w:val="20"/>
                <w:szCs w:val="20"/>
              </w:rPr>
              <w:t>AECC (Version 1.</w:t>
            </w:r>
            <w:r w:rsidR="0005021D" w:rsidRPr="00C1596D">
              <w:rPr>
                <w:sz w:val="20"/>
                <w:szCs w:val="20"/>
              </w:rPr>
              <w:t>0</w:t>
            </w:r>
            <w:r w:rsidR="00C0193B" w:rsidRPr="00C1596D">
              <w:rPr>
                <w:sz w:val="20"/>
                <w:szCs w:val="20"/>
              </w:rPr>
              <w:t xml:space="preserve">) or UDG (Version 1.3). </w:t>
            </w:r>
          </w:p>
        </w:tc>
      </w:tr>
    </w:tbl>
    <w:p w14:paraId="63660B27" w14:textId="2F19429F" w:rsidR="00550102" w:rsidRPr="00E54042" w:rsidRDefault="00550102" w:rsidP="00A33F7B">
      <w:pPr>
        <w:pStyle w:val="Heading1"/>
      </w:pPr>
      <w:bookmarkStart w:id="175" w:name="_Toc319673309"/>
      <w:bookmarkStart w:id="176" w:name="_Toc380754723"/>
      <w:bookmarkStart w:id="177" w:name="_Toc466884222"/>
      <w:bookmarkStart w:id="178" w:name="_Toc467505235"/>
      <w:bookmarkStart w:id="179" w:name="_Toc467676237"/>
      <w:bookmarkStart w:id="180" w:name="_Toc467745609"/>
      <w:bookmarkStart w:id="181" w:name="_Toc467759585"/>
      <w:bookmarkStart w:id="182" w:name="_Toc468204069"/>
      <w:bookmarkStart w:id="183" w:name="_Toc499221002"/>
      <w:bookmarkStart w:id="184" w:name="_Toc499290946"/>
      <w:bookmarkStart w:id="185" w:name="_Toc26278340"/>
      <w:bookmarkStart w:id="186" w:name="_Toc26370518"/>
      <w:bookmarkStart w:id="187" w:name="_Toc65145952"/>
      <w:bookmarkStart w:id="188" w:name="_Toc98882301"/>
      <w:bookmarkEnd w:id="166"/>
      <w:bookmarkEnd w:id="167"/>
      <w:bookmarkEnd w:id="168"/>
      <w:bookmarkEnd w:id="169"/>
      <w:bookmarkEnd w:id="170"/>
      <w:r w:rsidRPr="00E54042">
        <w:lastRenderedPageBreak/>
        <w:t>Non-admitted care cost model</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5CC6C41D" w14:textId="77777777" w:rsidR="00550102" w:rsidRDefault="00550102" w:rsidP="00755433">
      <w:pPr>
        <w:pStyle w:val="Heading2"/>
      </w:pPr>
      <w:bookmarkStart w:id="189" w:name="_Toc26278341"/>
      <w:bookmarkStart w:id="190" w:name="_Toc26370519"/>
      <w:bookmarkStart w:id="191" w:name="_Toc65145953"/>
      <w:bookmarkStart w:id="192" w:name="_Toc98882302"/>
      <w:r>
        <w:t>Overview</w:t>
      </w:r>
      <w:bookmarkEnd w:id="189"/>
      <w:bookmarkEnd w:id="190"/>
      <w:bookmarkEnd w:id="191"/>
      <w:bookmarkEnd w:id="192"/>
    </w:p>
    <w:p w14:paraId="505E6A6B" w14:textId="77777777" w:rsidR="00550102" w:rsidRDefault="00550102" w:rsidP="00755433">
      <w:pPr>
        <w:pStyle w:val="Heading3"/>
      </w:pPr>
      <w:r>
        <w:t>Cost unit</w:t>
      </w:r>
    </w:p>
    <w:p w14:paraId="51257B90" w14:textId="77777777" w:rsidR="00550102" w:rsidRDefault="00550102" w:rsidP="00550102">
      <w:pPr>
        <w:tabs>
          <w:tab w:val="left" w:pos="1162"/>
        </w:tabs>
        <w:spacing w:line="240" w:lineRule="auto"/>
        <w:rPr>
          <w:rFonts w:cs="Arial"/>
          <w:szCs w:val="20"/>
        </w:rPr>
      </w:pPr>
      <w:r>
        <w:rPr>
          <w:rFonts w:cs="Arial"/>
          <w:szCs w:val="20"/>
        </w:rPr>
        <w:t xml:space="preserve">The cost unit for non-admitted care is a non-admitted patient service event. This is </w:t>
      </w:r>
      <w:r w:rsidRPr="00CE239E">
        <w:rPr>
          <w:rFonts w:cs="Arial"/>
          <w:szCs w:val="20"/>
        </w:rPr>
        <w:t>‘</w:t>
      </w:r>
      <w:r w:rsidRPr="00EC1F9C">
        <w:rPr>
          <w:rFonts w:cs="Arial"/>
          <w:szCs w:val="20"/>
        </w:rPr>
        <w:t>an interaction between one or more healthcare provider(s) with one non-admitted patient, which must contain therapeutic/clinical content and result in a dated entry in the patient's medical record.</w:t>
      </w:r>
      <w:r w:rsidRPr="00CE239E">
        <w:rPr>
          <w:rFonts w:cs="Arial"/>
          <w:szCs w:val="20"/>
        </w:rPr>
        <w:t>’</w:t>
      </w:r>
      <w:r>
        <w:rPr>
          <w:rStyle w:val="FootnoteReference"/>
          <w:rFonts w:cs="Arial"/>
          <w:szCs w:val="20"/>
        </w:rPr>
        <w:t xml:space="preserve"> </w:t>
      </w:r>
      <w:r>
        <w:rPr>
          <w:rStyle w:val="FootnoteReference"/>
          <w:rFonts w:cs="Arial"/>
          <w:szCs w:val="20"/>
        </w:rPr>
        <w:footnoteReference w:id="21"/>
      </w:r>
    </w:p>
    <w:p w14:paraId="26022459" w14:textId="77777777" w:rsidR="00550102" w:rsidRDefault="00550102" w:rsidP="00755433">
      <w:pPr>
        <w:pStyle w:val="Heading3"/>
      </w:pPr>
      <w:r>
        <w:t>Scope</w:t>
      </w:r>
    </w:p>
    <w:p w14:paraId="3B39266D" w14:textId="77777777" w:rsidR="00550102" w:rsidRDefault="00550102" w:rsidP="00550102">
      <w:pPr>
        <w:tabs>
          <w:tab w:val="left" w:pos="1162"/>
        </w:tabs>
        <w:spacing w:line="240" w:lineRule="auto"/>
        <w:rPr>
          <w:rFonts w:cs="Arial"/>
          <w:szCs w:val="20"/>
        </w:rPr>
      </w:pPr>
      <w:r>
        <w:rPr>
          <w:rFonts w:cs="Arial"/>
          <w:szCs w:val="20"/>
        </w:rPr>
        <w:t>The scope of non-admitted care includes service events occurring in outpatient clinics in activity based funding (ABF) hospitals and in the community (by ABF hospitals).</w:t>
      </w:r>
    </w:p>
    <w:p w14:paraId="1A83F100" w14:textId="77777777" w:rsidR="00550102" w:rsidRDefault="00550102" w:rsidP="00755433">
      <w:pPr>
        <w:pStyle w:val="Heading3"/>
      </w:pPr>
      <w:r>
        <w:t>Classification</w:t>
      </w:r>
    </w:p>
    <w:p w14:paraId="52C158D4" w14:textId="77777777" w:rsidR="00550102" w:rsidRDefault="00550102" w:rsidP="00550102">
      <w:pPr>
        <w:tabs>
          <w:tab w:val="left" w:pos="1162"/>
        </w:tabs>
        <w:spacing w:after="360" w:line="240" w:lineRule="auto"/>
        <w:rPr>
          <w:rFonts w:cs="Arial"/>
          <w:szCs w:val="20"/>
        </w:rPr>
      </w:pPr>
      <w:r>
        <w:rPr>
          <w:rFonts w:cs="Arial"/>
          <w:szCs w:val="20"/>
        </w:rPr>
        <w:t xml:space="preserve">The Tier 2 Non-admitted Care Services Classification Version </w:t>
      </w:r>
      <w:r w:rsidR="009B1250">
        <w:rPr>
          <w:rFonts w:cs="Arial"/>
          <w:szCs w:val="20"/>
        </w:rPr>
        <w:t>7</w:t>
      </w:r>
      <w:r>
        <w:rPr>
          <w:rFonts w:cs="Arial"/>
          <w:szCs w:val="20"/>
        </w:rPr>
        <w:t xml:space="preserve">.0 is used to classify </w:t>
      </w:r>
      <w:r>
        <w:rPr>
          <w:rFonts w:cs="Arial"/>
          <w:szCs w:val="20"/>
        </w:rPr>
        <w:br/>
        <w:t>non-admitted care for the purposes of ABF.</w:t>
      </w:r>
    </w:p>
    <w:p w14:paraId="5E798FF6" w14:textId="77777777" w:rsidR="00550102" w:rsidRDefault="00550102" w:rsidP="00755433">
      <w:pPr>
        <w:pStyle w:val="Heading2"/>
      </w:pPr>
      <w:bookmarkStart w:id="193" w:name="_Toc26278342"/>
      <w:bookmarkStart w:id="194" w:name="_Toc26370520"/>
      <w:bookmarkStart w:id="195" w:name="_Toc65145954"/>
      <w:bookmarkStart w:id="196" w:name="_Toc98882303"/>
      <w:r>
        <w:t>Analysis of costs to derive NWAU for non-admitted care</w:t>
      </w:r>
      <w:bookmarkEnd w:id="193"/>
      <w:bookmarkEnd w:id="194"/>
      <w:bookmarkEnd w:id="195"/>
      <w:bookmarkEnd w:id="196"/>
    </w:p>
    <w:p w14:paraId="7894AD20" w14:textId="77777777" w:rsidR="00550102" w:rsidRDefault="00550102" w:rsidP="00550102">
      <w:pPr>
        <w:spacing w:before="240" w:line="240" w:lineRule="auto"/>
      </w:pPr>
      <w:r>
        <w:t>This section provides an overview of the step</w:t>
      </w:r>
      <w:r w:rsidR="00DB4FCF">
        <w:t>s involved in developing the NWAU</w:t>
      </w:r>
      <w:r>
        <w:t xml:space="preserve"> for non-admitted </w:t>
      </w:r>
      <w:r w:rsidR="00135995">
        <w:t xml:space="preserve">(outpatient) </w:t>
      </w:r>
      <w:r>
        <w:t>care. The steps are included below.</w:t>
      </w:r>
    </w:p>
    <w:p w14:paraId="7AC29FE1" w14:textId="77777777" w:rsidR="00550102" w:rsidRDefault="00550102" w:rsidP="00755433">
      <w:pPr>
        <w:pStyle w:val="Heading3"/>
      </w:pPr>
      <w:r>
        <w:t xml:space="preserve">Adoption of the NHCDC </w:t>
      </w:r>
    </w:p>
    <w:p w14:paraId="177C734D" w14:textId="77777777" w:rsidR="00550102" w:rsidRDefault="00550102" w:rsidP="00550102">
      <w:pPr>
        <w:spacing w:line="240" w:lineRule="auto"/>
      </w:pPr>
      <w:r>
        <w:t xml:space="preserve">Historically, the non-admitted cost model relied heavily </w:t>
      </w:r>
      <w:r>
        <w:rPr>
          <w:rFonts w:cs="Arial"/>
          <w:szCs w:val="20"/>
        </w:rPr>
        <w:t xml:space="preserve">on the 2012 Ernst and Young Non-admitted and Subacute Care Costing Study (the EY Costing Study) due to the limited quality and stability of </w:t>
      </w:r>
      <w:r w:rsidR="006C3B1A">
        <w:rPr>
          <w:rFonts w:cs="Arial"/>
          <w:szCs w:val="20"/>
        </w:rPr>
        <w:t>NHCDC</w:t>
      </w:r>
      <w:r>
        <w:rPr>
          <w:rFonts w:cs="Arial"/>
          <w:szCs w:val="20"/>
        </w:rPr>
        <w:t xml:space="preserve"> reporting. With the improvement in reporting and quality of the NHCDC, the cost weights from NEP17 onwards have shifted to adopt the NHCDC.</w:t>
      </w:r>
    </w:p>
    <w:p w14:paraId="1C600E7E" w14:textId="77777777" w:rsidR="00550102" w:rsidRDefault="00C10A66" w:rsidP="00550102">
      <w:pPr>
        <w:spacing w:after="0" w:line="240" w:lineRule="auto"/>
      </w:pPr>
      <w:r>
        <w:t>Table 11</w:t>
      </w:r>
      <w:r w:rsidR="00550102">
        <w:t xml:space="preserve"> illustrates the shift in hierarchy for non-admitted cost weight selection. </w:t>
      </w:r>
    </w:p>
    <w:p w14:paraId="2C18B01F" w14:textId="77777777" w:rsidR="00550102" w:rsidRDefault="00176BB4" w:rsidP="00836FC5">
      <w:pPr>
        <w:pStyle w:val="TableHeading"/>
      </w:pPr>
      <w:r>
        <w:lastRenderedPageBreak/>
        <w:t>Table 1</w:t>
      </w:r>
      <w:r w:rsidR="00302145">
        <w:t>1</w:t>
      </w:r>
      <w:r w:rsidR="00B06FC0">
        <w:t>: Non-</w:t>
      </w:r>
      <w:r w:rsidR="00550102">
        <w:t>admitted cost weight selection hierarchy</w:t>
      </w:r>
    </w:p>
    <w:tbl>
      <w:tblPr>
        <w:tblStyle w:val="TableGrid"/>
        <w:tblW w:w="0" w:type="auto"/>
        <w:tblLook w:val="04A0" w:firstRow="1" w:lastRow="0" w:firstColumn="1" w:lastColumn="0" w:noHBand="0" w:noVBand="1"/>
        <w:tblCaption w:val="Table 11: Non admitted Cost weight selection hierarchy. "/>
      </w:tblPr>
      <w:tblGrid>
        <w:gridCol w:w="1398"/>
        <w:gridCol w:w="2695"/>
        <w:gridCol w:w="2807"/>
        <w:gridCol w:w="2535"/>
      </w:tblGrid>
      <w:tr w:rsidR="00550102" w14:paraId="30422505" w14:textId="77777777" w:rsidTr="001658D3">
        <w:trPr>
          <w:cantSplit/>
          <w:trHeight w:val="119"/>
          <w:tblHeader/>
        </w:trPr>
        <w:tc>
          <w:tcPr>
            <w:tcW w:w="9599" w:type="dxa"/>
            <w:gridSpan w:val="4"/>
            <w:tcBorders>
              <w:top w:val="single" w:sz="4" w:space="0" w:color="auto"/>
              <w:left w:val="single" w:sz="4" w:space="0" w:color="auto"/>
              <w:bottom w:val="single" w:sz="4" w:space="0" w:color="auto"/>
              <w:right w:val="single" w:sz="4" w:space="0" w:color="auto"/>
            </w:tcBorders>
            <w:shd w:val="clear" w:color="auto" w:fill="288A32"/>
          </w:tcPr>
          <w:p w14:paraId="4A295F84" w14:textId="77777777" w:rsidR="00550102" w:rsidRPr="00521F7C" w:rsidRDefault="00550102" w:rsidP="00550102">
            <w:pPr>
              <w:spacing w:line="240" w:lineRule="auto"/>
              <w:rPr>
                <w:b/>
                <w:color w:val="FFFFFF" w:themeColor="background1"/>
                <w:sz w:val="20"/>
                <w:szCs w:val="20"/>
              </w:rPr>
            </w:pPr>
            <w:r w:rsidRPr="00521F7C">
              <w:rPr>
                <w:b/>
                <w:color w:val="FFFFFF" w:themeColor="background1"/>
                <w:sz w:val="20"/>
                <w:szCs w:val="20"/>
              </w:rPr>
              <w:t>Cost weight selection hierarchy</w:t>
            </w:r>
          </w:p>
        </w:tc>
      </w:tr>
      <w:tr w:rsidR="00550102" w14:paraId="03C9E1A9" w14:textId="77777777" w:rsidTr="001658D3">
        <w:trPr>
          <w:cantSplit/>
          <w:tblHeader/>
        </w:trPr>
        <w:tc>
          <w:tcPr>
            <w:tcW w:w="1417" w:type="dxa"/>
            <w:tcBorders>
              <w:top w:val="single" w:sz="4" w:space="0" w:color="auto"/>
              <w:left w:val="single" w:sz="4" w:space="0" w:color="auto"/>
              <w:bottom w:val="single" w:sz="4" w:space="0" w:color="auto"/>
              <w:right w:val="single" w:sz="4" w:space="0" w:color="auto"/>
            </w:tcBorders>
            <w:shd w:val="clear" w:color="auto" w:fill="288A32"/>
          </w:tcPr>
          <w:p w14:paraId="7492F107" w14:textId="77777777" w:rsidR="00550102" w:rsidRPr="00521F7C" w:rsidRDefault="00550102" w:rsidP="00550102">
            <w:pPr>
              <w:spacing w:line="240" w:lineRule="auto"/>
              <w:rPr>
                <w:b/>
                <w:color w:val="FFFFFF" w:themeColor="background1"/>
                <w:sz w:val="20"/>
                <w:szCs w:val="20"/>
              </w:rPr>
            </w:pPr>
          </w:p>
        </w:tc>
        <w:tc>
          <w:tcPr>
            <w:tcW w:w="2746" w:type="dxa"/>
            <w:tcBorders>
              <w:top w:val="single" w:sz="4" w:space="0" w:color="auto"/>
              <w:left w:val="single" w:sz="4" w:space="0" w:color="auto"/>
              <w:bottom w:val="single" w:sz="4" w:space="0" w:color="auto"/>
              <w:right w:val="single" w:sz="4" w:space="0" w:color="auto"/>
            </w:tcBorders>
            <w:shd w:val="clear" w:color="auto" w:fill="288A32"/>
            <w:hideMark/>
          </w:tcPr>
          <w:p w14:paraId="44358CEF" w14:textId="77777777" w:rsidR="00550102" w:rsidRPr="00521F7C" w:rsidRDefault="00550102" w:rsidP="00550102">
            <w:pPr>
              <w:spacing w:line="240" w:lineRule="auto"/>
              <w:rPr>
                <w:b/>
                <w:color w:val="FFFFFF" w:themeColor="background1"/>
                <w:sz w:val="20"/>
                <w:szCs w:val="20"/>
              </w:rPr>
            </w:pPr>
            <w:r w:rsidRPr="00521F7C">
              <w:rPr>
                <w:b/>
                <w:color w:val="FFFFFF" w:themeColor="background1"/>
                <w:sz w:val="20"/>
                <w:szCs w:val="20"/>
              </w:rPr>
              <w:t>NEP16</w:t>
            </w:r>
          </w:p>
        </w:tc>
        <w:tc>
          <w:tcPr>
            <w:tcW w:w="2858" w:type="dxa"/>
            <w:tcBorders>
              <w:top w:val="single" w:sz="4" w:space="0" w:color="auto"/>
              <w:left w:val="single" w:sz="4" w:space="0" w:color="auto"/>
              <w:bottom w:val="single" w:sz="4" w:space="0" w:color="auto"/>
              <w:right w:val="single" w:sz="4" w:space="0" w:color="auto"/>
            </w:tcBorders>
            <w:shd w:val="clear" w:color="auto" w:fill="288A32"/>
            <w:hideMark/>
          </w:tcPr>
          <w:p w14:paraId="556C7C2C" w14:textId="77777777" w:rsidR="00550102" w:rsidRPr="00521F7C" w:rsidRDefault="00550102" w:rsidP="00550102">
            <w:pPr>
              <w:spacing w:line="240" w:lineRule="auto"/>
              <w:rPr>
                <w:b/>
                <w:color w:val="FFFFFF" w:themeColor="background1"/>
                <w:sz w:val="20"/>
                <w:szCs w:val="20"/>
              </w:rPr>
            </w:pPr>
            <w:r w:rsidRPr="00521F7C">
              <w:rPr>
                <w:b/>
                <w:color w:val="FFFFFF" w:themeColor="background1"/>
                <w:sz w:val="20"/>
                <w:szCs w:val="20"/>
              </w:rPr>
              <w:t>NEP17</w:t>
            </w:r>
          </w:p>
        </w:tc>
        <w:tc>
          <w:tcPr>
            <w:tcW w:w="2578" w:type="dxa"/>
            <w:tcBorders>
              <w:top w:val="single" w:sz="4" w:space="0" w:color="auto"/>
              <w:left w:val="single" w:sz="4" w:space="0" w:color="auto"/>
              <w:bottom w:val="single" w:sz="4" w:space="0" w:color="auto"/>
              <w:right w:val="single" w:sz="4" w:space="0" w:color="auto"/>
            </w:tcBorders>
            <w:shd w:val="clear" w:color="auto" w:fill="288A32"/>
            <w:hideMark/>
          </w:tcPr>
          <w:p w14:paraId="3DE48B89" w14:textId="608A58D9" w:rsidR="00550102" w:rsidRPr="00521F7C" w:rsidRDefault="00550102" w:rsidP="00550102">
            <w:pPr>
              <w:spacing w:line="240" w:lineRule="auto"/>
              <w:rPr>
                <w:b/>
                <w:color w:val="FFFFFF" w:themeColor="background1"/>
                <w:sz w:val="20"/>
                <w:szCs w:val="20"/>
              </w:rPr>
            </w:pPr>
            <w:r w:rsidRPr="00521F7C">
              <w:rPr>
                <w:b/>
                <w:color w:val="FFFFFF" w:themeColor="background1"/>
                <w:sz w:val="20"/>
                <w:szCs w:val="20"/>
              </w:rPr>
              <w:t>NEP18</w:t>
            </w:r>
            <w:r w:rsidR="005554D4">
              <w:rPr>
                <w:b/>
                <w:color w:val="FFFFFF" w:themeColor="background1"/>
                <w:sz w:val="20"/>
                <w:szCs w:val="20"/>
              </w:rPr>
              <w:t xml:space="preserve"> to NEP22</w:t>
            </w:r>
          </w:p>
        </w:tc>
      </w:tr>
      <w:tr w:rsidR="00550102" w14:paraId="4A199F03" w14:textId="77777777" w:rsidTr="001658D3">
        <w:trPr>
          <w:cantSplit/>
          <w:tblHeader/>
        </w:trPr>
        <w:tc>
          <w:tcPr>
            <w:tcW w:w="1417" w:type="dxa"/>
            <w:tcBorders>
              <w:top w:val="single" w:sz="4" w:space="0" w:color="auto"/>
              <w:left w:val="single" w:sz="4" w:space="0" w:color="auto"/>
              <w:bottom w:val="single" w:sz="4" w:space="0" w:color="auto"/>
              <w:right w:val="single" w:sz="4" w:space="0" w:color="auto"/>
            </w:tcBorders>
            <w:hideMark/>
          </w:tcPr>
          <w:p w14:paraId="72E2D088" w14:textId="77777777" w:rsidR="00550102" w:rsidRPr="00521F7C" w:rsidRDefault="00550102" w:rsidP="00550102">
            <w:pPr>
              <w:spacing w:line="240" w:lineRule="auto"/>
              <w:rPr>
                <w:sz w:val="20"/>
                <w:szCs w:val="20"/>
              </w:rPr>
            </w:pPr>
            <w:r w:rsidRPr="00521F7C">
              <w:rPr>
                <w:sz w:val="20"/>
                <w:szCs w:val="20"/>
              </w:rPr>
              <w:t>Stage 1</w:t>
            </w:r>
          </w:p>
        </w:tc>
        <w:tc>
          <w:tcPr>
            <w:tcW w:w="2746" w:type="dxa"/>
            <w:tcBorders>
              <w:top w:val="single" w:sz="4" w:space="0" w:color="auto"/>
              <w:left w:val="single" w:sz="4" w:space="0" w:color="auto"/>
              <w:bottom w:val="single" w:sz="4" w:space="0" w:color="auto"/>
              <w:right w:val="single" w:sz="4" w:space="0" w:color="auto"/>
            </w:tcBorders>
            <w:hideMark/>
          </w:tcPr>
          <w:p w14:paraId="0266DDD5" w14:textId="77777777" w:rsidR="00550102" w:rsidRPr="00521F7C" w:rsidRDefault="00550102" w:rsidP="00550102">
            <w:pPr>
              <w:spacing w:line="240" w:lineRule="auto"/>
              <w:rPr>
                <w:sz w:val="20"/>
                <w:szCs w:val="20"/>
              </w:rPr>
            </w:pPr>
            <w:r w:rsidRPr="00521F7C">
              <w:rPr>
                <w:sz w:val="20"/>
                <w:szCs w:val="20"/>
              </w:rPr>
              <w:t>Logical links to acute clinics or other clinics</w:t>
            </w:r>
          </w:p>
        </w:tc>
        <w:tc>
          <w:tcPr>
            <w:tcW w:w="2858" w:type="dxa"/>
            <w:tcBorders>
              <w:top w:val="single" w:sz="4" w:space="0" w:color="auto"/>
              <w:left w:val="single" w:sz="4" w:space="0" w:color="auto"/>
              <w:bottom w:val="single" w:sz="4" w:space="0" w:color="auto"/>
              <w:right w:val="single" w:sz="4" w:space="0" w:color="auto"/>
            </w:tcBorders>
            <w:hideMark/>
          </w:tcPr>
          <w:p w14:paraId="3F58E190" w14:textId="77777777" w:rsidR="00550102" w:rsidRPr="00521F7C" w:rsidRDefault="00550102" w:rsidP="00550102">
            <w:pPr>
              <w:spacing w:line="240" w:lineRule="auto"/>
              <w:rPr>
                <w:sz w:val="20"/>
                <w:szCs w:val="20"/>
              </w:rPr>
            </w:pPr>
            <w:r w:rsidRPr="00521F7C">
              <w:rPr>
                <w:sz w:val="20"/>
                <w:szCs w:val="20"/>
              </w:rPr>
              <w:t>Logical links to acute clinics</w:t>
            </w:r>
          </w:p>
        </w:tc>
        <w:tc>
          <w:tcPr>
            <w:tcW w:w="2578" w:type="dxa"/>
            <w:tcBorders>
              <w:top w:val="single" w:sz="4" w:space="0" w:color="auto"/>
              <w:left w:val="single" w:sz="4" w:space="0" w:color="auto"/>
              <w:bottom w:val="single" w:sz="4" w:space="0" w:color="auto"/>
              <w:right w:val="single" w:sz="4" w:space="0" w:color="auto"/>
            </w:tcBorders>
            <w:hideMark/>
          </w:tcPr>
          <w:p w14:paraId="4FD21918" w14:textId="77777777" w:rsidR="00550102" w:rsidRPr="00521F7C" w:rsidRDefault="00550102" w:rsidP="00550102">
            <w:pPr>
              <w:spacing w:line="240" w:lineRule="auto"/>
              <w:rPr>
                <w:sz w:val="20"/>
                <w:szCs w:val="20"/>
              </w:rPr>
            </w:pPr>
            <w:r w:rsidRPr="00521F7C">
              <w:rPr>
                <w:sz w:val="20"/>
                <w:szCs w:val="20"/>
              </w:rPr>
              <w:t>Logical links to acute clinics</w:t>
            </w:r>
          </w:p>
        </w:tc>
      </w:tr>
      <w:tr w:rsidR="00550102" w14:paraId="2DC5461C" w14:textId="77777777" w:rsidTr="001658D3">
        <w:trPr>
          <w:cantSplit/>
          <w:tblHeader/>
        </w:trPr>
        <w:tc>
          <w:tcPr>
            <w:tcW w:w="1417" w:type="dxa"/>
            <w:tcBorders>
              <w:top w:val="single" w:sz="4" w:space="0" w:color="auto"/>
              <w:left w:val="single" w:sz="4" w:space="0" w:color="auto"/>
              <w:bottom w:val="single" w:sz="4" w:space="0" w:color="auto"/>
              <w:right w:val="single" w:sz="4" w:space="0" w:color="auto"/>
            </w:tcBorders>
            <w:hideMark/>
          </w:tcPr>
          <w:p w14:paraId="53F60224" w14:textId="77777777" w:rsidR="00550102" w:rsidRPr="00521F7C" w:rsidRDefault="00550102" w:rsidP="00550102">
            <w:pPr>
              <w:spacing w:line="240" w:lineRule="auto"/>
              <w:rPr>
                <w:sz w:val="20"/>
                <w:szCs w:val="20"/>
              </w:rPr>
            </w:pPr>
            <w:r w:rsidRPr="00521F7C">
              <w:rPr>
                <w:sz w:val="20"/>
                <w:szCs w:val="20"/>
              </w:rPr>
              <w:t>Stage 2</w:t>
            </w:r>
          </w:p>
        </w:tc>
        <w:tc>
          <w:tcPr>
            <w:tcW w:w="2746" w:type="dxa"/>
            <w:tcBorders>
              <w:top w:val="single" w:sz="4" w:space="0" w:color="auto"/>
              <w:left w:val="single" w:sz="4" w:space="0" w:color="auto"/>
              <w:bottom w:val="single" w:sz="4" w:space="0" w:color="auto"/>
              <w:right w:val="single" w:sz="4" w:space="0" w:color="auto"/>
            </w:tcBorders>
            <w:hideMark/>
          </w:tcPr>
          <w:p w14:paraId="1FBD06EE" w14:textId="77777777" w:rsidR="00550102" w:rsidRPr="00521F7C" w:rsidRDefault="00550102" w:rsidP="00550102">
            <w:pPr>
              <w:spacing w:line="240" w:lineRule="auto"/>
              <w:rPr>
                <w:sz w:val="20"/>
                <w:szCs w:val="20"/>
              </w:rPr>
            </w:pPr>
            <w:r w:rsidRPr="00521F7C">
              <w:rPr>
                <w:sz w:val="20"/>
                <w:szCs w:val="20"/>
              </w:rPr>
              <w:t xml:space="preserve">Adopt EY Costing Study or other Costing studies </w:t>
            </w:r>
          </w:p>
        </w:tc>
        <w:tc>
          <w:tcPr>
            <w:tcW w:w="2858" w:type="dxa"/>
            <w:tcBorders>
              <w:top w:val="single" w:sz="4" w:space="0" w:color="auto"/>
              <w:left w:val="single" w:sz="4" w:space="0" w:color="auto"/>
              <w:bottom w:val="single" w:sz="4" w:space="0" w:color="auto"/>
              <w:right w:val="single" w:sz="4" w:space="0" w:color="auto"/>
            </w:tcBorders>
            <w:hideMark/>
          </w:tcPr>
          <w:p w14:paraId="31BFA8DC" w14:textId="77777777" w:rsidR="00550102" w:rsidRPr="00521F7C" w:rsidRDefault="00550102" w:rsidP="00550102">
            <w:pPr>
              <w:spacing w:line="240" w:lineRule="auto"/>
              <w:rPr>
                <w:sz w:val="20"/>
                <w:szCs w:val="20"/>
              </w:rPr>
            </w:pPr>
            <w:r w:rsidRPr="00521F7C">
              <w:rPr>
                <w:sz w:val="20"/>
                <w:szCs w:val="20"/>
              </w:rPr>
              <w:t xml:space="preserve">Adopt NHCDC (provided adequate sample and stable across two years) </w:t>
            </w:r>
          </w:p>
        </w:tc>
        <w:tc>
          <w:tcPr>
            <w:tcW w:w="2578" w:type="dxa"/>
            <w:tcBorders>
              <w:top w:val="single" w:sz="4" w:space="0" w:color="auto"/>
              <w:left w:val="single" w:sz="4" w:space="0" w:color="auto"/>
              <w:bottom w:val="single" w:sz="4" w:space="0" w:color="auto"/>
              <w:right w:val="single" w:sz="4" w:space="0" w:color="auto"/>
            </w:tcBorders>
            <w:hideMark/>
          </w:tcPr>
          <w:p w14:paraId="20BDD5F1" w14:textId="77777777" w:rsidR="00550102" w:rsidRPr="00521F7C" w:rsidRDefault="00550102" w:rsidP="00550102">
            <w:pPr>
              <w:spacing w:line="240" w:lineRule="auto"/>
              <w:rPr>
                <w:sz w:val="20"/>
                <w:szCs w:val="20"/>
              </w:rPr>
            </w:pPr>
            <w:r w:rsidRPr="00521F7C">
              <w:rPr>
                <w:sz w:val="20"/>
                <w:szCs w:val="20"/>
              </w:rPr>
              <w:t>Adopt NHCDC (provided adequate sample and stable across three years)</w:t>
            </w:r>
          </w:p>
        </w:tc>
      </w:tr>
      <w:tr w:rsidR="00550102" w14:paraId="2078746A" w14:textId="77777777" w:rsidTr="001658D3">
        <w:trPr>
          <w:cantSplit/>
          <w:tblHeader/>
        </w:trPr>
        <w:tc>
          <w:tcPr>
            <w:tcW w:w="1417" w:type="dxa"/>
            <w:tcBorders>
              <w:top w:val="single" w:sz="4" w:space="0" w:color="auto"/>
              <w:left w:val="single" w:sz="4" w:space="0" w:color="auto"/>
              <w:bottom w:val="single" w:sz="4" w:space="0" w:color="auto"/>
              <w:right w:val="single" w:sz="4" w:space="0" w:color="auto"/>
            </w:tcBorders>
            <w:hideMark/>
          </w:tcPr>
          <w:p w14:paraId="041F658F" w14:textId="77777777" w:rsidR="00550102" w:rsidRPr="00521F7C" w:rsidRDefault="00550102" w:rsidP="00550102">
            <w:pPr>
              <w:spacing w:line="240" w:lineRule="auto"/>
              <w:rPr>
                <w:sz w:val="20"/>
                <w:szCs w:val="20"/>
              </w:rPr>
            </w:pPr>
            <w:r w:rsidRPr="00521F7C">
              <w:rPr>
                <w:sz w:val="20"/>
                <w:szCs w:val="20"/>
              </w:rPr>
              <w:t>Stage 3</w:t>
            </w:r>
          </w:p>
        </w:tc>
        <w:tc>
          <w:tcPr>
            <w:tcW w:w="2746" w:type="dxa"/>
            <w:tcBorders>
              <w:top w:val="single" w:sz="4" w:space="0" w:color="auto"/>
              <w:left w:val="single" w:sz="4" w:space="0" w:color="auto"/>
              <w:bottom w:val="single" w:sz="4" w:space="0" w:color="auto"/>
              <w:right w:val="single" w:sz="4" w:space="0" w:color="auto"/>
            </w:tcBorders>
            <w:hideMark/>
          </w:tcPr>
          <w:p w14:paraId="4387DA11" w14:textId="77777777" w:rsidR="00550102" w:rsidRPr="00521F7C" w:rsidRDefault="00550102" w:rsidP="00550102">
            <w:pPr>
              <w:spacing w:line="240" w:lineRule="auto"/>
              <w:rPr>
                <w:sz w:val="20"/>
                <w:szCs w:val="20"/>
              </w:rPr>
            </w:pPr>
            <w:r w:rsidRPr="00521F7C">
              <w:rPr>
                <w:sz w:val="20"/>
                <w:szCs w:val="20"/>
              </w:rPr>
              <w:t>Adopt NHCDC</w:t>
            </w:r>
          </w:p>
        </w:tc>
        <w:tc>
          <w:tcPr>
            <w:tcW w:w="2858" w:type="dxa"/>
            <w:tcBorders>
              <w:top w:val="single" w:sz="4" w:space="0" w:color="auto"/>
              <w:left w:val="single" w:sz="4" w:space="0" w:color="auto"/>
              <w:bottom w:val="single" w:sz="4" w:space="0" w:color="auto"/>
              <w:right w:val="single" w:sz="4" w:space="0" w:color="auto"/>
            </w:tcBorders>
            <w:hideMark/>
          </w:tcPr>
          <w:p w14:paraId="4DC5A414" w14:textId="77777777" w:rsidR="00550102" w:rsidRPr="00521F7C" w:rsidRDefault="00550102" w:rsidP="00550102">
            <w:pPr>
              <w:spacing w:line="240" w:lineRule="auto"/>
              <w:rPr>
                <w:sz w:val="20"/>
                <w:szCs w:val="20"/>
              </w:rPr>
            </w:pPr>
            <w:r w:rsidRPr="00521F7C">
              <w:rPr>
                <w:sz w:val="20"/>
                <w:szCs w:val="20"/>
              </w:rPr>
              <w:t>Adopt EY Costing Study or other costing studies</w:t>
            </w:r>
          </w:p>
        </w:tc>
        <w:tc>
          <w:tcPr>
            <w:tcW w:w="2578" w:type="dxa"/>
            <w:tcBorders>
              <w:top w:val="single" w:sz="4" w:space="0" w:color="auto"/>
              <w:left w:val="single" w:sz="4" w:space="0" w:color="auto"/>
              <w:bottom w:val="single" w:sz="4" w:space="0" w:color="auto"/>
              <w:right w:val="single" w:sz="4" w:space="0" w:color="auto"/>
            </w:tcBorders>
            <w:hideMark/>
          </w:tcPr>
          <w:p w14:paraId="32346E4E" w14:textId="77777777" w:rsidR="00550102" w:rsidRPr="00521F7C" w:rsidRDefault="00550102" w:rsidP="00550102">
            <w:pPr>
              <w:spacing w:line="240" w:lineRule="auto"/>
              <w:rPr>
                <w:sz w:val="20"/>
                <w:szCs w:val="20"/>
              </w:rPr>
            </w:pPr>
            <w:r w:rsidRPr="00521F7C">
              <w:rPr>
                <w:sz w:val="20"/>
                <w:szCs w:val="20"/>
              </w:rPr>
              <w:t>Adopt EY Costing Study or other Costing studies</w:t>
            </w:r>
          </w:p>
        </w:tc>
      </w:tr>
    </w:tbl>
    <w:p w14:paraId="4816C453" w14:textId="62E238CD" w:rsidR="00550102" w:rsidRDefault="00550102" w:rsidP="00550102">
      <w:pPr>
        <w:spacing w:after="0" w:line="240" w:lineRule="auto"/>
      </w:pPr>
      <w:r>
        <w:t xml:space="preserve">Table </w:t>
      </w:r>
      <w:r w:rsidR="00176BB4">
        <w:rPr>
          <w:noProof/>
        </w:rPr>
        <w:t>1</w:t>
      </w:r>
      <w:r w:rsidR="00302145">
        <w:rPr>
          <w:noProof/>
        </w:rPr>
        <w:t>2</w:t>
      </w:r>
      <w:r>
        <w:t xml:space="preserve"> provides a breakdown for each </w:t>
      </w:r>
      <w:r w:rsidR="006C6367">
        <w:t xml:space="preserve">class </w:t>
      </w:r>
      <w:r>
        <w:t xml:space="preserve">by the source data. </w:t>
      </w:r>
    </w:p>
    <w:p w14:paraId="2C767860" w14:textId="77777777" w:rsidR="00550102" w:rsidRDefault="00176BB4" w:rsidP="00836FC5">
      <w:pPr>
        <w:pStyle w:val="TableHeading"/>
      </w:pPr>
      <w:r>
        <w:t>Table 1</w:t>
      </w:r>
      <w:r w:rsidR="00302145">
        <w:t>2</w:t>
      </w:r>
      <w:r w:rsidR="00550102">
        <w:t>: Non-admitted data source breakdown</w:t>
      </w:r>
    </w:p>
    <w:tbl>
      <w:tblPr>
        <w:tblStyle w:val="TableGrid"/>
        <w:tblW w:w="9409" w:type="dxa"/>
        <w:tblLook w:val="04A0" w:firstRow="1" w:lastRow="0" w:firstColumn="1" w:lastColumn="0" w:noHBand="0" w:noVBand="1"/>
        <w:tblCaption w:val="Table 12: Non-Admitted Data Source Breakdown. "/>
      </w:tblPr>
      <w:tblGrid>
        <w:gridCol w:w="5013"/>
        <w:gridCol w:w="2198"/>
        <w:gridCol w:w="2198"/>
      </w:tblGrid>
      <w:tr w:rsidR="009B1250" w14:paraId="37634464" w14:textId="77777777" w:rsidTr="001658D3">
        <w:trPr>
          <w:tblHeader/>
        </w:trPr>
        <w:tc>
          <w:tcPr>
            <w:tcW w:w="5013" w:type="dxa"/>
            <w:tcBorders>
              <w:top w:val="single" w:sz="4" w:space="0" w:color="auto"/>
              <w:left w:val="single" w:sz="4" w:space="0" w:color="auto"/>
              <w:bottom w:val="single" w:sz="4" w:space="0" w:color="auto"/>
              <w:right w:val="single" w:sz="4" w:space="0" w:color="auto"/>
            </w:tcBorders>
            <w:shd w:val="clear" w:color="auto" w:fill="288A32"/>
            <w:vAlign w:val="center"/>
            <w:hideMark/>
          </w:tcPr>
          <w:p w14:paraId="57F4B4A5" w14:textId="77777777" w:rsidR="009B1250" w:rsidRPr="00521F7C" w:rsidRDefault="009B1250" w:rsidP="00C1596D">
            <w:pPr>
              <w:spacing w:line="240" w:lineRule="auto"/>
              <w:rPr>
                <w:b/>
                <w:color w:val="FFFFFF" w:themeColor="background1"/>
                <w:sz w:val="20"/>
                <w:szCs w:val="20"/>
              </w:rPr>
            </w:pPr>
            <w:r w:rsidRPr="00521F7C">
              <w:rPr>
                <w:sz w:val="20"/>
                <w:szCs w:val="20"/>
              </w:rPr>
              <w:br w:type="page"/>
            </w:r>
            <w:r w:rsidRPr="00521F7C">
              <w:rPr>
                <w:b/>
                <w:color w:val="FFFFFF" w:themeColor="background1"/>
                <w:sz w:val="20"/>
                <w:szCs w:val="20"/>
              </w:rPr>
              <w:t>Source</w:t>
            </w:r>
          </w:p>
        </w:tc>
        <w:tc>
          <w:tcPr>
            <w:tcW w:w="2198" w:type="dxa"/>
            <w:tcBorders>
              <w:top w:val="single" w:sz="4" w:space="0" w:color="auto"/>
              <w:left w:val="single" w:sz="4" w:space="0" w:color="auto"/>
              <w:bottom w:val="single" w:sz="4" w:space="0" w:color="auto"/>
              <w:right w:val="single" w:sz="4" w:space="0" w:color="auto"/>
            </w:tcBorders>
            <w:shd w:val="clear" w:color="auto" w:fill="288A32"/>
          </w:tcPr>
          <w:p w14:paraId="61C2F981" w14:textId="1C10FFB2" w:rsidR="009B1250" w:rsidRPr="00521F7C" w:rsidRDefault="009B1250" w:rsidP="00C1596D">
            <w:pPr>
              <w:spacing w:line="240" w:lineRule="auto"/>
              <w:jc w:val="center"/>
              <w:rPr>
                <w:b/>
                <w:color w:val="FFFFFF" w:themeColor="background1"/>
                <w:sz w:val="20"/>
                <w:szCs w:val="20"/>
              </w:rPr>
            </w:pPr>
            <w:r w:rsidRPr="00521F7C">
              <w:rPr>
                <w:b/>
                <w:color w:val="FFFFFF" w:themeColor="background1"/>
                <w:sz w:val="20"/>
                <w:szCs w:val="20"/>
              </w:rPr>
              <w:t xml:space="preserve">Number of clinics for </w:t>
            </w:r>
            <w:r w:rsidR="005554D4" w:rsidRPr="00521F7C">
              <w:rPr>
                <w:b/>
                <w:color w:val="FFFFFF" w:themeColor="background1"/>
                <w:sz w:val="20"/>
                <w:szCs w:val="20"/>
              </w:rPr>
              <w:t>NEP2</w:t>
            </w:r>
            <w:r w:rsidR="005554D4">
              <w:rPr>
                <w:b/>
                <w:color w:val="FFFFFF" w:themeColor="background1"/>
                <w:sz w:val="20"/>
                <w:szCs w:val="20"/>
              </w:rPr>
              <w:t>1</w:t>
            </w:r>
          </w:p>
        </w:tc>
        <w:tc>
          <w:tcPr>
            <w:tcW w:w="2198" w:type="dxa"/>
            <w:tcBorders>
              <w:top w:val="single" w:sz="4" w:space="0" w:color="auto"/>
              <w:left w:val="single" w:sz="4" w:space="0" w:color="auto"/>
              <w:bottom w:val="single" w:sz="4" w:space="0" w:color="auto"/>
              <w:right w:val="single" w:sz="4" w:space="0" w:color="auto"/>
            </w:tcBorders>
            <w:shd w:val="clear" w:color="auto" w:fill="288A32"/>
          </w:tcPr>
          <w:p w14:paraId="0FEAA25B" w14:textId="147260DF" w:rsidR="009B1250" w:rsidRPr="00521F7C" w:rsidRDefault="009B1250" w:rsidP="00C1596D">
            <w:pPr>
              <w:spacing w:line="240" w:lineRule="auto"/>
              <w:jc w:val="center"/>
              <w:rPr>
                <w:b/>
                <w:color w:val="FFFFFF" w:themeColor="background1"/>
                <w:sz w:val="20"/>
                <w:szCs w:val="20"/>
              </w:rPr>
            </w:pPr>
            <w:r w:rsidRPr="00521F7C">
              <w:rPr>
                <w:b/>
                <w:color w:val="FFFFFF" w:themeColor="background1"/>
                <w:sz w:val="20"/>
                <w:szCs w:val="20"/>
              </w:rPr>
              <w:t xml:space="preserve">Number of clinics for </w:t>
            </w:r>
            <w:r w:rsidR="005554D4" w:rsidRPr="00521F7C">
              <w:rPr>
                <w:b/>
                <w:color w:val="FFFFFF" w:themeColor="background1"/>
                <w:sz w:val="20"/>
                <w:szCs w:val="20"/>
              </w:rPr>
              <w:t>NEP2</w:t>
            </w:r>
            <w:r w:rsidR="005554D4">
              <w:rPr>
                <w:b/>
                <w:color w:val="FFFFFF" w:themeColor="background1"/>
                <w:sz w:val="20"/>
                <w:szCs w:val="20"/>
              </w:rPr>
              <w:t>2</w:t>
            </w:r>
          </w:p>
        </w:tc>
      </w:tr>
      <w:tr w:rsidR="009B1250" w14:paraId="33F748E6" w14:textId="77777777" w:rsidTr="001658D3">
        <w:tc>
          <w:tcPr>
            <w:tcW w:w="5013" w:type="dxa"/>
            <w:tcBorders>
              <w:top w:val="single" w:sz="4" w:space="0" w:color="auto"/>
              <w:left w:val="single" w:sz="4" w:space="0" w:color="auto"/>
              <w:bottom w:val="single" w:sz="4" w:space="0" w:color="auto"/>
              <w:right w:val="single" w:sz="4" w:space="0" w:color="auto"/>
            </w:tcBorders>
            <w:hideMark/>
          </w:tcPr>
          <w:p w14:paraId="105A95D4" w14:textId="77777777" w:rsidR="009B1250" w:rsidRPr="00521F7C" w:rsidRDefault="009B1250" w:rsidP="00C1596D">
            <w:pPr>
              <w:spacing w:line="240" w:lineRule="auto"/>
              <w:rPr>
                <w:sz w:val="20"/>
                <w:szCs w:val="20"/>
              </w:rPr>
            </w:pPr>
            <w:r w:rsidRPr="00521F7C">
              <w:rPr>
                <w:sz w:val="20"/>
                <w:szCs w:val="20"/>
              </w:rPr>
              <w:t>EY Costing Study</w:t>
            </w:r>
          </w:p>
        </w:tc>
        <w:tc>
          <w:tcPr>
            <w:tcW w:w="2198" w:type="dxa"/>
            <w:tcBorders>
              <w:top w:val="single" w:sz="4" w:space="0" w:color="auto"/>
              <w:left w:val="single" w:sz="4" w:space="0" w:color="auto"/>
              <w:bottom w:val="single" w:sz="4" w:space="0" w:color="auto"/>
              <w:right w:val="single" w:sz="4" w:space="0" w:color="auto"/>
            </w:tcBorders>
          </w:tcPr>
          <w:p w14:paraId="7E329EF5" w14:textId="520BF286" w:rsidR="009B1250" w:rsidRPr="00521F7C" w:rsidRDefault="005554D4" w:rsidP="00C1596D">
            <w:pPr>
              <w:spacing w:line="240" w:lineRule="auto"/>
              <w:jc w:val="center"/>
              <w:rPr>
                <w:sz w:val="20"/>
                <w:szCs w:val="20"/>
                <w:highlight w:val="yellow"/>
              </w:rPr>
            </w:pPr>
            <w:r>
              <w:rPr>
                <w:sz w:val="20"/>
                <w:szCs w:val="20"/>
              </w:rPr>
              <w:t>13</w:t>
            </w:r>
          </w:p>
        </w:tc>
        <w:tc>
          <w:tcPr>
            <w:tcW w:w="2198" w:type="dxa"/>
            <w:tcBorders>
              <w:top w:val="single" w:sz="4" w:space="0" w:color="auto"/>
              <w:left w:val="single" w:sz="4" w:space="0" w:color="auto"/>
              <w:bottom w:val="single" w:sz="4" w:space="0" w:color="auto"/>
              <w:right w:val="single" w:sz="4" w:space="0" w:color="auto"/>
            </w:tcBorders>
          </w:tcPr>
          <w:p w14:paraId="77091F00" w14:textId="12565AD6" w:rsidR="009B1250" w:rsidRPr="00521F7C" w:rsidRDefault="005554D4" w:rsidP="00C1596D">
            <w:pPr>
              <w:spacing w:line="240" w:lineRule="auto"/>
              <w:jc w:val="center"/>
              <w:rPr>
                <w:sz w:val="20"/>
                <w:szCs w:val="20"/>
              </w:rPr>
            </w:pPr>
            <w:r w:rsidRPr="2947643C">
              <w:rPr>
                <w:sz w:val="20"/>
                <w:szCs w:val="20"/>
              </w:rPr>
              <w:t>5</w:t>
            </w:r>
          </w:p>
        </w:tc>
      </w:tr>
      <w:tr w:rsidR="009B1250" w14:paraId="64C85865" w14:textId="77777777" w:rsidTr="001658D3">
        <w:tc>
          <w:tcPr>
            <w:tcW w:w="5013" w:type="dxa"/>
            <w:tcBorders>
              <w:top w:val="single" w:sz="4" w:space="0" w:color="auto"/>
              <w:left w:val="single" w:sz="4" w:space="0" w:color="auto"/>
              <w:bottom w:val="single" w:sz="4" w:space="0" w:color="auto"/>
              <w:right w:val="single" w:sz="4" w:space="0" w:color="auto"/>
            </w:tcBorders>
            <w:hideMark/>
          </w:tcPr>
          <w:p w14:paraId="30B469CF" w14:textId="4CE60BDF" w:rsidR="009B1250" w:rsidRPr="00521F7C" w:rsidRDefault="005554D4" w:rsidP="00C1596D">
            <w:pPr>
              <w:spacing w:line="240" w:lineRule="auto"/>
              <w:rPr>
                <w:sz w:val="20"/>
                <w:szCs w:val="20"/>
              </w:rPr>
            </w:pPr>
            <w:r>
              <w:rPr>
                <w:sz w:val="20"/>
                <w:szCs w:val="20"/>
              </w:rPr>
              <w:t>2014 Costing Studies (</w:t>
            </w:r>
            <w:r w:rsidR="009B1250" w:rsidRPr="00521F7C">
              <w:rPr>
                <w:sz w:val="20"/>
                <w:szCs w:val="20"/>
              </w:rPr>
              <w:t xml:space="preserve">Home Enteral Nutrition, </w:t>
            </w:r>
            <w:r w:rsidR="009B1250" w:rsidRPr="00521F7C">
              <w:rPr>
                <w:rFonts w:cs="Arial"/>
                <w:sz w:val="20"/>
                <w:szCs w:val="20"/>
              </w:rPr>
              <w:t xml:space="preserve">Total Parenteral Nutrition and </w:t>
            </w:r>
            <w:r w:rsidR="009B1250" w:rsidRPr="00521F7C">
              <w:rPr>
                <w:sz w:val="20"/>
                <w:szCs w:val="20"/>
              </w:rPr>
              <w:t xml:space="preserve">Home Ventilation Services </w:t>
            </w:r>
            <w:r>
              <w:rPr>
                <w:sz w:val="20"/>
                <w:szCs w:val="20"/>
              </w:rPr>
              <w:t xml:space="preserve">and PwC </w:t>
            </w:r>
            <w:r w:rsidR="009B1250" w:rsidRPr="00521F7C">
              <w:rPr>
                <w:sz w:val="20"/>
                <w:szCs w:val="20"/>
              </w:rPr>
              <w:t>Costing Study</w:t>
            </w:r>
            <w:r>
              <w:rPr>
                <w:sz w:val="20"/>
                <w:szCs w:val="20"/>
              </w:rPr>
              <w:t>)</w:t>
            </w:r>
          </w:p>
        </w:tc>
        <w:tc>
          <w:tcPr>
            <w:tcW w:w="2198" w:type="dxa"/>
            <w:tcBorders>
              <w:top w:val="single" w:sz="4" w:space="0" w:color="auto"/>
              <w:left w:val="single" w:sz="4" w:space="0" w:color="auto"/>
              <w:bottom w:val="single" w:sz="4" w:space="0" w:color="auto"/>
              <w:right w:val="single" w:sz="4" w:space="0" w:color="auto"/>
            </w:tcBorders>
            <w:vAlign w:val="center"/>
          </w:tcPr>
          <w:p w14:paraId="144C0444" w14:textId="6C8C94FD" w:rsidR="009B1250" w:rsidRPr="00521F7C" w:rsidRDefault="005554D4" w:rsidP="00C1596D">
            <w:pPr>
              <w:spacing w:line="240" w:lineRule="auto"/>
              <w:jc w:val="center"/>
              <w:rPr>
                <w:sz w:val="20"/>
                <w:szCs w:val="20"/>
                <w:highlight w:val="yellow"/>
              </w:rPr>
            </w:pPr>
            <w:r>
              <w:rPr>
                <w:sz w:val="20"/>
                <w:szCs w:val="20"/>
              </w:rPr>
              <w:t>3</w:t>
            </w:r>
          </w:p>
        </w:tc>
        <w:tc>
          <w:tcPr>
            <w:tcW w:w="2198" w:type="dxa"/>
            <w:tcBorders>
              <w:top w:val="single" w:sz="4" w:space="0" w:color="auto"/>
              <w:left w:val="single" w:sz="4" w:space="0" w:color="auto"/>
              <w:bottom w:val="single" w:sz="4" w:space="0" w:color="auto"/>
              <w:right w:val="single" w:sz="4" w:space="0" w:color="auto"/>
            </w:tcBorders>
            <w:vAlign w:val="center"/>
          </w:tcPr>
          <w:p w14:paraId="434C64EB" w14:textId="15E7842F" w:rsidR="009B1250" w:rsidRPr="00521F7C" w:rsidRDefault="005554D4" w:rsidP="00C1596D">
            <w:pPr>
              <w:spacing w:line="240" w:lineRule="auto"/>
              <w:jc w:val="center"/>
              <w:rPr>
                <w:sz w:val="20"/>
                <w:szCs w:val="20"/>
              </w:rPr>
            </w:pPr>
            <w:r w:rsidRPr="2947643C">
              <w:rPr>
                <w:sz w:val="20"/>
                <w:szCs w:val="20"/>
              </w:rPr>
              <w:t>2</w:t>
            </w:r>
          </w:p>
        </w:tc>
      </w:tr>
      <w:tr w:rsidR="009B1250" w14:paraId="6CFD8D6D" w14:textId="77777777" w:rsidTr="001658D3">
        <w:tc>
          <w:tcPr>
            <w:tcW w:w="5013" w:type="dxa"/>
            <w:tcBorders>
              <w:top w:val="single" w:sz="4" w:space="0" w:color="auto"/>
              <w:left w:val="single" w:sz="4" w:space="0" w:color="auto"/>
              <w:bottom w:val="single" w:sz="4" w:space="0" w:color="auto"/>
              <w:right w:val="single" w:sz="4" w:space="0" w:color="auto"/>
            </w:tcBorders>
            <w:hideMark/>
          </w:tcPr>
          <w:p w14:paraId="74F41067" w14:textId="15947557" w:rsidR="009B1250" w:rsidRPr="00521F7C" w:rsidRDefault="009B1250" w:rsidP="00C1596D">
            <w:pPr>
              <w:spacing w:line="240" w:lineRule="auto"/>
              <w:rPr>
                <w:sz w:val="20"/>
                <w:szCs w:val="20"/>
              </w:rPr>
            </w:pPr>
            <w:r w:rsidRPr="00521F7C">
              <w:rPr>
                <w:sz w:val="20"/>
                <w:szCs w:val="20"/>
              </w:rPr>
              <w:t>NHCDC Round</w:t>
            </w:r>
            <w:r w:rsidR="005554D4">
              <w:rPr>
                <w:sz w:val="20"/>
                <w:szCs w:val="20"/>
              </w:rPr>
              <w:t>s 22,</w:t>
            </w:r>
            <w:r w:rsidRPr="00521F7C">
              <w:rPr>
                <w:sz w:val="20"/>
                <w:szCs w:val="20"/>
              </w:rPr>
              <w:t xml:space="preserve"> </w:t>
            </w:r>
            <w:r w:rsidR="005554D4">
              <w:rPr>
                <w:sz w:val="20"/>
                <w:szCs w:val="20"/>
              </w:rPr>
              <w:t>23</w:t>
            </w:r>
            <w:r w:rsidR="005554D4" w:rsidRPr="00521F7C">
              <w:rPr>
                <w:sz w:val="20"/>
                <w:szCs w:val="20"/>
              </w:rPr>
              <w:t xml:space="preserve"> </w:t>
            </w:r>
            <w:r w:rsidRPr="00521F7C">
              <w:rPr>
                <w:sz w:val="20"/>
                <w:szCs w:val="20"/>
              </w:rPr>
              <w:t xml:space="preserve">and </w:t>
            </w:r>
            <w:r w:rsidR="005554D4">
              <w:rPr>
                <w:sz w:val="20"/>
                <w:szCs w:val="20"/>
              </w:rPr>
              <w:t>24</w:t>
            </w:r>
          </w:p>
        </w:tc>
        <w:tc>
          <w:tcPr>
            <w:tcW w:w="2198" w:type="dxa"/>
            <w:tcBorders>
              <w:top w:val="single" w:sz="4" w:space="0" w:color="auto"/>
              <w:left w:val="single" w:sz="4" w:space="0" w:color="auto"/>
              <w:bottom w:val="single" w:sz="4" w:space="0" w:color="auto"/>
              <w:right w:val="single" w:sz="4" w:space="0" w:color="auto"/>
            </w:tcBorders>
          </w:tcPr>
          <w:p w14:paraId="522626F8" w14:textId="29F154F4" w:rsidR="009B1250" w:rsidRPr="00521F7C" w:rsidRDefault="005554D4" w:rsidP="00C1596D">
            <w:pPr>
              <w:spacing w:line="240" w:lineRule="auto"/>
              <w:jc w:val="center"/>
              <w:rPr>
                <w:sz w:val="20"/>
                <w:szCs w:val="20"/>
                <w:highlight w:val="yellow"/>
              </w:rPr>
            </w:pPr>
            <w:r>
              <w:rPr>
                <w:sz w:val="20"/>
                <w:szCs w:val="20"/>
              </w:rPr>
              <w:t>108</w:t>
            </w:r>
          </w:p>
        </w:tc>
        <w:tc>
          <w:tcPr>
            <w:tcW w:w="2198" w:type="dxa"/>
            <w:tcBorders>
              <w:top w:val="single" w:sz="4" w:space="0" w:color="auto"/>
              <w:left w:val="single" w:sz="4" w:space="0" w:color="auto"/>
              <w:bottom w:val="single" w:sz="4" w:space="0" w:color="auto"/>
              <w:right w:val="single" w:sz="4" w:space="0" w:color="auto"/>
            </w:tcBorders>
          </w:tcPr>
          <w:p w14:paraId="1CB1D322" w14:textId="6DC6BAA4" w:rsidR="009B1250" w:rsidRPr="00521F7C" w:rsidRDefault="005554D4" w:rsidP="00C1596D">
            <w:pPr>
              <w:spacing w:line="240" w:lineRule="auto"/>
              <w:jc w:val="center"/>
              <w:rPr>
                <w:sz w:val="20"/>
                <w:szCs w:val="20"/>
              </w:rPr>
            </w:pPr>
            <w:r w:rsidRPr="1B0982C4">
              <w:rPr>
                <w:sz w:val="20"/>
                <w:szCs w:val="20"/>
              </w:rPr>
              <w:t>119</w:t>
            </w:r>
          </w:p>
        </w:tc>
      </w:tr>
      <w:tr w:rsidR="009B1250" w14:paraId="58436BA9" w14:textId="77777777" w:rsidTr="001658D3">
        <w:tc>
          <w:tcPr>
            <w:tcW w:w="5013" w:type="dxa"/>
            <w:tcBorders>
              <w:top w:val="single" w:sz="4" w:space="0" w:color="auto"/>
              <w:left w:val="single" w:sz="4" w:space="0" w:color="auto"/>
              <w:bottom w:val="single" w:sz="4" w:space="0" w:color="auto"/>
              <w:right w:val="single" w:sz="4" w:space="0" w:color="auto"/>
            </w:tcBorders>
            <w:hideMark/>
          </w:tcPr>
          <w:p w14:paraId="562772C7" w14:textId="77777777" w:rsidR="009B1250" w:rsidRPr="00521F7C" w:rsidRDefault="009B1250" w:rsidP="00C1596D">
            <w:pPr>
              <w:spacing w:line="240" w:lineRule="auto"/>
              <w:rPr>
                <w:sz w:val="20"/>
                <w:szCs w:val="20"/>
              </w:rPr>
            </w:pPr>
            <w:r w:rsidRPr="00521F7C">
              <w:rPr>
                <w:sz w:val="20"/>
                <w:szCs w:val="20"/>
              </w:rPr>
              <w:t>Harmonised with admitted acute</w:t>
            </w:r>
          </w:p>
        </w:tc>
        <w:tc>
          <w:tcPr>
            <w:tcW w:w="2198" w:type="dxa"/>
            <w:tcBorders>
              <w:top w:val="single" w:sz="4" w:space="0" w:color="auto"/>
              <w:left w:val="single" w:sz="4" w:space="0" w:color="auto"/>
              <w:bottom w:val="single" w:sz="4" w:space="0" w:color="auto"/>
              <w:right w:val="single" w:sz="4" w:space="0" w:color="auto"/>
            </w:tcBorders>
          </w:tcPr>
          <w:p w14:paraId="426B1096" w14:textId="101ECD5A" w:rsidR="009B1250" w:rsidRPr="00521F7C" w:rsidRDefault="005554D4" w:rsidP="00C1596D">
            <w:pPr>
              <w:spacing w:line="240" w:lineRule="auto"/>
              <w:jc w:val="center"/>
              <w:rPr>
                <w:sz w:val="20"/>
                <w:szCs w:val="20"/>
                <w:highlight w:val="yellow"/>
              </w:rPr>
            </w:pPr>
            <w:r>
              <w:rPr>
                <w:sz w:val="20"/>
                <w:szCs w:val="20"/>
              </w:rPr>
              <w:t>2</w:t>
            </w:r>
          </w:p>
        </w:tc>
        <w:tc>
          <w:tcPr>
            <w:tcW w:w="2198" w:type="dxa"/>
            <w:tcBorders>
              <w:top w:val="single" w:sz="4" w:space="0" w:color="auto"/>
              <w:left w:val="single" w:sz="4" w:space="0" w:color="auto"/>
              <w:bottom w:val="single" w:sz="4" w:space="0" w:color="auto"/>
              <w:right w:val="single" w:sz="4" w:space="0" w:color="auto"/>
            </w:tcBorders>
          </w:tcPr>
          <w:p w14:paraId="20683199" w14:textId="7BF30EED" w:rsidR="009B1250" w:rsidRPr="00521F7C" w:rsidRDefault="005554D4" w:rsidP="00C1596D">
            <w:pPr>
              <w:spacing w:line="240" w:lineRule="auto"/>
              <w:jc w:val="center"/>
              <w:rPr>
                <w:sz w:val="20"/>
                <w:szCs w:val="20"/>
              </w:rPr>
            </w:pPr>
            <w:r w:rsidRPr="1B0982C4">
              <w:rPr>
                <w:sz w:val="20"/>
                <w:szCs w:val="20"/>
              </w:rPr>
              <w:t>2</w:t>
            </w:r>
          </w:p>
        </w:tc>
      </w:tr>
      <w:tr w:rsidR="009B1250" w14:paraId="2DEE4623" w14:textId="77777777" w:rsidTr="001658D3">
        <w:tc>
          <w:tcPr>
            <w:tcW w:w="5013" w:type="dxa"/>
            <w:tcBorders>
              <w:top w:val="single" w:sz="4" w:space="0" w:color="auto"/>
              <w:left w:val="single" w:sz="4" w:space="0" w:color="auto"/>
              <w:bottom w:val="single" w:sz="4" w:space="0" w:color="auto"/>
              <w:right w:val="single" w:sz="4" w:space="0" w:color="auto"/>
            </w:tcBorders>
            <w:hideMark/>
          </w:tcPr>
          <w:p w14:paraId="2D860B43" w14:textId="77777777" w:rsidR="009B1250" w:rsidRPr="00521F7C" w:rsidRDefault="009B1250" w:rsidP="00C1596D">
            <w:pPr>
              <w:spacing w:line="240" w:lineRule="auto"/>
              <w:rPr>
                <w:sz w:val="20"/>
                <w:szCs w:val="20"/>
              </w:rPr>
            </w:pPr>
            <w:r w:rsidRPr="00521F7C">
              <w:rPr>
                <w:sz w:val="20"/>
                <w:szCs w:val="20"/>
              </w:rPr>
              <w:t>Manual treatment</w:t>
            </w:r>
          </w:p>
        </w:tc>
        <w:tc>
          <w:tcPr>
            <w:tcW w:w="2198" w:type="dxa"/>
            <w:tcBorders>
              <w:top w:val="single" w:sz="4" w:space="0" w:color="auto"/>
              <w:left w:val="single" w:sz="4" w:space="0" w:color="auto"/>
              <w:bottom w:val="single" w:sz="4" w:space="0" w:color="auto"/>
              <w:right w:val="single" w:sz="4" w:space="0" w:color="auto"/>
            </w:tcBorders>
          </w:tcPr>
          <w:p w14:paraId="0A6ACD27" w14:textId="4FE0AB93" w:rsidR="009B1250" w:rsidRPr="00521F7C" w:rsidRDefault="005554D4" w:rsidP="00C1596D">
            <w:pPr>
              <w:spacing w:line="240" w:lineRule="auto"/>
              <w:jc w:val="center"/>
              <w:rPr>
                <w:sz w:val="20"/>
                <w:szCs w:val="20"/>
                <w:highlight w:val="yellow"/>
              </w:rPr>
            </w:pPr>
            <w:r>
              <w:rPr>
                <w:sz w:val="20"/>
                <w:szCs w:val="20"/>
              </w:rPr>
              <w:t>1</w:t>
            </w:r>
          </w:p>
        </w:tc>
        <w:tc>
          <w:tcPr>
            <w:tcW w:w="2198" w:type="dxa"/>
            <w:tcBorders>
              <w:top w:val="single" w:sz="4" w:space="0" w:color="auto"/>
              <w:left w:val="single" w:sz="4" w:space="0" w:color="auto"/>
              <w:bottom w:val="single" w:sz="4" w:space="0" w:color="auto"/>
              <w:right w:val="single" w:sz="4" w:space="0" w:color="auto"/>
            </w:tcBorders>
          </w:tcPr>
          <w:p w14:paraId="3E4D1368" w14:textId="369082EC" w:rsidR="009B1250" w:rsidRPr="00521F7C" w:rsidRDefault="005554D4" w:rsidP="00C1596D">
            <w:pPr>
              <w:spacing w:line="240" w:lineRule="auto"/>
              <w:jc w:val="center"/>
              <w:rPr>
                <w:sz w:val="20"/>
                <w:szCs w:val="20"/>
              </w:rPr>
            </w:pPr>
            <w:r w:rsidRPr="1B0982C4">
              <w:rPr>
                <w:sz w:val="20"/>
                <w:szCs w:val="20"/>
              </w:rPr>
              <w:t>1</w:t>
            </w:r>
          </w:p>
        </w:tc>
      </w:tr>
      <w:tr w:rsidR="009B1250" w14:paraId="5DE9EA53" w14:textId="77777777" w:rsidTr="001658D3">
        <w:tc>
          <w:tcPr>
            <w:tcW w:w="5013" w:type="dxa"/>
            <w:tcBorders>
              <w:top w:val="single" w:sz="4" w:space="0" w:color="auto"/>
              <w:left w:val="single" w:sz="4" w:space="0" w:color="auto"/>
              <w:bottom w:val="single" w:sz="4" w:space="0" w:color="auto"/>
              <w:right w:val="single" w:sz="4" w:space="0" w:color="auto"/>
            </w:tcBorders>
            <w:hideMark/>
          </w:tcPr>
          <w:p w14:paraId="29057FE3" w14:textId="77777777" w:rsidR="009B1250" w:rsidRPr="00521F7C" w:rsidRDefault="009B1250" w:rsidP="00C1596D">
            <w:pPr>
              <w:spacing w:line="240" w:lineRule="auto"/>
              <w:rPr>
                <w:b/>
                <w:sz w:val="20"/>
                <w:szCs w:val="20"/>
              </w:rPr>
            </w:pPr>
            <w:r w:rsidRPr="00521F7C">
              <w:rPr>
                <w:b/>
                <w:sz w:val="20"/>
                <w:szCs w:val="20"/>
              </w:rPr>
              <w:t>Total</w:t>
            </w:r>
          </w:p>
        </w:tc>
        <w:tc>
          <w:tcPr>
            <w:tcW w:w="2198" w:type="dxa"/>
            <w:tcBorders>
              <w:top w:val="single" w:sz="4" w:space="0" w:color="auto"/>
              <w:left w:val="single" w:sz="4" w:space="0" w:color="auto"/>
              <w:bottom w:val="single" w:sz="4" w:space="0" w:color="auto"/>
              <w:right w:val="single" w:sz="4" w:space="0" w:color="auto"/>
            </w:tcBorders>
          </w:tcPr>
          <w:p w14:paraId="5307F2C4" w14:textId="153F3B4B" w:rsidR="009B1250" w:rsidRPr="00521F7C" w:rsidRDefault="005554D4" w:rsidP="00C1596D">
            <w:pPr>
              <w:spacing w:line="240" w:lineRule="auto"/>
              <w:jc w:val="center"/>
              <w:rPr>
                <w:b/>
                <w:sz w:val="20"/>
                <w:szCs w:val="20"/>
              </w:rPr>
            </w:pPr>
            <w:r>
              <w:rPr>
                <w:b/>
                <w:sz w:val="20"/>
                <w:szCs w:val="20"/>
              </w:rPr>
              <w:t>127</w:t>
            </w:r>
          </w:p>
        </w:tc>
        <w:tc>
          <w:tcPr>
            <w:tcW w:w="2198" w:type="dxa"/>
            <w:tcBorders>
              <w:top w:val="single" w:sz="4" w:space="0" w:color="auto"/>
              <w:left w:val="single" w:sz="4" w:space="0" w:color="auto"/>
              <w:bottom w:val="single" w:sz="4" w:space="0" w:color="auto"/>
              <w:right w:val="single" w:sz="4" w:space="0" w:color="auto"/>
            </w:tcBorders>
          </w:tcPr>
          <w:p w14:paraId="72F93818" w14:textId="60FB7611" w:rsidR="009B1250" w:rsidRPr="00521F7C" w:rsidRDefault="005554D4" w:rsidP="00C1596D">
            <w:pPr>
              <w:spacing w:line="240" w:lineRule="auto"/>
              <w:jc w:val="center"/>
              <w:rPr>
                <w:b/>
                <w:sz w:val="20"/>
                <w:szCs w:val="20"/>
              </w:rPr>
            </w:pPr>
            <w:r w:rsidRPr="1B0982C4">
              <w:rPr>
                <w:b/>
                <w:bCs/>
                <w:sz w:val="20"/>
                <w:szCs w:val="20"/>
              </w:rPr>
              <w:t>129</w:t>
            </w:r>
          </w:p>
        </w:tc>
      </w:tr>
    </w:tbl>
    <w:p w14:paraId="71CF6ADC" w14:textId="6D13E9DC" w:rsidR="00550102" w:rsidRDefault="00550102" w:rsidP="00550102">
      <w:pPr>
        <w:tabs>
          <w:tab w:val="left" w:pos="1162"/>
        </w:tabs>
        <w:spacing w:before="240" w:line="240" w:lineRule="auto"/>
        <w:rPr>
          <w:rFonts w:cs="Arial"/>
          <w:szCs w:val="20"/>
        </w:rPr>
      </w:pPr>
      <w:r>
        <w:rPr>
          <w:rFonts w:cs="Arial"/>
          <w:szCs w:val="20"/>
        </w:rPr>
        <w:t xml:space="preserve">The non-admitted model imposes a three-year time period for the evaluation of stability. The determination of stability in the NHCDC now necessitates the difference in average price between the current data period and previous data collection to be within the 20 per cent threshold, as well as the difference in average price between the last data period and two years ago.  </w:t>
      </w:r>
    </w:p>
    <w:p w14:paraId="3D436BAA" w14:textId="2799866C" w:rsidR="00550102" w:rsidRDefault="00550102" w:rsidP="00550102">
      <w:pPr>
        <w:tabs>
          <w:tab w:val="left" w:pos="1162"/>
        </w:tabs>
        <w:spacing w:line="240" w:lineRule="auto"/>
        <w:rPr>
          <w:rFonts w:cs="Arial"/>
          <w:szCs w:val="20"/>
        </w:rPr>
      </w:pPr>
      <w:r>
        <w:rPr>
          <w:rFonts w:cs="Arial"/>
          <w:szCs w:val="20"/>
        </w:rPr>
        <w:t xml:space="preserve">In </w:t>
      </w:r>
      <w:r w:rsidR="00DD49FA">
        <w:rPr>
          <w:rFonts w:cs="Arial"/>
          <w:szCs w:val="20"/>
        </w:rPr>
        <w:t>NEP22</w:t>
      </w:r>
      <w:r w:rsidRPr="00DE607D">
        <w:rPr>
          <w:rFonts w:cs="Arial"/>
          <w:szCs w:val="20"/>
        </w:rPr>
        <w:t xml:space="preserve">, </w:t>
      </w:r>
      <w:r w:rsidR="005554D4">
        <w:rPr>
          <w:rFonts w:cs="Arial"/>
          <w:szCs w:val="20"/>
        </w:rPr>
        <w:t>seven</w:t>
      </w:r>
      <w:r w:rsidR="005554D4" w:rsidRPr="00DE607D">
        <w:rPr>
          <w:rFonts w:cs="Arial"/>
          <w:szCs w:val="20"/>
        </w:rPr>
        <w:t xml:space="preserve"> </w:t>
      </w:r>
      <w:r w:rsidRPr="00DE607D">
        <w:rPr>
          <w:rFonts w:cs="Arial"/>
          <w:szCs w:val="20"/>
        </w:rPr>
        <w:t>clinics</w:t>
      </w:r>
      <w:r>
        <w:rPr>
          <w:rFonts w:cs="Arial"/>
          <w:szCs w:val="20"/>
        </w:rPr>
        <w:t xml:space="preserve"> transitioned from being priced using the EY Costing Study to being priced using the NHCDC.</w:t>
      </w:r>
      <w:r w:rsidR="002E14A3">
        <w:rPr>
          <w:rFonts w:cs="Arial"/>
          <w:szCs w:val="20"/>
        </w:rPr>
        <w:t xml:space="preserve"> Additionally, one </w:t>
      </w:r>
      <w:r w:rsidR="006C6367">
        <w:rPr>
          <w:rFonts w:cs="Arial"/>
          <w:szCs w:val="20"/>
        </w:rPr>
        <w:t xml:space="preserve">class </w:t>
      </w:r>
      <w:r w:rsidR="002E14A3">
        <w:rPr>
          <w:rFonts w:cs="Arial"/>
          <w:szCs w:val="20"/>
        </w:rPr>
        <w:t xml:space="preserve">transitioned from using the </w:t>
      </w:r>
      <w:r w:rsidR="005554D4">
        <w:rPr>
          <w:rFonts w:cs="Arial"/>
          <w:szCs w:val="20"/>
        </w:rPr>
        <w:t>2014</w:t>
      </w:r>
      <w:r w:rsidR="002E14A3">
        <w:rPr>
          <w:rFonts w:cs="Arial"/>
          <w:szCs w:val="20"/>
        </w:rPr>
        <w:t xml:space="preserve"> costing study to being priced using the NHCDC.  </w:t>
      </w:r>
    </w:p>
    <w:p w14:paraId="5E862868" w14:textId="5E13F3E2" w:rsidR="00234924" w:rsidRDefault="00550102" w:rsidP="00550102">
      <w:pPr>
        <w:tabs>
          <w:tab w:val="left" w:pos="1162"/>
        </w:tabs>
        <w:spacing w:after="0" w:line="240" w:lineRule="auto"/>
        <w:rPr>
          <w:rFonts w:cs="Arial"/>
          <w:szCs w:val="20"/>
        </w:rPr>
      </w:pPr>
      <w:r>
        <w:rPr>
          <w:rFonts w:cs="Arial"/>
          <w:szCs w:val="20"/>
        </w:rPr>
        <w:t xml:space="preserve">Additionally, the </w:t>
      </w:r>
      <w:r w:rsidRPr="005A1510">
        <w:rPr>
          <w:rFonts w:cs="Arial"/>
          <w:szCs w:val="20"/>
        </w:rPr>
        <w:t>Stability Policy</w:t>
      </w:r>
      <w:r w:rsidRPr="00EC1F9C">
        <w:rPr>
          <w:rFonts w:cs="Arial"/>
          <w:i/>
          <w:szCs w:val="20"/>
        </w:rPr>
        <w:t xml:space="preserve"> </w:t>
      </w:r>
      <w:r>
        <w:rPr>
          <w:rFonts w:cs="Arial"/>
          <w:szCs w:val="20"/>
        </w:rPr>
        <w:t xml:space="preserve">requires that the year-to-year movement in price weights be restricted to a maximum of 20 per cent. </w:t>
      </w:r>
      <w:r w:rsidRPr="00DE607D">
        <w:rPr>
          <w:rFonts w:cs="Arial"/>
          <w:szCs w:val="20"/>
        </w:rPr>
        <w:t xml:space="preserve">In </w:t>
      </w:r>
      <w:r w:rsidR="00DD49FA" w:rsidRPr="00DE607D">
        <w:rPr>
          <w:rFonts w:cs="Arial"/>
          <w:szCs w:val="20"/>
        </w:rPr>
        <w:t>NEP2</w:t>
      </w:r>
      <w:r w:rsidR="00DD49FA">
        <w:rPr>
          <w:rFonts w:cs="Arial"/>
          <w:szCs w:val="20"/>
        </w:rPr>
        <w:t>2</w:t>
      </w:r>
      <w:r w:rsidRPr="00DE607D">
        <w:rPr>
          <w:rFonts w:cs="Arial"/>
          <w:szCs w:val="20"/>
        </w:rPr>
        <w:t xml:space="preserve">, this restriction will not apply </w:t>
      </w:r>
      <w:r>
        <w:rPr>
          <w:rFonts w:cs="Arial"/>
          <w:szCs w:val="20"/>
        </w:rPr>
        <w:t>to</w:t>
      </w:r>
      <w:r w:rsidRPr="00DE607D">
        <w:rPr>
          <w:rFonts w:cs="Arial"/>
          <w:szCs w:val="20"/>
        </w:rPr>
        <w:t xml:space="preserve"> </w:t>
      </w:r>
      <w:r w:rsidR="005554D4">
        <w:rPr>
          <w:rFonts w:cs="Arial"/>
          <w:szCs w:val="20"/>
        </w:rPr>
        <w:t>seven</w:t>
      </w:r>
      <w:r w:rsidR="005554D4" w:rsidRPr="00952470">
        <w:rPr>
          <w:rFonts w:cs="Arial"/>
          <w:szCs w:val="20"/>
        </w:rPr>
        <w:t xml:space="preserve"> </w:t>
      </w:r>
      <w:r w:rsidRPr="00952470">
        <w:rPr>
          <w:rFonts w:cs="Arial"/>
          <w:szCs w:val="20"/>
        </w:rPr>
        <w:t>clinics with identified year-to-year</w:t>
      </w:r>
      <w:r w:rsidRPr="000F27A6">
        <w:rPr>
          <w:rFonts w:cs="Arial"/>
          <w:szCs w:val="20"/>
        </w:rPr>
        <w:t xml:space="preserve"> </w:t>
      </w:r>
      <w:r>
        <w:rPr>
          <w:rFonts w:cs="Arial"/>
          <w:szCs w:val="20"/>
        </w:rPr>
        <w:t>price weight</w:t>
      </w:r>
      <w:r w:rsidRPr="000F27A6">
        <w:rPr>
          <w:rFonts w:cs="Arial"/>
          <w:szCs w:val="20"/>
        </w:rPr>
        <w:t xml:space="preserve"> movements greater than 20 </w:t>
      </w:r>
      <w:r>
        <w:rPr>
          <w:rFonts w:cs="Arial"/>
          <w:szCs w:val="20"/>
        </w:rPr>
        <w:t>per cent as</w:t>
      </w:r>
      <w:r w:rsidRPr="000F27A6">
        <w:rPr>
          <w:rFonts w:cs="Arial"/>
          <w:szCs w:val="20"/>
        </w:rPr>
        <w:t xml:space="preserve"> </w:t>
      </w:r>
      <w:r>
        <w:rPr>
          <w:rFonts w:cs="Arial"/>
          <w:szCs w:val="20"/>
        </w:rPr>
        <w:t xml:space="preserve">these clinics </w:t>
      </w:r>
      <w:r w:rsidRPr="000F27A6">
        <w:rPr>
          <w:rFonts w:cs="Arial"/>
          <w:szCs w:val="20"/>
        </w:rPr>
        <w:t xml:space="preserve">are </w:t>
      </w:r>
      <w:r w:rsidRPr="00DE607D">
        <w:rPr>
          <w:rFonts w:cs="Arial"/>
          <w:szCs w:val="20"/>
        </w:rPr>
        <w:t xml:space="preserve">transitioning from being priced using the Costing Study to the NHCDC. </w:t>
      </w:r>
    </w:p>
    <w:p w14:paraId="5BC8FAD7" w14:textId="29ED5E51" w:rsidR="00550102" w:rsidRDefault="00550102" w:rsidP="00550102">
      <w:pPr>
        <w:tabs>
          <w:tab w:val="left" w:pos="1162"/>
        </w:tabs>
        <w:spacing w:after="0" w:line="240" w:lineRule="auto"/>
        <w:rPr>
          <w:rFonts w:cs="Arial"/>
        </w:rPr>
      </w:pPr>
      <w:r w:rsidRPr="76ABC984">
        <w:rPr>
          <w:rFonts w:cs="Arial"/>
        </w:rPr>
        <w:t xml:space="preserve">In </w:t>
      </w:r>
      <w:r w:rsidR="00B16429" w:rsidRPr="76ABC984">
        <w:rPr>
          <w:rFonts w:cs="Arial"/>
        </w:rPr>
        <w:t>NEP22</w:t>
      </w:r>
      <w:r w:rsidRPr="76ABC984">
        <w:rPr>
          <w:rFonts w:cs="Arial"/>
        </w:rPr>
        <w:t xml:space="preserve">, </w:t>
      </w:r>
      <w:r w:rsidR="21A7271E" w:rsidRPr="76ABC984">
        <w:rPr>
          <w:rFonts w:cs="Arial"/>
        </w:rPr>
        <w:t>seven</w:t>
      </w:r>
      <w:r w:rsidR="005554D4" w:rsidRPr="76ABC984">
        <w:rPr>
          <w:rFonts w:cs="Arial"/>
        </w:rPr>
        <w:t xml:space="preserve"> </w:t>
      </w:r>
      <w:r w:rsidRPr="76ABC984">
        <w:rPr>
          <w:rFonts w:cs="Arial"/>
        </w:rPr>
        <w:t xml:space="preserve">clinics were stabilised in adherence to the Stability Policy. </w:t>
      </w:r>
      <w:r>
        <w:t xml:space="preserve">Table </w:t>
      </w:r>
      <w:r>
        <w:rPr>
          <w:noProof/>
        </w:rPr>
        <w:t>1</w:t>
      </w:r>
      <w:r w:rsidR="00302145">
        <w:rPr>
          <w:noProof/>
        </w:rPr>
        <w:t>3</w:t>
      </w:r>
      <w:r w:rsidRPr="76ABC984">
        <w:rPr>
          <w:rFonts w:cs="Arial"/>
        </w:rPr>
        <w:t xml:space="preserve"> provides the stabilised </w:t>
      </w:r>
      <w:r w:rsidR="005E1B0D" w:rsidRPr="76ABC984">
        <w:rPr>
          <w:rFonts w:cs="Arial"/>
        </w:rPr>
        <w:t xml:space="preserve">classes </w:t>
      </w:r>
      <w:r w:rsidR="008403D5" w:rsidRPr="76ABC984">
        <w:rPr>
          <w:rFonts w:cs="Arial"/>
        </w:rPr>
        <w:t xml:space="preserve">broken down to a series level. </w:t>
      </w:r>
    </w:p>
    <w:p w14:paraId="484BFADF" w14:textId="28F1B952" w:rsidR="00550102" w:rsidRDefault="00176BB4" w:rsidP="00836FC5">
      <w:pPr>
        <w:pStyle w:val="TableHeading"/>
      </w:pPr>
      <w:r>
        <w:lastRenderedPageBreak/>
        <w:t>Table 1</w:t>
      </w:r>
      <w:r w:rsidR="00302145">
        <w:t>3</w:t>
      </w:r>
      <w:r w:rsidR="00550102">
        <w:t xml:space="preserve">: Non-admitted stabilised </w:t>
      </w:r>
      <w:r w:rsidR="005E1B0D">
        <w:t xml:space="preserve">classes </w:t>
      </w:r>
      <w:r w:rsidR="00550102">
        <w:t xml:space="preserve">by series </w:t>
      </w:r>
    </w:p>
    <w:tbl>
      <w:tblPr>
        <w:tblStyle w:val="TableGrid1"/>
        <w:tblW w:w="7684" w:type="dxa"/>
        <w:tblLayout w:type="fixed"/>
        <w:tblLook w:val="04A0" w:firstRow="1" w:lastRow="0" w:firstColumn="1" w:lastColumn="0" w:noHBand="0" w:noVBand="1"/>
        <w:tblCaption w:val="Table 13: Non-Admitted Stabilised Clinics by Series.  "/>
      </w:tblPr>
      <w:tblGrid>
        <w:gridCol w:w="3842"/>
        <w:gridCol w:w="3842"/>
      </w:tblGrid>
      <w:tr w:rsidR="00550102" w14:paraId="336B9D60" w14:textId="77777777" w:rsidTr="001658D3">
        <w:trPr>
          <w:trHeight w:val="289"/>
          <w:tblHeader/>
        </w:trPr>
        <w:tc>
          <w:tcPr>
            <w:tcW w:w="3842" w:type="dxa"/>
            <w:tcBorders>
              <w:top w:val="single" w:sz="4" w:space="0" w:color="auto"/>
              <w:left w:val="single" w:sz="4" w:space="0" w:color="auto"/>
              <w:bottom w:val="single" w:sz="4" w:space="0" w:color="auto"/>
              <w:right w:val="single" w:sz="4" w:space="0" w:color="auto"/>
            </w:tcBorders>
            <w:shd w:val="clear" w:color="auto" w:fill="288A32"/>
            <w:vAlign w:val="center"/>
            <w:hideMark/>
          </w:tcPr>
          <w:p w14:paraId="25E42504" w14:textId="77777777" w:rsidR="00550102" w:rsidRPr="00521F7C" w:rsidRDefault="00550102" w:rsidP="00C1596D">
            <w:pPr>
              <w:spacing w:line="240" w:lineRule="auto"/>
              <w:rPr>
                <w:rFonts w:cs="Arial"/>
                <w:b/>
                <w:bCs/>
                <w:color w:val="FFFFFF" w:themeColor="background1"/>
                <w:sz w:val="20"/>
                <w:szCs w:val="20"/>
              </w:rPr>
            </w:pPr>
            <w:r w:rsidRPr="00521F7C">
              <w:rPr>
                <w:rFonts w:cs="Arial"/>
                <w:b/>
                <w:bCs/>
                <w:color w:val="FFFFFF" w:themeColor="background1"/>
                <w:sz w:val="20"/>
                <w:szCs w:val="20"/>
              </w:rPr>
              <w:t>Series</w:t>
            </w:r>
          </w:p>
        </w:tc>
        <w:tc>
          <w:tcPr>
            <w:tcW w:w="3842" w:type="dxa"/>
            <w:tcBorders>
              <w:top w:val="single" w:sz="4" w:space="0" w:color="auto"/>
              <w:left w:val="single" w:sz="4" w:space="0" w:color="auto"/>
              <w:bottom w:val="single" w:sz="4" w:space="0" w:color="auto"/>
              <w:right w:val="single" w:sz="4" w:space="0" w:color="auto"/>
            </w:tcBorders>
            <w:shd w:val="clear" w:color="auto" w:fill="288A32"/>
            <w:vAlign w:val="center"/>
            <w:hideMark/>
          </w:tcPr>
          <w:p w14:paraId="3C6CC26D" w14:textId="77777777" w:rsidR="00550102" w:rsidRPr="00521F7C" w:rsidRDefault="00550102" w:rsidP="00C1596D">
            <w:pPr>
              <w:spacing w:line="240" w:lineRule="auto"/>
              <w:jc w:val="center"/>
              <w:rPr>
                <w:rFonts w:cs="Arial"/>
                <w:b/>
                <w:bCs/>
                <w:color w:val="FFFFFF" w:themeColor="background1"/>
                <w:sz w:val="20"/>
                <w:szCs w:val="20"/>
              </w:rPr>
            </w:pPr>
            <w:r w:rsidRPr="00521F7C">
              <w:rPr>
                <w:rFonts w:cs="Arial"/>
                <w:b/>
                <w:bCs/>
                <w:color w:val="FFFFFF" w:themeColor="background1"/>
                <w:sz w:val="20"/>
                <w:szCs w:val="20"/>
              </w:rPr>
              <w:t>Number of stabilised clinics</w:t>
            </w:r>
          </w:p>
        </w:tc>
      </w:tr>
      <w:tr w:rsidR="00550102" w14:paraId="47F89A24" w14:textId="77777777" w:rsidTr="001658D3">
        <w:trPr>
          <w:trHeight w:val="289"/>
        </w:trPr>
        <w:tc>
          <w:tcPr>
            <w:tcW w:w="3842" w:type="dxa"/>
            <w:tcBorders>
              <w:top w:val="single" w:sz="4" w:space="0" w:color="auto"/>
              <w:left w:val="single" w:sz="4" w:space="0" w:color="auto"/>
              <w:bottom w:val="single" w:sz="4" w:space="0" w:color="auto"/>
              <w:right w:val="single" w:sz="4" w:space="0" w:color="auto"/>
            </w:tcBorders>
            <w:vAlign w:val="center"/>
            <w:hideMark/>
          </w:tcPr>
          <w:p w14:paraId="4281342E" w14:textId="77777777" w:rsidR="00550102" w:rsidRPr="00521F7C" w:rsidRDefault="00550102" w:rsidP="00C1596D">
            <w:pPr>
              <w:spacing w:line="240" w:lineRule="auto"/>
              <w:rPr>
                <w:sz w:val="20"/>
                <w:szCs w:val="20"/>
              </w:rPr>
            </w:pPr>
            <w:r w:rsidRPr="00521F7C">
              <w:rPr>
                <w:sz w:val="20"/>
                <w:szCs w:val="20"/>
              </w:rPr>
              <w:t>10: Procedure</w:t>
            </w:r>
          </w:p>
        </w:tc>
        <w:tc>
          <w:tcPr>
            <w:tcW w:w="3842" w:type="dxa"/>
            <w:tcBorders>
              <w:top w:val="single" w:sz="4" w:space="0" w:color="auto"/>
              <w:left w:val="single" w:sz="4" w:space="0" w:color="auto"/>
              <w:bottom w:val="single" w:sz="4" w:space="0" w:color="auto"/>
              <w:right w:val="single" w:sz="4" w:space="0" w:color="auto"/>
            </w:tcBorders>
            <w:noWrap/>
            <w:vAlign w:val="center"/>
            <w:hideMark/>
          </w:tcPr>
          <w:p w14:paraId="71BBAD69" w14:textId="124811BC" w:rsidR="00550102" w:rsidRPr="00521F7C" w:rsidRDefault="00797804" w:rsidP="00C1596D">
            <w:pPr>
              <w:spacing w:line="240" w:lineRule="auto"/>
              <w:jc w:val="center"/>
              <w:rPr>
                <w:sz w:val="20"/>
                <w:szCs w:val="20"/>
              </w:rPr>
            </w:pPr>
            <w:r w:rsidRPr="1B0982C4">
              <w:rPr>
                <w:sz w:val="20"/>
                <w:szCs w:val="20"/>
              </w:rPr>
              <w:t>2</w:t>
            </w:r>
          </w:p>
        </w:tc>
      </w:tr>
      <w:tr w:rsidR="00550102" w14:paraId="786B2534" w14:textId="77777777" w:rsidTr="001658D3">
        <w:trPr>
          <w:trHeight w:val="289"/>
        </w:trPr>
        <w:tc>
          <w:tcPr>
            <w:tcW w:w="3842" w:type="dxa"/>
            <w:tcBorders>
              <w:top w:val="single" w:sz="4" w:space="0" w:color="auto"/>
              <w:left w:val="single" w:sz="4" w:space="0" w:color="auto"/>
              <w:bottom w:val="single" w:sz="4" w:space="0" w:color="auto"/>
              <w:right w:val="single" w:sz="4" w:space="0" w:color="auto"/>
            </w:tcBorders>
            <w:vAlign w:val="center"/>
            <w:hideMark/>
          </w:tcPr>
          <w:p w14:paraId="273E40CE" w14:textId="77777777" w:rsidR="00550102" w:rsidRPr="00521F7C" w:rsidRDefault="00550102" w:rsidP="00C1596D">
            <w:pPr>
              <w:spacing w:line="240" w:lineRule="auto"/>
              <w:rPr>
                <w:sz w:val="20"/>
                <w:szCs w:val="20"/>
              </w:rPr>
            </w:pPr>
            <w:r w:rsidRPr="00521F7C">
              <w:rPr>
                <w:sz w:val="20"/>
                <w:szCs w:val="20"/>
              </w:rPr>
              <w:t>20: Medical</w:t>
            </w:r>
          </w:p>
        </w:tc>
        <w:tc>
          <w:tcPr>
            <w:tcW w:w="3842" w:type="dxa"/>
            <w:tcBorders>
              <w:top w:val="single" w:sz="4" w:space="0" w:color="auto"/>
              <w:left w:val="single" w:sz="4" w:space="0" w:color="auto"/>
              <w:bottom w:val="single" w:sz="4" w:space="0" w:color="auto"/>
              <w:right w:val="single" w:sz="4" w:space="0" w:color="auto"/>
            </w:tcBorders>
            <w:noWrap/>
            <w:vAlign w:val="center"/>
            <w:hideMark/>
          </w:tcPr>
          <w:p w14:paraId="1A48DDA1" w14:textId="71DD17A2" w:rsidR="00550102" w:rsidRPr="00521F7C" w:rsidRDefault="00797804" w:rsidP="00C1596D">
            <w:pPr>
              <w:spacing w:line="240" w:lineRule="auto"/>
              <w:jc w:val="center"/>
              <w:rPr>
                <w:sz w:val="20"/>
                <w:szCs w:val="20"/>
              </w:rPr>
            </w:pPr>
            <w:r w:rsidRPr="1B0982C4">
              <w:rPr>
                <w:sz w:val="20"/>
                <w:szCs w:val="20"/>
              </w:rPr>
              <w:t>3</w:t>
            </w:r>
          </w:p>
        </w:tc>
      </w:tr>
      <w:tr w:rsidR="00550102" w14:paraId="3D453ABB" w14:textId="77777777" w:rsidTr="001658D3">
        <w:trPr>
          <w:trHeight w:val="289"/>
        </w:trPr>
        <w:tc>
          <w:tcPr>
            <w:tcW w:w="3842" w:type="dxa"/>
            <w:tcBorders>
              <w:top w:val="single" w:sz="4" w:space="0" w:color="auto"/>
              <w:left w:val="single" w:sz="4" w:space="0" w:color="auto"/>
              <w:bottom w:val="single" w:sz="4" w:space="0" w:color="auto"/>
              <w:right w:val="single" w:sz="4" w:space="0" w:color="auto"/>
            </w:tcBorders>
            <w:vAlign w:val="center"/>
            <w:hideMark/>
          </w:tcPr>
          <w:p w14:paraId="417F332D" w14:textId="77777777" w:rsidR="00550102" w:rsidRPr="00521F7C" w:rsidRDefault="00550102" w:rsidP="00C1596D">
            <w:pPr>
              <w:spacing w:line="240" w:lineRule="auto"/>
              <w:rPr>
                <w:sz w:val="20"/>
                <w:szCs w:val="20"/>
              </w:rPr>
            </w:pPr>
            <w:r w:rsidRPr="00521F7C">
              <w:rPr>
                <w:sz w:val="20"/>
                <w:szCs w:val="20"/>
              </w:rPr>
              <w:t>40: Allied</w:t>
            </w:r>
          </w:p>
        </w:tc>
        <w:tc>
          <w:tcPr>
            <w:tcW w:w="3842" w:type="dxa"/>
            <w:tcBorders>
              <w:top w:val="single" w:sz="4" w:space="0" w:color="auto"/>
              <w:left w:val="single" w:sz="4" w:space="0" w:color="auto"/>
              <w:bottom w:val="single" w:sz="4" w:space="0" w:color="auto"/>
              <w:right w:val="single" w:sz="4" w:space="0" w:color="auto"/>
            </w:tcBorders>
            <w:noWrap/>
            <w:vAlign w:val="center"/>
            <w:hideMark/>
          </w:tcPr>
          <w:p w14:paraId="47DB25C8" w14:textId="49E0A6D9" w:rsidR="00550102" w:rsidRPr="00521F7C" w:rsidRDefault="00797804" w:rsidP="00C1596D">
            <w:pPr>
              <w:spacing w:line="240" w:lineRule="auto"/>
              <w:jc w:val="center"/>
              <w:rPr>
                <w:sz w:val="20"/>
                <w:szCs w:val="20"/>
              </w:rPr>
            </w:pPr>
            <w:r w:rsidRPr="1B0982C4">
              <w:rPr>
                <w:sz w:val="20"/>
                <w:szCs w:val="20"/>
              </w:rPr>
              <w:t>2</w:t>
            </w:r>
          </w:p>
        </w:tc>
      </w:tr>
    </w:tbl>
    <w:p w14:paraId="23EADFF1" w14:textId="77777777" w:rsidR="00550102" w:rsidRDefault="00550102" w:rsidP="00755433">
      <w:pPr>
        <w:pStyle w:val="Heading3"/>
      </w:pPr>
      <w:r>
        <w:t>Data preparation</w:t>
      </w:r>
    </w:p>
    <w:p w14:paraId="049DE963" w14:textId="162E6606" w:rsidR="00550102" w:rsidRDefault="00550102" w:rsidP="00550102">
      <w:pPr>
        <w:tabs>
          <w:tab w:val="left" w:pos="1162"/>
        </w:tabs>
        <w:spacing w:line="240" w:lineRule="auto"/>
        <w:rPr>
          <w:rFonts w:cs="Arial"/>
        </w:rPr>
      </w:pPr>
      <w:r w:rsidRPr="76ABC984">
        <w:rPr>
          <w:rFonts w:cs="Arial"/>
        </w:rPr>
        <w:t xml:space="preserve">Non-admitted patient cost data was received for eight jurisdictions. NHCDC Round </w:t>
      </w:r>
      <w:r w:rsidR="00B40829" w:rsidRPr="76ABC984">
        <w:rPr>
          <w:rFonts w:cs="Arial"/>
        </w:rPr>
        <w:t xml:space="preserve">24 </w:t>
      </w:r>
      <w:r w:rsidRPr="76ABC984">
        <w:rPr>
          <w:rFonts w:cs="Arial"/>
        </w:rPr>
        <w:t>(</w:t>
      </w:r>
      <w:r w:rsidR="00B40829" w:rsidRPr="76ABC984">
        <w:rPr>
          <w:rFonts w:cs="Arial"/>
        </w:rPr>
        <w:t>2019</w:t>
      </w:r>
      <w:r w:rsidRPr="76ABC984">
        <w:rPr>
          <w:rFonts w:cs="Arial"/>
        </w:rPr>
        <w:t>–</w:t>
      </w:r>
      <w:r w:rsidR="00B40829" w:rsidRPr="76ABC984">
        <w:rPr>
          <w:rFonts w:cs="Arial"/>
        </w:rPr>
        <w:t>20</w:t>
      </w:r>
      <w:r w:rsidRPr="76ABC984">
        <w:rPr>
          <w:rFonts w:cs="Arial"/>
        </w:rPr>
        <w:t xml:space="preserve">) included non-admitted data for </w:t>
      </w:r>
      <w:r w:rsidRPr="34693BCD">
        <w:rPr>
          <w:rFonts w:cs="Arial"/>
        </w:rPr>
        <w:t>246</w:t>
      </w:r>
      <w:r w:rsidR="00797804" w:rsidRPr="76ABC984">
        <w:rPr>
          <w:rFonts w:cs="Arial"/>
        </w:rPr>
        <w:t xml:space="preserve"> </w:t>
      </w:r>
      <w:r w:rsidRPr="76ABC984">
        <w:rPr>
          <w:rFonts w:cs="Arial"/>
        </w:rPr>
        <w:t xml:space="preserve">ABF establishments and </w:t>
      </w:r>
      <w:r w:rsidR="00797804" w:rsidRPr="76ABC984">
        <w:rPr>
          <w:rFonts w:cs="Arial"/>
        </w:rPr>
        <w:t xml:space="preserve">143 </w:t>
      </w:r>
      <w:r w:rsidR="00676204" w:rsidRPr="76ABC984">
        <w:rPr>
          <w:rFonts w:cs="Arial"/>
        </w:rPr>
        <w:t>Tier 2 classe</w:t>
      </w:r>
      <w:r w:rsidRPr="76ABC984">
        <w:rPr>
          <w:rFonts w:cs="Arial"/>
        </w:rPr>
        <w:t xml:space="preserve">s, compared to </w:t>
      </w:r>
      <w:r w:rsidR="00797804" w:rsidRPr="76ABC984">
        <w:rPr>
          <w:rFonts w:cs="Arial"/>
        </w:rPr>
        <w:t>235 </w:t>
      </w:r>
      <w:r w:rsidRPr="76ABC984">
        <w:rPr>
          <w:rFonts w:cs="Arial"/>
        </w:rPr>
        <w:t xml:space="preserve">ABF establishments and </w:t>
      </w:r>
      <w:r w:rsidR="00797804" w:rsidRPr="76ABC984">
        <w:rPr>
          <w:rFonts w:cs="Arial"/>
        </w:rPr>
        <w:t xml:space="preserve">139 </w:t>
      </w:r>
      <w:r w:rsidRPr="76ABC984">
        <w:rPr>
          <w:rFonts w:cs="Arial"/>
        </w:rPr>
        <w:t xml:space="preserve">Tier 2 </w:t>
      </w:r>
      <w:r w:rsidR="00577477" w:rsidRPr="76ABC984">
        <w:rPr>
          <w:rFonts w:cs="Arial"/>
        </w:rPr>
        <w:t>classes</w:t>
      </w:r>
      <w:r w:rsidRPr="76ABC984">
        <w:rPr>
          <w:rFonts w:cs="Arial"/>
        </w:rPr>
        <w:t xml:space="preserve"> in NHCDC Round </w:t>
      </w:r>
      <w:r w:rsidR="00797804" w:rsidRPr="76ABC984">
        <w:rPr>
          <w:rFonts w:cs="Arial"/>
        </w:rPr>
        <w:t xml:space="preserve">23 </w:t>
      </w:r>
      <w:r w:rsidRPr="76ABC984">
        <w:rPr>
          <w:rFonts w:cs="Arial"/>
        </w:rPr>
        <w:t>(</w:t>
      </w:r>
      <w:r w:rsidR="00797804" w:rsidRPr="76ABC984">
        <w:rPr>
          <w:rFonts w:cs="Arial"/>
        </w:rPr>
        <w:t>2018</w:t>
      </w:r>
      <w:r w:rsidRPr="76ABC984">
        <w:rPr>
          <w:rFonts w:cs="Arial"/>
        </w:rPr>
        <w:t>–</w:t>
      </w:r>
      <w:r w:rsidR="00797804" w:rsidRPr="76ABC984">
        <w:rPr>
          <w:rFonts w:cs="Arial"/>
        </w:rPr>
        <w:t>19</w:t>
      </w:r>
      <w:r w:rsidRPr="76ABC984">
        <w:rPr>
          <w:rFonts w:cs="Arial"/>
        </w:rPr>
        <w:t xml:space="preserve">). </w:t>
      </w:r>
      <w:r w:rsidR="5A2D4DFA" w:rsidRPr="4D0EE6FB">
        <w:rPr>
          <w:rFonts w:cs="Arial"/>
        </w:rPr>
        <w:t>Similarly to</w:t>
      </w:r>
      <w:r w:rsidR="7508B69F" w:rsidRPr="2DBC138E">
        <w:rPr>
          <w:rFonts w:cs="Arial"/>
        </w:rPr>
        <w:t xml:space="preserve"> other streams, blood, PBS, TTR and </w:t>
      </w:r>
      <w:r w:rsidR="0029574C">
        <w:rPr>
          <w:rFonts w:cs="Arial"/>
        </w:rPr>
        <w:t>S</w:t>
      </w:r>
      <w:r w:rsidR="5A2D4DFA" w:rsidRPr="700AA5DA">
        <w:rPr>
          <w:rFonts w:cs="Arial"/>
        </w:rPr>
        <w:t xml:space="preserve">tate </w:t>
      </w:r>
      <w:r w:rsidR="0029574C">
        <w:rPr>
          <w:rFonts w:cs="Arial"/>
        </w:rPr>
        <w:t>P</w:t>
      </w:r>
      <w:r w:rsidR="5A2D4DFA" w:rsidRPr="700AA5DA">
        <w:rPr>
          <w:rFonts w:cs="Arial"/>
        </w:rPr>
        <w:t xml:space="preserve">ublic </w:t>
      </w:r>
      <w:r w:rsidR="0029574C">
        <w:rPr>
          <w:rFonts w:cs="Arial"/>
        </w:rPr>
        <w:t>H</w:t>
      </w:r>
      <w:r w:rsidR="5A2D4DFA" w:rsidRPr="700AA5DA">
        <w:rPr>
          <w:rFonts w:cs="Arial"/>
        </w:rPr>
        <w:t xml:space="preserve">ealth </w:t>
      </w:r>
      <w:r w:rsidR="0029574C">
        <w:rPr>
          <w:rFonts w:cs="Arial"/>
        </w:rPr>
        <w:t>P</w:t>
      </w:r>
      <w:r w:rsidR="5A2D4DFA" w:rsidRPr="700AA5DA">
        <w:rPr>
          <w:rFonts w:cs="Arial"/>
        </w:rPr>
        <w:t>ayments were removed.</w:t>
      </w:r>
    </w:p>
    <w:p w14:paraId="390F1D5C" w14:textId="58E8D53A" w:rsidR="00550102" w:rsidRDefault="00550102" w:rsidP="00550102">
      <w:pPr>
        <w:tabs>
          <w:tab w:val="left" w:pos="1162"/>
        </w:tabs>
        <w:spacing w:line="240" w:lineRule="auto"/>
        <w:rPr>
          <w:rFonts w:cs="Arial"/>
          <w:szCs w:val="20"/>
        </w:rPr>
      </w:pPr>
      <w:r>
        <w:rPr>
          <w:rFonts w:cs="Arial"/>
          <w:szCs w:val="20"/>
        </w:rPr>
        <w:t xml:space="preserve">In </w:t>
      </w:r>
      <w:r w:rsidR="00D93592">
        <w:rPr>
          <w:rFonts w:cs="Arial"/>
          <w:szCs w:val="20"/>
        </w:rPr>
        <w:t>NEP2</w:t>
      </w:r>
      <w:r w:rsidR="00797804">
        <w:rPr>
          <w:rFonts w:cs="Arial"/>
          <w:szCs w:val="20"/>
        </w:rPr>
        <w:t>2</w:t>
      </w:r>
      <w:r>
        <w:rPr>
          <w:rFonts w:cs="Arial"/>
          <w:szCs w:val="20"/>
        </w:rPr>
        <w:t xml:space="preserve">, the cost weights for some clinics were determined using the 2012 EY Costing Study. The direct costs collected were inflated to </w:t>
      </w:r>
      <w:r w:rsidR="00FA0983">
        <w:rPr>
          <w:rFonts w:cs="Arial"/>
          <w:szCs w:val="20"/>
        </w:rPr>
        <w:t>2019</w:t>
      </w:r>
      <w:r w:rsidR="00FA3FA2">
        <w:rPr>
          <w:rFonts w:cs="Arial"/>
          <w:szCs w:val="20"/>
        </w:rPr>
        <w:t>–</w:t>
      </w:r>
      <w:r w:rsidR="00FA0983">
        <w:rPr>
          <w:rFonts w:cs="Arial"/>
          <w:szCs w:val="20"/>
        </w:rPr>
        <w:t xml:space="preserve">20 </w:t>
      </w:r>
      <w:r>
        <w:rPr>
          <w:rFonts w:cs="Arial"/>
          <w:szCs w:val="20"/>
        </w:rPr>
        <w:t xml:space="preserve">in-scope costs using a combination of an historical inflation factor of 1.25 to account for overheads, and the </w:t>
      </w:r>
      <w:r w:rsidR="00797804">
        <w:rPr>
          <w:rFonts w:cs="Arial"/>
          <w:szCs w:val="20"/>
        </w:rPr>
        <w:t xml:space="preserve">historical </w:t>
      </w:r>
      <w:r>
        <w:rPr>
          <w:rFonts w:cs="Arial"/>
          <w:szCs w:val="20"/>
        </w:rPr>
        <w:t>NEP indexation rate</w:t>
      </w:r>
      <w:r w:rsidR="00797804">
        <w:rPr>
          <w:rFonts w:cs="Arial"/>
          <w:szCs w:val="20"/>
        </w:rPr>
        <w:t>s</w:t>
      </w:r>
      <w:r>
        <w:rPr>
          <w:rFonts w:cs="Arial"/>
          <w:szCs w:val="20"/>
        </w:rPr>
        <w:t>.</w:t>
      </w:r>
    </w:p>
    <w:p w14:paraId="13E61436" w14:textId="4FA737DE" w:rsidR="00550102" w:rsidRDefault="00550102" w:rsidP="006C09A6">
      <w:pPr>
        <w:tabs>
          <w:tab w:val="left" w:pos="1162"/>
        </w:tabs>
        <w:spacing w:line="240" w:lineRule="auto"/>
        <w:rPr>
          <w:rFonts w:cs="Arial"/>
          <w:szCs w:val="20"/>
        </w:rPr>
      </w:pPr>
      <w:r>
        <w:rPr>
          <w:rFonts w:cs="Arial"/>
          <w:szCs w:val="20"/>
        </w:rPr>
        <w:t>Establishment</w:t>
      </w:r>
      <w:r w:rsidR="006F1C5A">
        <w:rPr>
          <w:rFonts w:cs="Arial"/>
          <w:szCs w:val="20"/>
        </w:rPr>
        <w:t xml:space="preserve"> and </w:t>
      </w:r>
      <w:r w:rsidR="006C6367">
        <w:rPr>
          <w:rFonts w:cs="Arial"/>
          <w:szCs w:val="20"/>
        </w:rPr>
        <w:t xml:space="preserve">class </w:t>
      </w:r>
      <w:r>
        <w:rPr>
          <w:rFonts w:cs="Arial"/>
          <w:szCs w:val="20"/>
        </w:rPr>
        <w:t>comb</w:t>
      </w:r>
      <w:r w:rsidR="006C09A6">
        <w:rPr>
          <w:rFonts w:cs="Arial"/>
          <w:szCs w:val="20"/>
        </w:rPr>
        <w:t>inations were excluded based on j</w:t>
      </w:r>
      <w:r>
        <w:t>urisdictional advice</w:t>
      </w:r>
      <w:r w:rsidR="006C09A6">
        <w:t xml:space="preserve"> and c</w:t>
      </w:r>
      <w:r>
        <w:rPr>
          <w:rFonts w:cs="Arial"/>
          <w:szCs w:val="20"/>
        </w:rPr>
        <w:t>ost ratios being significantly different from the population.</w:t>
      </w:r>
    </w:p>
    <w:p w14:paraId="7CA22186" w14:textId="1BCCE33F" w:rsidR="00550102" w:rsidRDefault="006C6367" w:rsidP="00550102">
      <w:pPr>
        <w:tabs>
          <w:tab w:val="left" w:pos="1162"/>
        </w:tabs>
        <w:spacing w:line="240" w:lineRule="auto"/>
        <w:rPr>
          <w:rFonts w:cs="Arial"/>
          <w:szCs w:val="20"/>
        </w:rPr>
      </w:pPr>
      <w:r>
        <w:rPr>
          <w:rFonts w:cs="Arial"/>
          <w:szCs w:val="20"/>
        </w:rPr>
        <w:t xml:space="preserve">Class </w:t>
      </w:r>
      <w:r w:rsidR="00550102">
        <w:rPr>
          <w:rFonts w:cs="Arial"/>
          <w:szCs w:val="20"/>
        </w:rPr>
        <w:t xml:space="preserve">specific outlier exclusion rules developed for NEP18 were again included in the </w:t>
      </w:r>
      <w:r w:rsidR="00D93592">
        <w:rPr>
          <w:rFonts w:cs="Arial"/>
          <w:szCs w:val="20"/>
        </w:rPr>
        <w:t xml:space="preserve">NEP22 </w:t>
      </w:r>
      <w:r w:rsidR="00550102">
        <w:rPr>
          <w:rFonts w:cs="Arial"/>
          <w:szCs w:val="20"/>
        </w:rPr>
        <w:t xml:space="preserve">model. Whole establishments were excluded if their cost ratios across clinics remained consistently high. At the service event level, conservative record level trimming within clinics was undertaken to exclude records with: </w:t>
      </w:r>
    </w:p>
    <w:p w14:paraId="72ECFD93" w14:textId="77777777" w:rsidR="00550102" w:rsidRDefault="006C09A6" w:rsidP="00887853">
      <w:pPr>
        <w:pStyle w:val="ListBullet"/>
      </w:pPr>
      <w:r>
        <w:t>C</w:t>
      </w:r>
      <w:r w:rsidR="00550102">
        <w:t>osts less than $5</w:t>
      </w:r>
      <w:r>
        <w:t>.</w:t>
      </w:r>
    </w:p>
    <w:p w14:paraId="08C8DFD3" w14:textId="77777777" w:rsidR="00550102" w:rsidRDefault="006C09A6" w:rsidP="00887853">
      <w:pPr>
        <w:pStyle w:val="ListBullet"/>
      </w:pPr>
      <w:r>
        <w:t>E</w:t>
      </w:r>
      <w:r w:rsidR="00550102">
        <w:t>vents with high-cost thresholds after ranking of events by cost</w:t>
      </w:r>
      <w:r>
        <w:t>.</w:t>
      </w:r>
    </w:p>
    <w:p w14:paraId="1D3F5907" w14:textId="77777777" w:rsidR="00550102" w:rsidRDefault="006C09A6" w:rsidP="00887853">
      <w:pPr>
        <w:pStyle w:val="ListBullet"/>
      </w:pPr>
      <w:r>
        <w:t>C</w:t>
      </w:r>
      <w:r w:rsidR="00550102">
        <w:t>ost ratios being significantly different from the population.</w:t>
      </w:r>
    </w:p>
    <w:p w14:paraId="22471DF0" w14:textId="5C618940" w:rsidR="00550102" w:rsidRDefault="00550102" w:rsidP="00055252">
      <w:pPr>
        <w:tabs>
          <w:tab w:val="left" w:pos="1162"/>
        </w:tabs>
        <w:spacing w:after="200" w:line="240" w:lineRule="auto"/>
        <w:rPr>
          <w:rFonts w:cs="Arial"/>
          <w:szCs w:val="20"/>
        </w:rPr>
      </w:pPr>
      <w:r>
        <w:rPr>
          <w:rFonts w:cs="Arial"/>
          <w:szCs w:val="20"/>
        </w:rPr>
        <w:t xml:space="preserve">For </w:t>
      </w:r>
      <w:r w:rsidR="006C6367">
        <w:rPr>
          <w:rFonts w:cs="Arial"/>
          <w:szCs w:val="20"/>
        </w:rPr>
        <w:t xml:space="preserve">class </w:t>
      </w:r>
      <w:r>
        <w:rPr>
          <w:rFonts w:cs="Arial"/>
          <w:szCs w:val="20"/>
        </w:rPr>
        <w:t>40.43 (hepatobiliary) a targeted approach was used to remove costs associated with Commonwealth pharmaceutical programs. The cost of new medicines introduced in March 2016 (used in the hepatobiliary clinic) were found to not be accurately excluded in IHPA’s pharmaceutical claim linking process. Consequently, the direct pharmacy cost bucket values for episodes separated after March 2016 were adjusted to align with the pre-March 2016 average cost of $118 (adjusted for inflation).</w:t>
      </w:r>
    </w:p>
    <w:p w14:paraId="1D54431A" w14:textId="42AC15FE" w:rsidR="00C90EF7" w:rsidRDefault="00516730" w:rsidP="00055252">
      <w:pPr>
        <w:tabs>
          <w:tab w:val="left" w:pos="1162"/>
        </w:tabs>
        <w:spacing w:line="240" w:lineRule="auto"/>
        <w:rPr>
          <w:rFonts w:cs="Arial"/>
        </w:rPr>
      </w:pPr>
      <w:r w:rsidRPr="76ABC984">
        <w:rPr>
          <w:rFonts w:cs="Arial"/>
        </w:rPr>
        <w:t xml:space="preserve">Tier 2 non-admitted services classification version 5.0 was priced for NEP20. Since then, version 6.0 was released which added classes for COVID-19 response (20.57, 30.09, and 40.63). </w:t>
      </w:r>
      <w:r w:rsidR="626C30C0" w:rsidRPr="76ABC984">
        <w:rPr>
          <w:rFonts w:cs="Arial"/>
        </w:rPr>
        <w:t>For NEP21, the</w:t>
      </w:r>
      <w:r w:rsidRPr="76ABC984">
        <w:rPr>
          <w:rFonts w:cs="Arial"/>
        </w:rPr>
        <w:t xml:space="preserve"> 20 and 40 series COVID-19 responses class prices </w:t>
      </w:r>
      <w:r w:rsidR="626C30C0" w:rsidRPr="76ABC984">
        <w:rPr>
          <w:rFonts w:cs="Arial"/>
        </w:rPr>
        <w:t>were</w:t>
      </w:r>
      <w:r w:rsidRPr="76ABC984">
        <w:rPr>
          <w:rFonts w:cs="Arial"/>
        </w:rPr>
        <w:t xml:space="preserve"> pegged to the infectious diseases classes (20.44 and 40.38 respectively</w:t>
      </w:r>
      <w:r w:rsidR="626C30C0" w:rsidRPr="76ABC984">
        <w:rPr>
          <w:rFonts w:cs="Arial"/>
        </w:rPr>
        <w:t>), but are priced using NHCDC data for NEP22.</w:t>
      </w:r>
      <w:r w:rsidRPr="76ABC984">
        <w:rPr>
          <w:rFonts w:cs="Arial"/>
        </w:rPr>
        <w:t xml:space="preserve"> The 30 series class is diagnostic and is not priced.</w:t>
      </w:r>
    </w:p>
    <w:p w14:paraId="449EF7CA" w14:textId="41AFAD04" w:rsidR="00055252" w:rsidRPr="00336E85" w:rsidRDefault="00055252" w:rsidP="00055252">
      <w:pPr>
        <w:tabs>
          <w:tab w:val="left" w:pos="1162"/>
        </w:tabs>
        <w:spacing w:line="240" w:lineRule="auto"/>
        <w:rPr>
          <w:rFonts w:cs="Arial"/>
          <w:szCs w:val="20"/>
        </w:rPr>
      </w:pPr>
      <w:r>
        <w:rPr>
          <w:rFonts w:cs="Arial"/>
          <w:szCs w:val="20"/>
        </w:rPr>
        <w:t xml:space="preserve">In </w:t>
      </w:r>
      <w:r w:rsidR="00797804">
        <w:rPr>
          <w:rFonts w:cs="Arial"/>
          <w:szCs w:val="20"/>
        </w:rPr>
        <w:t>NEP21 and</w:t>
      </w:r>
      <w:r>
        <w:rPr>
          <w:rFonts w:cs="Arial"/>
          <w:szCs w:val="20"/>
        </w:rPr>
        <w:t xml:space="preserve"> </w:t>
      </w:r>
      <w:r w:rsidR="00757516">
        <w:rPr>
          <w:rFonts w:cs="Arial"/>
          <w:szCs w:val="20"/>
        </w:rPr>
        <w:t>NEP22</w:t>
      </w:r>
      <w:r>
        <w:rPr>
          <w:rFonts w:cs="Arial"/>
          <w:szCs w:val="20"/>
        </w:rPr>
        <w:t xml:space="preserve">, the Tier 2 </w:t>
      </w:r>
      <w:r w:rsidR="00516730">
        <w:rPr>
          <w:rFonts w:cs="Arial"/>
          <w:szCs w:val="20"/>
        </w:rPr>
        <w:t xml:space="preserve">non-admitted services classification version 7.0 is priced, which adds </w:t>
      </w:r>
      <w:r w:rsidR="006C6367">
        <w:rPr>
          <w:rFonts w:cs="Arial"/>
          <w:szCs w:val="20"/>
        </w:rPr>
        <w:t xml:space="preserve">class </w:t>
      </w:r>
      <w:r w:rsidRPr="000F6AE1">
        <w:rPr>
          <w:rFonts w:cs="Arial"/>
          <w:i/>
          <w:szCs w:val="20"/>
        </w:rPr>
        <w:t xml:space="preserve">40.64 </w:t>
      </w:r>
      <w:r w:rsidR="00516730" w:rsidRPr="000F6AE1">
        <w:rPr>
          <w:rFonts w:cs="Arial"/>
          <w:i/>
          <w:szCs w:val="20"/>
        </w:rPr>
        <w:t>C</w:t>
      </w:r>
      <w:r w:rsidRPr="000F6AE1">
        <w:rPr>
          <w:rFonts w:cs="Arial"/>
          <w:i/>
          <w:szCs w:val="20"/>
        </w:rPr>
        <w:t>hronic pain management</w:t>
      </w:r>
      <w:r>
        <w:rPr>
          <w:rFonts w:cs="Arial"/>
          <w:szCs w:val="20"/>
        </w:rPr>
        <w:t xml:space="preserve">. In the absence of </w:t>
      </w:r>
      <w:r w:rsidR="00516730">
        <w:rPr>
          <w:rFonts w:cs="Arial"/>
          <w:szCs w:val="20"/>
        </w:rPr>
        <w:t>activity or cost data for this class collected in 2018</w:t>
      </w:r>
      <w:r w:rsidR="007F5279">
        <w:rPr>
          <w:rFonts w:cs="Arial"/>
          <w:szCs w:val="20"/>
        </w:rPr>
        <w:t>–</w:t>
      </w:r>
      <w:r w:rsidR="00516730">
        <w:rPr>
          <w:rFonts w:cs="Arial"/>
          <w:szCs w:val="20"/>
        </w:rPr>
        <w:t>19</w:t>
      </w:r>
      <w:r w:rsidR="00797804">
        <w:rPr>
          <w:rFonts w:cs="Arial"/>
          <w:szCs w:val="20"/>
        </w:rPr>
        <w:t xml:space="preserve"> or 2019</w:t>
      </w:r>
      <w:r w:rsidR="007F5279">
        <w:rPr>
          <w:rFonts w:cs="Arial"/>
          <w:szCs w:val="20"/>
        </w:rPr>
        <w:t>–</w:t>
      </w:r>
      <w:r w:rsidR="00797804">
        <w:rPr>
          <w:rFonts w:cs="Arial"/>
          <w:szCs w:val="20"/>
        </w:rPr>
        <w:t>20</w:t>
      </w:r>
      <w:r w:rsidR="00516730">
        <w:rPr>
          <w:rFonts w:cs="Arial"/>
          <w:szCs w:val="20"/>
        </w:rPr>
        <w:t xml:space="preserve">, the </w:t>
      </w:r>
      <w:r>
        <w:rPr>
          <w:rFonts w:cs="Arial"/>
          <w:szCs w:val="20"/>
        </w:rPr>
        <w:t>price</w:t>
      </w:r>
      <w:r w:rsidR="00516730">
        <w:rPr>
          <w:rFonts w:cs="Arial"/>
          <w:szCs w:val="20"/>
        </w:rPr>
        <w:t xml:space="preserve"> was determined</w:t>
      </w:r>
      <w:r>
        <w:rPr>
          <w:rFonts w:cs="Arial"/>
          <w:szCs w:val="20"/>
        </w:rPr>
        <w:t xml:space="preserve"> </w:t>
      </w:r>
      <w:r w:rsidR="006C6367">
        <w:rPr>
          <w:rFonts w:cs="Arial"/>
          <w:szCs w:val="20"/>
        </w:rPr>
        <w:t>by combining data from other classes,</w:t>
      </w:r>
      <w:r w:rsidRPr="00055252">
        <w:rPr>
          <w:rFonts w:cs="Arial"/>
          <w:szCs w:val="20"/>
        </w:rPr>
        <w:t xml:space="preserve"> </w:t>
      </w:r>
      <w:r>
        <w:rPr>
          <w:rFonts w:cs="Arial"/>
          <w:szCs w:val="20"/>
        </w:rPr>
        <w:t>based on jurisdictional advice.</w:t>
      </w:r>
    </w:p>
    <w:p w14:paraId="2194D4D4" w14:textId="77777777" w:rsidR="00550102" w:rsidRDefault="00550102" w:rsidP="00755433">
      <w:pPr>
        <w:pStyle w:val="Heading3"/>
      </w:pPr>
      <w:r>
        <w:t>Adjustments</w:t>
      </w:r>
    </w:p>
    <w:p w14:paraId="65B597B0" w14:textId="3D94A86D" w:rsidR="00550102" w:rsidRDefault="00550102" w:rsidP="00550102">
      <w:pPr>
        <w:spacing w:line="240" w:lineRule="auto"/>
        <w:rPr>
          <w:rFonts w:cs="Arial"/>
        </w:rPr>
      </w:pPr>
      <w:r>
        <w:rPr>
          <w:rFonts w:cs="Arial"/>
        </w:rPr>
        <w:t>An additional adjustment was introduced for NEP20, that is, the p</w:t>
      </w:r>
      <w:r w:rsidRPr="005E0DDF">
        <w:rPr>
          <w:rFonts w:cs="Arial"/>
        </w:rPr>
        <w:t xml:space="preserve">aediatric </w:t>
      </w:r>
      <w:r>
        <w:rPr>
          <w:rFonts w:cs="Arial"/>
        </w:rPr>
        <w:t>a</w:t>
      </w:r>
      <w:r w:rsidRPr="005E0DDF">
        <w:rPr>
          <w:rFonts w:cs="Arial"/>
        </w:rPr>
        <w:t>djustment</w:t>
      </w:r>
      <w:r>
        <w:rPr>
          <w:rFonts w:cs="Arial"/>
          <w:i/>
        </w:rPr>
        <w:t xml:space="preserve"> </w:t>
      </w:r>
      <w:r w:rsidRPr="00765488">
        <w:rPr>
          <w:rFonts w:cs="Arial"/>
        </w:rPr>
        <w:t xml:space="preserve">for </w:t>
      </w:r>
      <w:r>
        <w:rPr>
          <w:rFonts w:cs="Arial"/>
        </w:rPr>
        <w:t>Tier 2</w:t>
      </w:r>
      <w:r w:rsidRPr="00765488">
        <w:rPr>
          <w:rFonts w:cs="Arial"/>
        </w:rPr>
        <w:t xml:space="preserve"> </w:t>
      </w:r>
      <w:r w:rsidR="00D14AA4">
        <w:rPr>
          <w:rFonts w:cs="Arial"/>
        </w:rPr>
        <w:t>classes</w:t>
      </w:r>
      <w:r w:rsidRPr="00765488">
        <w:rPr>
          <w:rFonts w:cs="Arial"/>
        </w:rPr>
        <w:t xml:space="preserve"> </w:t>
      </w:r>
      <w:r>
        <w:rPr>
          <w:rFonts w:cs="Arial"/>
        </w:rPr>
        <w:t xml:space="preserve">priced using the NHCDC </w:t>
      </w:r>
      <w:r w:rsidRPr="00765488">
        <w:rPr>
          <w:rFonts w:cs="Arial"/>
        </w:rPr>
        <w:t>only</w:t>
      </w:r>
      <w:r>
        <w:rPr>
          <w:rFonts w:cs="Arial"/>
        </w:rPr>
        <w:t>. Adjustments in the non-admitted model are calculated following the admitted acute methodology described in Section</w:t>
      </w:r>
      <w:r w:rsidR="001658D3">
        <w:rPr>
          <w:rFonts w:cs="Arial"/>
        </w:rPr>
        <w:t xml:space="preserve"> </w:t>
      </w:r>
      <w:r w:rsidR="001658D3">
        <w:rPr>
          <w:rFonts w:cs="Arial"/>
          <w:color w:val="2B579A"/>
          <w:shd w:val="clear" w:color="auto" w:fill="E6E6E6"/>
        </w:rPr>
        <w:fldChar w:fldCharType="begin"/>
      </w:r>
      <w:r w:rsidR="001658D3">
        <w:rPr>
          <w:rFonts w:cs="Arial"/>
        </w:rPr>
        <w:instrText xml:space="preserve"> REF _Ref89169118 \r \h </w:instrText>
      </w:r>
      <w:r w:rsidR="001658D3">
        <w:rPr>
          <w:rFonts w:cs="Arial"/>
          <w:color w:val="2B579A"/>
          <w:shd w:val="clear" w:color="auto" w:fill="E6E6E6"/>
        </w:rPr>
      </w:r>
      <w:r w:rsidR="001658D3">
        <w:rPr>
          <w:rFonts w:cs="Arial"/>
          <w:color w:val="2B579A"/>
          <w:shd w:val="clear" w:color="auto" w:fill="E6E6E6"/>
        </w:rPr>
        <w:fldChar w:fldCharType="separate"/>
      </w:r>
      <w:r w:rsidR="003F234C">
        <w:rPr>
          <w:rFonts w:cs="Arial"/>
        </w:rPr>
        <w:t>2.2.9</w:t>
      </w:r>
      <w:r w:rsidR="001658D3">
        <w:rPr>
          <w:rFonts w:cs="Arial"/>
          <w:color w:val="2B579A"/>
          <w:shd w:val="clear" w:color="auto" w:fill="E6E6E6"/>
        </w:rPr>
        <w:fldChar w:fldCharType="end"/>
      </w:r>
      <w:r>
        <w:rPr>
          <w:rFonts w:cs="Arial"/>
        </w:rPr>
        <w:t xml:space="preserve">. </w:t>
      </w:r>
    </w:p>
    <w:p w14:paraId="02893081" w14:textId="77777777" w:rsidR="00550102" w:rsidRDefault="00550102" w:rsidP="00550102">
      <w:pPr>
        <w:spacing w:line="240" w:lineRule="auto"/>
        <w:rPr>
          <w:rFonts w:cs="Arial"/>
        </w:rPr>
      </w:pPr>
      <w:r>
        <w:rPr>
          <w:rFonts w:cs="Arial"/>
        </w:rPr>
        <w:lastRenderedPageBreak/>
        <w:t>The application of the paediatric adjustment mirrors the methodology of the acute model as follows:</w:t>
      </w:r>
    </w:p>
    <w:p w14:paraId="6416781D" w14:textId="6BB06CE8" w:rsidR="00550102" w:rsidRPr="00074712" w:rsidRDefault="00550102" w:rsidP="00FE1EA1">
      <w:pPr>
        <w:pStyle w:val="ListParagraph"/>
        <w:numPr>
          <w:ilvl w:val="0"/>
          <w:numId w:val="35"/>
        </w:numPr>
      </w:pPr>
      <w:r w:rsidRPr="00074712">
        <w:t xml:space="preserve">specialist paediatric patients are identified as being less than or equal to 17 years of age, from an establishment identified as delivering specialised paediatric services (listed in </w:t>
      </w:r>
      <w:r w:rsidRPr="00074712">
        <w:rPr>
          <w:b/>
        </w:rPr>
        <w:t>Appendix E</w:t>
      </w:r>
      <w:r w:rsidRPr="00074712">
        <w:t xml:space="preserve"> of the National Efficient Price Determination </w:t>
      </w:r>
      <w:r w:rsidR="00757516" w:rsidRPr="00074712">
        <w:t>202</w:t>
      </w:r>
      <w:r w:rsidR="00757516">
        <w:t>2</w:t>
      </w:r>
      <w:r w:rsidR="00FA3FA2">
        <w:rPr>
          <w:rFonts w:cs="Arial"/>
          <w:szCs w:val="20"/>
        </w:rPr>
        <w:t>–</w:t>
      </w:r>
      <w:r w:rsidR="00757516" w:rsidRPr="00074712">
        <w:t>2</w:t>
      </w:r>
      <w:r w:rsidR="00757516">
        <w:t>3</w:t>
      </w:r>
      <w:r w:rsidR="00757516" w:rsidRPr="00074712">
        <w:t xml:space="preserve"> </w:t>
      </w:r>
      <w:r w:rsidRPr="00074712">
        <w:t>as specialised children’s hospitals)</w:t>
      </w:r>
      <w:r w:rsidR="006F1C5A" w:rsidRPr="00074712">
        <w:t>.</w:t>
      </w:r>
    </w:p>
    <w:p w14:paraId="4D0AD3AB" w14:textId="77777777" w:rsidR="00550102" w:rsidRPr="00074712" w:rsidRDefault="00550102" w:rsidP="00FE1EA1">
      <w:pPr>
        <w:pStyle w:val="ListParagraph"/>
        <w:numPr>
          <w:ilvl w:val="0"/>
          <w:numId w:val="35"/>
        </w:numPr>
      </w:pPr>
      <w:r w:rsidRPr="00074712">
        <w:t>The paediatric a</w:t>
      </w:r>
      <w:r w:rsidR="00577477" w:rsidRPr="00074712">
        <w:t>djustment for each Tier 2 class</w:t>
      </w:r>
      <w:r w:rsidRPr="00074712">
        <w:t xml:space="preserve"> is:</w:t>
      </w:r>
    </w:p>
    <w:p w14:paraId="33671D84" w14:textId="77777777" w:rsidR="00550102" w:rsidRPr="00074712" w:rsidRDefault="001F7202" w:rsidP="0067139D">
      <w:pPr>
        <w:pStyle w:val="ListBullet"/>
        <w:numPr>
          <w:ilvl w:val="1"/>
          <w:numId w:val="36"/>
        </w:numPr>
      </w:pPr>
      <w:r w:rsidRPr="00074712">
        <w:t>R</w:t>
      </w:r>
      <w:r w:rsidR="00550102" w:rsidRPr="00074712">
        <w:t>ounded to the nearest whole per cent</w:t>
      </w:r>
      <w:r w:rsidRPr="00074712">
        <w:t>.</w:t>
      </w:r>
    </w:p>
    <w:p w14:paraId="15E414FE" w14:textId="77777777" w:rsidR="00550102" w:rsidRPr="00074712" w:rsidRDefault="001F7202" w:rsidP="0067139D">
      <w:pPr>
        <w:pStyle w:val="ListBullet"/>
        <w:numPr>
          <w:ilvl w:val="1"/>
          <w:numId w:val="36"/>
        </w:numPr>
      </w:pPr>
      <w:r w:rsidRPr="00074712">
        <w:t>C</w:t>
      </w:r>
      <w:r w:rsidR="00550102" w:rsidRPr="00074712">
        <w:t>apped and floored at 20</w:t>
      </w:r>
      <w:r w:rsidR="00C563B4" w:rsidRPr="00074712">
        <w:t>0</w:t>
      </w:r>
      <w:r w:rsidR="00074712">
        <w:t xml:space="preserve"> per cent</w:t>
      </w:r>
      <w:r w:rsidR="00550102" w:rsidRPr="00074712">
        <w:t xml:space="preserve"> and 8</w:t>
      </w:r>
      <w:r w:rsidR="00074712">
        <w:t>0 per cent</w:t>
      </w:r>
      <w:r w:rsidR="00550102" w:rsidRPr="00074712">
        <w:t xml:space="preserve"> respectively</w:t>
      </w:r>
      <w:r w:rsidRPr="00074712">
        <w:t>.</w:t>
      </w:r>
    </w:p>
    <w:p w14:paraId="6A06050D" w14:textId="4A8C41AE" w:rsidR="00550102" w:rsidRPr="00074712" w:rsidRDefault="001F7202" w:rsidP="0067139D">
      <w:pPr>
        <w:pStyle w:val="ListBullet"/>
        <w:numPr>
          <w:ilvl w:val="1"/>
          <w:numId w:val="36"/>
        </w:numPr>
      </w:pPr>
      <w:r w:rsidRPr="00074712">
        <w:t>S</w:t>
      </w:r>
      <w:r w:rsidR="00550102" w:rsidRPr="00074712">
        <w:t xml:space="preserve">et to one (that is, no adjustment) if the adjustment was </w:t>
      </w:r>
      <w:r w:rsidR="00C563B4" w:rsidRPr="00074712">
        <w:t>within</w:t>
      </w:r>
      <w:r w:rsidR="00550102" w:rsidRPr="00074712">
        <w:t xml:space="preserve"> </w:t>
      </w:r>
      <w:r w:rsidR="00C563B4" w:rsidRPr="00074712">
        <w:t>5</w:t>
      </w:r>
      <w:r w:rsidR="002D4A0B">
        <w:t xml:space="preserve"> per cent</w:t>
      </w:r>
      <w:r w:rsidR="002D4A0B" w:rsidRPr="00074712">
        <w:t xml:space="preserve"> </w:t>
      </w:r>
      <w:r w:rsidR="00550102" w:rsidRPr="00074712">
        <w:t xml:space="preserve">either side of </w:t>
      </w:r>
      <w:r w:rsidR="00567044" w:rsidRPr="00074712">
        <w:t>100</w:t>
      </w:r>
      <w:r w:rsidR="002D4A0B">
        <w:t xml:space="preserve"> per cent</w:t>
      </w:r>
      <w:r w:rsidR="002D4A0B" w:rsidRPr="00074712">
        <w:t xml:space="preserve">, </w:t>
      </w:r>
      <w:r w:rsidR="00C563B4" w:rsidRPr="00074712">
        <w:t xml:space="preserve">or the </w:t>
      </w:r>
      <w:r w:rsidR="00567044" w:rsidRPr="00074712">
        <w:t>calculated</w:t>
      </w:r>
      <w:r w:rsidR="00C563B4" w:rsidRPr="00074712">
        <w:t xml:space="preserve"> adjustment has changed to be less than or greater than 100</w:t>
      </w:r>
      <w:r w:rsidR="002D4A0B">
        <w:t xml:space="preserve"> per cent</w:t>
      </w:r>
      <w:r w:rsidR="002D4A0B" w:rsidRPr="00074712">
        <w:t xml:space="preserve"> </w:t>
      </w:r>
      <w:r w:rsidR="00797804">
        <w:t>in contrast to</w:t>
      </w:r>
      <w:r w:rsidR="00C563B4" w:rsidRPr="00074712">
        <w:t xml:space="preserve"> </w:t>
      </w:r>
      <w:r w:rsidR="00567044" w:rsidRPr="00074712">
        <w:t xml:space="preserve">the adjustments calculated for </w:t>
      </w:r>
      <w:r w:rsidR="00797804" w:rsidRPr="00074712">
        <w:t>NEP</w:t>
      </w:r>
      <w:r w:rsidR="00797804">
        <w:t>21</w:t>
      </w:r>
      <w:r w:rsidR="006F1C5A" w:rsidRPr="00074712">
        <w:t>.</w:t>
      </w:r>
    </w:p>
    <w:p w14:paraId="03FCA715" w14:textId="77777777" w:rsidR="00550102" w:rsidRPr="00074712" w:rsidRDefault="00550102" w:rsidP="00FE1EA1">
      <w:pPr>
        <w:pStyle w:val="ListParagraph"/>
        <w:numPr>
          <w:ilvl w:val="0"/>
          <w:numId w:val="35"/>
        </w:numPr>
      </w:pPr>
      <w:r w:rsidRPr="00074712">
        <w:t xml:space="preserve">The cost </w:t>
      </w:r>
      <w:r w:rsidR="00577477" w:rsidRPr="00074712">
        <w:t>parameters of each Tier 2 class</w:t>
      </w:r>
      <w:r w:rsidRPr="00074712">
        <w:t xml:space="preserve"> are then calibrated to ensure that the modelled costs, with the paediatric adjustment applied, are equal to the a</w:t>
      </w:r>
      <w:r w:rsidR="00577477" w:rsidRPr="00074712">
        <w:t>ctual costs of the Tier 2 class</w:t>
      </w:r>
      <w:r w:rsidRPr="00074712">
        <w:t>.</w:t>
      </w:r>
    </w:p>
    <w:p w14:paraId="0EA27E90" w14:textId="12125EA9" w:rsidR="00074712" w:rsidRDefault="00567044" w:rsidP="00550102">
      <w:pPr>
        <w:spacing w:line="240" w:lineRule="auto"/>
        <w:rPr>
          <w:rFonts w:cs="Arial"/>
        </w:rPr>
      </w:pPr>
      <w:r>
        <w:rPr>
          <w:rFonts w:cs="Arial"/>
        </w:rPr>
        <w:t>The adjustments for non-admitted multi-disciplinary clinic</w:t>
      </w:r>
      <w:r w:rsidR="006C6367">
        <w:rPr>
          <w:rFonts w:cs="Arial"/>
        </w:rPr>
        <w:t>s</w:t>
      </w:r>
      <w:r>
        <w:rPr>
          <w:rFonts w:cs="Arial"/>
        </w:rPr>
        <w:t xml:space="preserve"> (NMC), patient residential are</w:t>
      </w:r>
      <w:r w:rsidR="009C5FA7">
        <w:rPr>
          <w:rFonts w:cs="Arial"/>
        </w:rPr>
        <w:t>a</w:t>
      </w:r>
      <w:r>
        <w:rPr>
          <w:rFonts w:cs="Arial"/>
        </w:rPr>
        <w:t xml:space="preserve"> remoteness </w:t>
      </w:r>
      <w:r w:rsidR="009C5FA7">
        <w:rPr>
          <w:rFonts w:cs="Arial"/>
        </w:rPr>
        <w:t>and Indigenous adjustments are calculated in a single step. T</w:t>
      </w:r>
      <w:r w:rsidR="00550102">
        <w:rPr>
          <w:rFonts w:cs="Arial"/>
        </w:rPr>
        <w:t xml:space="preserve">he NMC value was calculated </w:t>
      </w:r>
      <w:r w:rsidR="009C5FA7">
        <w:rPr>
          <w:rFonts w:cs="Arial"/>
        </w:rPr>
        <w:t>by averaging</w:t>
      </w:r>
      <w:r w:rsidR="00550102">
        <w:rPr>
          <w:rFonts w:cs="Arial"/>
        </w:rPr>
        <w:t xml:space="preserve"> across three years of empirical values, in accordance with IHPA’s </w:t>
      </w:r>
      <w:r w:rsidR="00550102" w:rsidRPr="00057977">
        <w:rPr>
          <w:rFonts w:cs="Arial"/>
        </w:rPr>
        <w:t>Stability Policy,</w:t>
      </w:r>
      <w:r w:rsidR="00550102">
        <w:rPr>
          <w:rFonts w:cs="Arial"/>
        </w:rPr>
        <w:t xml:space="preserve"> to produce the </w:t>
      </w:r>
      <w:r w:rsidR="009C5FA7">
        <w:rPr>
          <w:rFonts w:cs="Arial"/>
        </w:rPr>
        <w:t xml:space="preserve">adopted </w:t>
      </w:r>
      <w:r w:rsidR="00550102">
        <w:rPr>
          <w:rFonts w:cs="Arial"/>
        </w:rPr>
        <w:t>NMC adjustment.</w:t>
      </w:r>
      <w:r w:rsidR="009C5FA7">
        <w:rPr>
          <w:rFonts w:cs="Arial"/>
        </w:rPr>
        <w:t xml:space="preserve">  </w:t>
      </w:r>
    </w:p>
    <w:p w14:paraId="0ADE1B0E" w14:textId="77777777" w:rsidR="00550102" w:rsidRDefault="00B61A9E" w:rsidP="00550102">
      <w:pPr>
        <w:spacing w:line="240" w:lineRule="auto"/>
        <w:rPr>
          <w:rFonts w:cs="Arial"/>
        </w:rPr>
      </w:pPr>
      <w:r>
        <w:rPr>
          <w:rFonts w:cs="Arial"/>
        </w:rPr>
        <w:t>The Indigenous adjustment value is a cost-weighted average value based on all stream data.</w:t>
      </w:r>
      <w:r w:rsidR="00074712">
        <w:rPr>
          <w:rFonts w:cs="Arial"/>
        </w:rPr>
        <w:t xml:space="preserve"> </w:t>
      </w:r>
      <w:r w:rsidR="00550102">
        <w:rPr>
          <w:rFonts w:cs="Arial"/>
        </w:rPr>
        <w:t>The patient residential remoteness and patient treatment remoteness values are adopted from the corresponding adjustments in the admitted acute model.</w:t>
      </w:r>
    </w:p>
    <w:p w14:paraId="05C0992B" w14:textId="77777777" w:rsidR="00550102" w:rsidRDefault="00550102" w:rsidP="00550102">
      <w:pPr>
        <w:spacing w:line="240" w:lineRule="auto"/>
        <w:rPr>
          <w:rFonts w:cs="Arial"/>
          <w:szCs w:val="20"/>
        </w:rPr>
      </w:pPr>
      <w:r>
        <w:rPr>
          <w:rFonts w:cs="Arial"/>
          <w:szCs w:val="20"/>
        </w:rPr>
        <w:t>The application of the adjustment parameters mirror the methodology of the acute model as follows:</w:t>
      </w:r>
    </w:p>
    <w:p w14:paraId="48C0B91F" w14:textId="65C624C7" w:rsidR="00550102" w:rsidRPr="00074712" w:rsidRDefault="00550102" w:rsidP="00FE1EA1">
      <w:pPr>
        <w:pStyle w:val="ListParagraph"/>
        <w:numPr>
          <w:ilvl w:val="0"/>
          <w:numId w:val="22"/>
        </w:numPr>
      </w:pPr>
      <w:r w:rsidRPr="00074712">
        <w:t xml:space="preserve">The stabilised NMC adjustment is applied to all multi-disciplinary clinic records, and concurrently, the Indigenous adjustment and </w:t>
      </w:r>
      <w:r w:rsidR="00577477" w:rsidRPr="00074712">
        <w:t xml:space="preserve">patient remoteness </w:t>
      </w:r>
      <w:r w:rsidRPr="00074712">
        <w:t xml:space="preserve">adjustment are applied to all Indigenous and/or regional patient records; the </w:t>
      </w:r>
      <w:r w:rsidR="006C6367">
        <w:t xml:space="preserve">class </w:t>
      </w:r>
      <w:r w:rsidRPr="00074712">
        <w:t>means are then calibrated</w:t>
      </w:r>
      <w:r w:rsidR="00FA1177" w:rsidRPr="00074712">
        <w:t>.</w:t>
      </w:r>
    </w:p>
    <w:p w14:paraId="248AC470" w14:textId="7D7DC6A6" w:rsidR="00FA1177" w:rsidRPr="00074712" w:rsidRDefault="00FA1177" w:rsidP="00FE1EA1">
      <w:pPr>
        <w:pStyle w:val="ListParagraph"/>
        <w:numPr>
          <w:ilvl w:val="0"/>
          <w:numId w:val="22"/>
        </w:numPr>
      </w:pPr>
      <w:r w:rsidRPr="00074712">
        <w:t xml:space="preserve">The </w:t>
      </w:r>
      <w:r w:rsidR="00577477" w:rsidRPr="00074712">
        <w:t xml:space="preserve">patient treatment remoteness </w:t>
      </w:r>
      <w:r w:rsidRPr="00074712">
        <w:t xml:space="preserve">adjustment is applied to all regional patient records and then </w:t>
      </w:r>
      <w:r w:rsidR="006C6367">
        <w:t xml:space="preserve">class </w:t>
      </w:r>
      <w:r w:rsidRPr="00074712">
        <w:t>means are calibrated.</w:t>
      </w:r>
    </w:p>
    <w:p w14:paraId="7A9EBEEC" w14:textId="77777777" w:rsidR="00550102" w:rsidRDefault="00550102" w:rsidP="00755433">
      <w:pPr>
        <w:pStyle w:val="Heading3"/>
      </w:pPr>
      <w:r>
        <w:t>Price weights and NWAU</w:t>
      </w:r>
    </w:p>
    <w:p w14:paraId="370F5374" w14:textId="77777777" w:rsidR="00550102" w:rsidRDefault="00550102" w:rsidP="00550102">
      <w:pPr>
        <w:spacing w:line="240" w:lineRule="auto"/>
        <w:rPr>
          <w:rFonts w:cs="Arial"/>
          <w:b/>
          <w:color w:val="000000"/>
        </w:rPr>
      </w:pPr>
      <w:r>
        <w:rPr>
          <w:rFonts w:cs="Arial"/>
          <w:b/>
          <w:color w:val="000000"/>
        </w:rPr>
        <w:t>Price of a non-admitted ABF activity</w:t>
      </w:r>
    </w:p>
    <w:p w14:paraId="62015C62" w14:textId="77777777" w:rsidR="00550102" w:rsidRPr="00282D32" w:rsidRDefault="00550102" w:rsidP="00550102">
      <w:pPr>
        <w:tabs>
          <w:tab w:val="left" w:pos="0"/>
        </w:tabs>
        <w:spacing w:line="240" w:lineRule="auto"/>
        <w:rPr>
          <w:rFonts w:cs="Arial"/>
        </w:rPr>
      </w:pPr>
      <m:oMathPara>
        <m:oMathParaPr>
          <m:jc m:val="left"/>
        </m:oMathParaPr>
        <m:oMath>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NMC</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e>
          </m:d>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r>
            <m:rPr>
              <m:sty m:val="p"/>
            </m:rPr>
            <w:rPr>
              <w:rFonts w:ascii="Cambria Math" w:hAnsi="Cambria Math" w:cs="Arial"/>
              <w:szCs w:val="20"/>
            </w:rPr>
            <m:t>)}×NEP</m:t>
          </m:r>
        </m:oMath>
      </m:oMathPara>
    </w:p>
    <w:p w14:paraId="6942143C" w14:textId="77777777" w:rsidR="00550102" w:rsidRDefault="00550102" w:rsidP="00550102">
      <w:pPr>
        <w:spacing w:line="240" w:lineRule="auto"/>
        <w:rPr>
          <w:rFonts w:cs="Arial"/>
          <w:noProof/>
        </w:rPr>
      </w:pPr>
      <w:r>
        <w:rPr>
          <w:rFonts w:cs="Arial"/>
        </w:rPr>
        <w:t>Where:</w:t>
      </w:r>
      <w:r>
        <w:rPr>
          <w:rFonts w:cs="Arial"/>
          <w:noProof/>
        </w:rPr>
        <w:t xml:space="preserve"> </w:t>
      </w:r>
    </w:p>
    <w:p w14:paraId="270F2C92" w14:textId="77777777" w:rsidR="00550102" w:rsidRPr="008A3FE7" w:rsidRDefault="00550102" w:rsidP="00550102">
      <w:pPr>
        <w:spacing w:after="180" w:line="240" w:lineRule="auto"/>
        <w:ind w:left="1985" w:hanging="1985"/>
        <w:rPr>
          <w:rFonts w:cs="Arial"/>
          <w:b/>
        </w:rPr>
      </w:pPr>
      <w:r>
        <w:rPr>
          <w:rFonts w:cs="Arial"/>
          <w:b/>
        </w:rPr>
        <w:t>A</w:t>
      </w:r>
      <w:r w:rsidRPr="008A3FE7">
        <w:rPr>
          <w:rFonts w:cs="Arial"/>
          <w:b/>
          <w:vertAlign w:val="subscript"/>
        </w:rPr>
        <w:t>Paed</w:t>
      </w:r>
      <w:r>
        <w:rPr>
          <w:rFonts w:cs="Arial"/>
          <w:b/>
          <w:vertAlign w:val="subscript"/>
        </w:rPr>
        <w:tab/>
      </w:r>
      <w:r w:rsidRPr="008A3FE7">
        <w:rPr>
          <w:rFonts w:cs="Arial"/>
        </w:rPr>
        <w:t>means the</w:t>
      </w:r>
      <w:r w:rsidRPr="008A3FE7">
        <w:rPr>
          <w:rFonts w:cs="Arial"/>
          <w:i/>
        </w:rPr>
        <w:t xml:space="preserve"> </w:t>
      </w:r>
      <w:r w:rsidRPr="00EC1F9C">
        <w:rPr>
          <w:rFonts w:cs="Arial"/>
        </w:rPr>
        <w:t>paediatric adjustment</w:t>
      </w:r>
    </w:p>
    <w:p w14:paraId="0C2DB0AA" w14:textId="77777777" w:rsidR="00550102" w:rsidRDefault="00550102" w:rsidP="00550102">
      <w:pPr>
        <w:spacing w:after="180" w:line="240" w:lineRule="auto"/>
        <w:ind w:left="1985" w:hanging="1985"/>
        <w:rPr>
          <w:rFonts w:cs="Arial"/>
          <w:i/>
        </w:rPr>
      </w:pPr>
      <w:r>
        <w:rPr>
          <w:rFonts w:cs="Arial"/>
          <w:b/>
        </w:rPr>
        <w:t>A</w:t>
      </w:r>
      <w:r w:rsidRPr="002D5EBF">
        <w:rPr>
          <w:rFonts w:cs="Arial"/>
          <w:b/>
          <w:vertAlign w:val="subscript"/>
        </w:rPr>
        <w:t>N</w:t>
      </w:r>
      <w:r>
        <w:rPr>
          <w:rFonts w:cs="Arial"/>
          <w:b/>
          <w:vertAlign w:val="subscript"/>
        </w:rPr>
        <w:t>MC</w:t>
      </w:r>
      <w:r>
        <w:rPr>
          <w:rFonts w:cs="Arial"/>
          <w:b/>
          <w:vertAlign w:val="subscript"/>
        </w:rPr>
        <w:tab/>
      </w:r>
      <w:r>
        <w:rPr>
          <w:rFonts w:cs="Arial"/>
        </w:rPr>
        <w:t xml:space="preserve">means the </w:t>
      </w:r>
      <w:r w:rsidR="00577477">
        <w:rPr>
          <w:rFonts w:cs="Arial"/>
        </w:rPr>
        <w:t xml:space="preserve">non-admitted </w:t>
      </w:r>
      <w:r w:rsidRPr="00EC1F9C">
        <w:rPr>
          <w:rFonts w:cs="Arial"/>
        </w:rPr>
        <w:t>multi-disciplinary clinic adjustment</w:t>
      </w:r>
      <w:r>
        <w:rPr>
          <w:rFonts w:cs="Arial"/>
          <w:i/>
        </w:rPr>
        <w:t xml:space="preserve"> </w:t>
      </w:r>
    </w:p>
    <w:p w14:paraId="4FDF1225" w14:textId="77777777" w:rsidR="00550102" w:rsidRDefault="00550102" w:rsidP="00550102">
      <w:pPr>
        <w:spacing w:after="180" w:line="240" w:lineRule="auto"/>
        <w:ind w:left="1985" w:hanging="1985"/>
        <w:rPr>
          <w:rFonts w:cs="Arial"/>
          <w:b/>
        </w:rPr>
      </w:pPr>
      <w:r>
        <w:rPr>
          <w:rFonts w:cs="Arial"/>
          <w:b/>
        </w:rPr>
        <w:t>A</w:t>
      </w:r>
      <w:r>
        <w:rPr>
          <w:rFonts w:cs="Arial"/>
          <w:b/>
          <w:vertAlign w:val="subscript"/>
        </w:rPr>
        <w:t>Ind</w:t>
      </w:r>
      <w:r>
        <w:rPr>
          <w:rFonts w:cs="Arial"/>
          <w:vertAlign w:val="subscript"/>
        </w:rPr>
        <w:tab/>
      </w:r>
      <w:r>
        <w:rPr>
          <w:rFonts w:cs="Arial"/>
        </w:rPr>
        <w:t xml:space="preserve">means the </w:t>
      </w:r>
      <w:r w:rsidRPr="00EC1F9C">
        <w:rPr>
          <w:rFonts w:cs="Arial"/>
        </w:rPr>
        <w:t>Indigenous adjustment</w:t>
      </w:r>
    </w:p>
    <w:p w14:paraId="3BC7EB9C" w14:textId="77777777" w:rsidR="00550102" w:rsidRPr="00342AF3" w:rsidRDefault="00550102" w:rsidP="00550102">
      <w:pPr>
        <w:spacing w:after="180" w:line="240" w:lineRule="auto"/>
        <w:ind w:left="1985" w:hanging="1985"/>
        <w:rPr>
          <w:rFonts w:cs="Arial"/>
          <w:b/>
        </w:rPr>
      </w:pPr>
      <w:r>
        <w:rPr>
          <w:rFonts w:cs="Arial"/>
          <w:b/>
        </w:rPr>
        <w:t>A</w:t>
      </w:r>
      <w:r>
        <w:rPr>
          <w:rFonts w:cs="Arial"/>
          <w:b/>
          <w:vertAlign w:val="subscript"/>
        </w:rPr>
        <w:t>Res</w:t>
      </w:r>
      <w:r>
        <w:rPr>
          <w:rFonts w:cs="Arial"/>
          <w:vertAlign w:val="subscript"/>
        </w:rPr>
        <w:tab/>
      </w:r>
      <w:r>
        <w:rPr>
          <w:rFonts w:cs="Arial"/>
        </w:rPr>
        <w:t xml:space="preserve">means </w:t>
      </w:r>
      <w:r w:rsidR="00477AD8">
        <w:rPr>
          <w:rFonts w:cs="Arial"/>
        </w:rPr>
        <w:t xml:space="preserve">each or any </w:t>
      </w:r>
      <w:r w:rsidRPr="00EC1F9C">
        <w:rPr>
          <w:rFonts w:cs="Arial"/>
        </w:rPr>
        <w:t>patient residential</w:t>
      </w:r>
      <w:r w:rsidRPr="00342AF3">
        <w:rPr>
          <w:rFonts w:cs="Arial"/>
        </w:rPr>
        <w:t xml:space="preserve"> </w:t>
      </w:r>
      <w:r w:rsidRPr="00EC1F9C">
        <w:rPr>
          <w:rFonts w:cs="Arial"/>
        </w:rPr>
        <w:t>remoteness</w:t>
      </w:r>
      <w:r w:rsidRPr="00342AF3">
        <w:rPr>
          <w:rFonts w:cs="Arial"/>
        </w:rPr>
        <w:t xml:space="preserve"> </w:t>
      </w:r>
      <w:r w:rsidRPr="00EC1F9C">
        <w:rPr>
          <w:rFonts w:cs="Arial"/>
        </w:rPr>
        <w:t>area adjustment</w:t>
      </w:r>
    </w:p>
    <w:p w14:paraId="7FA69529" w14:textId="77777777" w:rsidR="00550102" w:rsidRDefault="00550102" w:rsidP="00550102">
      <w:pPr>
        <w:spacing w:after="180" w:line="240" w:lineRule="auto"/>
        <w:ind w:left="1985" w:hanging="1985"/>
        <w:rPr>
          <w:rFonts w:cs="Arial"/>
          <w:b/>
        </w:rPr>
      </w:pPr>
      <w:r>
        <w:rPr>
          <w:rFonts w:cs="Arial"/>
          <w:b/>
        </w:rPr>
        <w:t>A</w:t>
      </w:r>
      <w:r>
        <w:rPr>
          <w:rFonts w:cs="Arial"/>
          <w:b/>
          <w:vertAlign w:val="subscript"/>
        </w:rPr>
        <w:t>Treat</w:t>
      </w:r>
      <w:r>
        <w:rPr>
          <w:rFonts w:cs="Arial"/>
          <w:vertAlign w:val="subscript"/>
        </w:rPr>
        <w:tab/>
      </w:r>
      <w:r>
        <w:rPr>
          <w:rFonts w:cs="Arial"/>
        </w:rPr>
        <w:t xml:space="preserve">means </w:t>
      </w:r>
      <w:r w:rsidR="00477AD8">
        <w:rPr>
          <w:rFonts w:cs="Arial"/>
        </w:rPr>
        <w:t>each or any</w:t>
      </w:r>
      <w:r>
        <w:rPr>
          <w:rFonts w:cs="Arial"/>
        </w:rPr>
        <w:t xml:space="preserve"> </w:t>
      </w:r>
      <w:r w:rsidRPr="00EC1F9C">
        <w:rPr>
          <w:rFonts w:cs="Arial"/>
        </w:rPr>
        <w:t>patient treatment</w:t>
      </w:r>
      <w:r w:rsidRPr="00342AF3">
        <w:rPr>
          <w:rFonts w:cs="Arial"/>
        </w:rPr>
        <w:t xml:space="preserve"> </w:t>
      </w:r>
      <w:r w:rsidRPr="00EC1F9C">
        <w:rPr>
          <w:rFonts w:cs="Arial"/>
        </w:rPr>
        <w:t>remoteness</w:t>
      </w:r>
      <w:r w:rsidRPr="00342AF3">
        <w:rPr>
          <w:rFonts w:cs="Arial"/>
        </w:rPr>
        <w:t xml:space="preserve"> </w:t>
      </w:r>
      <w:r w:rsidRPr="00EC1F9C">
        <w:rPr>
          <w:rFonts w:cs="Arial"/>
        </w:rPr>
        <w:t>area adjustment</w:t>
      </w:r>
    </w:p>
    <w:p w14:paraId="34B54FC3" w14:textId="15C0F26D" w:rsidR="00550102" w:rsidRDefault="00550102" w:rsidP="00550102">
      <w:pPr>
        <w:spacing w:after="180" w:line="240" w:lineRule="auto"/>
        <w:ind w:left="1985" w:hanging="1985"/>
        <w:rPr>
          <w:rFonts w:cs="Arial"/>
        </w:rPr>
      </w:pPr>
      <w:r>
        <w:rPr>
          <w:rFonts w:cs="Arial"/>
          <w:b/>
        </w:rPr>
        <w:t>NEP</w:t>
      </w:r>
      <w:r>
        <w:rPr>
          <w:rFonts w:cs="Arial"/>
        </w:rPr>
        <w:tab/>
      </w:r>
      <w:r w:rsidR="00290CF2">
        <w:rPr>
          <w:rFonts w:cs="Arial"/>
        </w:rPr>
        <w:t>means N</w:t>
      </w:r>
      <w:r>
        <w:rPr>
          <w:rFonts w:cs="Arial"/>
        </w:rPr>
        <w:t xml:space="preserve">ational </w:t>
      </w:r>
      <w:r w:rsidR="00290CF2">
        <w:rPr>
          <w:rFonts w:cs="Arial"/>
        </w:rPr>
        <w:t>E</w:t>
      </w:r>
      <w:r>
        <w:rPr>
          <w:rFonts w:cs="Arial"/>
        </w:rPr>
        <w:t xml:space="preserve">fficient </w:t>
      </w:r>
      <w:r w:rsidR="00290CF2">
        <w:rPr>
          <w:rFonts w:cs="Arial"/>
        </w:rPr>
        <w:t>P</w:t>
      </w:r>
      <w:r>
        <w:rPr>
          <w:rFonts w:cs="Arial"/>
        </w:rPr>
        <w:t xml:space="preserve">rice </w:t>
      </w:r>
      <w:r w:rsidR="005621AB">
        <w:rPr>
          <w:rFonts w:cs="Arial"/>
        </w:rPr>
        <w:t>2022</w:t>
      </w:r>
      <w:r>
        <w:rPr>
          <w:rFonts w:cs="Arial"/>
        </w:rPr>
        <w:t>–</w:t>
      </w:r>
      <w:r w:rsidR="005621AB">
        <w:rPr>
          <w:rFonts w:cs="Arial"/>
        </w:rPr>
        <w:t>23</w:t>
      </w:r>
    </w:p>
    <w:p w14:paraId="2AC1CE13" w14:textId="296C46E7" w:rsidR="00550102" w:rsidRDefault="00550102" w:rsidP="00550102">
      <w:pPr>
        <w:spacing w:after="0" w:line="240" w:lineRule="auto"/>
        <w:ind w:left="1985" w:hanging="1985"/>
        <w:rPr>
          <w:rFonts w:cs="Arial"/>
        </w:rPr>
      </w:pPr>
      <w:r>
        <w:rPr>
          <w:rFonts w:cs="Arial"/>
          <w:b/>
        </w:rPr>
        <w:t>PW</w:t>
      </w:r>
      <w:r>
        <w:rPr>
          <w:rFonts w:cs="Arial"/>
          <w:b/>
        </w:rPr>
        <w:tab/>
      </w:r>
      <w:r>
        <w:rPr>
          <w:rFonts w:cs="Arial"/>
        </w:rPr>
        <w:t xml:space="preserve">means the price weight for an ABF activity as set out in </w:t>
      </w:r>
      <w:r w:rsidRPr="00EC1F9C">
        <w:rPr>
          <w:rFonts w:cs="Arial"/>
          <w:b/>
        </w:rPr>
        <w:t>Appendix K</w:t>
      </w:r>
      <w:r>
        <w:rPr>
          <w:rFonts w:cs="Arial"/>
        </w:rPr>
        <w:t xml:space="preserve"> of the accompanying </w:t>
      </w:r>
      <w:r w:rsidRPr="005A1510">
        <w:rPr>
          <w:rFonts w:cs="Arial"/>
          <w:szCs w:val="20"/>
        </w:rPr>
        <w:t xml:space="preserve">National Efficient Price Determination </w:t>
      </w:r>
      <w:r w:rsidR="005621AB" w:rsidRPr="005A1510">
        <w:rPr>
          <w:rFonts w:cs="Arial"/>
          <w:szCs w:val="20"/>
        </w:rPr>
        <w:t>202</w:t>
      </w:r>
      <w:r w:rsidR="005621AB">
        <w:rPr>
          <w:rFonts w:cs="Arial"/>
          <w:szCs w:val="20"/>
        </w:rPr>
        <w:t>2</w:t>
      </w:r>
      <w:r w:rsidRPr="005A1510">
        <w:rPr>
          <w:rFonts w:cs="Arial"/>
          <w:szCs w:val="20"/>
        </w:rPr>
        <w:t>–</w:t>
      </w:r>
      <w:r w:rsidR="005621AB" w:rsidRPr="005A1510">
        <w:rPr>
          <w:rFonts w:cs="Arial"/>
          <w:szCs w:val="20"/>
        </w:rPr>
        <w:t>2</w:t>
      </w:r>
      <w:r w:rsidR="005621AB">
        <w:rPr>
          <w:rFonts w:cs="Arial"/>
          <w:szCs w:val="20"/>
        </w:rPr>
        <w:t>3</w:t>
      </w:r>
    </w:p>
    <w:p w14:paraId="680B6765" w14:textId="77777777" w:rsidR="00550102" w:rsidRDefault="00176BB4" w:rsidP="004A03A2">
      <w:pPr>
        <w:keepNext/>
        <w:tabs>
          <w:tab w:val="left" w:pos="1162"/>
        </w:tabs>
        <w:autoSpaceDE w:val="0"/>
        <w:autoSpaceDN w:val="0"/>
        <w:adjustRightInd w:val="0"/>
        <w:spacing w:before="240" w:line="240" w:lineRule="auto"/>
        <w:ind w:right="-28"/>
        <w:rPr>
          <w:rFonts w:cs="Arial"/>
          <w:szCs w:val="20"/>
          <w:highlight w:val="lightGray"/>
        </w:rPr>
      </w:pPr>
      <w:r>
        <w:rPr>
          <w:rFonts w:cs="Arial"/>
          <w:szCs w:val="20"/>
        </w:rPr>
        <w:lastRenderedPageBreak/>
        <w:t>Table 1</w:t>
      </w:r>
      <w:r w:rsidR="00302145">
        <w:rPr>
          <w:rFonts w:cs="Arial"/>
          <w:szCs w:val="20"/>
        </w:rPr>
        <w:t>4</w:t>
      </w:r>
      <w:r w:rsidR="00550102">
        <w:rPr>
          <w:rFonts w:cs="Arial"/>
          <w:szCs w:val="20"/>
        </w:rPr>
        <w:t xml:space="preserve"> outlines the required information in order to apply the above formula. </w:t>
      </w:r>
    </w:p>
    <w:p w14:paraId="188A8C3F" w14:textId="77777777" w:rsidR="00550102" w:rsidRDefault="00176BB4" w:rsidP="00836FC5">
      <w:pPr>
        <w:pStyle w:val="TableHeading"/>
      </w:pPr>
      <w:r>
        <w:t>Table 1</w:t>
      </w:r>
      <w:r w:rsidR="00302145">
        <w:t>4</w:t>
      </w:r>
      <w:r w:rsidR="00550102">
        <w:t>: Dataset and tables required for assignment of NWAU to non-admitted patient data</w:t>
      </w:r>
    </w:p>
    <w:tbl>
      <w:tblPr>
        <w:tblStyle w:val="TableGrid"/>
        <w:tblW w:w="881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14: Dataset and tables required for assignment of NWAU to non-admitted patient data."/>
        <w:tblDescription w:val="A summary of table 11 is outlined in the text prior to this table."/>
      </w:tblPr>
      <w:tblGrid>
        <w:gridCol w:w="3478"/>
        <w:gridCol w:w="5340"/>
      </w:tblGrid>
      <w:tr w:rsidR="00550102" w14:paraId="76ED049C" w14:textId="77777777" w:rsidTr="001658D3">
        <w:trPr>
          <w:cantSplit/>
          <w:tblHeader/>
        </w:trPr>
        <w:tc>
          <w:tcPr>
            <w:tcW w:w="34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88A32"/>
            <w:hideMark/>
          </w:tcPr>
          <w:p w14:paraId="16331EB6" w14:textId="77777777" w:rsidR="00550102" w:rsidRPr="00C1596D" w:rsidRDefault="00550102" w:rsidP="00C1596D">
            <w:pPr>
              <w:tabs>
                <w:tab w:val="left" w:pos="1162"/>
              </w:tabs>
              <w:spacing w:line="240" w:lineRule="auto"/>
              <w:rPr>
                <w:rFonts w:cs="Arial"/>
                <w:b/>
                <w:color w:val="FFFFFF" w:themeColor="background1"/>
                <w:sz w:val="20"/>
                <w:szCs w:val="20"/>
              </w:rPr>
            </w:pPr>
            <w:r w:rsidRPr="00C1596D">
              <w:rPr>
                <w:rFonts w:cs="Arial"/>
                <w:b/>
                <w:color w:val="FFFFFF" w:themeColor="background1"/>
                <w:sz w:val="20"/>
                <w:szCs w:val="20"/>
              </w:rPr>
              <w:t>Input dataset or table</w:t>
            </w:r>
          </w:p>
        </w:tc>
        <w:tc>
          <w:tcPr>
            <w:tcW w:w="53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88A32"/>
            <w:hideMark/>
          </w:tcPr>
          <w:p w14:paraId="422DED15" w14:textId="77777777" w:rsidR="00550102" w:rsidRPr="00C1596D" w:rsidRDefault="00550102" w:rsidP="00C1596D">
            <w:pPr>
              <w:tabs>
                <w:tab w:val="left" w:pos="1162"/>
              </w:tabs>
              <w:spacing w:line="240" w:lineRule="auto"/>
              <w:rPr>
                <w:rFonts w:cs="Arial"/>
                <w:b/>
                <w:color w:val="FFFFFF" w:themeColor="background1"/>
                <w:sz w:val="20"/>
                <w:szCs w:val="20"/>
              </w:rPr>
            </w:pPr>
            <w:r w:rsidRPr="00C1596D">
              <w:rPr>
                <w:rFonts w:cs="Arial"/>
                <w:b/>
                <w:color w:val="FFFFFF" w:themeColor="background1"/>
                <w:sz w:val="20"/>
                <w:szCs w:val="20"/>
              </w:rPr>
              <w:t>Description</w:t>
            </w:r>
          </w:p>
        </w:tc>
      </w:tr>
      <w:tr w:rsidR="00550102" w14:paraId="44D85028" w14:textId="77777777" w:rsidTr="001658D3">
        <w:trPr>
          <w:cantSplit/>
        </w:trPr>
        <w:tc>
          <w:tcPr>
            <w:tcW w:w="34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7DD6C789" w14:textId="77777777" w:rsidR="00550102" w:rsidRPr="00C1596D" w:rsidRDefault="00A06659" w:rsidP="00C1596D">
            <w:pPr>
              <w:tabs>
                <w:tab w:val="left" w:pos="1162"/>
              </w:tabs>
              <w:spacing w:line="240" w:lineRule="auto"/>
              <w:rPr>
                <w:rFonts w:cs="Arial"/>
                <w:sz w:val="20"/>
                <w:szCs w:val="20"/>
              </w:rPr>
            </w:pPr>
            <w:r w:rsidRPr="00C1596D">
              <w:rPr>
                <w:rFonts w:cs="Arial"/>
                <w:sz w:val="20"/>
                <w:szCs w:val="20"/>
              </w:rPr>
              <w:t>ABF NAP NBEDS</w:t>
            </w:r>
          </w:p>
        </w:tc>
        <w:tc>
          <w:tcPr>
            <w:tcW w:w="53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33B1BE25" w14:textId="77777777" w:rsidR="00550102" w:rsidRPr="00C1596D" w:rsidRDefault="00A06659" w:rsidP="00C1596D">
            <w:pPr>
              <w:tabs>
                <w:tab w:val="left" w:pos="1162"/>
              </w:tabs>
              <w:spacing w:line="240" w:lineRule="auto"/>
              <w:rPr>
                <w:rFonts w:cs="Arial"/>
                <w:sz w:val="20"/>
                <w:szCs w:val="20"/>
              </w:rPr>
            </w:pPr>
            <w:r w:rsidRPr="00C1596D">
              <w:rPr>
                <w:rFonts w:cs="Arial"/>
                <w:sz w:val="20"/>
                <w:szCs w:val="20"/>
              </w:rPr>
              <w:t>Non-admitted patient National Best Endeavours Data Set (ABF NAP NBEDS)</w:t>
            </w:r>
          </w:p>
        </w:tc>
      </w:tr>
      <w:tr w:rsidR="00550102" w14:paraId="64A62A9A" w14:textId="77777777" w:rsidTr="001658D3">
        <w:trPr>
          <w:cantSplit/>
        </w:trPr>
        <w:tc>
          <w:tcPr>
            <w:tcW w:w="34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3987E9A5" w14:textId="1C2D0920" w:rsidR="00550102" w:rsidRPr="00C1596D" w:rsidRDefault="005621AB" w:rsidP="00C1596D">
            <w:pPr>
              <w:tabs>
                <w:tab w:val="left" w:pos="1162"/>
              </w:tabs>
              <w:spacing w:line="240" w:lineRule="auto"/>
              <w:rPr>
                <w:rFonts w:cs="Arial"/>
                <w:sz w:val="20"/>
                <w:szCs w:val="20"/>
              </w:rPr>
            </w:pPr>
            <w:r w:rsidRPr="00C1596D">
              <w:rPr>
                <w:rFonts w:cs="Arial"/>
                <w:sz w:val="20"/>
                <w:szCs w:val="20"/>
              </w:rPr>
              <w:t>202</w:t>
            </w:r>
            <w:r>
              <w:rPr>
                <w:rFonts w:cs="Arial"/>
                <w:sz w:val="20"/>
                <w:szCs w:val="20"/>
              </w:rPr>
              <w:t>2</w:t>
            </w:r>
            <w:r w:rsidR="00550102" w:rsidRPr="00C1596D">
              <w:rPr>
                <w:rFonts w:cs="Arial"/>
                <w:sz w:val="20"/>
                <w:szCs w:val="20"/>
              </w:rPr>
              <w:t>–</w:t>
            </w:r>
            <w:r w:rsidRPr="00C1596D">
              <w:rPr>
                <w:rFonts w:cs="Arial"/>
                <w:sz w:val="20"/>
                <w:szCs w:val="20"/>
              </w:rPr>
              <w:t>2</w:t>
            </w:r>
            <w:r>
              <w:rPr>
                <w:rFonts w:cs="Arial"/>
                <w:sz w:val="20"/>
                <w:szCs w:val="20"/>
              </w:rPr>
              <w:t>3</w:t>
            </w:r>
            <w:r w:rsidRPr="00C1596D">
              <w:rPr>
                <w:rFonts w:cs="Arial"/>
                <w:sz w:val="20"/>
                <w:szCs w:val="20"/>
              </w:rPr>
              <w:t xml:space="preserve"> </w:t>
            </w:r>
            <w:r w:rsidR="00550102" w:rsidRPr="00C1596D">
              <w:rPr>
                <w:rFonts w:cs="Arial"/>
                <w:sz w:val="20"/>
                <w:szCs w:val="20"/>
              </w:rPr>
              <w:t>NWAU price weight table</w:t>
            </w:r>
          </w:p>
        </w:tc>
        <w:tc>
          <w:tcPr>
            <w:tcW w:w="53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2E1B33FD" w14:textId="5AE167B4" w:rsidR="00550102" w:rsidRPr="00C1596D" w:rsidRDefault="005621AB" w:rsidP="00C1596D">
            <w:pPr>
              <w:tabs>
                <w:tab w:val="left" w:pos="1162"/>
              </w:tabs>
              <w:spacing w:line="240" w:lineRule="auto"/>
              <w:rPr>
                <w:rFonts w:cs="Arial"/>
                <w:sz w:val="20"/>
                <w:szCs w:val="20"/>
              </w:rPr>
            </w:pPr>
            <w:r w:rsidRPr="00C1596D">
              <w:rPr>
                <w:rFonts w:cs="Arial"/>
                <w:sz w:val="20"/>
                <w:szCs w:val="20"/>
              </w:rPr>
              <w:t>202</w:t>
            </w:r>
            <w:r>
              <w:rPr>
                <w:rFonts w:cs="Arial"/>
                <w:sz w:val="20"/>
                <w:szCs w:val="20"/>
              </w:rPr>
              <w:t>2</w:t>
            </w:r>
            <w:r w:rsidR="00550102" w:rsidRPr="00C1596D">
              <w:rPr>
                <w:rFonts w:cs="Arial"/>
                <w:sz w:val="20"/>
                <w:szCs w:val="20"/>
              </w:rPr>
              <w:t>–</w:t>
            </w:r>
            <w:r w:rsidRPr="00C1596D">
              <w:rPr>
                <w:rFonts w:cs="Arial"/>
                <w:sz w:val="20"/>
                <w:szCs w:val="20"/>
              </w:rPr>
              <w:t>2</w:t>
            </w:r>
            <w:r>
              <w:rPr>
                <w:rFonts w:cs="Arial"/>
                <w:sz w:val="20"/>
                <w:szCs w:val="20"/>
              </w:rPr>
              <w:t>3</w:t>
            </w:r>
            <w:r w:rsidRPr="00C1596D">
              <w:rPr>
                <w:rFonts w:cs="Arial"/>
                <w:sz w:val="20"/>
                <w:szCs w:val="20"/>
              </w:rPr>
              <w:t xml:space="preserve"> </w:t>
            </w:r>
            <w:r w:rsidR="00550102" w:rsidRPr="00C1596D">
              <w:rPr>
                <w:rFonts w:cs="Arial"/>
                <w:sz w:val="20"/>
                <w:szCs w:val="20"/>
              </w:rPr>
              <w:t xml:space="preserve">non-admitted </w:t>
            </w:r>
            <w:r w:rsidR="00990B89" w:rsidRPr="00C1596D">
              <w:rPr>
                <w:rFonts w:cs="Arial"/>
                <w:sz w:val="20"/>
                <w:szCs w:val="20"/>
              </w:rPr>
              <w:t>NWAU</w:t>
            </w:r>
            <w:r w:rsidR="00550102" w:rsidRPr="00C1596D">
              <w:rPr>
                <w:rFonts w:cs="Arial"/>
                <w:sz w:val="20"/>
                <w:szCs w:val="20"/>
              </w:rPr>
              <w:t xml:space="preserve"> price weight table found in the National Efficient Price Determination </w:t>
            </w:r>
            <w:r w:rsidRPr="00C1596D">
              <w:rPr>
                <w:rFonts w:cs="Arial"/>
                <w:sz w:val="20"/>
                <w:szCs w:val="20"/>
              </w:rPr>
              <w:t>202</w:t>
            </w:r>
            <w:r>
              <w:rPr>
                <w:rFonts w:cs="Arial"/>
                <w:sz w:val="20"/>
                <w:szCs w:val="20"/>
              </w:rPr>
              <w:t>2</w:t>
            </w:r>
            <w:r w:rsidR="00550102" w:rsidRPr="00C1596D">
              <w:rPr>
                <w:rFonts w:cs="Arial"/>
                <w:sz w:val="20"/>
                <w:szCs w:val="20"/>
              </w:rPr>
              <w:t>–</w:t>
            </w:r>
            <w:r w:rsidRPr="00C1596D">
              <w:rPr>
                <w:rFonts w:cs="Arial"/>
                <w:sz w:val="20"/>
                <w:szCs w:val="20"/>
              </w:rPr>
              <w:t>2</w:t>
            </w:r>
            <w:r>
              <w:rPr>
                <w:rFonts w:cs="Arial"/>
                <w:sz w:val="20"/>
                <w:szCs w:val="20"/>
              </w:rPr>
              <w:t>3</w:t>
            </w:r>
            <w:r w:rsidR="00990B89" w:rsidRPr="00C1596D">
              <w:rPr>
                <w:rFonts w:cs="Arial"/>
                <w:sz w:val="20"/>
                <w:szCs w:val="20"/>
              </w:rPr>
              <w:t>.</w:t>
            </w:r>
          </w:p>
        </w:tc>
      </w:tr>
      <w:tr w:rsidR="00550102" w14:paraId="4D304A5D" w14:textId="77777777" w:rsidTr="001658D3">
        <w:trPr>
          <w:cantSplit/>
        </w:trPr>
        <w:tc>
          <w:tcPr>
            <w:tcW w:w="34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55BD50E7" w14:textId="6035051E" w:rsidR="00550102" w:rsidRPr="00C1596D" w:rsidRDefault="005621AB" w:rsidP="00C1596D">
            <w:pPr>
              <w:tabs>
                <w:tab w:val="left" w:pos="1162"/>
              </w:tabs>
              <w:spacing w:line="240" w:lineRule="auto"/>
              <w:rPr>
                <w:rFonts w:cs="Arial"/>
                <w:sz w:val="20"/>
                <w:szCs w:val="20"/>
              </w:rPr>
            </w:pPr>
            <w:r w:rsidRPr="00C1596D">
              <w:rPr>
                <w:rFonts w:cs="Arial"/>
                <w:sz w:val="20"/>
                <w:szCs w:val="20"/>
              </w:rPr>
              <w:t>202</w:t>
            </w:r>
            <w:r>
              <w:rPr>
                <w:rFonts w:cs="Arial"/>
                <w:sz w:val="20"/>
                <w:szCs w:val="20"/>
              </w:rPr>
              <w:t>2</w:t>
            </w:r>
            <w:r w:rsidR="00550102" w:rsidRPr="00C1596D">
              <w:rPr>
                <w:rFonts w:cs="Arial"/>
                <w:sz w:val="20"/>
                <w:szCs w:val="20"/>
              </w:rPr>
              <w:t>–</w:t>
            </w:r>
            <w:r w:rsidRPr="00C1596D">
              <w:rPr>
                <w:rFonts w:cs="Arial"/>
                <w:sz w:val="20"/>
                <w:szCs w:val="20"/>
              </w:rPr>
              <w:t>2</w:t>
            </w:r>
            <w:r>
              <w:rPr>
                <w:rFonts w:cs="Arial"/>
                <w:sz w:val="20"/>
                <w:szCs w:val="20"/>
              </w:rPr>
              <w:t>3</w:t>
            </w:r>
            <w:r w:rsidRPr="00C1596D">
              <w:rPr>
                <w:rFonts w:cs="Arial"/>
                <w:sz w:val="20"/>
                <w:szCs w:val="20"/>
              </w:rPr>
              <w:t xml:space="preserve"> </w:t>
            </w:r>
            <w:r w:rsidR="00550102" w:rsidRPr="00C1596D">
              <w:rPr>
                <w:rFonts w:cs="Arial"/>
                <w:sz w:val="20"/>
                <w:szCs w:val="20"/>
              </w:rPr>
              <w:t>NWAU adjustments</w:t>
            </w:r>
          </w:p>
        </w:tc>
        <w:tc>
          <w:tcPr>
            <w:tcW w:w="53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5AD58A87" w14:textId="60FD9D45" w:rsidR="00550102" w:rsidRPr="00C1596D" w:rsidRDefault="005621AB" w:rsidP="00C1596D">
            <w:pPr>
              <w:tabs>
                <w:tab w:val="left" w:pos="1162"/>
              </w:tabs>
              <w:spacing w:line="240" w:lineRule="auto"/>
              <w:rPr>
                <w:rFonts w:cs="Arial"/>
                <w:sz w:val="20"/>
                <w:szCs w:val="20"/>
              </w:rPr>
            </w:pPr>
            <w:r w:rsidRPr="00C1596D">
              <w:rPr>
                <w:rFonts w:cs="Arial"/>
                <w:sz w:val="20"/>
                <w:szCs w:val="20"/>
              </w:rPr>
              <w:t>202</w:t>
            </w:r>
            <w:r>
              <w:rPr>
                <w:rFonts w:cs="Arial"/>
                <w:sz w:val="20"/>
                <w:szCs w:val="20"/>
              </w:rPr>
              <w:t>2</w:t>
            </w:r>
            <w:r w:rsidR="00550102" w:rsidRPr="00C1596D">
              <w:rPr>
                <w:rFonts w:cs="Arial"/>
                <w:sz w:val="20"/>
                <w:szCs w:val="20"/>
              </w:rPr>
              <w:t>–</w:t>
            </w:r>
            <w:r w:rsidRPr="00C1596D">
              <w:rPr>
                <w:rFonts w:cs="Arial"/>
                <w:sz w:val="20"/>
                <w:szCs w:val="20"/>
              </w:rPr>
              <w:t>2</w:t>
            </w:r>
            <w:r>
              <w:rPr>
                <w:rFonts w:cs="Arial"/>
                <w:sz w:val="20"/>
                <w:szCs w:val="20"/>
              </w:rPr>
              <w:t>3</w:t>
            </w:r>
            <w:r w:rsidRPr="00C1596D">
              <w:rPr>
                <w:rFonts w:cs="Arial"/>
                <w:sz w:val="20"/>
                <w:szCs w:val="20"/>
              </w:rPr>
              <w:t xml:space="preserve"> </w:t>
            </w:r>
            <w:r w:rsidR="00550102" w:rsidRPr="00C1596D">
              <w:rPr>
                <w:rFonts w:cs="Arial"/>
                <w:sz w:val="20"/>
                <w:szCs w:val="20"/>
              </w:rPr>
              <w:t xml:space="preserve">non-admitted </w:t>
            </w:r>
            <w:r w:rsidR="00990B89" w:rsidRPr="00C1596D">
              <w:rPr>
                <w:rFonts w:cs="Arial"/>
                <w:sz w:val="20"/>
                <w:szCs w:val="20"/>
              </w:rPr>
              <w:t>NWAU</w:t>
            </w:r>
            <w:r w:rsidR="00550102" w:rsidRPr="00C1596D">
              <w:rPr>
                <w:rFonts w:cs="Arial"/>
                <w:sz w:val="20"/>
                <w:szCs w:val="20"/>
              </w:rPr>
              <w:t xml:space="preserve"> adjustments found in the National Efficient Price Determination </w:t>
            </w:r>
            <w:r w:rsidRPr="00C1596D">
              <w:rPr>
                <w:rFonts w:cs="Arial"/>
                <w:sz w:val="20"/>
                <w:szCs w:val="20"/>
              </w:rPr>
              <w:t>202</w:t>
            </w:r>
            <w:r>
              <w:rPr>
                <w:rFonts w:cs="Arial"/>
                <w:sz w:val="20"/>
                <w:szCs w:val="20"/>
              </w:rPr>
              <w:t>2</w:t>
            </w:r>
            <w:r w:rsidR="00550102" w:rsidRPr="00C1596D">
              <w:rPr>
                <w:rFonts w:cs="Arial"/>
                <w:sz w:val="20"/>
                <w:szCs w:val="20"/>
              </w:rPr>
              <w:t>–</w:t>
            </w:r>
            <w:r w:rsidRPr="00C1596D">
              <w:rPr>
                <w:rFonts w:cs="Arial"/>
                <w:sz w:val="20"/>
                <w:szCs w:val="20"/>
              </w:rPr>
              <w:t>2</w:t>
            </w:r>
            <w:r>
              <w:rPr>
                <w:rFonts w:cs="Arial"/>
                <w:sz w:val="20"/>
                <w:szCs w:val="20"/>
              </w:rPr>
              <w:t>3</w:t>
            </w:r>
            <w:r w:rsidR="00990B89" w:rsidRPr="00C1596D">
              <w:rPr>
                <w:rFonts w:cs="Arial"/>
                <w:sz w:val="20"/>
                <w:szCs w:val="20"/>
              </w:rPr>
              <w:t>.</w:t>
            </w:r>
          </w:p>
        </w:tc>
      </w:tr>
    </w:tbl>
    <w:p w14:paraId="50A1AC26" w14:textId="77777777" w:rsidR="00550102" w:rsidRDefault="00550102" w:rsidP="00550102">
      <w:pPr>
        <w:spacing w:before="240" w:line="240" w:lineRule="auto"/>
        <w:rPr>
          <w:rFonts w:cs="Arial"/>
          <w:szCs w:val="20"/>
        </w:rPr>
      </w:pPr>
      <w:r>
        <w:rPr>
          <w:rFonts w:cs="Arial"/>
          <w:szCs w:val="20"/>
        </w:rPr>
        <w:t>Ten variables are required to form</w:t>
      </w:r>
      <w:r w:rsidR="007F4ECF">
        <w:rPr>
          <w:rFonts w:cs="Arial"/>
          <w:szCs w:val="20"/>
        </w:rPr>
        <w:t xml:space="preserve"> the input non-admitted dataset as shown in Table 1</w:t>
      </w:r>
      <w:r w:rsidR="00302145">
        <w:rPr>
          <w:rFonts w:cs="Arial"/>
          <w:szCs w:val="20"/>
        </w:rPr>
        <w:t>5</w:t>
      </w:r>
      <w:r w:rsidR="007F4ECF">
        <w:rPr>
          <w:rFonts w:cs="Arial"/>
          <w:szCs w:val="20"/>
        </w:rPr>
        <w:t xml:space="preserve">. </w:t>
      </w:r>
    </w:p>
    <w:p w14:paraId="655609E4" w14:textId="77777777" w:rsidR="00176BB4" w:rsidRPr="007F4ECF" w:rsidRDefault="00176BB4" w:rsidP="00836FC5">
      <w:pPr>
        <w:pStyle w:val="TableHeading"/>
      </w:pPr>
      <w:r>
        <w:t>Table 1</w:t>
      </w:r>
      <w:r w:rsidR="00302145">
        <w:t>5</w:t>
      </w:r>
      <w:r w:rsidRPr="007F4ECF">
        <w:t xml:space="preserve">: </w:t>
      </w:r>
      <w:r w:rsidR="007F4ECF" w:rsidRPr="007F4ECF">
        <w:t>Non-admitted patient ABF DSS variables</w:t>
      </w:r>
      <w:r w:rsidR="007F4ECF">
        <w:t xml:space="preserve"> used to calculate NWAU </w:t>
      </w:r>
    </w:p>
    <w:tbl>
      <w:tblPr>
        <w:tblStyle w:val="TableGrid"/>
        <w:tblW w:w="0" w:type="auto"/>
        <w:tblLook w:val="04A0" w:firstRow="1" w:lastRow="0" w:firstColumn="1" w:lastColumn="0" w:noHBand="0" w:noVBand="1"/>
      </w:tblPr>
      <w:tblGrid>
        <w:gridCol w:w="8566"/>
      </w:tblGrid>
      <w:tr w:rsidR="00176BB4" w:rsidRPr="00176BB4" w14:paraId="4360C725" w14:textId="77777777" w:rsidTr="007F5279">
        <w:trPr>
          <w:tblHeader/>
        </w:trPr>
        <w:tc>
          <w:tcPr>
            <w:tcW w:w="8566" w:type="dxa"/>
            <w:shd w:val="clear" w:color="auto" w:fill="288A32"/>
          </w:tcPr>
          <w:p w14:paraId="30C652BC" w14:textId="77777777" w:rsidR="00176BB4" w:rsidRPr="00521F7C" w:rsidRDefault="007F4ECF" w:rsidP="00C1596D">
            <w:pPr>
              <w:keepNext/>
              <w:tabs>
                <w:tab w:val="left" w:pos="1162"/>
              </w:tabs>
              <w:spacing w:line="240" w:lineRule="auto"/>
              <w:rPr>
                <w:rFonts w:cs="Arial"/>
                <w:sz w:val="20"/>
                <w:szCs w:val="20"/>
              </w:rPr>
            </w:pPr>
            <w:r w:rsidRPr="00521F7C">
              <w:rPr>
                <w:rFonts w:cs="Arial"/>
                <w:color w:val="FFFFFF" w:themeColor="background1"/>
                <w:sz w:val="20"/>
                <w:szCs w:val="20"/>
              </w:rPr>
              <w:t xml:space="preserve">Non-admitted patient ABF DSS variables </w:t>
            </w:r>
          </w:p>
        </w:tc>
      </w:tr>
      <w:tr w:rsidR="00176BB4" w:rsidRPr="00176BB4" w14:paraId="7E9D2C79" w14:textId="77777777" w:rsidTr="007F5279">
        <w:tc>
          <w:tcPr>
            <w:tcW w:w="8566" w:type="dxa"/>
          </w:tcPr>
          <w:p w14:paraId="72C4AFE7"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Establishment identifier</w:t>
            </w:r>
          </w:p>
        </w:tc>
      </w:tr>
      <w:tr w:rsidR="00176BB4" w:rsidRPr="00176BB4" w14:paraId="589A3BF0" w14:textId="77777777" w:rsidTr="007F5279">
        <w:tc>
          <w:tcPr>
            <w:tcW w:w="8566" w:type="dxa"/>
          </w:tcPr>
          <w:p w14:paraId="6EC00C06"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Indigenous status</w:t>
            </w:r>
          </w:p>
        </w:tc>
      </w:tr>
      <w:tr w:rsidR="00176BB4" w:rsidRPr="00176BB4" w14:paraId="2F6E5318" w14:textId="77777777" w:rsidTr="007F5279">
        <w:tc>
          <w:tcPr>
            <w:tcW w:w="8566" w:type="dxa"/>
          </w:tcPr>
          <w:p w14:paraId="2FFA4679"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Date of birth</w:t>
            </w:r>
          </w:p>
        </w:tc>
      </w:tr>
      <w:tr w:rsidR="00176BB4" w:rsidRPr="00176BB4" w14:paraId="7D7DE52C" w14:textId="77777777" w:rsidTr="007F5279">
        <w:tc>
          <w:tcPr>
            <w:tcW w:w="8566" w:type="dxa"/>
          </w:tcPr>
          <w:p w14:paraId="36768FF8"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Non-admitted patient service event – service date</w:t>
            </w:r>
          </w:p>
        </w:tc>
      </w:tr>
      <w:tr w:rsidR="00176BB4" w:rsidRPr="00176BB4" w14:paraId="2D2AD984" w14:textId="77777777" w:rsidTr="007F5279">
        <w:tc>
          <w:tcPr>
            <w:tcW w:w="8566" w:type="dxa"/>
          </w:tcPr>
          <w:p w14:paraId="61CDBF25" w14:textId="7C8701F9"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 xml:space="preserve">Multiple healthcare provider indicator (see National Efficient Price Determination </w:t>
            </w:r>
            <w:r w:rsidR="005621AB" w:rsidRPr="00521F7C">
              <w:rPr>
                <w:rFonts w:cs="Arial"/>
                <w:sz w:val="20"/>
                <w:szCs w:val="20"/>
              </w:rPr>
              <w:t>202</w:t>
            </w:r>
            <w:r w:rsidR="005621AB">
              <w:rPr>
                <w:rFonts w:cs="Arial"/>
                <w:sz w:val="20"/>
                <w:szCs w:val="20"/>
              </w:rPr>
              <w:t>2</w:t>
            </w:r>
            <w:r w:rsidR="007F5279">
              <w:rPr>
                <w:rFonts w:cs="Arial"/>
                <w:sz w:val="20"/>
                <w:szCs w:val="20"/>
              </w:rPr>
              <w:t>–</w:t>
            </w:r>
            <w:r w:rsidR="005621AB" w:rsidRPr="00521F7C">
              <w:rPr>
                <w:rFonts w:cs="Arial"/>
                <w:sz w:val="20"/>
                <w:szCs w:val="20"/>
              </w:rPr>
              <w:t>2</w:t>
            </w:r>
            <w:r w:rsidR="005621AB">
              <w:rPr>
                <w:rFonts w:cs="Arial"/>
                <w:sz w:val="20"/>
                <w:szCs w:val="20"/>
              </w:rPr>
              <w:t>3</w:t>
            </w:r>
            <w:r w:rsidRPr="00521F7C">
              <w:rPr>
                <w:rFonts w:cs="Arial"/>
                <w:sz w:val="20"/>
                <w:szCs w:val="20"/>
              </w:rPr>
              <w:t>)</w:t>
            </w:r>
          </w:p>
        </w:tc>
      </w:tr>
      <w:tr w:rsidR="00176BB4" w:rsidRPr="00176BB4" w14:paraId="4B441842" w14:textId="77777777" w:rsidTr="007F5279">
        <w:tc>
          <w:tcPr>
            <w:tcW w:w="8566" w:type="dxa"/>
          </w:tcPr>
          <w:p w14:paraId="5FE76615" w14:textId="5D3ABEC5" w:rsidR="00176BB4" w:rsidRPr="00521F7C" w:rsidRDefault="006C6367" w:rsidP="00516730">
            <w:pPr>
              <w:keepNext/>
              <w:tabs>
                <w:tab w:val="left" w:pos="1162"/>
              </w:tabs>
              <w:spacing w:line="240" w:lineRule="auto"/>
              <w:rPr>
                <w:rFonts w:cs="Arial"/>
                <w:sz w:val="20"/>
                <w:szCs w:val="20"/>
              </w:rPr>
            </w:pPr>
            <w:r>
              <w:rPr>
                <w:rFonts w:cs="Arial"/>
                <w:sz w:val="20"/>
                <w:szCs w:val="20"/>
              </w:rPr>
              <w:t>Tier 2 non-admitted service class</w:t>
            </w:r>
            <w:r w:rsidR="00176BB4" w:rsidRPr="00521F7C">
              <w:rPr>
                <w:rFonts w:cs="Arial"/>
                <w:sz w:val="20"/>
                <w:szCs w:val="20"/>
              </w:rPr>
              <w:t xml:space="preserve"> (Version </w:t>
            </w:r>
            <w:r w:rsidR="00565FFE" w:rsidRPr="00521F7C">
              <w:rPr>
                <w:rFonts w:cs="Arial"/>
                <w:sz w:val="20"/>
                <w:szCs w:val="20"/>
              </w:rPr>
              <w:t>7</w:t>
            </w:r>
            <w:r w:rsidR="00176BB4" w:rsidRPr="00521F7C">
              <w:rPr>
                <w:rFonts w:cs="Arial"/>
                <w:sz w:val="20"/>
                <w:szCs w:val="20"/>
              </w:rPr>
              <w:t>.0)</w:t>
            </w:r>
          </w:p>
        </w:tc>
      </w:tr>
      <w:tr w:rsidR="00176BB4" w:rsidRPr="00176BB4" w14:paraId="1858485A" w14:textId="77777777" w:rsidTr="007F5279">
        <w:tc>
          <w:tcPr>
            <w:tcW w:w="8566" w:type="dxa"/>
          </w:tcPr>
          <w:p w14:paraId="0E6373A5"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Postcode of patient's usual residence</w:t>
            </w:r>
          </w:p>
        </w:tc>
      </w:tr>
      <w:tr w:rsidR="00176BB4" w:rsidRPr="00176BB4" w14:paraId="59C7BACD" w14:textId="77777777" w:rsidTr="007F5279">
        <w:tc>
          <w:tcPr>
            <w:tcW w:w="8566" w:type="dxa"/>
          </w:tcPr>
          <w:p w14:paraId="0DDC5C25"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ASGS of patient’s usual residence</w:t>
            </w:r>
          </w:p>
        </w:tc>
      </w:tr>
      <w:tr w:rsidR="00176BB4" w:rsidRPr="00176BB4" w14:paraId="2B6DEF35" w14:textId="77777777" w:rsidTr="007F5279">
        <w:tc>
          <w:tcPr>
            <w:tcW w:w="8566" w:type="dxa"/>
          </w:tcPr>
          <w:p w14:paraId="5E562FA0"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Hospital geographical indicator</w:t>
            </w:r>
          </w:p>
        </w:tc>
      </w:tr>
      <w:tr w:rsidR="00176BB4" w:rsidRPr="00176BB4" w14:paraId="1A2DBFC8" w14:textId="77777777" w:rsidTr="007F5279">
        <w:tc>
          <w:tcPr>
            <w:tcW w:w="8566" w:type="dxa"/>
          </w:tcPr>
          <w:p w14:paraId="337E952D"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Funding source</w:t>
            </w:r>
          </w:p>
        </w:tc>
      </w:tr>
    </w:tbl>
    <w:p w14:paraId="68232CBA" w14:textId="77777777" w:rsidR="00550102" w:rsidRDefault="00550102" w:rsidP="00550102">
      <w:pPr>
        <w:spacing w:line="240" w:lineRule="auto"/>
        <w:rPr>
          <w:b/>
          <w:sz w:val="20"/>
        </w:rPr>
      </w:pPr>
      <w:bookmarkStart w:id="197" w:name="_Toc468204076"/>
      <w:bookmarkStart w:id="198" w:name="_Toc468204078"/>
      <w:bookmarkStart w:id="199" w:name="_Toc468204082"/>
      <w:bookmarkStart w:id="200" w:name="_Toc412123646"/>
      <w:bookmarkStart w:id="201" w:name="_Toc412191154"/>
      <w:bookmarkStart w:id="202" w:name="_Toc412193589"/>
      <w:bookmarkStart w:id="203" w:name="_Toc412193691"/>
      <w:bookmarkStart w:id="204" w:name="_Toc412196585"/>
      <w:bookmarkStart w:id="205" w:name="_Toc412196688"/>
      <w:bookmarkStart w:id="206" w:name="_Toc412196791"/>
      <w:bookmarkStart w:id="207" w:name="_Toc412197091"/>
      <w:bookmarkStart w:id="208" w:name="_Toc412198115"/>
      <w:bookmarkStart w:id="209" w:name="_Toc412204644"/>
      <w:bookmarkStart w:id="210" w:name="_Toc412206036"/>
      <w:bookmarkStart w:id="211" w:name="_Toc412206622"/>
      <w:bookmarkStart w:id="212" w:name="_Toc412206747"/>
      <w:bookmarkStart w:id="213" w:name="_Toc412206849"/>
      <w:bookmarkStart w:id="214" w:name="_Toc412206949"/>
      <w:bookmarkStart w:id="215" w:name="_Toc412207158"/>
      <w:bookmarkStart w:id="216" w:name="_Toc412207421"/>
      <w:bookmarkStart w:id="217" w:name="_Ref342306765"/>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br w:type="page"/>
      </w:r>
    </w:p>
    <w:p w14:paraId="2877C9F1" w14:textId="77777777" w:rsidR="00561E6C" w:rsidRDefault="00561E6C" w:rsidP="00A33F7B">
      <w:pPr>
        <w:pStyle w:val="Heading1"/>
      </w:pPr>
      <w:bookmarkStart w:id="218" w:name="_Toc467745621"/>
      <w:bookmarkStart w:id="219" w:name="_Ref467748754"/>
      <w:bookmarkStart w:id="220" w:name="_Toc467759589"/>
      <w:bookmarkStart w:id="221" w:name="_Toc468204083"/>
      <w:bookmarkStart w:id="222" w:name="_Ref468263782"/>
      <w:bookmarkStart w:id="223" w:name="_Ref468264212"/>
      <w:bookmarkStart w:id="224" w:name="_Toc499221005"/>
      <w:bookmarkStart w:id="225" w:name="_Toc499290957"/>
      <w:bookmarkStart w:id="226" w:name="_Toc26278343"/>
      <w:bookmarkStart w:id="227" w:name="_Toc26370521"/>
      <w:bookmarkStart w:id="228" w:name="_Toc65145955"/>
      <w:bookmarkStart w:id="229" w:name="_Toc98882304"/>
      <w:bookmarkEnd w:id="217"/>
      <w:r>
        <w:lastRenderedPageBreak/>
        <w:t>Conversion to a pricing model</w:t>
      </w:r>
      <w:bookmarkEnd w:id="218"/>
      <w:bookmarkEnd w:id="219"/>
      <w:bookmarkEnd w:id="220"/>
      <w:bookmarkEnd w:id="221"/>
      <w:bookmarkEnd w:id="222"/>
      <w:bookmarkEnd w:id="223"/>
      <w:bookmarkEnd w:id="224"/>
      <w:bookmarkEnd w:id="225"/>
      <w:bookmarkEnd w:id="226"/>
      <w:bookmarkEnd w:id="227"/>
      <w:bookmarkEnd w:id="228"/>
      <w:bookmarkEnd w:id="229"/>
      <w:r>
        <w:t xml:space="preserve"> </w:t>
      </w:r>
    </w:p>
    <w:p w14:paraId="168AEB62" w14:textId="77777777" w:rsidR="00561E6C" w:rsidRDefault="00561E6C" w:rsidP="00755433">
      <w:pPr>
        <w:pStyle w:val="Heading2"/>
      </w:pPr>
      <w:bookmarkStart w:id="230" w:name="_Toc499221006"/>
      <w:bookmarkStart w:id="231" w:name="_Toc499290958"/>
      <w:bookmarkStart w:id="232" w:name="_Toc26278344"/>
      <w:bookmarkStart w:id="233" w:name="_Toc26370522"/>
      <w:bookmarkStart w:id="234" w:name="_Toc65145956"/>
      <w:bookmarkStart w:id="235" w:name="_Toc98882305"/>
      <w:r>
        <w:t>Overview</w:t>
      </w:r>
      <w:bookmarkEnd w:id="230"/>
      <w:bookmarkEnd w:id="231"/>
      <w:bookmarkEnd w:id="232"/>
      <w:bookmarkEnd w:id="233"/>
      <w:bookmarkEnd w:id="234"/>
      <w:bookmarkEnd w:id="235"/>
    </w:p>
    <w:p w14:paraId="6A74D75B" w14:textId="12922A79" w:rsidR="00561E6C" w:rsidRPr="00033F91" w:rsidRDefault="00561E6C" w:rsidP="00561E6C">
      <w:pPr>
        <w:spacing w:before="100" w:beforeAutospacing="1" w:after="100" w:afterAutospacing="1" w:line="240" w:lineRule="auto"/>
        <w:rPr>
          <w:rFonts w:eastAsia="Calibri" w:cstheme="minorHAnsi"/>
        </w:rPr>
      </w:pPr>
      <w:r w:rsidRPr="00033F91">
        <w:rPr>
          <w:rFonts w:eastAsia="Calibri" w:cstheme="minorHAnsi"/>
        </w:rPr>
        <w:t xml:space="preserve">The </w:t>
      </w:r>
      <w:r w:rsidR="005621AB">
        <w:rPr>
          <w:rFonts w:eastAsia="Calibri" w:cstheme="minorHAnsi"/>
        </w:rPr>
        <w:t>2022</w:t>
      </w:r>
      <w:r w:rsidR="00AD764B">
        <w:rPr>
          <w:rFonts w:eastAsia="Calibri" w:cstheme="minorHAnsi"/>
        </w:rPr>
        <w:t>–</w:t>
      </w:r>
      <w:r w:rsidR="005621AB">
        <w:rPr>
          <w:rFonts w:eastAsia="Calibri" w:cstheme="minorHAnsi"/>
        </w:rPr>
        <w:t>23</w:t>
      </w:r>
      <w:r w:rsidR="005621AB" w:rsidRPr="00033F91">
        <w:rPr>
          <w:rFonts w:eastAsia="Calibri" w:cstheme="minorHAnsi"/>
        </w:rPr>
        <w:t xml:space="preserve"> </w:t>
      </w:r>
      <w:r w:rsidR="00A542E0">
        <w:rPr>
          <w:rFonts w:eastAsia="Calibri" w:cstheme="minorHAnsi"/>
        </w:rPr>
        <w:t>n</w:t>
      </w:r>
      <w:r w:rsidR="00A542E0" w:rsidRPr="00033F91">
        <w:rPr>
          <w:rFonts w:eastAsia="Calibri" w:cstheme="minorHAnsi"/>
        </w:rPr>
        <w:t xml:space="preserve">ational </w:t>
      </w:r>
      <w:r w:rsidR="00A542E0">
        <w:rPr>
          <w:rFonts w:eastAsia="Calibri" w:cstheme="minorHAnsi"/>
        </w:rPr>
        <w:t>p</w:t>
      </w:r>
      <w:r w:rsidR="00A542E0" w:rsidRPr="00033F91">
        <w:rPr>
          <w:rFonts w:eastAsia="Calibri" w:cstheme="minorHAnsi"/>
        </w:rPr>
        <w:t xml:space="preserve">ricing </w:t>
      </w:r>
      <w:r w:rsidR="00A542E0">
        <w:rPr>
          <w:rFonts w:eastAsia="Calibri" w:cstheme="minorHAnsi"/>
        </w:rPr>
        <w:t>m</w:t>
      </w:r>
      <w:r w:rsidR="00A542E0" w:rsidRPr="00033F91">
        <w:rPr>
          <w:rFonts w:eastAsia="Calibri" w:cstheme="minorHAnsi"/>
        </w:rPr>
        <w:t xml:space="preserve">odel </w:t>
      </w:r>
      <w:r w:rsidRPr="00033F91">
        <w:rPr>
          <w:rFonts w:eastAsia="Calibri" w:cstheme="minorHAnsi"/>
        </w:rPr>
        <w:t xml:space="preserve">is the </w:t>
      </w:r>
      <w:r w:rsidR="005621AB">
        <w:rPr>
          <w:rFonts w:eastAsia="Calibri" w:cstheme="minorHAnsi"/>
        </w:rPr>
        <w:t>eleventh</w:t>
      </w:r>
      <w:r w:rsidR="005621AB" w:rsidRPr="00033F91">
        <w:rPr>
          <w:rFonts w:eastAsia="Calibri" w:cstheme="minorHAnsi"/>
        </w:rPr>
        <w:t xml:space="preserve"> </w:t>
      </w:r>
      <w:r w:rsidRPr="00033F91">
        <w:rPr>
          <w:rFonts w:eastAsia="Calibri" w:cstheme="minorHAnsi"/>
        </w:rPr>
        <w:t>annual pricing model that IHPA has produced. Each pricing model comprises a</w:t>
      </w:r>
      <w:r>
        <w:rPr>
          <w:rFonts w:eastAsia="Calibri" w:cstheme="minorHAnsi"/>
        </w:rPr>
        <w:t>n</w:t>
      </w:r>
      <w:r w:rsidRPr="00033F91">
        <w:rPr>
          <w:rFonts w:eastAsia="Calibri" w:cstheme="minorHAnsi"/>
        </w:rPr>
        <w:t xml:space="preserve"> </w:t>
      </w:r>
      <w:r>
        <w:rPr>
          <w:rFonts w:eastAsia="Calibri" w:cstheme="minorHAnsi"/>
        </w:rPr>
        <w:t>NEP</w:t>
      </w:r>
      <w:r w:rsidRPr="00033F91">
        <w:rPr>
          <w:rFonts w:eastAsia="Calibri" w:cstheme="minorHAnsi"/>
        </w:rPr>
        <w:t xml:space="preserve">, </w:t>
      </w:r>
      <w:r>
        <w:rPr>
          <w:rFonts w:eastAsia="Calibri" w:cstheme="minorHAnsi"/>
        </w:rPr>
        <w:t>price weight</w:t>
      </w:r>
      <w:r w:rsidRPr="00033F91">
        <w:rPr>
          <w:rFonts w:eastAsia="Calibri" w:cstheme="minorHAnsi"/>
        </w:rPr>
        <w:t xml:space="preserve">s and </w:t>
      </w:r>
      <w:r>
        <w:rPr>
          <w:rFonts w:eastAsia="Calibri" w:cstheme="minorHAnsi"/>
        </w:rPr>
        <w:t>a</w:t>
      </w:r>
      <w:r w:rsidRPr="00033F91">
        <w:rPr>
          <w:rFonts w:eastAsia="Calibri" w:cstheme="minorHAnsi"/>
        </w:rPr>
        <w:t>djustments, and each is based on cost and activity data from three years prior</w:t>
      </w:r>
      <w:r>
        <w:rPr>
          <w:rFonts w:eastAsia="Calibri" w:cstheme="minorHAnsi"/>
        </w:rPr>
        <w:t>;</w:t>
      </w:r>
      <w:r w:rsidRPr="00033F91">
        <w:rPr>
          <w:rFonts w:eastAsia="Calibri" w:cstheme="minorHAnsi"/>
        </w:rPr>
        <w:t xml:space="preserve"> the </w:t>
      </w:r>
      <w:r w:rsidR="005621AB">
        <w:rPr>
          <w:rFonts w:eastAsia="Calibri" w:cstheme="minorHAnsi"/>
        </w:rPr>
        <w:t>2022</w:t>
      </w:r>
      <w:r w:rsidR="00AD764B">
        <w:rPr>
          <w:rFonts w:eastAsia="Calibri" w:cstheme="minorHAnsi"/>
        </w:rPr>
        <w:t>–</w:t>
      </w:r>
      <w:r w:rsidR="005621AB">
        <w:rPr>
          <w:rFonts w:eastAsia="Calibri" w:cstheme="minorHAnsi"/>
        </w:rPr>
        <w:t>23</w:t>
      </w:r>
      <w:r w:rsidR="005621AB" w:rsidRPr="00033F91">
        <w:rPr>
          <w:rFonts w:eastAsia="Calibri" w:cstheme="minorHAnsi"/>
        </w:rPr>
        <w:t xml:space="preserve"> </w:t>
      </w:r>
      <w:r w:rsidRPr="00033F91">
        <w:rPr>
          <w:rFonts w:eastAsia="Calibri" w:cstheme="minorHAnsi"/>
        </w:rPr>
        <w:t xml:space="preserve">pricing model is based on </w:t>
      </w:r>
      <w:r w:rsidR="005621AB">
        <w:rPr>
          <w:rFonts w:eastAsia="Calibri" w:cstheme="minorHAnsi"/>
        </w:rPr>
        <w:t>2019</w:t>
      </w:r>
      <w:r w:rsidR="00AD764B">
        <w:rPr>
          <w:rFonts w:eastAsia="Calibri" w:cstheme="minorHAnsi"/>
        </w:rPr>
        <w:t>–</w:t>
      </w:r>
      <w:r w:rsidR="005621AB">
        <w:rPr>
          <w:rFonts w:eastAsia="Calibri" w:cstheme="minorHAnsi"/>
        </w:rPr>
        <w:t xml:space="preserve">20 </w:t>
      </w:r>
      <w:r w:rsidRPr="00033F91">
        <w:rPr>
          <w:rFonts w:eastAsia="Calibri" w:cstheme="minorHAnsi"/>
        </w:rPr>
        <w:t>cost and activity data.</w:t>
      </w:r>
    </w:p>
    <w:p w14:paraId="1F76A636" w14:textId="77777777" w:rsidR="00561E6C" w:rsidRPr="00033F91" w:rsidRDefault="00561E6C" w:rsidP="00561E6C">
      <w:pPr>
        <w:spacing w:before="100" w:beforeAutospacing="1" w:after="100" w:afterAutospacing="1" w:line="240" w:lineRule="auto"/>
        <w:rPr>
          <w:rFonts w:eastAsia="Calibri" w:cstheme="minorHAnsi"/>
        </w:rPr>
      </w:pPr>
      <w:r w:rsidRPr="00033F91">
        <w:rPr>
          <w:rFonts w:eastAsia="Calibri" w:cstheme="minorHAnsi"/>
        </w:rPr>
        <w:t>The cost and activity data for each of the historical years are used to derive a cost model for that year, with only those costs and activity from ABF establishments being used. The cost model is designed to ensure that the total model</w:t>
      </w:r>
      <w:r>
        <w:rPr>
          <w:rFonts w:eastAsia="Calibri" w:cstheme="minorHAnsi"/>
        </w:rPr>
        <w:t>led</w:t>
      </w:r>
      <w:r w:rsidRPr="00033F91">
        <w:rPr>
          <w:rFonts w:eastAsia="Calibri" w:cstheme="minorHAnsi"/>
        </w:rPr>
        <w:t xml:space="preserve"> costs are equalised with the estimated total actual costs across the ABF establishments.</w:t>
      </w:r>
    </w:p>
    <w:p w14:paraId="25D32B87" w14:textId="3F9BB2D6" w:rsidR="00561E6C" w:rsidRPr="00033F91" w:rsidRDefault="00561E6C" w:rsidP="00561E6C">
      <w:pPr>
        <w:spacing w:before="100" w:beforeAutospacing="1" w:after="100" w:afterAutospacing="1" w:line="240" w:lineRule="auto"/>
        <w:rPr>
          <w:rFonts w:eastAsia="Calibri" w:cstheme="minorHAnsi"/>
        </w:rPr>
      </w:pPr>
      <w:r w:rsidRPr="00033F91">
        <w:rPr>
          <w:rFonts w:eastAsia="Calibri" w:cstheme="minorHAnsi"/>
        </w:rPr>
        <w:t xml:space="preserve">The cost model is made up of cost parameters and adjustments, including the paediatric adjustment, </w:t>
      </w:r>
      <w:r>
        <w:rPr>
          <w:rFonts w:eastAsia="Calibri" w:cstheme="minorHAnsi"/>
        </w:rPr>
        <w:t>Indigenous</w:t>
      </w:r>
      <w:r w:rsidRPr="00033F91">
        <w:rPr>
          <w:rFonts w:eastAsia="Calibri" w:cstheme="minorHAnsi"/>
        </w:rPr>
        <w:t xml:space="preserve"> adjustment, remoteness area adjustment and </w:t>
      </w:r>
      <w:r>
        <w:rPr>
          <w:rFonts w:eastAsia="Calibri" w:cstheme="minorHAnsi"/>
        </w:rPr>
        <w:t>intensive care unit</w:t>
      </w:r>
      <w:r w:rsidRPr="00033F91">
        <w:rPr>
          <w:rFonts w:eastAsia="Calibri" w:cstheme="minorHAnsi"/>
        </w:rPr>
        <w:t xml:space="preserve"> adjustment, </w:t>
      </w:r>
      <w:r w:rsidRPr="00E528C0">
        <w:rPr>
          <w:rFonts w:eastAsia="Calibri" w:cstheme="minorHAnsi"/>
        </w:rPr>
        <w:t>but it excludes the private patient service adjustment and private patient accommodation adjustment. The latter two adjustments are introduced in the pricing model to remove out</w:t>
      </w:r>
      <w:r>
        <w:rPr>
          <w:rFonts w:eastAsia="Calibri" w:cstheme="minorHAnsi"/>
        </w:rPr>
        <w:t>-</w:t>
      </w:r>
      <w:r w:rsidRPr="00E528C0">
        <w:rPr>
          <w:rFonts w:eastAsia="Calibri" w:cstheme="minorHAnsi"/>
        </w:rPr>
        <w:t>of</w:t>
      </w:r>
      <w:r>
        <w:rPr>
          <w:rFonts w:eastAsia="Calibri" w:cstheme="minorHAnsi"/>
        </w:rPr>
        <w:t>-</w:t>
      </w:r>
      <w:r w:rsidRPr="00E528C0">
        <w:rPr>
          <w:rFonts w:eastAsia="Calibri" w:cstheme="minorHAnsi"/>
        </w:rPr>
        <w:t>scope patient costs associated with private patients (</w:t>
      </w:r>
      <w:r w:rsidRPr="002E65F7">
        <w:rPr>
          <w:rFonts w:eastAsia="Calibri" w:cstheme="minorHAnsi"/>
        </w:rPr>
        <w:t xml:space="preserve">see Section </w:t>
      </w:r>
      <w:r w:rsidR="001658D3" w:rsidRPr="002E65F7">
        <w:rPr>
          <w:rFonts w:eastAsia="Calibri" w:cstheme="minorHAnsi"/>
          <w:color w:val="2B579A"/>
          <w:shd w:val="clear" w:color="auto" w:fill="E6E6E6"/>
        </w:rPr>
        <w:fldChar w:fldCharType="begin"/>
      </w:r>
      <w:r w:rsidR="001658D3" w:rsidRPr="002E65F7">
        <w:rPr>
          <w:rFonts w:eastAsia="Calibri" w:cstheme="minorHAnsi"/>
        </w:rPr>
        <w:instrText xml:space="preserve"> REF _Ref57027769 \r \h </w:instrText>
      </w:r>
      <w:r w:rsidR="00424C8B" w:rsidRPr="00147EF1">
        <w:rPr>
          <w:rFonts w:eastAsia="Calibri" w:cstheme="minorHAnsi"/>
          <w:color w:val="2B579A"/>
          <w:shd w:val="clear" w:color="auto" w:fill="E6E6E6"/>
        </w:rPr>
        <w:instrText xml:space="preserve"> \* MERGEFORMAT </w:instrText>
      </w:r>
      <w:r w:rsidR="001658D3" w:rsidRPr="002E65F7">
        <w:rPr>
          <w:rFonts w:eastAsia="Calibri" w:cstheme="minorHAnsi"/>
          <w:color w:val="2B579A"/>
          <w:shd w:val="clear" w:color="auto" w:fill="E6E6E6"/>
        </w:rPr>
      </w:r>
      <w:r w:rsidR="001658D3" w:rsidRPr="002E65F7">
        <w:rPr>
          <w:rFonts w:eastAsia="Calibri" w:cstheme="minorHAnsi"/>
          <w:color w:val="2B579A"/>
          <w:shd w:val="clear" w:color="auto" w:fill="E6E6E6"/>
        </w:rPr>
        <w:fldChar w:fldCharType="separate"/>
      </w:r>
      <w:r w:rsidR="003F234C">
        <w:rPr>
          <w:rFonts w:eastAsia="Calibri" w:cstheme="minorHAnsi"/>
        </w:rPr>
        <w:t>2.2.3</w:t>
      </w:r>
      <w:r w:rsidR="001658D3" w:rsidRPr="002E65F7">
        <w:rPr>
          <w:rFonts w:eastAsia="Calibri" w:cstheme="minorHAnsi"/>
          <w:color w:val="2B579A"/>
          <w:shd w:val="clear" w:color="auto" w:fill="E6E6E6"/>
        </w:rPr>
        <w:fldChar w:fldCharType="end"/>
      </w:r>
      <w:r w:rsidRPr="002E65F7">
        <w:rPr>
          <w:rFonts w:eastAsia="Calibri" w:cstheme="minorHAnsi"/>
        </w:rPr>
        <w:t xml:space="preserve"> and </w:t>
      </w:r>
      <w:r w:rsidR="001658D3" w:rsidRPr="002E65F7">
        <w:rPr>
          <w:rFonts w:eastAsia="Calibri" w:cstheme="minorHAnsi"/>
          <w:color w:val="2B579A"/>
          <w:shd w:val="clear" w:color="auto" w:fill="E6E6E6"/>
        </w:rPr>
        <w:fldChar w:fldCharType="begin"/>
      </w:r>
      <w:r w:rsidR="001658D3" w:rsidRPr="002E65F7">
        <w:rPr>
          <w:rFonts w:eastAsia="Calibri" w:cstheme="minorHAnsi"/>
        </w:rPr>
        <w:instrText xml:space="preserve"> REF _Ref57034802 \r \h </w:instrText>
      </w:r>
      <w:r w:rsidR="00424C8B" w:rsidRPr="00147EF1">
        <w:rPr>
          <w:rFonts w:eastAsia="Calibri" w:cstheme="minorHAnsi"/>
          <w:color w:val="2B579A"/>
          <w:shd w:val="clear" w:color="auto" w:fill="E6E6E6"/>
        </w:rPr>
        <w:instrText xml:space="preserve"> \* MERGEFORMAT </w:instrText>
      </w:r>
      <w:r w:rsidR="001658D3" w:rsidRPr="002E65F7">
        <w:rPr>
          <w:rFonts w:eastAsia="Calibri" w:cstheme="minorHAnsi"/>
          <w:color w:val="2B579A"/>
          <w:shd w:val="clear" w:color="auto" w:fill="E6E6E6"/>
        </w:rPr>
      </w:r>
      <w:r w:rsidR="001658D3" w:rsidRPr="002E65F7">
        <w:rPr>
          <w:rFonts w:eastAsia="Calibri" w:cstheme="minorHAnsi"/>
          <w:color w:val="2B579A"/>
          <w:shd w:val="clear" w:color="auto" w:fill="E6E6E6"/>
        </w:rPr>
        <w:fldChar w:fldCharType="separate"/>
      </w:r>
      <w:r w:rsidR="003F234C">
        <w:rPr>
          <w:rFonts w:eastAsia="Calibri" w:cstheme="minorHAnsi"/>
        </w:rPr>
        <w:t>2.2.10</w:t>
      </w:r>
      <w:r w:rsidR="001658D3" w:rsidRPr="002E65F7">
        <w:rPr>
          <w:rFonts w:eastAsia="Calibri" w:cstheme="minorHAnsi"/>
          <w:color w:val="2B579A"/>
          <w:shd w:val="clear" w:color="auto" w:fill="E6E6E6"/>
        </w:rPr>
        <w:fldChar w:fldCharType="end"/>
      </w:r>
      <w:r w:rsidRPr="00FA6B46">
        <w:rPr>
          <w:rFonts w:eastAsia="Calibri" w:cstheme="minorHAnsi"/>
        </w:rPr>
        <w:t>).</w:t>
      </w:r>
    </w:p>
    <w:p w14:paraId="31399F94" w14:textId="77777777" w:rsidR="00561E6C" w:rsidRPr="00033F91" w:rsidRDefault="00561E6C" w:rsidP="00561E6C">
      <w:pPr>
        <w:spacing w:before="100" w:beforeAutospacing="1" w:line="240" w:lineRule="auto"/>
        <w:rPr>
          <w:rFonts w:eastAsia="Calibri" w:cstheme="minorHAnsi"/>
        </w:rPr>
      </w:pPr>
      <w:r w:rsidRPr="00033F91">
        <w:rPr>
          <w:rFonts w:eastAsia="Calibri" w:cstheme="minorHAnsi"/>
        </w:rPr>
        <w:t>There are four steps in the transformation of each year’s cost model into its associated pricing model, namely:</w:t>
      </w:r>
    </w:p>
    <w:p w14:paraId="0AABB9D3" w14:textId="77777777" w:rsidR="00561E6C" w:rsidRPr="00E52198" w:rsidRDefault="006A6E66" w:rsidP="004D01E2">
      <w:pPr>
        <w:pStyle w:val="ListParagraph"/>
        <w:numPr>
          <w:ilvl w:val="0"/>
          <w:numId w:val="38"/>
        </w:numPr>
        <w:rPr>
          <w:rFonts w:eastAsia="Calibri"/>
        </w:rPr>
      </w:pPr>
      <w:r w:rsidRPr="00E52198">
        <w:rPr>
          <w:rFonts w:eastAsia="Calibri"/>
        </w:rPr>
        <w:t>I</w:t>
      </w:r>
      <w:r w:rsidR="00561E6C" w:rsidRPr="00E52198">
        <w:rPr>
          <w:rFonts w:eastAsia="Calibri"/>
        </w:rPr>
        <w:t>dentification and exclusion of costs and activity regarded under the NHRA as out-of-scope for the purpose of ABF.</w:t>
      </w:r>
    </w:p>
    <w:p w14:paraId="79048AF2" w14:textId="77777777" w:rsidR="00561E6C" w:rsidRPr="00E52198" w:rsidRDefault="006A6E66" w:rsidP="004D01E2">
      <w:pPr>
        <w:pStyle w:val="ListParagraph"/>
        <w:numPr>
          <w:ilvl w:val="0"/>
          <w:numId w:val="38"/>
        </w:numPr>
        <w:rPr>
          <w:rFonts w:eastAsia="Calibri"/>
        </w:rPr>
      </w:pPr>
      <w:r w:rsidRPr="00E52198">
        <w:rPr>
          <w:rFonts w:eastAsia="Calibri"/>
        </w:rPr>
        <w:t>D</w:t>
      </w:r>
      <w:r w:rsidR="00561E6C" w:rsidRPr="00E52198">
        <w:rPr>
          <w:rFonts w:eastAsia="Calibri"/>
        </w:rPr>
        <w:t>erivation of a reference cost (or standardised mean) used to transform the cost model into a cost weight model.</w:t>
      </w:r>
    </w:p>
    <w:p w14:paraId="3E536811" w14:textId="77777777" w:rsidR="00561E6C" w:rsidRPr="00E52198" w:rsidRDefault="006A6E66" w:rsidP="004D01E2">
      <w:pPr>
        <w:pStyle w:val="ListParagraph"/>
        <w:numPr>
          <w:ilvl w:val="0"/>
          <w:numId w:val="38"/>
        </w:numPr>
        <w:rPr>
          <w:rFonts w:eastAsia="Calibri"/>
        </w:rPr>
      </w:pPr>
      <w:r w:rsidRPr="00E52198">
        <w:rPr>
          <w:rFonts w:eastAsia="Calibri"/>
        </w:rPr>
        <w:t>D</w:t>
      </w:r>
      <w:r w:rsidR="00561E6C" w:rsidRPr="00E52198">
        <w:rPr>
          <w:rFonts w:eastAsia="Calibri"/>
        </w:rPr>
        <w:t xml:space="preserve">erivation of an annual indexation rate used to inflate the cost model to a level reflective of the estimated cost of delivering hospital services in the year of the pricing model. </w:t>
      </w:r>
    </w:p>
    <w:p w14:paraId="20CC1B49" w14:textId="77777777" w:rsidR="00561E6C" w:rsidRPr="00E52198" w:rsidRDefault="006A6E66" w:rsidP="004D01E2">
      <w:pPr>
        <w:pStyle w:val="ListParagraph"/>
        <w:numPr>
          <w:ilvl w:val="0"/>
          <w:numId w:val="38"/>
        </w:numPr>
        <w:rPr>
          <w:rFonts w:eastAsia="Calibri"/>
        </w:rPr>
      </w:pPr>
      <w:r w:rsidRPr="00E52198">
        <w:rPr>
          <w:rFonts w:eastAsia="Calibri"/>
        </w:rPr>
        <w:t>T</w:t>
      </w:r>
      <w:r w:rsidR="00561E6C" w:rsidRPr="00E52198">
        <w:rPr>
          <w:rFonts w:eastAsia="Calibri"/>
        </w:rPr>
        <w:t>ransformation of the cost model to the pricing model using the results of the previous three steps.</w:t>
      </w:r>
    </w:p>
    <w:p w14:paraId="513F8175" w14:textId="63AD66B0" w:rsidR="008E2878" w:rsidRDefault="008E2878" w:rsidP="00866D5B">
      <w:r>
        <w:t xml:space="preserve">The process of </w:t>
      </w:r>
      <w:r w:rsidRPr="0035514A">
        <w:t xml:space="preserve">transforming the </w:t>
      </w:r>
      <w:r w:rsidR="005621AB">
        <w:t>2019</w:t>
      </w:r>
      <w:r>
        <w:t>–</w:t>
      </w:r>
      <w:r w:rsidR="005621AB">
        <w:t>20</w:t>
      </w:r>
      <w:r w:rsidR="005621AB" w:rsidRPr="0035514A">
        <w:t xml:space="preserve"> </w:t>
      </w:r>
      <w:r>
        <w:t>c</w:t>
      </w:r>
      <w:r w:rsidRPr="0035514A">
        <w:t xml:space="preserve">ost </w:t>
      </w:r>
      <w:r>
        <w:t>m</w:t>
      </w:r>
      <w:r w:rsidRPr="0035514A">
        <w:t xml:space="preserve">odel to the </w:t>
      </w:r>
      <w:r w:rsidR="005621AB">
        <w:t>2022</w:t>
      </w:r>
      <w:r>
        <w:t>–</w:t>
      </w:r>
      <w:r w:rsidR="005621AB">
        <w:t>23</w:t>
      </w:r>
      <w:r w:rsidR="005621AB" w:rsidRPr="0035514A">
        <w:t xml:space="preserve"> </w:t>
      </w:r>
      <w:r>
        <w:t>n</w:t>
      </w:r>
      <w:r w:rsidRPr="0035514A">
        <w:t xml:space="preserve">ational </w:t>
      </w:r>
      <w:r>
        <w:t>p</w:t>
      </w:r>
      <w:r w:rsidRPr="0035514A">
        <w:t xml:space="preserve">ricing </w:t>
      </w:r>
      <w:r>
        <w:t>m</w:t>
      </w:r>
      <w:r w:rsidRPr="0035514A">
        <w:t>odel</w:t>
      </w:r>
      <w:r>
        <w:t xml:space="preserve"> is illustrated in Figure 6. </w:t>
      </w:r>
    </w:p>
    <w:p w14:paraId="0C56395A" w14:textId="18EFC9A1" w:rsidR="00561E6C" w:rsidRDefault="00561E6C" w:rsidP="00F41C22">
      <w:pPr>
        <w:keepNext/>
        <w:spacing w:before="0" w:after="0" w:line="240" w:lineRule="auto"/>
        <w:rPr>
          <w:b/>
        </w:rPr>
      </w:pPr>
      <w:r w:rsidRPr="0035514A">
        <w:rPr>
          <w:b/>
        </w:rPr>
        <w:lastRenderedPageBreak/>
        <w:t xml:space="preserve">Figure </w:t>
      </w:r>
      <w:r w:rsidR="008E2878">
        <w:rPr>
          <w:b/>
        </w:rPr>
        <w:t>6</w:t>
      </w:r>
      <w:r w:rsidRPr="0035514A">
        <w:rPr>
          <w:b/>
        </w:rPr>
        <w:t xml:space="preserve">: Process of transforming the </w:t>
      </w:r>
      <w:r w:rsidR="001C3D45">
        <w:rPr>
          <w:b/>
        </w:rPr>
        <w:t>2019</w:t>
      </w:r>
      <w:r w:rsidR="00AD764B">
        <w:rPr>
          <w:b/>
        </w:rPr>
        <w:t>–</w:t>
      </w:r>
      <w:r w:rsidR="001C3D45">
        <w:rPr>
          <w:b/>
        </w:rPr>
        <w:t>20</w:t>
      </w:r>
      <w:r w:rsidR="001C3D45" w:rsidRPr="0035514A">
        <w:rPr>
          <w:b/>
        </w:rPr>
        <w:t xml:space="preserve"> </w:t>
      </w:r>
      <w:r>
        <w:rPr>
          <w:b/>
        </w:rPr>
        <w:t>c</w:t>
      </w:r>
      <w:r w:rsidRPr="0035514A">
        <w:rPr>
          <w:b/>
        </w:rPr>
        <w:t xml:space="preserve">ost </w:t>
      </w:r>
      <w:r>
        <w:rPr>
          <w:b/>
        </w:rPr>
        <w:t>m</w:t>
      </w:r>
      <w:r w:rsidRPr="0035514A">
        <w:rPr>
          <w:b/>
        </w:rPr>
        <w:t xml:space="preserve">odel to the </w:t>
      </w:r>
      <w:r w:rsidR="001C3D45">
        <w:rPr>
          <w:b/>
        </w:rPr>
        <w:t>2022</w:t>
      </w:r>
      <w:r w:rsidR="00AD764B">
        <w:rPr>
          <w:b/>
        </w:rPr>
        <w:t>–</w:t>
      </w:r>
      <w:r w:rsidR="001C3D45">
        <w:rPr>
          <w:b/>
        </w:rPr>
        <w:t>23</w:t>
      </w:r>
      <w:r w:rsidR="001C3D45" w:rsidRPr="0035514A">
        <w:rPr>
          <w:b/>
        </w:rPr>
        <w:t xml:space="preserve"> </w:t>
      </w:r>
      <w:r>
        <w:rPr>
          <w:b/>
        </w:rPr>
        <w:t>n</w:t>
      </w:r>
      <w:r w:rsidRPr="0035514A">
        <w:rPr>
          <w:b/>
        </w:rPr>
        <w:t xml:space="preserve">ational </w:t>
      </w:r>
      <w:r>
        <w:rPr>
          <w:b/>
        </w:rPr>
        <w:t>p</w:t>
      </w:r>
      <w:r w:rsidRPr="0035514A">
        <w:rPr>
          <w:b/>
        </w:rPr>
        <w:t xml:space="preserve">ricing </w:t>
      </w:r>
      <w:r>
        <w:rPr>
          <w:b/>
        </w:rPr>
        <w:t>m</w:t>
      </w:r>
      <w:r w:rsidRPr="0035514A">
        <w:rPr>
          <w:b/>
        </w:rPr>
        <w:t>odel</w:t>
      </w:r>
    </w:p>
    <w:p w14:paraId="62E2EEFC" w14:textId="5ED47695" w:rsidR="00561E6C" w:rsidRDefault="05C042F0" w:rsidP="05C042F0">
      <w:pPr>
        <w:spacing w:before="0" w:after="0" w:line="240" w:lineRule="auto"/>
        <w:jc w:val="center"/>
        <w:rPr>
          <w:szCs w:val="22"/>
        </w:rPr>
      </w:pPr>
      <w:r>
        <w:rPr>
          <w:noProof/>
        </w:rPr>
        <w:drawing>
          <wp:inline distT="0" distB="0" distL="0" distR="0" wp14:anchorId="0C4F2E7E" wp14:editId="269614A3">
            <wp:extent cx="4171950" cy="2051209"/>
            <wp:effectExtent l="0" t="0" r="0" b="0"/>
            <wp:docPr id="1375754193" name="Picture 137575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71950" cy="2051209"/>
                    </a:xfrm>
                    <a:prstGeom prst="rect">
                      <a:avLst/>
                    </a:prstGeom>
                  </pic:spPr>
                </pic:pic>
              </a:graphicData>
            </a:graphic>
          </wp:inline>
        </w:drawing>
      </w:r>
    </w:p>
    <w:p w14:paraId="36F729B7" w14:textId="77777777" w:rsidR="00561E6C" w:rsidRPr="00C83E69" w:rsidRDefault="00561E6C" w:rsidP="00755433">
      <w:pPr>
        <w:pStyle w:val="Heading2"/>
      </w:pPr>
      <w:bookmarkStart w:id="236" w:name="_Toc499221007"/>
      <w:bookmarkStart w:id="237" w:name="_Toc499290959"/>
      <w:bookmarkStart w:id="238" w:name="_Toc26278345"/>
      <w:bookmarkStart w:id="239" w:name="_Toc26370523"/>
      <w:bookmarkStart w:id="240" w:name="_Toc65145957"/>
      <w:bookmarkStart w:id="241" w:name="_Ref89166704"/>
      <w:bookmarkStart w:id="242" w:name="_Toc98882306"/>
      <w:r w:rsidRPr="00C83E69">
        <w:t>Identification of out</w:t>
      </w:r>
      <w:r>
        <w:t>-</w:t>
      </w:r>
      <w:r w:rsidRPr="00C83E69">
        <w:t>of</w:t>
      </w:r>
      <w:r>
        <w:t>-</w:t>
      </w:r>
      <w:r w:rsidRPr="00C83E69">
        <w:t>scope costs</w:t>
      </w:r>
      <w:bookmarkEnd w:id="236"/>
      <w:bookmarkEnd w:id="237"/>
      <w:bookmarkEnd w:id="238"/>
      <w:bookmarkEnd w:id="239"/>
      <w:bookmarkEnd w:id="240"/>
      <w:bookmarkEnd w:id="241"/>
      <w:bookmarkEnd w:id="242"/>
    </w:p>
    <w:p w14:paraId="43082819" w14:textId="5419CFB3" w:rsidR="00561E6C" w:rsidRPr="00033F91" w:rsidRDefault="00561E6C" w:rsidP="00561E6C">
      <w:pPr>
        <w:spacing w:before="100" w:beforeAutospacing="1" w:after="0" w:line="240" w:lineRule="auto"/>
        <w:rPr>
          <w:rFonts w:eastAsia="Calibri" w:cstheme="minorHAnsi"/>
        </w:rPr>
      </w:pPr>
      <w:r w:rsidRPr="00033F91">
        <w:rPr>
          <w:rFonts w:eastAsia="Calibri" w:cstheme="minorHAnsi"/>
        </w:rPr>
        <w:t>The first step in the process of transforming cost model to pricing model involves the identification of costs, such as those associated with programs covered entirely</w:t>
      </w:r>
      <w:r>
        <w:rPr>
          <w:rFonts w:eastAsia="Calibri" w:cstheme="minorHAnsi"/>
        </w:rPr>
        <w:t>,</w:t>
      </w:r>
      <w:r w:rsidRPr="00033F91">
        <w:rPr>
          <w:rFonts w:eastAsia="Calibri" w:cstheme="minorHAnsi"/>
        </w:rPr>
        <w:t xml:space="preserve"> or in part</w:t>
      </w:r>
      <w:r>
        <w:rPr>
          <w:rFonts w:eastAsia="Calibri" w:cstheme="minorHAnsi"/>
        </w:rPr>
        <w:t>,</w:t>
      </w:r>
      <w:r w:rsidRPr="00033F91">
        <w:rPr>
          <w:rFonts w:eastAsia="Calibri" w:cstheme="minorHAnsi"/>
        </w:rPr>
        <w:t xml:space="preserve"> by other funding</w:t>
      </w:r>
      <w:r>
        <w:rPr>
          <w:rFonts w:eastAsia="Calibri" w:cstheme="minorHAnsi"/>
        </w:rPr>
        <w:t xml:space="preserve"> sources (for example, Commonwealth or private health insurance)</w:t>
      </w:r>
      <w:r w:rsidRPr="00033F91">
        <w:rPr>
          <w:rFonts w:eastAsia="Calibri" w:cstheme="minorHAnsi"/>
        </w:rPr>
        <w:t xml:space="preserve">. These </w:t>
      </w:r>
      <w:r>
        <w:rPr>
          <w:rFonts w:eastAsia="Calibri" w:cstheme="minorHAnsi"/>
        </w:rPr>
        <w:t xml:space="preserve">are referred to as </w:t>
      </w:r>
      <w:r w:rsidRPr="00033F91">
        <w:rPr>
          <w:rFonts w:eastAsia="Calibri" w:cstheme="minorHAnsi"/>
        </w:rPr>
        <w:t>out</w:t>
      </w:r>
      <w:r>
        <w:rPr>
          <w:rFonts w:eastAsia="Calibri" w:cstheme="minorHAnsi"/>
        </w:rPr>
        <w:t>-</w:t>
      </w:r>
      <w:r w:rsidRPr="00033F91">
        <w:rPr>
          <w:rFonts w:eastAsia="Calibri" w:cstheme="minorHAnsi"/>
        </w:rPr>
        <w:t>of</w:t>
      </w:r>
      <w:r>
        <w:rPr>
          <w:rFonts w:eastAsia="Calibri" w:cstheme="minorHAnsi"/>
        </w:rPr>
        <w:t>-</w:t>
      </w:r>
      <w:r w:rsidRPr="00033F91">
        <w:rPr>
          <w:rFonts w:eastAsia="Calibri" w:cstheme="minorHAnsi"/>
        </w:rPr>
        <w:t>scope costs</w:t>
      </w:r>
      <w:r>
        <w:rPr>
          <w:rFonts w:eastAsia="Calibri" w:cstheme="minorHAnsi"/>
        </w:rPr>
        <w:t>, and</w:t>
      </w:r>
      <w:r w:rsidRPr="00033F91">
        <w:rPr>
          <w:rFonts w:eastAsia="Calibri" w:cstheme="minorHAnsi"/>
        </w:rPr>
        <w:t xml:space="preserve"> can be separated into three groups:</w:t>
      </w:r>
    </w:p>
    <w:p w14:paraId="2AF72006" w14:textId="77777777" w:rsidR="00561E6C" w:rsidRPr="00866D5B" w:rsidRDefault="00561E6C" w:rsidP="00FE1EA1">
      <w:pPr>
        <w:pStyle w:val="ListParagraph"/>
        <w:rPr>
          <w:rFonts w:eastAsia="Calibri"/>
        </w:rPr>
      </w:pPr>
      <w:r w:rsidRPr="00866D5B">
        <w:rPr>
          <w:rFonts w:eastAsia="Calibri"/>
        </w:rPr>
        <w:t>Group 1 – activity funded by other sources. For example:</w:t>
      </w:r>
    </w:p>
    <w:p w14:paraId="659450F5" w14:textId="77777777" w:rsidR="00561E6C" w:rsidRPr="00866D5B" w:rsidRDefault="00A96BC5" w:rsidP="00FE1EA1">
      <w:pPr>
        <w:pStyle w:val="ListParagraph"/>
        <w:numPr>
          <w:ilvl w:val="1"/>
          <w:numId w:val="24"/>
        </w:numPr>
        <w:rPr>
          <w:rFonts w:eastAsia="Calibri"/>
        </w:rPr>
      </w:pPr>
      <w:r w:rsidRPr="00866D5B">
        <w:rPr>
          <w:rFonts w:eastAsia="Calibri"/>
        </w:rPr>
        <w:t>P</w:t>
      </w:r>
      <w:r w:rsidR="00561E6C" w:rsidRPr="00866D5B">
        <w:rPr>
          <w:rFonts w:eastAsia="Calibri"/>
        </w:rPr>
        <w:t>rivate patient episodes in private hospitals</w:t>
      </w:r>
      <w:r w:rsidRPr="00866D5B">
        <w:rPr>
          <w:rFonts w:eastAsia="Calibri"/>
        </w:rPr>
        <w:t>.</w:t>
      </w:r>
    </w:p>
    <w:p w14:paraId="05F2AB7D" w14:textId="77777777" w:rsidR="00561E6C" w:rsidRPr="00866D5B" w:rsidRDefault="00A96BC5" w:rsidP="00FE1EA1">
      <w:pPr>
        <w:pStyle w:val="ListParagraph"/>
        <w:numPr>
          <w:ilvl w:val="1"/>
          <w:numId w:val="24"/>
        </w:numPr>
        <w:rPr>
          <w:rFonts w:eastAsia="Calibri"/>
        </w:rPr>
      </w:pPr>
      <w:r w:rsidRPr="00866D5B">
        <w:rPr>
          <w:rFonts w:eastAsia="Calibri"/>
        </w:rPr>
        <w:t>D</w:t>
      </w:r>
      <w:r w:rsidR="009D5F46" w:rsidRPr="00866D5B">
        <w:rPr>
          <w:rFonts w:eastAsia="Calibri"/>
        </w:rPr>
        <w:t>epartment of Veterans’ Affairs</w:t>
      </w:r>
      <w:r w:rsidR="00561E6C" w:rsidRPr="00866D5B">
        <w:rPr>
          <w:rFonts w:eastAsia="Calibri"/>
        </w:rPr>
        <w:t>, defence and compensable episodes</w:t>
      </w:r>
      <w:r w:rsidRPr="00866D5B">
        <w:rPr>
          <w:rFonts w:eastAsia="Calibri"/>
        </w:rPr>
        <w:t>.</w:t>
      </w:r>
    </w:p>
    <w:p w14:paraId="49A97DC7" w14:textId="0622A314" w:rsidR="00561E6C" w:rsidRPr="00866D5B" w:rsidRDefault="00A96BC5" w:rsidP="00FE1EA1">
      <w:pPr>
        <w:pStyle w:val="ListParagraph"/>
        <w:numPr>
          <w:ilvl w:val="1"/>
          <w:numId w:val="24"/>
        </w:numPr>
        <w:rPr>
          <w:rFonts w:eastAsia="Arial" w:cs="Arial"/>
          <w:szCs w:val="22"/>
        </w:rPr>
      </w:pPr>
      <w:r w:rsidRPr="00866D5B">
        <w:rPr>
          <w:rFonts w:eastAsia="Calibri"/>
        </w:rPr>
        <w:t>A</w:t>
      </w:r>
      <w:r w:rsidR="00561E6C" w:rsidRPr="00866D5B">
        <w:rPr>
          <w:rFonts w:eastAsia="Calibri"/>
        </w:rPr>
        <w:t>ctivity which does not meet the criteria on the General List of In-scope Services (the General List</w:t>
      </w:r>
      <w:r w:rsidR="00561E6C" w:rsidRPr="00866D5B">
        <w:rPr>
          <w:rFonts w:eastAsia="Calibri"/>
          <w:i/>
        </w:rPr>
        <w:t>)</w:t>
      </w:r>
      <w:r w:rsidR="00561E6C" w:rsidRPr="00866D5B">
        <w:rPr>
          <w:rFonts w:eastAsia="Calibri"/>
        </w:rPr>
        <w:t xml:space="preserve">, as defined in the </w:t>
      </w:r>
      <w:r w:rsidR="00561E6C" w:rsidRPr="00866D5B">
        <w:rPr>
          <w:rFonts w:cs="Arial"/>
        </w:rPr>
        <w:t>National Eff</w:t>
      </w:r>
      <w:r w:rsidR="00012833" w:rsidRPr="00866D5B">
        <w:rPr>
          <w:rFonts w:cs="Arial"/>
        </w:rPr>
        <w:t xml:space="preserve">icient Price Determination </w:t>
      </w:r>
      <w:r w:rsidR="001C3D45" w:rsidRPr="00866D5B">
        <w:rPr>
          <w:rFonts w:cs="Arial"/>
        </w:rPr>
        <w:t>202</w:t>
      </w:r>
      <w:r w:rsidR="001C3D45">
        <w:rPr>
          <w:rFonts w:cs="Arial"/>
        </w:rPr>
        <w:t>2</w:t>
      </w:r>
      <w:r w:rsidR="4DA962C3" w:rsidRPr="76ABC984">
        <w:rPr>
          <w:rFonts w:eastAsia="Calibri"/>
        </w:rPr>
        <w:t>–</w:t>
      </w:r>
      <w:r w:rsidR="00012833" w:rsidRPr="00866D5B">
        <w:rPr>
          <w:rFonts w:cs="Arial"/>
          <w:w w:val="200"/>
        </w:rPr>
        <w:noBreakHyphen/>
      </w:r>
      <w:r w:rsidR="001C3D45" w:rsidRPr="00866D5B">
        <w:rPr>
          <w:rFonts w:cs="Arial"/>
        </w:rPr>
        <w:t>2</w:t>
      </w:r>
      <w:r w:rsidR="001C3D45">
        <w:rPr>
          <w:rFonts w:cs="Arial"/>
        </w:rPr>
        <w:t>3</w:t>
      </w:r>
      <w:r w:rsidR="00676204" w:rsidRPr="00866D5B">
        <w:rPr>
          <w:rFonts w:eastAsia="Calibri"/>
        </w:rPr>
        <w:t>, such as Tier 2 class</w:t>
      </w:r>
      <w:r w:rsidR="00561E6C" w:rsidRPr="00866D5B">
        <w:rPr>
          <w:rFonts w:eastAsia="Calibri"/>
        </w:rPr>
        <w:t xml:space="preserve"> not listed in Category A or Category B of the General List.</w:t>
      </w:r>
    </w:p>
    <w:p w14:paraId="064B0AF2" w14:textId="77777777" w:rsidR="00561E6C" w:rsidRPr="00866D5B" w:rsidRDefault="00561E6C" w:rsidP="00FE1EA1">
      <w:pPr>
        <w:pStyle w:val="ListParagraph"/>
        <w:rPr>
          <w:rFonts w:eastAsia="Calibri"/>
        </w:rPr>
      </w:pPr>
      <w:r w:rsidRPr="00866D5B">
        <w:rPr>
          <w:rFonts w:eastAsia="Calibri"/>
        </w:rPr>
        <w:t>Group 2 – those proportions of costs associated with private patients that are offset by non-government and Commonwealth revenue.</w:t>
      </w:r>
    </w:p>
    <w:p w14:paraId="07EF9C9E" w14:textId="563EC67D" w:rsidR="00561E6C" w:rsidRPr="00866D5B" w:rsidRDefault="00561E6C" w:rsidP="00FE1EA1">
      <w:pPr>
        <w:pStyle w:val="ListParagraph"/>
        <w:rPr>
          <w:rFonts w:eastAsia="Calibri"/>
        </w:rPr>
      </w:pPr>
      <w:r w:rsidRPr="00866D5B">
        <w:rPr>
          <w:rFonts w:eastAsia="Calibri"/>
        </w:rPr>
        <w:t>Group 3 – costs associated with other Commonwealth programs that are inherent within the cost data such as the Highly Specialised Drugs Program and Pharmacy Reform Agreements.</w:t>
      </w:r>
      <w:r w:rsidR="005C4932">
        <w:rPr>
          <w:rFonts w:eastAsia="Calibri"/>
        </w:rPr>
        <w:t xml:space="preserve"> Although </w:t>
      </w:r>
      <w:r w:rsidR="001C3D45">
        <w:rPr>
          <w:rFonts w:eastAsia="Calibri"/>
        </w:rPr>
        <w:t>2019</w:t>
      </w:r>
      <w:r w:rsidR="007F5279">
        <w:rPr>
          <w:rFonts w:eastAsia="Calibri"/>
        </w:rPr>
        <w:t>–</w:t>
      </w:r>
      <w:r w:rsidR="001C3D45">
        <w:rPr>
          <w:rFonts w:eastAsia="Calibri"/>
        </w:rPr>
        <w:t xml:space="preserve">20 </w:t>
      </w:r>
      <w:r w:rsidR="005C4932">
        <w:rPr>
          <w:rFonts w:eastAsia="Calibri"/>
        </w:rPr>
        <w:t>data is used to set the price, the updated wholesale mark-up arrangements introduced in 1 January 2020 in the 7</w:t>
      </w:r>
      <w:r w:rsidR="005C4932" w:rsidRPr="000F6AE1">
        <w:rPr>
          <w:rFonts w:eastAsia="Calibri"/>
          <w:vertAlign w:val="superscript"/>
        </w:rPr>
        <w:t>th</w:t>
      </w:r>
      <w:r w:rsidR="005C4932">
        <w:rPr>
          <w:rFonts w:eastAsia="Calibri"/>
        </w:rPr>
        <w:t xml:space="preserve"> Community Pharmacy Agreement have been accounted for in the source data.</w:t>
      </w:r>
    </w:p>
    <w:p w14:paraId="0E57FD71" w14:textId="77777777" w:rsidR="00561E6C" w:rsidRPr="00866D5B" w:rsidRDefault="00561E6C" w:rsidP="00561E6C">
      <w:pPr>
        <w:spacing w:before="100" w:beforeAutospacing="1" w:line="240" w:lineRule="auto"/>
        <w:rPr>
          <w:rFonts w:eastAsia="Calibri" w:cstheme="minorHAnsi"/>
          <w:szCs w:val="22"/>
        </w:rPr>
      </w:pPr>
      <w:r w:rsidRPr="00866D5B">
        <w:rPr>
          <w:rFonts w:eastAsia="Calibri" w:cstheme="minorHAnsi"/>
          <w:szCs w:val="22"/>
        </w:rPr>
        <w:t>Exclusion of these costs from the cost model is undertaken as follows:</w:t>
      </w:r>
    </w:p>
    <w:p w14:paraId="60A299B0" w14:textId="77777777" w:rsidR="00561E6C" w:rsidRPr="00E52198" w:rsidRDefault="00561E6C" w:rsidP="004D01E2">
      <w:pPr>
        <w:pStyle w:val="ListParagraph"/>
        <w:numPr>
          <w:ilvl w:val="0"/>
          <w:numId w:val="39"/>
        </w:numPr>
        <w:rPr>
          <w:rFonts w:eastAsia="Calibri"/>
        </w:rPr>
      </w:pPr>
      <w:r w:rsidRPr="00E52198">
        <w:rPr>
          <w:rFonts w:eastAsia="Calibri"/>
        </w:rPr>
        <w:t>Group 1 – costs are excluded by restricting the cost model to in-scope activity</w:t>
      </w:r>
      <w:r w:rsidR="00A96BC5" w:rsidRPr="00E52198">
        <w:rPr>
          <w:rFonts w:eastAsia="Calibri"/>
        </w:rPr>
        <w:t>.</w:t>
      </w:r>
    </w:p>
    <w:p w14:paraId="58EED345" w14:textId="53E8CA5D" w:rsidR="00561E6C" w:rsidRPr="00E52198" w:rsidRDefault="00561E6C" w:rsidP="004D01E2">
      <w:pPr>
        <w:pStyle w:val="ListParagraph"/>
        <w:numPr>
          <w:ilvl w:val="0"/>
          <w:numId w:val="39"/>
        </w:numPr>
        <w:rPr>
          <w:rFonts w:eastAsia="Calibri"/>
        </w:rPr>
      </w:pPr>
      <w:r w:rsidRPr="00E52198">
        <w:rPr>
          <w:rFonts w:eastAsia="Calibri"/>
        </w:rPr>
        <w:t>Group 2 – costs are excluded through the implementation of the private patient service adjustment and private patient accommodation adjustment within the pricing model (Section</w:t>
      </w:r>
      <w:r w:rsidR="001658D3" w:rsidRPr="00E52198">
        <w:rPr>
          <w:rFonts w:eastAsia="Calibri"/>
        </w:rPr>
        <w:t xml:space="preserve"> </w:t>
      </w:r>
      <w:r w:rsidR="001658D3" w:rsidRPr="00E52198">
        <w:rPr>
          <w:rFonts w:eastAsia="Calibri"/>
          <w:color w:val="2B579A"/>
          <w:shd w:val="clear" w:color="auto" w:fill="E6E6E6"/>
        </w:rPr>
        <w:fldChar w:fldCharType="begin"/>
      </w:r>
      <w:r w:rsidR="001658D3" w:rsidRPr="00E52198">
        <w:rPr>
          <w:rFonts w:eastAsia="Calibri"/>
        </w:rPr>
        <w:instrText xml:space="preserve"> REF _Ref57034802 \r \h </w:instrText>
      </w:r>
      <w:r w:rsidR="00C62C87" w:rsidRPr="00E52198">
        <w:rPr>
          <w:rFonts w:eastAsia="Calibri"/>
          <w:color w:val="2B579A"/>
          <w:shd w:val="clear" w:color="auto" w:fill="E6E6E6"/>
        </w:rPr>
        <w:instrText xml:space="preserve"> \* MERGEFORMAT </w:instrText>
      </w:r>
      <w:r w:rsidR="001658D3" w:rsidRPr="00E52198">
        <w:rPr>
          <w:rFonts w:eastAsia="Calibri"/>
          <w:color w:val="2B579A"/>
          <w:shd w:val="clear" w:color="auto" w:fill="E6E6E6"/>
        </w:rPr>
      </w:r>
      <w:r w:rsidR="001658D3" w:rsidRPr="00E52198">
        <w:rPr>
          <w:rFonts w:eastAsia="Calibri"/>
          <w:color w:val="2B579A"/>
          <w:shd w:val="clear" w:color="auto" w:fill="E6E6E6"/>
        </w:rPr>
        <w:fldChar w:fldCharType="separate"/>
      </w:r>
      <w:r w:rsidR="003F234C">
        <w:rPr>
          <w:rFonts w:eastAsia="Calibri"/>
        </w:rPr>
        <w:t>2.2.10</w:t>
      </w:r>
      <w:r w:rsidR="001658D3" w:rsidRPr="00E52198">
        <w:rPr>
          <w:rFonts w:eastAsia="Calibri"/>
          <w:color w:val="2B579A"/>
          <w:shd w:val="clear" w:color="auto" w:fill="E6E6E6"/>
        </w:rPr>
        <w:fldChar w:fldCharType="end"/>
      </w:r>
      <w:r w:rsidRPr="00E52198">
        <w:rPr>
          <w:rFonts w:eastAsia="Calibri"/>
        </w:rPr>
        <w:t>)</w:t>
      </w:r>
      <w:r w:rsidR="00A96BC5" w:rsidRPr="00E52198">
        <w:rPr>
          <w:rFonts w:eastAsia="Calibri"/>
        </w:rPr>
        <w:t>.</w:t>
      </w:r>
    </w:p>
    <w:p w14:paraId="5D2BF234" w14:textId="77777777" w:rsidR="00561E6C" w:rsidRPr="00E52198" w:rsidRDefault="00561E6C" w:rsidP="004D01E2">
      <w:pPr>
        <w:pStyle w:val="ListParagraph"/>
        <w:numPr>
          <w:ilvl w:val="0"/>
          <w:numId w:val="39"/>
        </w:numPr>
        <w:rPr>
          <w:rFonts w:eastAsia="Calibri"/>
        </w:rPr>
      </w:pPr>
      <w:r w:rsidRPr="00E52198">
        <w:rPr>
          <w:rFonts w:eastAsia="Calibri"/>
        </w:rPr>
        <w:t>Group 3 – costs are excluded by matching at the patient level where possible, otherwise by first calculating the costs as a percentage of estimated total costs, and then deflating the cost model by this percentage.</w:t>
      </w:r>
    </w:p>
    <w:p w14:paraId="79F7A38E" w14:textId="540AF70E" w:rsidR="00561E6C" w:rsidRPr="00C83E69" w:rsidRDefault="00561E6C" w:rsidP="00755433">
      <w:pPr>
        <w:pStyle w:val="Heading2"/>
      </w:pPr>
      <w:bookmarkStart w:id="243" w:name="_Toc499221008"/>
      <w:bookmarkStart w:id="244" w:name="_Toc499290960"/>
      <w:bookmarkStart w:id="245" w:name="_Toc26278346"/>
      <w:bookmarkStart w:id="246" w:name="_Toc26370524"/>
      <w:bookmarkStart w:id="247" w:name="_Toc65145958"/>
      <w:bookmarkStart w:id="248" w:name="_Ref89169579"/>
      <w:bookmarkStart w:id="249" w:name="_Ref89169599"/>
      <w:bookmarkStart w:id="250" w:name="_Toc98882307"/>
      <w:r w:rsidRPr="00C83E69">
        <w:lastRenderedPageBreak/>
        <w:t>Derivation of a reference cost</w:t>
      </w:r>
      <w:bookmarkEnd w:id="243"/>
      <w:bookmarkEnd w:id="244"/>
      <w:bookmarkEnd w:id="245"/>
      <w:bookmarkEnd w:id="246"/>
      <w:bookmarkEnd w:id="247"/>
      <w:bookmarkEnd w:id="248"/>
      <w:bookmarkEnd w:id="249"/>
      <w:bookmarkEnd w:id="250"/>
      <w:r w:rsidRPr="00C83E69">
        <w:t xml:space="preserve"> </w:t>
      </w:r>
    </w:p>
    <w:p w14:paraId="2C4A89A8" w14:textId="77777777" w:rsidR="00561E6C" w:rsidRPr="00704036" w:rsidRDefault="00561E6C" w:rsidP="00640FD5">
      <w:pPr>
        <w:keepLines/>
        <w:rPr>
          <w:rFonts w:eastAsia="Calibri"/>
        </w:rPr>
      </w:pPr>
      <w:r w:rsidRPr="00704036">
        <w:rPr>
          <w:rFonts w:eastAsia="Calibri"/>
        </w:rPr>
        <w:t>The second step in the transformation of cost model to pricing model is the derivation of a reference cost (or a mean standardised to ensure the measure of a</w:t>
      </w:r>
      <w:r w:rsidR="00DB4FCF">
        <w:rPr>
          <w:rFonts w:eastAsia="Calibri"/>
        </w:rPr>
        <w:t>n</w:t>
      </w:r>
      <w:r w:rsidRPr="00704036">
        <w:rPr>
          <w:rFonts w:eastAsia="Calibri"/>
        </w:rPr>
        <w:t xml:space="preserve"> NWAU remains constant over time) that is used to convert the cost model into a cost weight model. Put simply, the parameters of the cost model are divided by this reference cost, converting the parameters to cost weights.</w:t>
      </w:r>
    </w:p>
    <w:p w14:paraId="428FAA4D" w14:textId="65A967BF" w:rsidR="00561E6C" w:rsidRPr="00704036" w:rsidRDefault="00561E6C" w:rsidP="00640FD5">
      <w:pPr>
        <w:rPr>
          <w:rFonts w:eastAsia="Calibri"/>
        </w:rPr>
      </w:pPr>
      <w:r w:rsidRPr="00704036">
        <w:rPr>
          <w:rFonts w:eastAsia="Calibri"/>
        </w:rPr>
        <w:t xml:space="preserve">A separate reference cost is derived for each year’s cost model based on the modelled costs of </w:t>
      </w:r>
      <w:r>
        <w:rPr>
          <w:rFonts w:eastAsia="Calibri"/>
        </w:rPr>
        <w:t>admitted acute</w:t>
      </w:r>
      <w:r w:rsidRPr="00704036">
        <w:rPr>
          <w:rFonts w:eastAsia="Calibri"/>
        </w:rPr>
        <w:t xml:space="preserve"> activity in-scope for ABF. In particular, this activity excludes the </w:t>
      </w:r>
      <w:r>
        <w:rPr>
          <w:rFonts w:eastAsia="Calibri"/>
        </w:rPr>
        <w:t>G</w:t>
      </w:r>
      <w:r w:rsidRPr="00704036">
        <w:rPr>
          <w:rFonts w:eastAsia="Calibri"/>
        </w:rPr>
        <w:t>roup 1 out</w:t>
      </w:r>
      <w:r>
        <w:rPr>
          <w:rFonts w:eastAsia="Calibri"/>
        </w:rPr>
        <w:t>-</w:t>
      </w:r>
      <w:r w:rsidRPr="00704036">
        <w:rPr>
          <w:rFonts w:eastAsia="Calibri"/>
        </w:rPr>
        <w:t>of</w:t>
      </w:r>
      <w:r>
        <w:rPr>
          <w:rFonts w:eastAsia="Calibri"/>
        </w:rPr>
        <w:t>-</w:t>
      </w:r>
      <w:r w:rsidRPr="00704036">
        <w:rPr>
          <w:rFonts w:eastAsia="Calibri"/>
        </w:rPr>
        <w:t xml:space="preserve">scope costs discussed in </w:t>
      </w:r>
      <w:r w:rsidRPr="00866D5B">
        <w:rPr>
          <w:rFonts w:eastAsia="Calibri"/>
        </w:rPr>
        <w:t xml:space="preserve">Section </w:t>
      </w:r>
      <w:r w:rsidR="007F5279">
        <w:rPr>
          <w:rFonts w:eastAsia="Calibri"/>
          <w:color w:val="2B579A"/>
          <w:shd w:val="clear" w:color="auto" w:fill="E6E6E6"/>
        </w:rPr>
        <w:fldChar w:fldCharType="begin"/>
      </w:r>
      <w:r w:rsidR="007F5279">
        <w:rPr>
          <w:rFonts w:eastAsia="Calibri"/>
        </w:rPr>
        <w:instrText xml:space="preserve"> REF _Ref89166704 \r \h </w:instrText>
      </w:r>
      <w:r w:rsidR="007F5279">
        <w:rPr>
          <w:rFonts w:eastAsia="Calibri"/>
          <w:color w:val="2B579A"/>
          <w:shd w:val="clear" w:color="auto" w:fill="E6E6E6"/>
        </w:rPr>
      </w:r>
      <w:r w:rsidR="007F5279">
        <w:rPr>
          <w:rFonts w:eastAsia="Calibri"/>
          <w:color w:val="2B579A"/>
          <w:shd w:val="clear" w:color="auto" w:fill="E6E6E6"/>
        </w:rPr>
        <w:fldChar w:fldCharType="separate"/>
      </w:r>
      <w:r w:rsidR="003F234C">
        <w:rPr>
          <w:rFonts w:eastAsia="Calibri"/>
        </w:rPr>
        <w:t>7.2</w:t>
      </w:r>
      <w:r w:rsidR="007F5279">
        <w:rPr>
          <w:rFonts w:eastAsia="Calibri"/>
          <w:color w:val="2B579A"/>
          <w:shd w:val="clear" w:color="auto" w:fill="E6E6E6"/>
        </w:rPr>
        <w:fldChar w:fldCharType="end"/>
      </w:r>
      <w:r w:rsidRPr="00866D5B">
        <w:rPr>
          <w:rFonts w:eastAsia="Calibri"/>
        </w:rPr>
        <w:t>.</w:t>
      </w:r>
    </w:p>
    <w:p w14:paraId="1C8535A0" w14:textId="77777777" w:rsidR="00561E6C" w:rsidRPr="00704036" w:rsidRDefault="00561E6C" w:rsidP="00640FD5">
      <w:pPr>
        <w:rPr>
          <w:rFonts w:eastAsia="Calibri"/>
        </w:rPr>
      </w:pPr>
      <w:r w:rsidRPr="008D74EF">
        <w:rPr>
          <w:rFonts w:eastAsia="Calibri"/>
        </w:rPr>
        <w:t xml:space="preserve">The </w:t>
      </w:r>
      <w:r w:rsidRPr="00801AF5">
        <w:rPr>
          <w:rFonts w:eastAsia="Calibri"/>
        </w:rPr>
        <w:t>2009</w:t>
      </w:r>
      <w:r>
        <w:rPr>
          <w:rFonts w:eastAsia="Calibri"/>
        </w:rPr>
        <w:t>–</w:t>
      </w:r>
      <w:r w:rsidRPr="00801AF5">
        <w:rPr>
          <w:rFonts w:eastAsia="Calibri"/>
        </w:rPr>
        <w:t>10</w:t>
      </w:r>
      <w:r w:rsidRPr="008D74EF">
        <w:rPr>
          <w:rFonts w:eastAsia="Calibri"/>
        </w:rPr>
        <w:t xml:space="preserve"> reference cost associated with IHPA’s </w:t>
      </w:r>
      <w:r w:rsidRPr="00801AF5">
        <w:rPr>
          <w:rFonts w:eastAsia="Calibri"/>
        </w:rPr>
        <w:t>first</w:t>
      </w:r>
      <w:r w:rsidRPr="008D74EF">
        <w:rPr>
          <w:rFonts w:eastAsia="Calibri"/>
        </w:rPr>
        <w:t xml:space="preserve"> </w:t>
      </w:r>
      <w:r>
        <w:rPr>
          <w:rFonts w:eastAsia="Calibri"/>
        </w:rPr>
        <w:t>n</w:t>
      </w:r>
      <w:r w:rsidRPr="008D74EF">
        <w:rPr>
          <w:rFonts w:eastAsia="Calibri"/>
        </w:rPr>
        <w:t xml:space="preserve">ational </w:t>
      </w:r>
      <w:r>
        <w:rPr>
          <w:rFonts w:eastAsia="Calibri"/>
        </w:rPr>
        <w:t>p</w:t>
      </w:r>
      <w:r w:rsidRPr="008D74EF">
        <w:rPr>
          <w:rFonts w:eastAsia="Calibri"/>
        </w:rPr>
        <w:t xml:space="preserve">ricing </w:t>
      </w:r>
      <w:r>
        <w:rPr>
          <w:rFonts w:eastAsia="Calibri"/>
        </w:rPr>
        <w:t>m</w:t>
      </w:r>
      <w:r w:rsidRPr="008D74EF">
        <w:rPr>
          <w:rFonts w:eastAsia="Calibri"/>
        </w:rPr>
        <w:t xml:space="preserve">odel is defined as the mean model cost taken across all </w:t>
      </w:r>
      <w:r w:rsidRPr="00801AF5">
        <w:rPr>
          <w:rFonts w:eastAsia="Calibri"/>
        </w:rPr>
        <w:t>2009</w:t>
      </w:r>
      <w:r>
        <w:rPr>
          <w:rFonts w:eastAsia="Calibri"/>
        </w:rPr>
        <w:t>–</w:t>
      </w:r>
      <w:r w:rsidRPr="00801AF5">
        <w:rPr>
          <w:rFonts w:eastAsia="Calibri"/>
        </w:rPr>
        <w:t>10</w:t>
      </w:r>
      <w:r w:rsidRPr="008D74EF">
        <w:rPr>
          <w:rFonts w:eastAsia="Calibri"/>
        </w:rPr>
        <w:t xml:space="preserve"> admitted acute activity in-scope for ABF. This mean model cost </w:t>
      </w:r>
      <w:r w:rsidRPr="00801AF5">
        <w:rPr>
          <w:rFonts w:eastAsia="Calibri"/>
        </w:rPr>
        <w:t>is $4,260.</w:t>
      </w:r>
    </w:p>
    <w:p w14:paraId="3D66F2F2" w14:textId="5F544C13" w:rsidR="00561E6C" w:rsidRPr="00704036" w:rsidRDefault="00561E6C" w:rsidP="00640FD5">
      <w:pPr>
        <w:rPr>
          <w:rFonts w:eastAsia="Calibri"/>
        </w:rPr>
      </w:pPr>
      <w:r w:rsidRPr="00704036">
        <w:rPr>
          <w:rFonts w:eastAsia="Calibri"/>
        </w:rPr>
        <w:t xml:space="preserve">From </w:t>
      </w:r>
      <w:r w:rsidRPr="00801AF5">
        <w:rPr>
          <w:rFonts w:eastAsia="Calibri"/>
        </w:rPr>
        <w:t>2010</w:t>
      </w:r>
      <w:r>
        <w:rPr>
          <w:rFonts w:eastAsia="Calibri"/>
        </w:rPr>
        <w:t>–</w:t>
      </w:r>
      <w:r w:rsidRPr="00801AF5">
        <w:rPr>
          <w:rFonts w:eastAsia="Calibri"/>
        </w:rPr>
        <w:t>11</w:t>
      </w:r>
      <w:r w:rsidRPr="00704036">
        <w:rPr>
          <w:rFonts w:eastAsia="Calibri"/>
        </w:rPr>
        <w:t xml:space="preserve"> onward, the reference cost is defined so that change in the reference cost over time reflects change in unit costs, excluding any influence of underlying changes in activity profiles between years (</w:t>
      </w:r>
      <w:r>
        <w:rPr>
          <w:rFonts w:eastAsia="Calibri"/>
        </w:rPr>
        <w:t>that is,</w:t>
      </w:r>
      <w:r w:rsidRPr="00704036">
        <w:rPr>
          <w:rFonts w:eastAsia="Calibri"/>
        </w:rPr>
        <w:t xml:space="preserve"> casemix change). So, the </w:t>
      </w:r>
      <w:r w:rsidRPr="00801AF5">
        <w:rPr>
          <w:rFonts w:eastAsia="Calibri"/>
        </w:rPr>
        <w:t>2010</w:t>
      </w:r>
      <w:r>
        <w:rPr>
          <w:rFonts w:eastAsia="Calibri"/>
        </w:rPr>
        <w:t>–</w:t>
      </w:r>
      <w:r w:rsidRPr="00801AF5">
        <w:rPr>
          <w:rFonts w:eastAsia="Calibri"/>
        </w:rPr>
        <w:t>11</w:t>
      </w:r>
      <w:r w:rsidRPr="00704036">
        <w:rPr>
          <w:rFonts w:eastAsia="Calibri"/>
        </w:rPr>
        <w:t xml:space="preserve"> reference cost is defined so that the change from the </w:t>
      </w:r>
      <w:r w:rsidRPr="00801AF5">
        <w:rPr>
          <w:rFonts w:eastAsia="Calibri"/>
        </w:rPr>
        <w:t>2009</w:t>
      </w:r>
      <w:r w:rsidR="00496F99">
        <w:rPr>
          <w:rFonts w:eastAsia="Calibri"/>
        </w:rPr>
        <w:t>–</w:t>
      </w:r>
      <w:r w:rsidRPr="00801AF5">
        <w:rPr>
          <w:rFonts w:eastAsia="Calibri"/>
        </w:rPr>
        <w:t>10</w:t>
      </w:r>
      <w:r w:rsidRPr="00704036">
        <w:rPr>
          <w:rFonts w:eastAsia="Calibri"/>
        </w:rPr>
        <w:t xml:space="preserve"> reference cost represents change in unit costs of an NWAU between the </w:t>
      </w:r>
      <w:r w:rsidRPr="00801AF5">
        <w:rPr>
          <w:rFonts w:eastAsia="Calibri"/>
        </w:rPr>
        <w:t>2009</w:t>
      </w:r>
      <w:r>
        <w:rPr>
          <w:rFonts w:eastAsia="Calibri"/>
        </w:rPr>
        <w:t>–</w:t>
      </w:r>
      <w:r w:rsidRPr="00801AF5">
        <w:rPr>
          <w:rFonts w:eastAsia="Calibri"/>
        </w:rPr>
        <w:t>10</w:t>
      </w:r>
      <w:r w:rsidRPr="00704036">
        <w:rPr>
          <w:rFonts w:eastAsia="Calibri"/>
        </w:rPr>
        <w:t xml:space="preserve"> and </w:t>
      </w:r>
      <w:r w:rsidRPr="00801AF5">
        <w:rPr>
          <w:rFonts w:eastAsia="Calibri"/>
        </w:rPr>
        <w:t>2010</w:t>
      </w:r>
      <w:r>
        <w:rPr>
          <w:rFonts w:eastAsia="Calibri"/>
        </w:rPr>
        <w:t>–</w:t>
      </w:r>
      <w:r w:rsidRPr="00801AF5">
        <w:rPr>
          <w:rFonts w:eastAsia="Calibri"/>
        </w:rPr>
        <w:t>11</w:t>
      </w:r>
      <w:r w:rsidRPr="00704036">
        <w:rPr>
          <w:rFonts w:eastAsia="Calibri"/>
        </w:rPr>
        <w:t xml:space="preserve"> cost models, excluding the effect of any changes in casemix between </w:t>
      </w:r>
      <w:r w:rsidR="00496F99">
        <w:rPr>
          <w:rFonts w:eastAsia="Calibri"/>
        </w:rPr>
        <w:t>years</w:t>
      </w:r>
      <w:r w:rsidRPr="00801AF5">
        <w:rPr>
          <w:rFonts w:eastAsia="Calibri"/>
        </w:rPr>
        <w:t xml:space="preserve">. Similarly, the </w:t>
      </w:r>
      <w:r w:rsidR="002B4587">
        <w:rPr>
          <w:rFonts w:eastAsia="Calibri"/>
        </w:rPr>
        <w:t>2019</w:t>
      </w:r>
      <w:r>
        <w:rPr>
          <w:rFonts w:eastAsia="Calibri"/>
        </w:rPr>
        <w:t>–</w:t>
      </w:r>
      <w:r w:rsidR="002B4587">
        <w:rPr>
          <w:rFonts w:eastAsia="Calibri"/>
        </w:rPr>
        <w:t>20</w:t>
      </w:r>
      <w:r w:rsidR="002B4587" w:rsidRPr="00704036">
        <w:rPr>
          <w:rFonts w:eastAsia="Calibri"/>
        </w:rPr>
        <w:t xml:space="preserve"> </w:t>
      </w:r>
      <w:r w:rsidRPr="00704036">
        <w:rPr>
          <w:rFonts w:eastAsia="Calibri"/>
        </w:rPr>
        <w:t xml:space="preserve">reference cost represents the change in unit cost between the </w:t>
      </w:r>
      <w:r w:rsidR="002B4587">
        <w:rPr>
          <w:rFonts w:eastAsia="Calibri"/>
        </w:rPr>
        <w:t>2018</w:t>
      </w:r>
      <w:r>
        <w:rPr>
          <w:rFonts w:eastAsia="Calibri"/>
        </w:rPr>
        <w:t>–</w:t>
      </w:r>
      <w:r w:rsidR="002B4587">
        <w:rPr>
          <w:rFonts w:eastAsia="Calibri"/>
        </w:rPr>
        <w:t>19</w:t>
      </w:r>
      <w:r w:rsidR="002B4587" w:rsidRPr="00801AF5">
        <w:rPr>
          <w:rFonts w:eastAsia="Calibri"/>
        </w:rPr>
        <w:t xml:space="preserve"> </w:t>
      </w:r>
      <w:r w:rsidRPr="00801AF5">
        <w:rPr>
          <w:rFonts w:eastAsia="Calibri"/>
        </w:rPr>
        <w:t xml:space="preserve">and </w:t>
      </w:r>
      <w:r w:rsidR="002B4587">
        <w:rPr>
          <w:rFonts w:eastAsia="Calibri"/>
        </w:rPr>
        <w:t>2019</w:t>
      </w:r>
      <w:r>
        <w:rPr>
          <w:rFonts w:eastAsia="Calibri"/>
        </w:rPr>
        <w:t>–</w:t>
      </w:r>
      <w:r w:rsidR="002B4587">
        <w:rPr>
          <w:rFonts w:eastAsia="Calibri"/>
        </w:rPr>
        <w:t>20</w:t>
      </w:r>
      <w:r w:rsidR="002B4587" w:rsidRPr="00704036">
        <w:rPr>
          <w:rFonts w:eastAsia="Calibri"/>
        </w:rPr>
        <w:t xml:space="preserve"> </w:t>
      </w:r>
      <w:r w:rsidRPr="00704036">
        <w:rPr>
          <w:rFonts w:eastAsia="Calibri"/>
        </w:rPr>
        <w:t>cost models, excluding th</w:t>
      </w:r>
      <w:r w:rsidR="00F96104">
        <w:rPr>
          <w:rFonts w:eastAsia="Calibri"/>
        </w:rPr>
        <w:t>e effect of any changes in case</w:t>
      </w:r>
      <w:r w:rsidRPr="00704036">
        <w:rPr>
          <w:rFonts w:eastAsia="Calibri"/>
        </w:rPr>
        <w:t xml:space="preserve">mix between </w:t>
      </w:r>
      <w:r w:rsidR="00130FD0">
        <w:rPr>
          <w:rFonts w:eastAsia="Calibri"/>
        </w:rPr>
        <w:t>years</w:t>
      </w:r>
      <w:r w:rsidRPr="00704036">
        <w:rPr>
          <w:rFonts w:eastAsia="Calibri"/>
        </w:rPr>
        <w:t>.</w:t>
      </w:r>
    </w:p>
    <w:p w14:paraId="2E4EDA26" w14:textId="291FCB23" w:rsidR="00F518A1" w:rsidRDefault="00561E6C" w:rsidP="00640FD5">
      <w:pPr>
        <w:rPr>
          <w:rFonts w:eastAsia="Calibri"/>
        </w:rPr>
      </w:pPr>
      <w:r w:rsidRPr="00704036">
        <w:rPr>
          <w:rFonts w:eastAsia="Calibri"/>
        </w:rPr>
        <w:t xml:space="preserve">To exclude the external effects of casemix change between years, the two cost models are compared by first applying them to a common set of activity, namely </w:t>
      </w:r>
      <w:r w:rsidR="002B4587">
        <w:rPr>
          <w:rFonts w:eastAsia="Calibri"/>
        </w:rPr>
        <w:t>201</w:t>
      </w:r>
      <w:r w:rsidR="007538B6">
        <w:rPr>
          <w:rFonts w:eastAsia="Calibri"/>
        </w:rPr>
        <w:t>8</w:t>
      </w:r>
      <w:r>
        <w:rPr>
          <w:rFonts w:eastAsia="Calibri"/>
        </w:rPr>
        <w:t>–</w:t>
      </w:r>
      <w:r w:rsidR="007538B6">
        <w:rPr>
          <w:rFonts w:eastAsia="Calibri"/>
        </w:rPr>
        <w:t>19</w:t>
      </w:r>
      <w:r w:rsidR="002B4587" w:rsidRPr="00704036">
        <w:rPr>
          <w:rFonts w:eastAsia="Calibri"/>
        </w:rPr>
        <w:t xml:space="preserve"> </w:t>
      </w:r>
      <w:r>
        <w:rPr>
          <w:rFonts w:eastAsia="Calibri"/>
        </w:rPr>
        <w:t>admitted acute</w:t>
      </w:r>
      <w:r w:rsidRPr="00704036">
        <w:rPr>
          <w:rFonts w:eastAsia="Calibri"/>
        </w:rPr>
        <w:t xml:space="preserve"> activity in-scope for ABF. </w:t>
      </w:r>
      <w:r w:rsidR="00AA2FA3">
        <w:rPr>
          <w:rFonts w:eastAsia="Calibri"/>
        </w:rPr>
        <w:t xml:space="preserve">Typically, the same year used to fit the cost model would be used </w:t>
      </w:r>
      <w:r w:rsidR="00F518A1">
        <w:rPr>
          <w:rFonts w:eastAsia="Calibri"/>
        </w:rPr>
        <w:t>for this calculation, however 2018</w:t>
      </w:r>
      <w:r w:rsidR="007F5279">
        <w:rPr>
          <w:rFonts w:eastAsia="Calibri"/>
        </w:rPr>
        <w:t>–</w:t>
      </w:r>
      <w:r w:rsidR="00F518A1">
        <w:rPr>
          <w:rFonts w:eastAsia="Calibri"/>
        </w:rPr>
        <w:t xml:space="preserve">19 </w:t>
      </w:r>
      <w:r w:rsidR="007538B6">
        <w:rPr>
          <w:rFonts w:eastAsia="Calibri"/>
        </w:rPr>
        <w:t xml:space="preserve">activity is chosen </w:t>
      </w:r>
      <w:r w:rsidR="00AA2FA3">
        <w:rPr>
          <w:rFonts w:eastAsia="Calibri"/>
        </w:rPr>
        <w:t>instead of 2019</w:t>
      </w:r>
      <w:r w:rsidR="007F5279">
        <w:rPr>
          <w:rFonts w:eastAsia="Calibri"/>
        </w:rPr>
        <w:t>–</w:t>
      </w:r>
      <w:r w:rsidR="00AA2FA3">
        <w:rPr>
          <w:rFonts w:eastAsia="Calibri"/>
        </w:rPr>
        <w:t>20</w:t>
      </w:r>
      <w:r w:rsidR="00F518A1">
        <w:rPr>
          <w:rFonts w:eastAsia="Calibri"/>
        </w:rPr>
        <w:t xml:space="preserve"> to</w:t>
      </w:r>
      <w:r w:rsidR="00744E4F">
        <w:rPr>
          <w:rFonts w:eastAsia="Calibri"/>
        </w:rPr>
        <w:t xml:space="preserve"> exclude the </w:t>
      </w:r>
      <w:r w:rsidR="00F518A1">
        <w:rPr>
          <w:rFonts w:eastAsia="Calibri"/>
        </w:rPr>
        <w:t xml:space="preserve">effect of </w:t>
      </w:r>
      <w:r w:rsidR="004D22D4">
        <w:rPr>
          <w:rFonts w:eastAsia="Calibri"/>
        </w:rPr>
        <w:t xml:space="preserve">the onset of the COVID-19 pandemic </w:t>
      </w:r>
      <w:r w:rsidR="00F518A1">
        <w:rPr>
          <w:rFonts w:eastAsia="Calibri"/>
        </w:rPr>
        <w:t xml:space="preserve">over </w:t>
      </w:r>
      <w:r w:rsidR="00AA2FA3">
        <w:rPr>
          <w:rFonts w:eastAsia="Calibri"/>
        </w:rPr>
        <w:t>the first 6 months of 2020.</w:t>
      </w:r>
    </w:p>
    <w:p w14:paraId="3183141E" w14:textId="18464D3C" w:rsidR="00561E6C" w:rsidRDefault="00561E6C" w:rsidP="00640FD5">
      <w:pPr>
        <w:rPr>
          <w:rFonts w:eastAsia="Calibri"/>
        </w:rPr>
      </w:pPr>
      <w:r w:rsidRPr="00704036">
        <w:rPr>
          <w:rFonts w:eastAsia="Calibri"/>
        </w:rPr>
        <w:t>Once applied to this activity, the resulting pair of mean model costs is calculated, and the change between the two cost models is defined as the change in these two mean values</w:t>
      </w:r>
      <w:r>
        <w:rPr>
          <w:rFonts w:eastAsia="Calibri"/>
        </w:rPr>
        <w:t>, as shown in Table 1</w:t>
      </w:r>
      <w:r w:rsidR="00176BB4">
        <w:rPr>
          <w:rFonts w:eastAsia="Calibri"/>
        </w:rPr>
        <w:t>7</w:t>
      </w:r>
      <w:r w:rsidRPr="00704036">
        <w:rPr>
          <w:rFonts w:eastAsia="Calibri"/>
        </w:rPr>
        <w:t xml:space="preserve">. This is referred to as the standardised change in cost models, with the associated growth referred to as the standardised growth rate. In other words, the growth between the </w:t>
      </w:r>
      <w:r w:rsidR="002B4587" w:rsidRPr="00801AF5">
        <w:rPr>
          <w:rFonts w:eastAsia="Calibri"/>
        </w:rPr>
        <w:t>201</w:t>
      </w:r>
      <w:r w:rsidR="002B4587">
        <w:rPr>
          <w:rFonts w:eastAsia="Calibri"/>
        </w:rPr>
        <w:t>8</w:t>
      </w:r>
      <w:r>
        <w:rPr>
          <w:rFonts w:eastAsia="Calibri"/>
        </w:rPr>
        <w:t>–</w:t>
      </w:r>
      <w:r w:rsidR="002B4587">
        <w:rPr>
          <w:rFonts w:eastAsia="Calibri"/>
        </w:rPr>
        <w:t>19</w:t>
      </w:r>
      <w:r w:rsidR="002B4587" w:rsidRPr="00801AF5">
        <w:rPr>
          <w:rFonts w:eastAsia="Calibri"/>
        </w:rPr>
        <w:t xml:space="preserve"> </w:t>
      </w:r>
      <w:r w:rsidRPr="00801AF5">
        <w:rPr>
          <w:rFonts w:eastAsia="Calibri"/>
        </w:rPr>
        <w:t xml:space="preserve">and </w:t>
      </w:r>
      <w:r w:rsidR="002B4587">
        <w:rPr>
          <w:rFonts w:eastAsia="Calibri"/>
        </w:rPr>
        <w:t>2019</w:t>
      </w:r>
      <w:r>
        <w:rPr>
          <w:rFonts w:eastAsia="Calibri"/>
        </w:rPr>
        <w:t>–</w:t>
      </w:r>
      <w:r w:rsidR="002B4587">
        <w:rPr>
          <w:rFonts w:eastAsia="Calibri"/>
        </w:rPr>
        <w:t>20</w:t>
      </w:r>
      <w:r w:rsidR="002B4587" w:rsidRPr="00704036">
        <w:rPr>
          <w:rFonts w:eastAsia="Calibri"/>
        </w:rPr>
        <w:t xml:space="preserve"> </w:t>
      </w:r>
      <w:r w:rsidRPr="00704036">
        <w:rPr>
          <w:rFonts w:eastAsia="Calibri"/>
        </w:rPr>
        <w:t xml:space="preserve">cost models is standardised against </w:t>
      </w:r>
      <w:r w:rsidR="002B4587">
        <w:rPr>
          <w:rFonts w:eastAsia="Calibri"/>
        </w:rPr>
        <w:t>201</w:t>
      </w:r>
      <w:r w:rsidR="00F518A1">
        <w:rPr>
          <w:rFonts w:eastAsia="Calibri"/>
        </w:rPr>
        <w:t>8</w:t>
      </w:r>
      <w:r>
        <w:rPr>
          <w:rFonts w:eastAsia="Calibri"/>
        </w:rPr>
        <w:t>–</w:t>
      </w:r>
      <w:r w:rsidR="00F518A1">
        <w:rPr>
          <w:rFonts w:eastAsia="Calibri"/>
        </w:rPr>
        <w:t>19</w:t>
      </w:r>
      <w:r w:rsidR="002B4587" w:rsidRPr="00704036">
        <w:rPr>
          <w:rFonts w:eastAsia="Calibri"/>
        </w:rPr>
        <w:t xml:space="preserve"> </w:t>
      </w:r>
      <w:r w:rsidRPr="00704036">
        <w:rPr>
          <w:rFonts w:eastAsia="Calibri"/>
        </w:rPr>
        <w:t>activity.</w:t>
      </w:r>
    </w:p>
    <w:p w14:paraId="0CA79373" w14:textId="72524DD9" w:rsidR="00561E6C" w:rsidRPr="00453A66" w:rsidRDefault="00561E6C" w:rsidP="00640FD5">
      <w:pPr>
        <w:rPr>
          <w:rFonts w:eastAsia="Calibri"/>
        </w:rPr>
      </w:pPr>
      <w:r w:rsidRPr="00CC15B6">
        <w:t>Table 1</w:t>
      </w:r>
      <w:r w:rsidR="00302145">
        <w:t>6</w:t>
      </w:r>
      <w:r w:rsidRPr="00A47F5F">
        <w:rPr>
          <w:rFonts w:eastAsia="Calibri"/>
        </w:rPr>
        <w:t xml:space="preserve"> shows the mean model costs of each model based on their application to the </w:t>
      </w:r>
      <w:r w:rsidR="002B4587">
        <w:rPr>
          <w:rFonts w:eastAsia="Calibri"/>
        </w:rPr>
        <w:t>20</w:t>
      </w:r>
      <w:r w:rsidR="00F518A1">
        <w:rPr>
          <w:rFonts w:eastAsia="Calibri"/>
        </w:rPr>
        <w:t>18</w:t>
      </w:r>
      <w:r>
        <w:rPr>
          <w:rFonts w:eastAsia="Calibri"/>
        </w:rPr>
        <w:t>–</w:t>
      </w:r>
      <w:r w:rsidR="00F518A1">
        <w:rPr>
          <w:rFonts w:eastAsia="Calibri"/>
        </w:rPr>
        <w:t>19</w:t>
      </w:r>
      <w:r w:rsidR="002B4587" w:rsidRPr="00704036">
        <w:rPr>
          <w:rFonts w:eastAsia="Calibri"/>
        </w:rPr>
        <w:t xml:space="preserve"> </w:t>
      </w:r>
      <w:r w:rsidRPr="00704036">
        <w:rPr>
          <w:rFonts w:eastAsia="Calibri"/>
        </w:rPr>
        <w:t xml:space="preserve">ABF </w:t>
      </w:r>
      <w:r w:rsidRPr="00453A66">
        <w:rPr>
          <w:rFonts w:eastAsia="Calibri"/>
        </w:rPr>
        <w:t>activity along with the resulting standardised growth rate.</w:t>
      </w:r>
    </w:p>
    <w:p w14:paraId="13D0605F" w14:textId="77777777" w:rsidR="00561E6C" w:rsidRPr="002C6265" w:rsidRDefault="00561E6C" w:rsidP="00836FC5">
      <w:pPr>
        <w:pStyle w:val="TableHeading"/>
      </w:pPr>
      <w:r w:rsidRPr="002C6265">
        <w:t xml:space="preserve">Table </w:t>
      </w:r>
      <w:r w:rsidRPr="002C6265">
        <w:rPr>
          <w:noProof/>
        </w:rPr>
        <w:t>1</w:t>
      </w:r>
      <w:r w:rsidR="00302145">
        <w:rPr>
          <w:noProof/>
        </w:rPr>
        <w:t>6</w:t>
      </w:r>
      <w:r w:rsidRPr="002C6265">
        <w:t xml:space="preserve">: Mean model costs when each cost model is applied to </w:t>
      </w:r>
      <w:r w:rsidR="00A470C6">
        <w:t>2018</w:t>
      </w:r>
      <w:r>
        <w:t>–1</w:t>
      </w:r>
      <w:r w:rsidR="00A470C6">
        <w:t>9</w:t>
      </w:r>
      <w:r w:rsidRPr="002C6265">
        <w:t xml:space="preserve"> in-scope admitted acute activity data, and resulting standardised growth rate</w:t>
      </w:r>
    </w:p>
    <w:tbl>
      <w:tblPr>
        <w:tblStyle w:val="TableGrid1"/>
        <w:tblW w:w="0" w:type="auto"/>
        <w:tblInd w:w="85" w:type="dxa"/>
        <w:tblLook w:val="04A0" w:firstRow="1" w:lastRow="0" w:firstColumn="1" w:lastColumn="0" w:noHBand="0" w:noVBand="1"/>
        <w:tblCaption w:val="Table 15: Mean model costs when each cost model is applied to 2015-16 in-scope admitted acute activity data, and resulting standardised growth rate."/>
        <w:tblDescription w:val="A summary of table 1 is outlined in the text prior to this table."/>
      </w:tblPr>
      <w:tblGrid>
        <w:gridCol w:w="2476"/>
        <w:gridCol w:w="2476"/>
        <w:gridCol w:w="2476"/>
      </w:tblGrid>
      <w:tr w:rsidR="00561E6C" w:rsidRPr="002C6265" w14:paraId="1F9073A8" w14:textId="77777777" w:rsidTr="05C042F0">
        <w:trPr>
          <w:tblHeader/>
        </w:trPr>
        <w:tc>
          <w:tcPr>
            <w:tcW w:w="2476" w:type="dxa"/>
            <w:shd w:val="clear" w:color="auto" w:fill="288A32"/>
          </w:tcPr>
          <w:p w14:paraId="3C0DDBD4" w14:textId="68B95852" w:rsidR="00561E6C" w:rsidRPr="00521F7C" w:rsidRDefault="00561E6C" w:rsidP="00961168">
            <w:pPr>
              <w:spacing w:line="240" w:lineRule="auto"/>
              <w:rPr>
                <w:rFonts w:asciiTheme="majorHAnsi" w:eastAsia="Times New Roman" w:hAnsiTheme="majorHAnsi" w:cstheme="majorHAnsi"/>
                <w:b/>
                <w:color w:val="FFFFFF" w:themeColor="background1"/>
                <w:sz w:val="20"/>
                <w:szCs w:val="20"/>
                <w:lang w:eastAsia="en-AU"/>
              </w:rPr>
            </w:pPr>
            <w:r w:rsidRPr="00521F7C">
              <w:rPr>
                <w:rFonts w:asciiTheme="majorHAnsi" w:hAnsiTheme="majorHAnsi" w:cstheme="majorHAnsi"/>
                <w:b/>
                <w:color w:val="FFFFFF" w:themeColor="background1"/>
                <w:sz w:val="20"/>
                <w:szCs w:val="20"/>
              </w:rPr>
              <w:t>201</w:t>
            </w:r>
            <w:r w:rsidR="008D7758">
              <w:rPr>
                <w:rFonts w:asciiTheme="majorHAnsi" w:hAnsiTheme="majorHAnsi" w:cstheme="majorHAnsi"/>
                <w:b/>
                <w:color w:val="FFFFFF" w:themeColor="background1"/>
                <w:sz w:val="20"/>
                <w:szCs w:val="20"/>
              </w:rPr>
              <w:t>8</w:t>
            </w:r>
            <w:r w:rsidRPr="00521F7C">
              <w:rPr>
                <w:rFonts w:asciiTheme="majorHAnsi" w:hAnsiTheme="majorHAnsi" w:cstheme="majorHAnsi"/>
                <w:b/>
                <w:color w:val="FFFFFF" w:themeColor="background1"/>
                <w:sz w:val="20"/>
                <w:szCs w:val="20"/>
              </w:rPr>
              <w:t>–1</w:t>
            </w:r>
            <w:r w:rsidR="008D7758">
              <w:rPr>
                <w:rFonts w:asciiTheme="majorHAnsi" w:hAnsiTheme="majorHAnsi" w:cstheme="majorHAnsi"/>
                <w:b/>
                <w:color w:val="FFFFFF" w:themeColor="background1"/>
                <w:sz w:val="20"/>
                <w:szCs w:val="20"/>
              </w:rPr>
              <w:t>9</w:t>
            </w:r>
            <w:r w:rsidRPr="00521F7C">
              <w:rPr>
                <w:rFonts w:asciiTheme="majorHAnsi" w:hAnsiTheme="majorHAnsi" w:cstheme="majorHAnsi"/>
                <w:b/>
                <w:color w:val="FFFFFF" w:themeColor="background1"/>
                <w:sz w:val="20"/>
                <w:szCs w:val="20"/>
              </w:rPr>
              <w:t xml:space="preserve"> cost model</w:t>
            </w:r>
          </w:p>
        </w:tc>
        <w:tc>
          <w:tcPr>
            <w:tcW w:w="2476" w:type="dxa"/>
            <w:shd w:val="clear" w:color="auto" w:fill="288A32"/>
          </w:tcPr>
          <w:p w14:paraId="7AB71A25" w14:textId="2B1A46C4" w:rsidR="00561E6C" w:rsidRPr="00521F7C" w:rsidRDefault="00561E6C" w:rsidP="00961168">
            <w:pPr>
              <w:spacing w:line="240" w:lineRule="auto"/>
              <w:rPr>
                <w:rFonts w:asciiTheme="majorHAnsi" w:hAnsiTheme="majorHAnsi" w:cstheme="majorHAnsi"/>
                <w:b/>
                <w:color w:val="FFFFFF" w:themeColor="background1"/>
                <w:sz w:val="20"/>
                <w:szCs w:val="20"/>
              </w:rPr>
            </w:pPr>
            <w:r w:rsidRPr="00521F7C">
              <w:rPr>
                <w:rFonts w:asciiTheme="majorHAnsi" w:hAnsiTheme="majorHAnsi" w:cstheme="majorHAnsi"/>
                <w:b/>
                <w:color w:val="FFFFFF" w:themeColor="background1"/>
                <w:sz w:val="20"/>
                <w:szCs w:val="20"/>
              </w:rPr>
              <w:t>201</w:t>
            </w:r>
            <w:r w:rsidR="008D7758">
              <w:rPr>
                <w:rFonts w:asciiTheme="majorHAnsi" w:hAnsiTheme="majorHAnsi" w:cstheme="majorHAnsi"/>
                <w:b/>
                <w:color w:val="FFFFFF" w:themeColor="background1"/>
                <w:sz w:val="20"/>
                <w:szCs w:val="20"/>
              </w:rPr>
              <w:t>9</w:t>
            </w:r>
            <w:r w:rsidRPr="00521F7C">
              <w:rPr>
                <w:rFonts w:asciiTheme="majorHAnsi" w:hAnsiTheme="majorHAnsi" w:cstheme="majorHAnsi"/>
                <w:b/>
                <w:color w:val="FFFFFF" w:themeColor="background1"/>
                <w:sz w:val="20"/>
                <w:szCs w:val="20"/>
              </w:rPr>
              <w:t>–</w:t>
            </w:r>
            <w:r w:rsidR="008D7758">
              <w:rPr>
                <w:rFonts w:asciiTheme="majorHAnsi" w:hAnsiTheme="majorHAnsi" w:cstheme="majorHAnsi"/>
                <w:b/>
                <w:color w:val="FFFFFF" w:themeColor="background1"/>
                <w:sz w:val="20"/>
                <w:szCs w:val="20"/>
              </w:rPr>
              <w:t>20</w:t>
            </w:r>
            <w:r w:rsidRPr="00521F7C">
              <w:rPr>
                <w:rFonts w:asciiTheme="majorHAnsi" w:hAnsiTheme="majorHAnsi" w:cstheme="majorHAnsi"/>
                <w:b/>
                <w:color w:val="FFFFFF" w:themeColor="background1"/>
                <w:sz w:val="20"/>
                <w:szCs w:val="20"/>
              </w:rPr>
              <w:t xml:space="preserve"> cost model</w:t>
            </w:r>
          </w:p>
        </w:tc>
        <w:tc>
          <w:tcPr>
            <w:tcW w:w="2476" w:type="dxa"/>
            <w:shd w:val="clear" w:color="auto" w:fill="288A32"/>
          </w:tcPr>
          <w:p w14:paraId="5D72FE3E" w14:textId="77777777" w:rsidR="00561E6C" w:rsidRPr="00521F7C" w:rsidRDefault="00561E6C" w:rsidP="00961168">
            <w:pPr>
              <w:spacing w:line="240" w:lineRule="auto"/>
              <w:rPr>
                <w:rFonts w:asciiTheme="majorHAnsi" w:eastAsia="Times New Roman" w:hAnsiTheme="majorHAnsi" w:cstheme="majorHAnsi"/>
                <w:b/>
                <w:color w:val="FFFFFF" w:themeColor="background1"/>
                <w:sz w:val="20"/>
                <w:szCs w:val="20"/>
                <w:lang w:eastAsia="en-AU"/>
              </w:rPr>
            </w:pPr>
            <w:r w:rsidRPr="00521F7C">
              <w:rPr>
                <w:rFonts w:asciiTheme="majorHAnsi" w:hAnsiTheme="majorHAnsi" w:cstheme="majorHAnsi"/>
                <w:b/>
                <w:color w:val="FFFFFF" w:themeColor="background1"/>
                <w:sz w:val="20"/>
                <w:szCs w:val="20"/>
              </w:rPr>
              <w:t>Standardised growth rate</w:t>
            </w:r>
          </w:p>
        </w:tc>
      </w:tr>
      <w:tr w:rsidR="00561E6C" w:rsidRPr="002C6265" w14:paraId="680EE160" w14:textId="77777777" w:rsidTr="05C042F0">
        <w:tc>
          <w:tcPr>
            <w:tcW w:w="2476" w:type="dxa"/>
            <w:shd w:val="clear" w:color="auto" w:fill="FFFFFF" w:themeFill="background2"/>
          </w:tcPr>
          <w:p w14:paraId="03B1B36D" w14:textId="1F450EB3" w:rsidR="00561E6C" w:rsidRPr="008112D3" w:rsidRDefault="00561E6C">
            <w:pPr>
              <w:spacing w:line="240" w:lineRule="auto"/>
              <w:jc w:val="center"/>
              <w:rPr>
                <w:rFonts w:asciiTheme="minorHAnsi" w:eastAsiaTheme="minorEastAsia" w:hAnsiTheme="minorHAnsi" w:cstheme="minorBidi"/>
                <w:b/>
                <w:bCs/>
                <w:sz w:val="20"/>
                <w:szCs w:val="20"/>
                <w:lang w:eastAsia="en-AU"/>
              </w:rPr>
            </w:pPr>
            <w:r w:rsidRPr="00E62A97">
              <w:rPr>
                <w:sz w:val="20"/>
                <w:szCs w:val="20"/>
              </w:rPr>
              <w:t>$4,744</w:t>
            </w:r>
          </w:p>
        </w:tc>
        <w:tc>
          <w:tcPr>
            <w:tcW w:w="2476" w:type="dxa"/>
          </w:tcPr>
          <w:p w14:paraId="533D0356" w14:textId="21CC0945" w:rsidR="00561E6C" w:rsidRPr="00584734" w:rsidRDefault="00634954" w:rsidP="004A03A2">
            <w:pPr>
              <w:tabs>
                <w:tab w:val="left" w:pos="840"/>
                <w:tab w:val="center" w:pos="1362"/>
              </w:tabs>
              <w:spacing w:line="240" w:lineRule="auto"/>
              <w:jc w:val="center"/>
              <w:rPr>
                <w:sz w:val="20"/>
                <w:szCs w:val="20"/>
                <w:highlight w:val="yellow"/>
              </w:rPr>
            </w:pPr>
            <w:r>
              <w:rPr>
                <w:sz w:val="20"/>
                <w:szCs w:val="20"/>
              </w:rPr>
              <w:t>$</w:t>
            </w:r>
            <w:r w:rsidR="002734CD">
              <w:rPr>
                <w:sz w:val="20"/>
                <w:szCs w:val="20"/>
              </w:rPr>
              <w:t>4,873</w:t>
            </w:r>
          </w:p>
        </w:tc>
        <w:tc>
          <w:tcPr>
            <w:tcW w:w="2476" w:type="dxa"/>
            <w:shd w:val="clear" w:color="auto" w:fill="auto"/>
          </w:tcPr>
          <w:p w14:paraId="66B5D08F" w14:textId="150674DB" w:rsidR="00561E6C" w:rsidRPr="008112D3" w:rsidRDefault="05C042F0">
            <w:pPr>
              <w:tabs>
                <w:tab w:val="left" w:pos="840"/>
                <w:tab w:val="center" w:pos="1362"/>
              </w:tabs>
              <w:spacing w:line="240" w:lineRule="auto"/>
              <w:jc w:val="center"/>
              <w:rPr>
                <w:rFonts w:asciiTheme="minorHAnsi" w:eastAsiaTheme="minorEastAsia" w:hAnsiTheme="minorHAnsi" w:cstheme="minorBidi"/>
                <w:b/>
                <w:bCs/>
                <w:sz w:val="20"/>
                <w:szCs w:val="20"/>
                <w:lang w:eastAsia="en-AU"/>
              </w:rPr>
            </w:pPr>
            <w:r w:rsidDel="00634954">
              <w:rPr>
                <w:sz w:val="20"/>
                <w:szCs w:val="20"/>
              </w:rPr>
              <w:t>2.7%</w:t>
            </w:r>
          </w:p>
        </w:tc>
      </w:tr>
    </w:tbl>
    <w:p w14:paraId="1DE92181" w14:textId="6777CF79" w:rsidR="00561E6C" w:rsidRPr="002C6265" w:rsidRDefault="00561E6C" w:rsidP="00561E6C">
      <w:pPr>
        <w:spacing w:before="100" w:beforeAutospacing="1" w:line="240" w:lineRule="auto"/>
        <w:rPr>
          <w:rFonts w:eastAsia="Calibri" w:cstheme="minorHAnsi"/>
        </w:rPr>
      </w:pPr>
      <w:r w:rsidRPr="002C6265">
        <w:rPr>
          <w:rFonts w:eastAsia="Calibri" w:cstheme="minorHAnsi"/>
        </w:rPr>
        <w:t xml:space="preserve">Finally, the </w:t>
      </w:r>
      <w:r w:rsidR="002B4587">
        <w:rPr>
          <w:rFonts w:eastAsia="Calibri" w:cstheme="minorHAnsi"/>
        </w:rPr>
        <w:t>2019</w:t>
      </w:r>
      <w:r>
        <w:rPr>
          <w:rFonts w:eastAsia="Calibri" w:cstheme="minorHAnsi"/>
        </w:rPr>
        <w:t>–</w:t>
      </w:r>
      <w:r w:rsidR="002B4587">
        <w:rPr>
          <w:rFonts w:eastAsia="Calibri" w:cstheme="minorHAnsi"/>
        </w:rPr>
        <w:t>20</w:t>
      </w:r>
      <w:r w:rsidR="002B4587" w:rsidRPr="002C6265">
        <w:rPr>
          <w:rFonts w:eastAsia="Calibri" w:cstheme="minorHAnsi"/>
        </w:rPr>
        <w:t xml:space="preserve"> </w:t>
      </w:r>
      <w:r w:rsidRPr="002C6265">
        <w:rPr>
          <w:rFonts w:eastAsia="Calibri" w:cstheme="minorHAnsi"/>
        </w:rPr>
        <w:t xml:space="preserve">reference cost is defined as the </w:t>
      </w:r>
      <w:r w:rsidR="002B4587">
        <w:rPr>
          <w:rFonts w:eastAsia="Calibri" w:cstheme="minorHAnsi"/>
        </w:rPr>
        <w:t>2018</w:t>
      </w:r>
      <w:r>
        <w:rPr>
          <w:rFonts w:eastAsia="Calibri" w:cstheme="minorHAnsi"/>
        </w:rPr>
        <w:t>–</w:t>
      </w:r>
      <w:r w:rsidR="002B4587">
        <w:rPr>
          <w:rFonts w:eastAsia="Calibri" w:cstheme="minorHAnsi"/>
        </w:rPr>
        <w:t>19</w:t>
      </w:r>
      <w:r w:rsidR="002B4587" w:rsidRPr="002C6265">
        <w:rPr>
          <w:rFonts w:eastAsia="Calibri" w:cstheme="minorHAnsi"/>
        </w:rPr>
        <w:t xml:space="preserve"> </w:t>
      </w:r>
      <w:r w:rsidRPr="002C6265">
        <w:rPr>
          <w:rFonts w:eastAsia="Calibri" w:cstheme="minorHAnsi"/>
        </w:rPr>
        <w:t xml:space="preserve">reference cost indexed by the standardised growth rate; that is, the </w:t>
      </w:r>
      <w:r w:rsidR="002B4587">
        <w:rPr>
          <w:rFonts w:cstheme="minorHAnsi"/>
        </w:rPr>
        <w:t>2019</w:t>
      </w:r>
      <w:r>
        <w:rPr>
          <w:rFonts w:cstheme="minorHAnsi"/>
        </w:rPr>
        <w:t>–</w:t>
      </w:r>
      <w:r w:rsidR="002B4587">
        <w:rPr>
          <w:rFonts w:cstheme="minorHAnsi"/>
        </w:rPr>
        <w:t xml:space="preserve">20 </w:t>
      </w:r>
      <w:r w:rsidRPr="002C6265">
        <w:rPr>
          <w:rFonts w:cstheme="minorHAnsi"/>
        </w:rPr>
        <w:t>reference cost:</w:t>
      </w:r>
    </w:p>
    <w:p w14:paraId="13B70E7C" w14:textId="02E6912A" w:rsidR="00561E6C" w:rsidRPr="002C6265" w:rsidRDefault="00561E6C" w:rsidP="00561E6C">
      <w:pPr>
        <w:spacing w:line="240" w:lineRule="auto"/>
        <w:ind w:left="2880"/>
        <w:rPr>
          <w:rFonts w:eastAsia="Calibri" w:cstheme="minorHAnsi"/>
        </w:rPr>
      </w:pPr>
      <w:r w:rsidRPr="002C6265">
        <w:rPr>
          <w:rFonts w:cstheme="minorHAnsi"/>
        </w:rPr>
        <w:t>= (</w:t>
      </w:r>
      <w:r w:rsidR="002B4587">
        <w:rPr>
          <w:rFonts w:cstheme="minorHAnsi"/>
        </w:rPr>
        <w:t>2018</w:t>
      </w:r>
      <w:r>
        <w:rPr>
          <w:rFonts w:cstheme="minorHAnsi"/>
        </w:rPr>
        <w:t>–</w:t>
      </w:r>
      <w:r w:rsidR="002B4587">
        <w:rPr>
          <w:rFonts w:cstheme="minorHAnsi"/>
        </w:rPr>
        <w:t>19</w:t>
      </w:r>
      <w:r w:rsidR="002B4587" w:rsidRPr="002C6265">
        <w:rPr>
          <w:rFonts w:cstheme="minorHAnsi"/>
        </w:rPr>
        <w:t xml:space="preserve"> </w:t>
      </w:r>
      <w:r w:rsidRPr="002C6265">
        <w:rPr>
          <w:rFonts w:cstheme="minorHAnsi"/>
        </w:rPr>
        <w:t>reference cost) × (standardised growth rate)</w:t>
      </w:r>
    </w:p>
    <w:p w14:paraId="70B35C7F" w14:textId="59C8920C" w:rsidR="00561E6C" w:rsidRPr="00147EF1" w:rsidRDefault="64EBEF88" w:rsidP="05C042F0">
      <w:pPr>
        <w:spacing w:line="240" w:lineRule="auto"/>
        <w:ind w:left="2880"/>
        <w:rPr>
          <w:rFonts w:cstheme="minorBidi"/>
        </w:rPr>
      </w:pPr>
      <w:r w:rsidRPr="05C042F0">
        <w:rPr>
          <w:rFonts w:cstheme="minorBidi"/>
        </w:rPr>
        <w:t>= $</w:t>
      </w:r>
      <w:r w:rsidR="12188EFC" w:rsidRPr="05C042F0">
        <w:rPr>
          <w:rFonts w:cstheme="minorBidi"/>
        </w:rPr>
        <w:t>5,167</w:t>
      </w:r>
      <w:r w:rsidR="394D8B8C" w:rsidRPr="05C042F0">
        <w:rPr>
          <w:rFonts w:cstheme="minorBidi"/>
        </w:rPr>
        <w:t xml:space="preserve"> </w:t>
      </w:r>
      <w:r w:rsidRPr="05C042F0">
        <w:rPr>
          <w:rFonts w:cstheme="minorBidi"/>
        </w:rPr>
        <w:t xml:space="preserve">× </w:t>
      </w:r>
      <w:r w:rsidRPr="00147EF1">
        <w:rPr>
          <w:rFonts w:cstheme="minorBidi"/>
        </w:rPr>
        <w:t>102.7%</w:t>
      </w:r>
    </w:p>
    <w:p w14:paraId="2BF06FD8" w14:textId="20AD93E5" w:rsidR="00561E6C" w:rsidRPr="00147EF1" w:rsidRDefault="64EBEF88">
      <w:pPr>
        <w:spacing w:line="240" w:lineRule="auto"/>
        <w:ind w:left="2880"/>
        <w:rPr>
          <w:rFonts w:cstheme="minorBidi"/>
        </w:rPr>
      </w:pPr>
      <w:r w:rsidRPr="00147EF1">
        <w:rPr>
          <w:rFonts w:cstheme="minorBidi"/>
        </w:rPr>
        <w:t xml:space="preserve">= </w:t>
      </w:r>
      <w:r w:rsidR="05C042F0" w:rsidRPr="00147EF1">
        <w:rPr>
          <w:rFonts w:cstheme="minorBidi"/>
        </w:rPr>
        <w:t>$5,307</w:t>
      </w:r>
    </w:p>
    <w:p w14:paraId="41FF871D" w14:textId="294ECAC6" w:rsidR="00561E6C" w:rsidRPr="00FE5CF0" w:rsidRDefault="00561E6C" w:rsidP="00561E6C">
      <w:pPr>
        <w:spacing w:before="100" w:beforeAutospacing="1" w:after="100" w:afterAutospacing="1" w:line="240" w:lineRule="auto"/>
        <w:rPr>
          <w:rFonts w:eastAsia="Calibri" w:cstheme="minorHAnsi"/>
        </w:rPr>
      </w:pPr>
      <w:r w:rsidRPr="002C6265">
        <w:rPr>
          <w:rFonts w:eastAsia="Calibri" w:cstheme="minorHAnsi"/>
        </w:rPr>
        <w:lastRenderedPageBreak/>
        <w:t xml:space="preserve">Both </w:t>
      </w:r>
      <w:r w:rsidR="002B4587">
        <w:rPr>
          <w:rFonts w:eastAsia="Calibri" w:cstheme="minorHAnsi"/>
        </w:rPr>
        <w:t>2018</w:t>
      </w:r>
      <w:r>
        <w:rPr>
          <w:rFonts w:eastAsia="Calibri" w:cstheme="minorHAnsi"/>
        </w:rPr>
        <w:t>–</w:t>
      </w:r>
      <w:r w:rsidR="002B4587">
        <w:rPr>
          <w:rFonts w:eastAsia="Calibri" w:cstheme="minorHAnsi"/>
        </w:rPr>
        <w:t xml:space="preserve">19 </w:t>
      </w:r>
      <w:r w:rsidRPr="002C6265">
        <w:rPr>
          <w:rFonts w:eastAsia="Calibri" w:cstheme="minorHAnsi"/>
        </w:rPr>
        <w:t xml:space="preserve">and </w:t>
      </w:r>
      <w:r w:rsidR="002B4587">
        <w:rPr>
          <w:rFonts w:eastAsia="Calibri" w:cstheme="minorHAnsi"/>
        </w:rPr>
        <w:t>2019</w:t>
      </w:r>
      <w:r>
        <w:rPr>
          <w:rFonts w:eastAsia="Calibri" w:cstheme="minorHAnsi"/>
        </w:rPr>
        <w:t>–</w:t>
      </w:r>
      <w:r w:rsidR="002B4587">
        <w:rPr>
          <w:rFonts w:eastAsia="Calibri" w:cstheme="minorHAnsi"/>
        </w:rPr>
        <w:t xml:space="preserve">20 </w:t>
      </w:r>
      <w:r w:rsidRPr="002C6265">
        <w:rPr>
          <w:rFonts w:eastAsia="Calibri" w:cstheme="minorHAnsi"/>
        </w:rPr>
        <w:t xml:space="preserve">reference costs are given in </w:t>
      </w:r>
      <w:r w:rsidRPr="002C6265">
        <w:t>Table 1</w:t>
      </w:r>
      <w:r w:rsidR="00302145">
        <w:t>7</w:t>
      </w:r>
      <w:r>
        <w:t>.</w:t>
      </w:r>
    </w:p>
    <w:p w14:paraId="02EF2E9E" w14:textId="3B9D8349" w:rsidR="00561E6C" w:rsidRPr="000351BD" w:rsidRDefault="00561E6C" w:rsidP="00836FC5">
      <w:pPr>
        <w:pStyle w:val="TableHeading"/>
      </w:pPr>
      <w:r w:rsidRPr="000351BD">
        <w:t xml:space="preserve">Table </w:t>
      </w:r>
      <w:r w:rsidR="00176BB4">
        <w:rPr>
          <w:noProof/>
        </w:rPr>
        <w:t>1</w:t>
      </w:r>
      <w:r w:rsidR="00302145">
        <w:rPr>
          <w:noProof/>
        </w:rPr>
        <w:t>7</w:t>
      </w:r>
      <w:r w:rsidRPr="000351BD">
        <w:t xml:space="preserve">: Reference costs for </w:t>
      </w:r>
      <w:r w:rsidR="002B4587">
        <w:t>2018</w:t>
      </w:r>
      <w:r>
        <w:t>–</w:t>
      </w:r>
      <w:r w:rsidR="002B4587">
        <w:t>19</w:t>
      </w:r>
      <w:r w:rsidR="002B4587" w:rsidRPr="000351BD">
        <w:t xml:space="preserve"> </w:t>
      </w:r>
      <w:r w:rsidRPr="000351BD">
        <w:t xml:space="preserve">and </w:t>
      </w:r>
      <w:r w:rsidR="002B4587">
        <w:t>2019</w:t>
      </w:r>
      <w:r>
        <w:t>–</w:t>
      </w:r>
      <w:r w:rsidR="002B4587">
        <w:t>20</w:t>
      </w:r>
      <w:r w:rsidR="002B4587" w:rsidRPr="000351BD">
        <w:t xml:space="preserve"> </w:t>
      </w:r>
      <w:r w:rsidRPr="000351BD">
        <w:t>cost models.</w:t>
      </w:r>
    </w:p>
    <w:tbl>
      <w:tblPr>
        <w:tblStyle w:val="TableGrid1"/>
        <w:tblW w:w="0" w:type="auto"/>
        <w:tblInd w:w="85" w:type="dxa"/>
        <w:tblLook w:val="04A0" w:firstRow="1" w:lastRow="0" w:firstColumn="1" w:lastColumn="0" w:noHBand="0" w:noVBand="1"/>
        <w:tblCaption w:val="Table 16: Reference costs for 2014-15 and 2015-16 cost models."/>
        <w:tblDescription w:val="A summary of table 2 is outlined in the text prior to this table."/>
      </w:tblPr>
      <w:tblGrid>
        <w:gridCol w:w="2268"/>
        <w:gridCol w:w="2268"/>
      </w:tblGrid>
      <w:tr w:rsidR="00561E6C" w:rsidRPr="001B60A0" w14:paraId="5932CD88" w14:textId="77777777" w:rsidTr="6886BF09">
        <w:trPr>
          <w:tblHeader/>
        </w:trPr>
        <w:tc>
          <w:tcPr>
            <w:tcW w:w="2268" w:type="dxa"/>
            <w:shd w:val="clear" w:color="auto" w:fill="288A32"/>
          </w:tcPr>
          <w:p w14:paraId="2CDC1707" w14:textId="4E5B5DAB" w:rsidR="00561E6C" w:rsidRPr="00C213C1" w:rsidRDefault="00561E6C" w:rsidP="00961168">
            <w:pPr>
              <w:spacing w:line="240" w:lineRule="auto"/>
              <w:rPr>
                <w:rFonts w:asciiTheme="majorHAnsi" w:hAnsiTheme="majorHAnsi" w:cstheme="majorHAnsi"/>
                <w:b/>
                <w:color w:val="FFFFFF" w:themeColor="background1"/>
                <w:sz w:val="20"/>
                <w:szCs w:val="20"/>
              </w:rPr>
            </w:pPr>
            <w:r w:rsidRPr="00C213C1">
              <w:rPr>
                <w:rFonts w:asciiTheme="majorHAnsi" w:hAnsiTheme="majorHAnsi" w:cstheme="majorHAnsi"/>
                <w:b/>
                <w:color w:val="FFFFFF" w:themeColor="background1"/>
                <w:sz w:val="20"/>
                <w:szCs w:val="20"/>
              </w:rPr>
              <w:t>201</w:t>
            </w:r>
            <w:r w:rsidR="00215B46">
              <w:rPr>
                <w:rFonts w:asciiTheme="majorHAnsi" w:hAnsiTheme="majorHAnsi" w:cstheme="majorHAnsi"/>
                <w:b/>
                <w:color w:val="FFFFFF" w:themeColor="background1"/>
                <w:sz w:val="20"/>
                <w:szCs w:val="20"/>
              </w:rPr>
              <w:t>8</w:t>
            </w:r>
            <w:r w:rsidRPr="00C213C1">
              <w:rPr>
                <w:rFonts w:asciiTheme="majorHAnsi" w:hAnsiTheme="majorHAnsi" w:cstheme="majorHAnsi"/>
                <w:b/>
                <w:color w:val="FFFFFF" w:themeColor="background1"/>
                <w:sz w:val="20"/>
                <w:szCs w:val="20"/>
              </w:rPr>
              <w:t>–1</w:t>
            </w:r>
            <w:r w:rsidR="00215B46">
              <w:rPr>
                <w:rFonts w:asciiTheme="majorHAnsi" w:hAnsiTheme="majorHAnsi" w:cstheme="majorHAnsi"/>
                <w:b/>
                <w:color w:val="FFFFFF" w:themeColor="background1"/>
                <w:sz w:val="20"/>
                <w:szCs w:val="20"/>
              </w:rPr>
              <w:t>9</w:t>
            </w:r>
            <w:r w:rsidRPr="00C213C1">
              <w:rPr>
                <w:rFonts w:asciiTheme="majorHAnsi" w:hAnsiTheme="majorHAnsi" w:cstheme="majorHAnsi"/>
                <w:b/>
                <w:color w:val="FFFFFF" w:themeColor="background1"/>
                <w:sz w:val="20"/>
                <w:szCs w:val="20"/>
              </w:rPr>
              <w:t xml:space="preserve"> cost model </w:t>
            </w:r>
          </w:p>
        </w:tc>
        <w:tc>
          <w:tcPr>
            <w:tcW w:w="2268" w:type="dxa"/>
            <w:shd w:val="clear" w:color="auto" w:fill="288A32"/>
          </w:tcPr>
          <w:p w14:paraId="126C20CB" w14:textId="17CD7079" w:rsidR="00561E6C" w:rsidRPr="00C213C1" w:rsidRDefault="00561E6C" w:rsidP="00961168">
            <w:pPr>
              <w:spacing w:line="240" w:lineRule="auto"/>
              <w:rPr>
                <w:rFonts w:asciiTheme="majorHAnsi" w:hAnsiTheme="majorHAnsi" w:cstheme="majorHAnsi"/>
                <w:b/>
                <w:color w:val="FFFFFF" w:themeColor="background1"/>
                <w:sz w:val="20"/>
                <w:szCs w:val="20"/>
              </w:rPr>
            </w:pPr>
            <w:r w:rsidRPr="00C213C1">
              <w:rPr>
                <w:rFonts w:asciiTheme="majorHAnsi" w:hAnsiTheme="majorHAnsi" w:cstheme="majorHAnsi"/>
                <w:b/>
                <w:color w:val="FFFFFF" w:themeColor="background1"/>
                <w:sz w:val="20"/>
                <w:szCs w:val="20"/>
              </w:rPr>
              <w:t>201</w:t>
            </w:r>
            <w:r w:rsidR="00215B46">
              <w:rPr>
                <w:rFonts w:asciiTheme="majorHAnsi" w:hAnsiTheme="majorHAnsi" w:cstheme="majorHAnsi"/>
                <w:b/>
                <w:color w:val="FFFFFF" w:themeColor="background1"/>
                <w:sz w:val="20"/>
                <w:szCs w:val="20"/>
              </w:rPr>
              <w:t>9</w:t>
            </w:r>
            <w:r w:rsidRPr="00C213C1">
              <w:rPr>
                <w:rFonts w:asciiTheme="majorHAnsi" w:hAnsiTheme="majorHAnsi" w:cstheme="majorHAnsi"/>
                <w:b/>
                <w:color w:val="FFFFFF" w:themeColor="background1"/>
                <w:sz w:val="20"/>
                <w:szCs w:val="20"/>
              </w:rPr>
              <w:t>–</w:t>
            </w:r>
            <w:r w:rsidR="00215B46">
              <w:rPr>
                <w:rFonts w:asciiTheme="majorHAnsi" w:hAnsiTheme="majorHAnsi" w:cstheme="majorHAnsi"/>
                <w:b/>
                <w:color w:val="FFFFFF" w:themeColor="background1"/>
                <w:sz w:val="20"/>
                <w:szCs w:val="20"/>
              </w:rPr>
              <w:t>20</w:t>
            </w:r>
            <w:r w:rsidRPr="00C213C1">
              <w:rPr>
                <w:rFonts w:asciiTheme="majorHAnsi" w:hAnsiTheme="majorHAnsi" w:cstheme="majorHAnsi"/>
                <w:b/>
                <w:color w:val="FFFFFF" w:themeColor="background1"/>
                <w:sz w:val="20"/>
                <w:szCs w:val="20"/>
              </w:rPr>
              <w:t xml:space="preserve"> cost model</w:t>
            </w:r>
          </w:p>
        </w:tc>
      </w:tr>
      <w:tr w:rsidR="00561E6C" w:rsidRPr="00453A66" w14:paraId="777A5670" w14:textId="77777777" w:rsidTr="6886BF09">
        <w:tc>
          <w:tcPr>
            <w:tcW w:w="2268" w:type="dxa"/>
          </w:tcPr>
          <w:p w14:paraId="0D03C6AE" w14:textId="27B32D32" w:rsidR="00561E6C" w:rsidRPr="00C213C1" w:rsidRDefault="00561E6C" w:rsidP="00961168">
            <w:pPr>
              <w:spacing w:line="240" w:lineRule="auto"/>
              <w:jc w:val="center"/>
              <w:rPr>
                <w:rFonts w:asciiTheme="minorHAnsi" w:eastAsiaTheme="minorHAnsi" w:hAnsiTheme="minorHAnsi" w:cstheme="minorHAnsi"/>
                <w:b/>
                <w:sz w:val="20"/>
                <w:szCs w:val="20"/>
                <w:lang w:eastAsia="en-AU"/>
              </w:rPr>
            </w:pPr>
            <w:r w:rsidRPr="00C213C1">
              <w:rPr>
                <w:sz w:val="20"/>
                <w:szCs w:val="20"/>
              </w:rPr>
              <w:t>$</w:t>
            </w:r>
            <w:r w:rsidR="00215B46">
              <w:rPr>
                <w:sz w:val="20"/>
                <w:szCs w:val="20"/>
              </w:rPr>
              <w:t>5</w:t>
            </w:r>
            <w:r w:rsidRPr="00C213C1">
              <w:rPr>
                <w:sz w:val="20"/>
                <w:szCs w:val="20"/>
              </w:rPr>
              <w:t>,</w:t>
            </w:r>
            <w:r w:rsidR="00215B46">
              <w:rPr>
                <w:sz w:val="20"/>
                <w:szCs w:val="20"/>
              </w:rPr>
              <w:t>167</w:t>
            </w:r>
          </w:p>
        </w:tc>
        <w:tc>
          <w:tcPr>
            <w:tcW w:w="2268" w:type="dxa"/>
          </w:tcPr>
          <w:p w14:paraId="64E9C6BE" w14:textId="7A60DC35" w:rsidR="00561E6C" w:rsidRPr="00C213C1" w:rsidRDefault="1949363C" w:rsidP="00961168">
            <w:pPr>
              <w:spacing w:line="240" w:lineRule="auto"/>
              <w:jc w:val="center"/>
              <w:rPr>
                <w:sz w:val="20"/>
                <w:szCs w:val="20"/>
              </w:rPr>
            </w:pPr>
            <w:r w:rsidRPr="6886BF09">
              <w:rPr>
                <w:sz w:val="20"/>
                <w:szCs w:val="20"/>
              </w:rPr>
              <w:t xml:space="preserve"> </w:t>
            </w:r>
            <w:r w:rsidR="46C1847C" w:rsidRPr="76ABC984">
              <w:rPr>
                <w:sz w:val="20"/>
                <w:szCs w:val="20"/>
              </w:rPr>
              <w:t>$5,307</w:t>
            </w:r>
          </w:p>
        </w:tc>
      </w:tr>
    </w:tbl>
    <w:p w14:paraId="2B530AB6" w14:textId="238F20B7" w:rsidR="00561E6C" w:rsidRDefault="64EBEF88" w:rsidP="05C042F0">
      <w:pPr>
        <w:spacing w:after="0" w:line="240" w:lineRule="auto"/>
        <w:rPr>
          <w:rFonts w:eastAsia="Calibri" w:cstheme="minorBidi"/>
        </w:rPr>
      </w:pPr>
      <w:r w:rsidRPr="05C042F0">
        <w:rPr>
          <w:rFonts w:eastAsia="Calibri" w:cstheme="minorBidi"/>
        </w:rPr>
        <w:t>The conversion of the 201</w:t>
      </w:r>
      <w:r w:rsidR="61ED9203" w:rsidRPr="05C042F0">
        <w:rPr>
          <w:rFonts w:eastAsia="Calibri" w:cstheme="minorBidi"/>
        </w:rPr>
        <w:t>8</w:t>
      </w:r>
      <w:r w:rsidRPr="05C042F0">
        <w:rPr>
          <w:rFonts w:eastAsia="Calibri" w:cstheme="minorBidi"/>
        </w:rPr>
        <w:t>–1</w:t>
      </w:r>
      <w:r w:rsidR="61ED9203" w:rsidRPr="05C042F0">
        <w:rPr>
          <w:rFonts w:eastAsia="Calibri" w:cstheme="minorBidi"/>
        </w:rPr>
        <w:t>9</w:t>
      </w:r>
      <w:r w:rsidRPr="05C042F0">
        <w:rPr>
          <w:rFonts w:eastAsia="Calibri" w:cstheme="minorBidi"/>
        </w:rPr>
        <w:t xml:space="preserve"> unadjusted mean model cost given in </w:t>
      </w:r>
      <w:r>
        <w:t xml:space="preserve">Table </w:t>
      </w:r>
      <w:r w:rsidRPr="05C042F0">
        <w:rPr>
          <w:noProof/>
        </w:rPr>
        <w:t>1</w:t>
      </w:r>
      <w:r w:rsidR="2DA2C55B" w:rsidRPr="05C042F0">
        <w:rPr>
          <w:noProof/>
        </w:rPr>
        <w:t>7</w:t>
      </w:r>
      <w:r w:rsidRPr="05C042F0">
        <w:rPr>
          <w:rFonts w:eastAsia="Calibri" w:cstheme="minorBidi"/>
        </w:rPr>
        <w:t xml:space="preserve"> to the </w:t>
      </w:r>
      <w:r w:rsidR="3DC5D8F3" w:rsidRPr="05C042F0">
        <w:rPr>
          <w:rFonts w:eastAsia="Calibri" w:cstheme="minorBidi"/>
        </w:rPr>
        <w:t>2019</w:t>
      </w:r>
      <w:r w:rsidRPr="05C042F0">
        <w:rPr>
          <w:rFonts w:eastAsia="Calibri" w:cstheme="minorBidi"/>
        </w:rPr>
        <w:t>–</w:t>
      </w:r>
      <w:r w:rsidR="3DC5D8F3" w:rsidRPr="05C042F0">
        <w:rPr>
          <w:rFonts w:eastAsia="Calibri" w:cstheme="minorBidi"/>
        </w:rPr>
        <w:t xml:space="preserve">20 </w:t>
      </w:r>
      <w:r w:rsidRPr="05C042F0">
        <w:rPr>
          <w:rFonts w:eastAsia="Calibri" w:cstheme="minorBidi"/>
        </w:rPr>
        <w:t xml:space="preserve">reference cost given in </w:t>
      </w:r>
      <w:r>
        <w:t xml:space="preserve">Table </w:t>
      </w:r>
      <w:r w:rsidR="77F359C0" w:rsidRPr="05C042F0">
        <w:rPr>
          <w:noProof/>
        </w:rPr>
        <w:t>1</w:t>
      </w:r>
      <w:r w:rsidR="2DA2C55B" w:rsidRPr="05C042F0">
        <w:rPr>
          <w:noProof/>
        </w:rPr>
        <w:t>8</w:t>
      </w:r>
      <w:r w:rsidRPr="05C042F0">
        <w:rPr>
          <w:rFonts w:eastAsia="Calibri" w:cstheme="minorBidi"/>
        </w:rPr>
        <w:t xml:space="preserve"> (that is, $</w:t>
      </w:r>
      <w:r w:rsidR="0720A68B" w:rsidRPr="05C042F0">
        <w:rPr>
          <w:rFonts w:eastAsia="Calibri" w:cstheme="minorBidi"/>
        </w:rPr>
        <w:t>$5,167</w:t>
      </w:r>
      <w:r w:rsidR="394D8B8C" w:rsidRPr="05C042F0">
        <w:rPr>
          <w:rFonts w:eastAsia="Calibri" w:cstheme="minorBidi"/>
        </w:rPr>
        <w:t xml:space="preserve"> </w:t>
      </w:r>
      <w:r w:rsidRPr="05C042F0">
        <w:rPr>
          <w:rFonts w:eastAsia="Calibri" w:cstheme="minorBidi"/>
        </w:rPr>
        <w:t>→</w:t>
      </w:r>
      <w:r w:rsidR="5CB4788F" w:rsidRPr="05C042F0">
        <w:rPr>
          <w:rFonts w:eastAsia="Calibri" w:cstheme="minorBidi"/>
        </w:rPr>
        <w:t xml:space="preserve"> $5,307</w:t>
      </w:r>
      <w:r w:rsidRPr="05C042F0">
        <w:rPr>
          <w:rFonts w:eastAsia="Calibri" w:cstheme="minorBidi"/>
        </w:rPr>
        <w:t xml:space="preserve">) </w:t>
      </w:r>
      <w:r w:rsidR="2DA2C55B" w:rsidRPr="05C042F0">
        <w:rPr>
          <w:rFonts w:eastAsia="Calibri" w:cstheme="minorBidi"/>
        </w:rPr>
        <w:t xml:space="preserve">is </w:t>
      </w:r>
      <w:r w:rsidRPr="05C042F0">
        <w:rPr>
          <w:rFonts w:eastAsia="Calibri" w:cstheme="minorBidi"/>
        </w:rPr>
        <w:t>referred to as ‘rebasing’.</w:t>
      </w:r>
    </w:p>
    <w:p w14:paraId="2BCEC40E" w14:textId="5A67649E" w:rsidR="00561E6C" w:rsidRDefault="00561E6C" w:rsidP="00561E6C">
      <w:pPr>
        <w:spacing w:after="0" w:line="240" w:lineRule="auto"/>
        <w:rPr>
          <w:b/>
        </w:rPr>
      </w:pPr>
      <w:r w:rsidRPr="006316AF">
        <w:t xml:space="preserve">Figure </w:t>
      </w:r>
      <w:r w:rsidR="008E2878">
        <w:rPr>
          <w:noProof/>
        </w:rPr>
        <w:t>7</w:t>
      </w:r>
      <w:r w:rsidRPr="006316AF">
        <w:rPr>
          <w:rFonts w:eastAsia="Calibri" w:cstheme="minorHAnsi"/>
        </w:rPr>
        <w:t xml:space="preserve"> illustrates this rebasing process in the context of the derivation of the </w:t>
      </w:r>
      <w:r w:rsidR="002B4587">
        <w:rPr>
          <w:rFonts w:eastAsia="Calibri" w:cstheme="minorHAnsi"/>
        </w:rPr>
        <w:t>2019</w:t>
      </w:r>
      <w:r>
        <w:rPr>
          <w:rFonts w:eastAsia="Calibri" w:cstheme="minorHAnsi"/>
        </w:rPr>
        <w:t>–</w:t>
      </w:r>
      <w:r w:rsidR="002B4587">
        <w:rPr>
          <w:rFonts w:eastAsia="Calibri" w:cstheme="minorHAnsi"/>
        </w:rPr>
        <w:t xml:space="preserve">20 </w:t>
      </w:r>
      <w:r w:rsidRPr="006316AF">
        <w:rPr>
          <w:rFonts w:eastAsia="Calibri" w:cstheme="minorHAnsi"/>
        </w:rPr>
        <w:t>reference cost.</w:t>
      </w:r>
    </w:p>
    <w:p w14:paraId="3644220E" w14:textId="4F589340" w:rsidR="00561E6C" w:rsidRDefault="00561E6C" w:rsidP="3E62FDA7">
      <w:pPr>
        <w:keepNext/>
        <w:spacing w:before="240" w:line="240" w:lineRule="auto"/>
        <w:rPr>
          <w:b/>
          <w:bCs/>
        </w:rPr>
      </w:pPr>
      <w:r>
        <w:rPr>
          <w:rFonts w:eastAsia="Calibri"/>
          <w:noProof/>
          <w:color w:val="2B579A"/>
          <w:shd w:val="clear" w:color="auto" w:fill="E6E6E6"/>
        </w:rPr>
        <mc:AlternateContent>
          <mc:Choice Requires="wpc">
            <w:drawing>
              <wp:anchor distT="0" distB="0" distL="114300" distR="114300" simplePos="0" relativeHeight="251658246" behindDoc="0" locked="0" layoutInCell="1" allowOverlap="1" wp14:anchorId="776783D5" wp14:editId="44E64893">
                <wp:simplePos x="0" y="0"/>
                <wp:positionH relativeFrom="margin">
                  <wp:align>right</wp:align>
                </wp:positionH>
                <wp:positionV relativeFrom="paragraph">
                  <wp:posOffset>371475</wp:posOffset>
                </wp:positionV>
                <wp:extent cx="6101715" cy="3917950"/>
                <wp:effectExtent l="0" t="0" r="32385" b="44450"/>
                <wp:wrapTopAndBottom/>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Rectangle 5"/>
                        <wps:cNvSpPr>
                          <a:spLocks noChangeArrowheads="1"/>
                        </wps:cNvSpPr>
                        <wps:spPr bwMode="auto">
                          <a:xfrm>
                            <a:off x="427990" y="2408555"/>
                            <a:ext cx="2291080" cy="1081405"/>
                          </a:xfrm>
                          <a:prstGeom prst="rect">
                            <a:avLst/>
                          </a:prstGeom>
                          <a:solidFill>
                            <a:schemeClr val="bg2">
                              <a:lumMod val="95000"/>
                            </a:schemeClr>
                          </a:solidFill>
                          <a:ln>
                            <a:noFill/>
                          </a:ln>
                        </wps:spPr>
                        <wps:bodyPr rot="0" vert="horz" wrap="square" lIns="91440" tIns="45720" rIns="91440" bIns="45720" anchor="t" anchorCtr="0" upright="1">
                          <a:noAutofit/>
                        </wps:bodyPr>
                      </wps:wsp>
                      <wps:wsp>
                        <wps:cNvPr id="16" name="Rectangle 6"/>
                        <wps:cNvSpPr>
                          <a:spLocks noChangeArrowheads="1"/>
                        </wps:cNvSpPr>
                        <wps:spPr bwMode="auto">
                          <a:xfrm>
                            <a:off x="2922270" y="2408555"/>
                            <a:ext cx="2751455" cy="1081405"/>
                          </a:xfrm>
                          <a:prstGeom prst="rect">
                            <a:avLst/>
                          </a:prstGeom>
                          <a:solidFill>
                            <a:schemeClr val="accent3">
                              <a:lumMod val="20000"/>
                              <a:lumOff val="80000"/>
                            </a:schemeClr>
                          </a:solidFill>
                          <a:ln>
                            <a:noFill/>
                          </a:ln>
                        </wps:spPr>
                        <wps:bodyPr rot="0" vert="horz" wrap="square" lIns="91440" tIns="45720" rIns="91440" bIns="45720" anchor="t" anchorCtr="0" upright="1">
                          <a:noAutofit/>
                        </wps:bodyPr>
                      </wps:wsp>
                      <wps:wsp>
                        <wps:cNvPr id="17" name="Rectangle 7"/>
                        <wps:cNvSpPr>
                          <a:spLocks noChangeArrowheads="1"/>
                        </wps:cNvSpPr>
                        <wps:spPr bwMode="auto">
                          <a:xfrm>
                            <a:off x="2066290" y="235585"/>
                            <a:ext cx="169037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2417" w14:textId="77777777" w:rsidR="0087678E" w:rsidRDefault="0087678E" w:rsidP="00561E6C">
                              <w:r>
                                <w:rPr>
                                  <w:rFonts w:ascii="Calibri" w:hAnsi="Calibri" w:cs="Calibri"/>
                                  <w:b/>
                                  <w:bCs/>
                                  <w:color w:val="000000"/>
                                  <w:sz w:val="32"/>
                                  <w:szCs w:val="32"/>
                                </w:rPr>
                                <w:t>Year of activity data</w:t>
                              </w:r>
                            </w:p>
                          </w:txbxContent>
                        </wps:txbx>
                        <wps:bodyPr rot="0" vert="horz" wrap="none" lIns="0" tIns="0" rIns="0" bIns="0" anchor="t" anchorCtr="0">
                          <a:spAutoFit/>
                        </wps:bodyPr>
                      </wps:wsp>
                      <wps:wsp>
                        <wps:cNvPr id="18" name="Rectangle 8"/>
                        <wps:cNvSpPr>
                          <a:spLocks noChangeArrowheads="1"/>
                        </wps:cNvSpPr>
                        <wps:spPr bwMode="auto">
                          <a:xfrm>
                            <a:off x="1370330" y="716915"/>
                            <a:ext cx="5848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34CCF" w14:textId="5131E62B" w:rsidR="0087678E" w:rsidRDefault="0087678E" w:rsidP="00561E6C">
                              <w:r>
                                <w:rPr>
                                  <w:rFonts w:ascii="Calibri" w:hAnsi="Calibri" w:cs="Calibri"/>
                                  <w:b/>
                                  <w:bCs/>
                                  <w:color w:val="000000"/>
                                  <w:sz w:val="26"/>
                                  <w:szCs w:val="26"/>
                                </w:rPr>
                                <w:t>2018–19</w:t>
                              </w:r>
                            </w:p>
                          </w:txbxContent>
                        </wps:txbx>
                        <wps:bodyPr rot="0" vert="horz" wrap="none" lIns="0" tIns="0" rIns="0" bIns="0" anchor="t" anchorCtr="0">
                          <a:spAutoFit/>
                        </wps:bodyPr>
                      </wps:wsp>
                      <wps:wsp>
                        <wps:cNvPr id="19" name="Rectangle 9"/>
                        <wps:cNvSpPr>
                          <a:spLocks noChangeArrowheads="1"/>
                        </wps:cNvSpPr>
                        <wps:spPr bwMode="auto">
                          <a:xfrm>
                            <a:off x="3875405" y="716915"/>
                            <a:ext cx="5848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5FF28" w14:textId="0A1BE4C2" w:rsidR="0087678E" w:rsidRDefault="0087678E" w:rsidP="00561E6C">
                              <w:r>
                                <w:rPr>
                                  <w:rFonts w:ascii="Calibri" w:hAnsi="Calibri" w:cs="Calibri"/>
                                  <w:b/>
                                  <w:bCs/>
                                  <w:color w:val="000000"/>
                                  <w:sz w:val="26"/>
                                  <w:szCs w:val="26"/>
                                </w:rPr>
                                <w:t>201</w:t>
                              </w:r>
                              <w:r w:rsidR="00D0034D">
                                <w:rPr>
                                  <w:rFonts w:ascii="Calibri" w:hAnsi="Calibri" w:cs="Calibri"/>
                                  <w:b/>
                                  <w:bCs/>
                                  <w:color w:val="000000"/>
                                  <w:sz w:val="26"/>
                                  <w:szCs w:val="26"/>
                                </w:rPr>
                                <w:t>9</w:t>
                              </w:r>
                              <w:r>
                                <w:rPr>
                                  <w:rFonts w:ascii="Calibri" w:hAnsi="Calibri" w:cs="Calibri"/>
                                  <w:b/>
                                  <w:bCs/>
                                  <w:color w:val="000000"/>
                                  <w:sz w:val="26"/>
                                  <w:szCs w:val="26"/>
                                </w:rPr>
                                <w:t>–</w:t>
                              </w:r>
                              <w:r w:rsidR="00D0034D">
                                <w:rPr>
                                  <w:rFonts w:ascii="Calibri" w:hAnsi="Calibri" w:cs="Calibri"/>
                                  <w:b/>
                                  <w:bCs/>
                                  <w:color w:val="000000"/>
                                  <w:sz w:val="26"/>
                                  <w:szCs w:val="26"/>
                                </w:rPr>
                                <w:t>20</w:t>
                              </w:r>
                            </w:p>
                          </w:txbxContent>
                        </wps:txbx>
                        <wps:bodyPr rot="0" vert="horz" wrap="none" lIns="0" tIns="0" rIns="0" bIns="0" anchor="t" anchorCtr="0">
                          <a:spAutoFit/>
                        </wps:bodyPr>
                      </wps:wsp>
                      <wps:wsp>
                        <wps:cNvPr id="20" name="Rectangle 10"/>
                        <wps:cNvSpPr>
                          <a:spLocks noChangeArrowheads="1"/>
                        </wps:cNvSpPr>
                        <wps:spPr bwMode="auto">
                          <a:xfrm>
                            <a:off x="2997835" y="1221740"/>
                            <a:ext cx="863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B3053" w14:textId="436DFB34" w:rsidR="0087678E" w:rsidRPr="00EC1F9C" w:rsidRDefault="0087678E" w:rsidP="00561E6C">
                              <w:pPr>
                                <w:rPr>
                                  <w:color w:val="5E2F7E"/>
                                </w:rPr>
                              </w:pPr>
                              <w:r>
                                <w:rPr>
                                  <w:rFonts w:ascii="Calibri" w:hAnsi="Calibri" w:cs="Calibri"/>
                                  <w:b/>
                                  <w:bCs/>
                                  <w:color w:val="5E2F7E"/>
                                  <w:sz w:val="26"/>
                                  <w:szCs w:val="26"/>
                                </w:rPr>
                                <w:t>Y</w:t>
                              </w:r>
                            </w:p>
                          </w:txbxContent>
                        </wps:txbx>
                        <wps:bodyPr rot="0" vert="horz" wrap="none" lIns="0" tIns="0" rIns="0" bIns="0" anchor="t" anchorCtr="0">
                          <a:spAutoFit/>
                        </wps:bodyPr>
                      </wps:wsp>
                      <wps:wsp>
                        <wps:cNvPr id="22" name="Rectangle 11"/>
                        <wps:cNvSpPr>
                          <a:spLocks noChangeArrowheads="1"/>
                        </wps:cNvSpPr>
                        <wps:spPr bwMode="auto">
                          <a:xfrm>
                            <a:off x="3875404" y="1145540"/>
                            <a:ext cx="10204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69A9F" w14:textId="172CA98B" w:rsidR="0087678E" w:rsidRDefault="0087678E" w:rsidP="00561E6C">
                              <w:r>
                                <w:rPr>
                                  <w:rFonts w:ascii="Calibri" w:hAnsi="Calibri" w:cs="Calibri"/>
                                  <w:b/>
                                  <w:bCs/>
                                  <w:color w:val="000000"/>
                                  <w:sz w:val="26"/>
                                  <w:szCs w:val="26"/>
                                </w:rPr>
                                <w:t>$</w:t>
                              </w:r>
                              <w:r w:rsidDel="00A458EE">
                                <w:rPr>
                                  <w:rFonts w:ascii="Calibri" w:hAnsi="Calibri" w:cs="Calibri"/>
                                  <w:b/>
                                  <w:bCs/>
                                  <w:color w:val="000000"/>
                                  <w:sz w:val="26"/>
                                  <w:szCs w:val="26"/>
                                </w:rPr>
                                <w:t>5,</w:t>
                              </w:r>
                              <w:r>
                                <w:rPr>
                                  <w:rFonts w:ascii="Calibri" w:hAnsi="Calibri" w:cs="Calibri"/>
                                  <w:b/>
                                  <w:bCs/>
                                  <w:color w:val="000000"/>
                                  <w:sz w:val="26"/>
                                  <w:szCs w:val="26"/>
                                </w:rPr>
                                <w:t>307 (</w:t>
                              </w:r>
                            </w:p>
                          </w:txbxContent>
                        </wps:txbx>
                        <wps:bodyPr rot="0" vert="horz" wrap="square" lIns="0" tIns="0" rIns="0" bIns="0" anchor="t" anchorCtr="0">
                          <a:spAutoFit/>
                        </wps:bodyPr>
                      </wps:wsp>
                      <wps:wsp>
                        <wps:cNvPr id="23" name="Rectangle 12"/>
                        <wps:cNvSpPr>
                          <a:spLocks noChangeArrowheads="1"/>
                        </wps:cNvSpPr>
                        <wps:spPr bwMode="auto">
                          <a:xfrm>
                            <a:off x="4422775" y="1145540"/>
                            <a:ext cx="876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EE9F8" w14:textId="58BDBC0F" w:rsidR="0087678E" w:rsidRPr="00EC1F9C" w:rsidRDefault="0087678E" w:rsidP="00561E6C">
                              <w:pPr>
                                <w:rPr>
                                  <w:color w:val="006331" w:themeColor="accent2" w:themeShade="BF"/>
                                </w:rPr>
                              </w:pPr>
                              <w:r>
                                <w:rPr>
                                  <w:rFonts w:ascii="Calibri" w:hAnsi="Calibri" w:cs="Calibri"/>
                                  <w:b/>
                                  <w:bCs/>
                                  <w:color w:val="006331" w:themeColor="accent2" w:themeShade="BF"/>
                                  <w:sz w:val="26"/>
                                  <w:szCs w:val="26"/>
                                </w:rPr>
                                <w:t>C</w:t>
                              </w:r>
                            </w:p>
                          </w:txbxContent>
                        </wps:txbx>
                        <wps:bodyPr rot="0" vert="horz" wrap="none" lIns="0" tIns="0" rIns="0" bIns="0" anchor="t" anchorCtr="0">
                          <a:spAutoFit/>
                        </wps:bodyPr>
                      </wps:wsp>
                      <wps:wsp>
                        <wps:cNvPr id="24" name="Rectangle 13"/>
                        <wps:cNvSpPr>
                          <a:spLocks noChangeArrowheads="1"/>
                        </wps:cNvSpPr>
                        <wps:spPr bwMode="auto">
                          <a:xfrm>
                            <a:off x="4502150" y="113919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5C988" w14:textId="77777777" w:rsidR="0087678E" w:rsidRDefault="0087678E"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25" name="Rectangle 14"/>
                        <wps:cNvSpPr>
                          <a:spLocks noChangeArrowheads="1"/>
                        </wps:cNvSpPr>
                        <wps:spPr bwMode="auto">
                          <a:xfrm>
                            <a:off x="1370330" y="1573530"/>
                            <a:ext cx="5499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0FAE" w14:textId="685E48C6" w:rsidR="0087678E" w:rsidRDefault="0087678E" w:rsidP="00561E6C">
                              <w:r w:rsidRPr="00C943FD">
                                <w:rPr>
                                  <w:rFonts w:ascii="Calibri" w:hAnsi="Calibri" w:cs="Calibri"/>
                                  <w:b/>
                                  <w:bCs/>
                                  <w:color w:val="000000"/>
                                  <w:sz w:val="26"/>
                                  <w:szCs w:val="26"/>
                                </w:rPr>
                                <w:t>$</w:t>
                              </w:r>
                              <w:r>
                                <w:rPr>
                                  <w:rFonts w:ascii="Calibri" w:hAnsi="Calibri" w:cs="Calibri"/>
                                  <w:b/>
                                  <w:bCs/>
                                  <w:color w:val="000000"/>
                                  <w:sz w:val="26"/>
                                  <w:szCs w:val="26"/>
                                </w:rPr>
                                <w:t>5</w:t>
                              </w:r>
                              <w:r w:rsidRPr="00302CEC">
                                <w:rPr>
                                  <w:rFonts w:ascii="Calibri" w:hAnsi="Calibri" w:cs="Calibri"/>
                                  <w:b/>
                                  <w:bCs/>
                                  <w:color w:val="000000"/>
                                  <w:sz w:val="26"/>
                                  <w:szCs w:val="26"/>
                                </w:rPr>
                                <w:t>,</w:t>
                              </w:r>
                              <w:r>
                                <w:rPr>
                                  <w:rFonts w:ascii="Calibri" w:hAnsi="Calibri" w:cs="Calibri"/>
                                  <w:b/>
                                  <w:bCs/>
                                  <w:color w:val="000000"/>
                                  <w:sz w:val="26"/>
                                  <w:szCs w:val="26"/>
                                </w:rPr>
                                <w:t>167 (</w:t>
                              </w:r>
                            </w:p>
                          </w:txbxContent>
                        </wps:txbx>
                        <wps:bodyPr rot="0" vert="horz" wrap="none" lIns="0" tIns="0" rIns="0" bIns="0" anchor="t" anchorCtr="0">
                          <a:spAutoFit/>
                        </wps:bodyPr>
                      </wps:wsp>
                      <wps:wsp>
                        <wps:cNvPr id="26" name="Rectangle 15"/>
                        <wps:cNvSpPr>
                          <a:spLocks noChangeArrowheads="1"/>
                        </wps:cNvSpPr>
                        <wps:spPr bwMode="auto">
                          <a:xfrm>
                            <a:off x="1903730" y="1573530"/>
                            <a:ext cx="100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8E9D" w14:textId="77777777" w:rsidR="0087678E" w:rsidRPr="00EC1F9C" w:rsidRDefault="0087678E" w:rsidP="00561E6C">
                              <w:pPr>
                                <w:rPr>
                                  <w:color w:val="006331" w:themeColor="accent2" w:themeShade="BF"/>
                                </w:rPr>
                              </w:pPr>
                              <w:r w:rsidRPr="00EC1F9C">
                                <w:rPr>
                                  <w:rFonts w:ascii="Calibri" w:hAnsi="Calibri" w:cs="Calibri"/>
                                  <w:b/>
                                  <w:bCs/>
                                  <w:color w:val="006331" w:themeColor="accent2" w:themeShade="BF"/>
                                  <w:sz w:val="26"/>
                                  <w:szCs w:val="26"/>
                                </w:rPr>
                                <w:t>A</w:t>
                              </w:r>
                            </w:p>
                          </w:txbxContent>
                        </wps:txbx>
                        <wps:bodyPr rot="0" vert="horz" wrap="none" lIns="0" tIns="0" rIns="0" bIns="0" anchor="t" anchorCtr="0">
                          <a:spAutoFit/>
                        </wps:bodyPr>
                      </wps:wsp>
                      <wps:wsp>
                        <wps:cNvPr id="27" name="Rectangle 16"/>
                        <wps:cNvSpPr>
                          <a:spLocks noChangeArrowheads="1"/>
                        </wps:cNvSpPr>
                        <wps:spPr bwMode="auto">
                          <a:xfrm>
                            <a:off x="2004060" y="157353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63B6" w14:textId="77777777" w:rsidR="0087678E" w:rsidRDefault="0087678E"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28" name="Rectangle 17"/>
                        <wps:cNvSpPr>
                          <a:spLocks noChangeArrowheads="1"/>
                        </wps:cNvSpPr>
                        <wps:spPr bwMode="auto">
                          <a:xfrm>
                            <a:off x="4303395" y="1573530"/>
                            <a:ext cx="793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17A2" w14:textId="77777777" w:rsidR="0087678E" w:rsidRPr="00EC1F9C" w:rsidRDefault="0087678E" w:rsidP="00561E6C">
                              <w:pPr>
                                <w:rPr>
                                  <w:color w:val="5E2F7E"/>
                                </w:rPr>
                              </w:pPr>
                              <w:r w:rsidRPr="00EC1F9C">
                                <w:rPr>
                                  <w:rFonts w:ascii="Calibri" w:hAnsi="Calibri" w:cs="Calibri"/>
                                  <w:b/>
                                  <w:bCs/>
                                  <w:color w:val="5E2F7E"/>
                                  <w:sz w:val="26"/>
                                  <w:szCs w:val="26"/>
                                </w:rPr>
                                <w:t>Z</w:t>
                              </w:r>
                            </w:p>
                          </w:txbxContent>
                        </wps:txbx>
                        <wps:bodyPr rot="0" vert="horz" wrap="none" lIns="0" tIns="0" rIns="0" bIns="0" anchor="t" anchorCtr="0">
                          <a:spAutoFit/>
                        </wps:bodyPr>
                      </wps:wsp>
                      <wps:wsp>
                        <wps:cNvPr id="29" name="Rectangle 18"/>
                        <wps:cNvSpPr>
                          <a:spLocks noChangeArrowheads="1"/>
                        </wps:cNvSpPr>
                        <wps:spPr bwMode="auto">
                          <a:xfrm>
                            <a:off x="3029585" y="2001520"/>
                            <a:ext cx="914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8C3AB" w14:textId="041ACDFE" w:rsidR="0087678E" w:rsidRPr="00EC1F9C" w:rsidRDefault="0087678E" w:rsidP="00561E6C">
                              <w:pPr>
                                <w:rPr>
                                  <w:color w:val="5E2F7E"/>
                                </w:rPr>
                              </w:pPr>
                              <w:r>
                                <w:rPr>
                                  <w:rFonts w:ascii="Calibri" w:hAnsi="Calibri" w:cs="Calibri"/>
                                  <w:b/>
                                  <w:bCs/>
                                  <w:color w:val="5E2F7E"/>
                                  <w:sz w:val="26"/>
                                  <w:szCs w:val="26"/>
                                </w:rPr>
                                <w:t>X</w:t>
                              </w:r>
                            </w:p>
                          </w:txbxContent>
                        </wps:txbx>
                        <wps:bodyPr rot="0" vert="horz" wrap="none" lIns="0" tIns="0" rIns="0" bIns="0" anchor="t" anchorCtr="0">
                          <a:spAutoFit/>
                        </wps:bodyPr>
                      </wps:wsp>
                      <wps:wsp>
                        <wps:cNvPr id="30" name="Rectangle 19"/>
                        <wps:cNvSpPr>
                          <a:spLocks noChangeArrowheads="1"/>
                        </wps:cNvSpPr>
                        <wps:spPr bwMode="auto">
                          <a:xfrm>
                            <a:off x="3875405" y="2001520"/>
                            <a:ext cx="5499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8756A" w14:textId="2770FC2F" w:rsidR="0087678E" w:rsidRDefault="0087678E" w:rsidP="00561E6C">
                              <w:r>
                                <w:rPr>
                                  <w:rFonts w:ascii="Calibri" w:hAnsi="Calibri" w:cs="Calibri"/>
                                  <w:b/>
                                  <w:bCs/>
                                  <w:color w:val="000000"/>
                                  <w:sz w:val="26"/>
                                  <w:szCs w:val="26"/>
                                </w:rPr>
                                <w:t>$</w:t>
                              </w:r>
                              <w:r w:rsidDel="00586470">
                                <w:rPr>
                                  <w:rFonts w:ascii="Calibri" w:hAnsi="Calibri" w:cs="Calibri"/>
                                  <w:b/>
                                  <w:bCs/>
                                  <w:color w:val="000000"/>
                                  <w:sz w:val="26"/>
                                  <w:szCs w:val="26"/>
                                </w:rPr>
                                <w:t>4,</w:t>
                              </w:r>
                              <w:r>
                                <w:rPr>
                                  <w:rFonts w:ascii="Calibri" w:hAnsi="Calibri" w:cs="Calibri"/>
                                  <w:b/>
                                  <w:bCs/>
                                  <w:color w:val="000000"/>
                                  <w:sz w:val="26"/>
                                  <w:szCs w:val="26"/>
                                </w:rPr>
                                <w:t>873 (</w:t>
                              </w:r>
                            </w:p>
                          </w:txbxContent>
                        </wps:txbx>
                        <wps:bodyPr rot="0" vert="horz" wrap="none" lIns="0" tIns="0" rIns="0" bIns="0" anchor="t" anchorCtr="0">
                          <a:spAutoFit/>
                        </wps:bodyPr>
                      </wps:wsp>
                      <wps:wsp>
                        <wps:cNvPr id="31" name="Rectangle 20"/>
                        <wps:cNvSpPr>
                          <a:spLocks noChangeArrowheads="1"/>
                        </wps:cNvSpPr>
                        <wps:spPr bwMode="auto">
                          <a:xfrm>
                            <a:off x="4414520" y="2001520"/>
                            <a:ext cx="927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CD53" w14:textId="7E389AA0" w:rsidR="0087678E" w:rsidRPr="00EC1F9C" w:rsidRDefault="0087678E" w:rsidP="00561E6C">
                              <w:pPr>
                                <w:rPr>
                                  <w:color w:val="006331" w:themeColor="accent2" w:themeShade="BF"/>
                                </w:rPr>
                              </w:pPr>
                              <w:r>
                                <w:rPr>
                                  <w:rFonts w:ascii="Calibri" w:hAnsi="Calibri" w:cs="Calibri"/>
                                  <w:b/>
                                  <w:bCs/>
                                  <w:color w:val="006331" w:themeColor="accent2" w:themeShade="BF"/>
                                  <w:sz w:val="26"/>
                                  <w:szCs w:val="26"/>
                                </w:rPr>
                                <w:t>B</w:t>
                              </w:r>
                            </w:p>
                          </w:txbxContent>
                        </wps:txbx>
                        <wps:bodyPr rot="0" vert="horz" wrap="none" lIns="0" tIns="0" rIns="0" bIns="0" anchor="t" anchorCtr="0">
                          <a:spAutoFit/>
                        </wps:bodyPr>
                      </wps:wsp>
                      <wps:wsp>
                        <wps:cNvPr id="32" name="Rectangle 21"/>
                        <wps:cNvSpPr>
                          <a:spLocks noChangeArrowheads="1"/>
                        </wps:cNvSpPr>
                        <wps:spPr bwMode="auto">
                          <a:xfrm>
                            <a:off x="4502150" y="200152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F59F0" w14:textId="77777777" w:rsidR="0087678E" w:rsidRDefault="0087678E"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33" name="Rectangle 22"/>
                        <wps:cNvSpPr>
                          <a:spLocks noChangeArrowheads="1"/>
                        </wps:cNvSpPr>
                        <wps:spPr bwMode="auto">
                          <a:xfrm>
                            <a:off x="674370" y="2644140"/>
                            <a:ext cx="100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DFE4" w14:textId="77777777" w:rsidR="0087678E" w:rsidRPr="00EC1F9C" w:rsidRDefault="0087678E" w:rsidP="00561E6C">
                              <w:pPr>
                                <w:rPr>
                                  <w:color w:val="006331" w:themeColor="accent2" w:themeShade="BF"/>
                                </w:rPr>
                              </w:pPr>
                              <w:r w:rsidRPr="00EC1F9C">
                                <w:rPr>
                                  <w:rFonts w:ascii="Calibri" w:hAnsi="Calibri" w:cs="Calibri"/>
                                  <w:b/>
                                  <w:bCs/>
                                  <w:color w:val="006331" w:themeColor="accent2" w:themeShade="BF"/>
                                  <w:sz w:val="26"/>
                                  <w:szCs w:val="26"/>
                                </w:rPr>
                                <w:t>A</w:t>
                              </w:r>
                            </w:p>
                          </w:txbxContent>
                        </wps:txbx>
                        <wps:bodyPr rot="0" vert="horz" wrap="none" lIns="0" tIns="0" rIns="0" bIns="0" anchor="t" anchorCtr="0">
                          <a:spAutoFit/>
                        </wps:bodyPr>
                      </wps:wsp>
                      <wps:wsp>
                        <wps:cNvPr id="34" name="Rectangle 23"/>
                        <wps:cNvSpPr>
                          <a:spLocks noChangeArrowheads="1"/>
                        </wps:cNvSpPr>
                        <wps:spPr bwMode="auto">
                          <a:xfrm>
                            <a:off x="770890" y="2644140"/>
                            <a:ext cx="172529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BE8D" w14:textId="64DDF4D4" w:rsidR="0087678E" w:rsidRDefault="0087678E" w:rsidP="00561E6C">
                              <w:r>
                                <w:rPr>
                                  <w:rFonts w:ascii="Calibri" w:hAnsi="Calibri" w:cs="Calibri"/>
                                  <w:b/>
                                  <w:bCs/>
                                  <w:color w:val="000000"/>
                                  <w:sz w:val="26"/>
                                  <w:szCs w:val="26"/>
                                </w:rPr>
                                <w:t xml:space="preserve"> - 2018–19 reference cost</w:t>
                              </w:r>
                            </w:p>
                          </w:txbxContent>
                        </wps:txbx>
                        <wps:bodyPr rot="0" vert="horz" wrap="none" lIns="0" tIns="0" rIns="0" bIns="0" anchor="t" anchorCtr="0">
                          <a:spAutoFit/>
                        </wps:bodyPr>
                      </wps:wsp>
                      <wps:wsp>
                        <wps:cNvPr id="35" name="Rectangle 24"/>
                        <wps:cNvSpPr>
                          <a:spLocks noChangeArrowheads="1"/>
                        </wps:cNvSpPr>
                        <wps:spPr bwMode="auto">
                          <a:xfrm>
                            <a:off x="3168650" y="2644140"/>
                            <a:ext cx="914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3504" w14:textId="77777777" w:rsidR="0087678E" w:rsidRPr="00EC1F9C" w:rsidRDefault="0087678E" w:rsidP="00561E6C">
                              <w:pPr>
                                <w:rPr>
                                  <w:color w:val="5E2F7E"/>
                                </w:rPr>
                              </w:pPr>
                              <w:r w:rsidRPr="00EC1F9C">
                                <w:rPr>
                                  <w:rFonts w:ascii="Calibri" w:hAnsi="Calibri" w:cs="Calibri"/>
                                  <w:b/>
                                  <w:bCs/>
                                  <w:color w:val="5E2F7E"/>
                                  <w:sz w:val="26"/>
                                  <w:szCs w:val="26"/>
                                </w:rPr>
                                <w:t>X</w:t>
                              </w:r>
                            </w:p>
                          </w:txbxContent>
                        </wps:txbx>
                        <wps:bodyPr rot="0" vert="horz" wrap="none" lIns="0" tIns="0" rIns="0" bIns="0" anchor="t" anchorCtr="0">
                          <a:spAutoFit/>
                        </wps:bodyPr>
                      </wps:wsp>
                      <wps:wsp>
                        <wps:cNvPr id="36" name="Rectangle 25"/>
                        <wps:cNvSpPr>
                          <a:spLocks noChangeArrowheads="1"/>
                        </wps:cNvSpPr>
                        <wps:spPr bwMode="auto">
                          <a:xfrm>
                            <a:off x="3254375" y="2644140"/>
                            <a:ext cx="23082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64B9A" w14:textId="77777777" w:rsidR="0087678E" w:rsidRDefault="0087678E" w:rsidP="00561E6C">
                              <w:r>
                                <w:rPr>
                                  <w:rFonts w:ascii="Calibri" w:hAnsi="Calibri" w:cs="Calibri"/>
                                  <w:b/>
                                  <w:bCs/>
                                  <w:color w:val="000000"/>
                                  <w:sz w:val="26"/>
                                  <w:szCs w:val="26"/>
                                </w:rPr>
                                <w:t xml:space="preserve"> - Crude growth rate to mean cost</w:t>
                              </w:r>
                            </w:p>
                          </w:txbxContent>
                        </wps:txbx>
                        <wps:bodyPr rot="0" vert="horz" wrap="none" lIns="0" tIns="0" rIns="0" bIns="0" anchor="t" anchorCtr="0">
                          <a:spAutoFit/>
                        </wps:bodyPr>
                      </wps:wsp>
                      <wps:wsp>
                        <wps:cNvPr id="37" name="Rectangle 26"/>
                        <wps:cNvSpPr>
                          <a:spLocks noChangeArrowheads="1"/>
                        </wps:cNvSpPr>
                        <wps:spPr bwMode="auto">
                          <a:xfrm>
                            <a:off x="674370" y="2858135"/>
                            <a:ext cx="927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96B5" w14:textId="77777777" w:rsidR="0087678E" w:rsidRPr="00EC1F9C" w:rsidRDefault="0087678E" w:rsidP="00561E6C">
                              <w:pPr>
                                <w:rPr>
                                  <w:color w:val="006331" w:themeColor="accent2" w:themeShade="BF"/>
                                </w:rPr>
                              </w:pPr>
                              <w:r w:rsidRPr="00EC1F9C">
                                <w:rPr>
                                  <w:rFonts w:ascii="Calibri" w:hAnsi="Calibri" w:cs="Calibri"/>
                                  <w:b/>
                                  <w:bCs/>
                                  <w:color w:val="006331" w:themeColor="accent2" w:themeShade="BF"/>
                                  <w:sz w:val="26"/>
                                  <w:szCs w:val="26"/>
                                </w:rPr>
                                <w:t>B</w:t>
                              </w:r>
                            </w:p>
                          </w:txbxContent>
                        </wps:txbx>
                        <wps:bodyPr rot="0" vert="horz" wrap="none" lIns="0" tIns="0" rIns="0" bIns="0" anchor="t" anchorCtr="0">
                          <a:spAutoFit/>
                        </wps:bodyPr>
                      </wps:wsp>
                      <wps:wsp>
                        <wps:cNvPr id="38" name="Rectangle 27"/>
                        <wps:cNvSpPr>
                          <a:spLocks noChangeArrowheads="1"/>
                        </wps:cNvSpPr>
                        <wps:spPr bwMode="auto">
                          <a:xfrm>
                            <a:off x="760095" y="2858135"/>
                            <a:ext cx="145288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E65FF" w14:textId="32BABCE2" w:rsidR="0087678E" w:rsidRDefault="0087678E" w:rsidP="00561E6C">
                              <w:r>
                                <w:rPr>
                                  <w:rFonts w:ascii="Calibri" w:hAnsi="Calibri" w:cs="Calibri"/>
                                  <w:b/>
                                  <w:bCs/>
                                  <w:color w:val="000000"/>
                                  <w:sz w:val="26"/>
                                  <w:szCs w:val="26"/>
                                </w:rPr>
                                <w:t xml:space="preserve"> - 2019</w:t>
                              </w:r>
                              <w:r w:rsidR="00D0034D">
                                <w:rPr>
                                  <w:rFonts w:ascii="Calibri" w:hAnsi="Calibri" w:cs="Calibri"/>
                                  <w:b/>
                                  <w:bCs/>
                                  <w:color w:val="000000"/>
                                  <w:sz w:val="26"/>
                                  <w:szCs w:val="26"/>
                                </w:rPr>
                                <w:t>–</w:t>
                              </w:r>
                              <w:r>
                                <w:rPr>
                                  <w:rFonts w:ascii="Calibri" w:hAnsi="Calibri" w:cs="Calibri"/>
                                  <w:b/>
                                  <w:bCs/>
                                  <w:color w:val="000000"/>
                                  <w:sz w:val="26"/>
                                  <w:szCs w:val="26"/>
                                </w:rPr>
                                <w:t>20 mean cost</w:t>
                              </w:r>
                            </w:p>
                          </w:txbxContent>
                        </wps:txbx>
                        <wps:bodyPr rot="0" vert="horz" wrap="none" lIns="0" tIns="0" rIns="0" bIns="0" anchor="t" anchorCtr="0">
                          <a:spAutoFit/>
                        </wps:bodyPr>
                      </wps:wsp>
                      <wps:wsp>
                        <wps:cNvPr id="39" name="Rectangle 28"/>
                        <wps:cNvSpPr>
                          <a:spLocks noChangeArrowheads="1"/>
                        </wps:cNvSpPr>
                        <wps:spPr bwMode="auto">
                          <a:xfrm>
                            <a:off x="3168650" y="2858135"/>
                            <a:ext cx="863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752E" w14:textId="77777777" w:rsidR="0087678E" w:rsidRPr="00EC1F9C" w:rsidRDefault="0087678E" w:rsidP="00561E6C">
                              <w:pPr>
                                <w:rPr>
                                  <w:color w:val="5E2F7E"/>
                                </w:rPr>
                              </w:pPr>
                              <w:r w:rsidRPr="00EC1F9C">
                                <w:rPr>
                                  <w:rFonts w:ascii="Calibri" w:hAnsi="Calibri" w:cs="Calibri"/>
                                  <w:b/>
                                  <w:bCs/>
                                  <w:color w:val="5E2F7E"/>
                                  <w:sz w:val="26"/>
                                  <w:szCs w:val="26"/>
                                </w:rPr>
                                <w:t>Y</w:t>
                              </w:r>
                            </w:p>
                          </w:txbxContent>
                        </wps:txbx>
                        <wps:bodyPr rot="0" vert="horz" wrap="none" lIns="0" tIns="0" rIns="0" bIns="0" anchor="t" anchorCtr="0">
                          <a:spAutoFit/>
                        </wps:bodyPr>
                      </wps:wsp>
                      <wps:wsp>
                        <wps:cNvPr id="40" name="Rectangle 29"/>
                        <wps:cNvSpPr>
                          <a:spLocks noChangeArrowheads="1"/>
                        </wps:cNvSpPr>
                        <wps:spPr bwMode="auto">
                          <a:xfrm>
                            <a:off x="3254375" y="2858135"/>
                            <a:ext cx="18764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9B5E5" w14:textId="77777777" w:rsidR="0087678E" w:rsidRDefault="0087678E" w:rsidP="00561E6C">
                              <w:r>
                                <w:rPr>
                                  <w:rFonts w:ascii="Calibri" w:hAnsi="Calibri" w:cs="Calibri"/>
                                  <w:b/>
                                  <w:bCs/>
                                  <w:color w:val="000000"/>
                                  <w:sz w:val="26"/>
                                  <w:szCs w:val="26"/>
                                </w:rPr>
                                <w:t xml:space="preserve"> - Standardised growth rate</w:t>
                              </w:r>
                            </w:p>
                          </w:txbxContent>
                        </wps:txbx>
                        <wps:bodyPr rot="0" vert="horz" wrap="none" lIns="0" tIns="0" rIns="0" bIns="0" anchor="t" anchorCtr="0">
                          <a:spAutoFit/>
                        </wps:bodyPr>
                      </wps:wsp>
                      <wps:wsp>
                        <wps:cNvPr id="41" name="Rectangle 30"/>
                        <wps:cNvSpPr>
                          <a:spLocks noChangeArrowheads="1"/>
                        </wps:cNvSpPr>
                        <wps:spPr bwMode="auto">
                          <a:xfrm>
                            <a:off x="674370" y="3072130"/>
                            <a:ext cx="876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DBD88" w14:textId="77777777" w:rsidR="0087678E" w:rsidRPr="00EC1F9C" w:rsidRDefault="0087678E" w:rsidP="00561E6C">
                              <w:pPr>
                                <w:rPr>
                                  <w:color w:val="006331" w:themeColor="accent2" w:themeShade="BF"/>
                                </w:rPr>
                              </w:pPr>
                              <w:r w:rsidRPr="00EC1F9C">
                                <w:rPr>
                                  <w:rFonts w:ascii="Calibri" w:hAnsi="Calibri" w:cs="Calibri"/>
                                  <w:b/>
                                  <w:bCs/>
                                  <w:color w:val="006331" w:themeColor="accent2" w:themeShade="BF"/>
                                  <w:sz w:val="26"/>
                                  <w:szCs w:val="26"/>
                                </w:rPr>
                                <w:t>C</w:t>
                              </w:r>
                            </w:p>
                          </w:txbxContent>
                        </wps:txbx>
                        <wps:bodyPr rot="0" vert="horz" wrap="none" lIns="0" tIns="0" rIns="0" bIns="0" anchor="t" anchorCtr="0">
                          <a:spAutoFit/>
                        </wps:bodyPr>
                      </wps:wsp>
                      <wps:wsp>
                        <wps:cNvPr id="42" name="Rectangle 31"/>
                        <wps:cNvSpPr>
                          <a:spLocks noChangeArrowheads="1"/>
                        </wps:cNvSpPr>
                        <wps:spPr bwMode="auto">
                          <a:xfrm>
                            <a:off x="760095" y="3072130"/>
                            <a:ext cx="172529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FEB4" w14:textId="6E1D962D" w:rsidR="0087678E" w:rsidRDefault="0087678E" w:rsidP="00561E6C">
                              <w:r>
                                <w:rPr>
                                  <w:rFonts w:ascii="Calibri" w:hAnsi="Calibri" w:cs="Calibri"/>
                                  <w:b/>
                                  <w:bCs/>
                                  <w:color w:val="000000"/>
                                  <w:sz w:val="26"/>
                                  <w:szCs w:val="26"/>
                                </w:rPr>
                                <w:t xml:space="preserve"> - 2019–20 reference cost</w:t>
                              </w:r>
                            </w:p>
                          </w:txbxContent>
                        </wps:txbx>
                        <wps:bodyPr rot="0" vert="horz" wrap="none" lIns="0" tIns="0" rIns="0" bIns="0" anchor="t" anchorCtr="0">
                          <a:spAutoFit/>
                        </wps:bodyPr>
                      </wps:wsp>
                      <wps:wsp>
                        <wps:cNvPr id="43" name="Rectangle 32"/>
                        <wps:cNvSpPr>
                          <a:spLocks noChangeArrowheads="1"/>
                        </wps:cNvSpPr>
                        <wps:spPr bwMode="auto">
                          <a:xfrm>
                            <a:off x="3168650" y="3072130"/>
                            <a:ext cx="793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42C0F" w14:textId="77777777" w:rsidR="0087678E" w:rsidRPr="00EC1F9C" w:rsidRDefault="0087678E" w:rsidP="00561E6C">
                              <w:pPr>
                                <w:rPr>
                                  <w:color w:val="5E2F7E"/>
                                </w:rPr>
                              </w:pPr>
                              <w:r w:rsidRPr="00EC1F9C">
                                <w:rPr>
                                  <w:rFonts w:ascii="Calibri" w:hAnsi="Calibri" w:cs="Calibri"/>
                                  <w:b/>
                                  <w:bCs/>
                                  <w:color w:val="5E2F7E"/>
                                  <w:sz w:val="26"/>
                                  <w:szCs w:val="26"/>
                                </w:rPr>
                                <w:t>Z</w:t>
                              </w:r>
                            </w:p>
                          </w:txbxContent>
                        </wps:txbx>
                        <wps:bodyPr rot="0" vert="horz" wrap="none" lIns="0" tIns="0" rIns="0" bIns="0" anchor="t" anchorCtr="0">
                          <a:spAutoFit/>
                        </wps:bodyPr>
                      </wps:wsp>
                      <wps:wsp>
                        <wps:cNvPr id="44" name="Rectangle 33"/>
                        <wps:cNvSpPr>
                          <a:spLocks noChangeArrowheads="1"/>
                        </wps:cNvSpPr>
                        <wps:spPr bwMode="auto">
                          <a:xfrm>
                            <a:off x="3243580" y="3072130"/>
                            <a:ext cx="11557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1103A" w14:textId="77777777" w:rsidR="0087678E" w:rsidRDefault="0087678E" w:rsidP="00561E6C">
                              <w:r>
                                <w:rPr>
                                  <w:rFonts w:ascii="Calibri" w:hAnsi="Calibri" w:cs="Calibri"/>
                                  <w:b/>
                                  <w:bCs/>
                                  <w:color w:val="000000"/>
                                  <w:sz w:val="26"/>
                                  <w:szCs w:val="26"/>
                                </w:rPr>
                                <w:t xml:space="preserve"> - rebasing factor</w:t>
                              </w:r>
                            </w:p>
                          </w:txbxContent>
                        </wps:txbx>
                        <wps:bodyPr rot="0" vert="horz" wrap="none" lIns="0" tIns="0" rIns="0" bIns="0" anchor="t" anchorCtr="0">
                          <a:spAutoFit/>
                        </wps:bodyPr>
                      </wps:wsp>
                      <wps:wsp>
                        <wps:cNvPr id="45" name="Line 34"/>
                        <wps:cNvCnPr>
                          <a:cxnSpLocks noChangeShapeType="1"/>
                        </wps:cNvCnPr>
                        <wps:spPr bwMode="auto">
                          <a:xfrm>
                            <a:off x="0" y="0"/>
                            <a:ext cx="0" cy="39179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35"/>
                        <wps:cNvSpPr>
                          <a:spLocks noChangeArrowheads="1"/>
                        </wps:cNvSpPr>
                        <wps:spPr bwMode="auto">
                          <a:xfrm>
                            <a:off x="0" y="0"/>
                            <a:ext cx="10795" cy="391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36"/>
                        <wps:cNvCnPr>
                          <a:cxnSpLocks noChangeShapeType="1"/>
                        </wps:cNvCnPr>
                        <wps:spPr bwMode="auto">
                          <a:xfrm>
                            <a:off x="6090920" y="10795"/>
                            <a:ext cx="0" cy="39071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37"/>
                        <wps:cNvSpPr>
                          <a:spLocks noChangeArrowheads="1"/>
                        </wps:cNvSpPr>
                        <wps:spPr bwMode="auto">
                          <a:xfrm>
                            <a:off x="6090920" y="0"/>
                            <a:ext cx="10795" cy="390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38"/>
                        <wps:cNvCnPr>
                          <a:cxnSpLocks noChangeShapeType="1"/>
                        </wps:cNvCnPr>
                        <wps:spPr bwMode="auto">
                          <a:xfrm>
                            <a:off x="10795" y="0"/>
                            <a:ext cx="6090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39"/>
                        <wps:cNvSpPr>
                          <a:spLocks noChangeArrowheads="1"/>
                        </wps:cNvSpPr>
                        <wps:spPr bwMode="auto">
                          <a:xfrm>
                            <a:off x="10795" y="0"/>
                            <a:ext cx="60909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0"/>
                        <wps:cNvCnPr>
                          <a:cxnSpLocks noChangeShapeType="1"/>
                        </wps:cNvCnPr>
                        <wps:spPr bwMode="auto">
                          <a:xfrm>
                            <a:off x="641985" y="1006475"/>
                            <a:ext cx="4453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Rectangle 41"/>
                        <wps:cNvSpPr>
                          <a:spLocks noChangeArrowheads="1"/>
                        </wps:cNvSpPr>
                        <wps:spPr bwMode="auto">
                          <a:xfrm>
                            <a:off x="641985" y="1006475"/>
                            <a:ext cx="44532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42"/>
                        <wps:cNvCnPr>
                          <a:cxnSpLocks noChangeShapeType="1"/>
                        </wps:cNvCnPr>
                        <wps:spPr bwMode="auto">
                          <a:xfrm>
                            <a:off x="641985" y="1027430"/>
                            <a:ext cx="4453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Rectangle 43"/>
                        <wps:cNvSpPr>
                          <a:spLocks noChangeArrowheads="1"/>
                        </wps:cNvSpPr>
                        <wps:spPr bwMode="auto">
                          <a:xfrm>
                            <a:off x="641985" y="1027430"/>
                            <a:ext cx="44532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44"/>
                        <wps:cNvCnPr>
                          <a:cxnSpLocks noChangeShapeType="1"/>
                        </wps:cNvCnPr>
                        <wps:spPr bwMode="auto">
                          <a:xfrm>
                            <a:off x="10795" y="3907155"/>
                            <a:ext cx="6090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45"/>
                        <wps:cNvSpPr>
                          <a:spLocks noChangeArrowheads="1"/>
                        </wps:cNvSpPr>
                        <wps:spPr bwMode="auto">
                          <a:xfrm>
                            <a:off x="10795" y="3907155"/>
                            <a:ext cx="60909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46"/>
                        <wps:cNvSpPr>
                          <a:spLocks noEditPoints="1"/>
                        </wps:cNvSpPr>
                        <wps:spPr bwMode="auto">
                          <a:xfrm>
                            <a:off x="2091690" y="1318895"/>
                            <a:ext cx="1660525" cy="453390"/>
                          </a:xfrm>
                          <a:custGeom>
                            <a:avLst/>
                            <a:gdLst>
                              <a:gd name="T0" fmla="*/ 4 w 2615"/>
                              <a:gd name="T1" fmla="*/ 714 h 714"/>
                              <a:gd name="T2" fmla="*/ 2509 w 2615"/>
                              <a:gd name="T3" fmla="*/ 69 h 714"/>
                              <a:gd name="T4" fmla="*/ 2504 w 2615"/>
                              <a:gd name="T5" fmla="*/ 52 h 714"/>
                              <a:gd name="T6" fmla="*/ 0 w 2615"/>
                              <a:gd name="T7" fmla="*/ 699 h 714"/>
                              <a:gd name="T8" fmla="*/ 4 w 2615"/>
                              <a:gd name="T9" fmla="*/ 714 h 714"/>
                              <a:gd name="T10" fmla="*/ 2502 w 2615"/>
                              <a:gd name="T11" fmla="*/ 131 h 714"/>
                              <a:gd name="T12" fmla="*/ 2615 w 2615"/>
                              <a:gd name="T13" fmla="*/ 32 h 714"/>
                              <a:gd name="T14" fmla="*/ 2469 w 2615"/>
                              <a:gd name="T15" fmla="*/ 0 h 714"/>
                              <a:gd name="T16" fmla="*/ 2502 w 2615"/>
                              <a:gd name="T17" fmla="*/ 131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15" h="714">
                                <a:moveTo>
                                  <a:pt x="4" y="714"/>
                                </a:moveTo>
                                <a:lnTo>
                                  <a:pt x="2509" y="69"/>
                                </a:lnTo>
                                <a:lnTo>
                                  <a:pt x="2504" y="52"/>
                                </a:lnTo>
                                <a:lnTo>
                                  <a:pt x="0" y="699"/>
                                </a:lnTo>
                                <a:lnTo>
                                  <a:pt x="4" y="714"/>
                                </a:lnTo>
                                <a:close/>
                                <a:moveTo>
                                  <a:pt x="2502" y="131"/>
                                </a:moveTo>
                                <a:lnTo>
                                  <a:pt x="2615" y="32"/>
                                </a:lnTo>
                                <a:lnTo>
                                  <a:pt x="2469" y="0"/>
                                </a:lnTo>
                                <a:lnTo>
                                  <a:pt x="2502" y="13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58" name="Freeform 47"/>
                        <wps:cNvSpPr>
                          <a:spLocks noEditPoints="1"/>
                        </wps:cNvSpPr>
                        <wps:spPr bwMode="auto">
                          <a:xfrm rot="10800000">
                            <a:off x="4117340" y="1470025"/>
                            <a:ext cx="85725" cy="546100"/>
                          </a:xfrm>
                          <a:custGeom>
                            <a:avLst/>
                            <a:gdLst>
                              <a:gd name="T0" fmla="*/ 76 w 135"/>
                              <a:gd name="T1" fmla="*/ 0 h 860"/>
                              <a:gd name="T2" fmla="*/ 76 w 135"/>
                              <a:gd name="T3" fmla="*/ 748 h 860"/>
                              <a:gd name="T4" fmla="*/ 59 w 135"/>
                              <a:gd name="T5" fmla="*/ 748 h 860"/>
                              <a:gd name="T6" fmla="*/ 59 w 135"/>
                              <a:gd name="T7" fmla="*/ 0 h 860"/>
                              <a:gd name="T8" fmla="*/ 76 w 135"/>
                              <a:gd name="T9" fmla="*/ 0 h 860"/>
                              <a:gd name="T10" fmla="*/ 135 w 135"/>
                              <a:gd name="T11" fmla="*/ 725 h 860"/>
                              <a:gd name="T12" fmla="*/ 67 w 135"/>
                              <a:gd name="T13" fmla="*/ 860 h 860"/>
                              <a:gd name="T14" fmla="*/ 0 w 135"/>
                              <a:gd name="T15" fmla="*/ 725 h 860"/>
                              <a:gd name="T16" fmla="*/ 135 w 135"/>
                              <a:gd name="T17" fmla="*/ 725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860">
                                <a:moveTo>
                                  <a:pt x="76" y="0"/>
                                </a:moveTo>
                                <a:lnTo>
                                  <a:pt x="76" y="748"/>
                                </a:lnTo>
                                <a:lnTo>
                                  <a:pt x="59" y="748"/>
                                </a:lnTo>
                                <a:lnTo>
                                  <a:pt x="59" y="0"/>
                                </a:lnTo>
                                <a:lnTo>
                                  <a:pt x="76" y="0"/>
                                </a:lnTo>
                                <a:close/>
                                <a:moveTo>
                                  <a:pt x="135" y="725"/>
                                </a:moveTo>
                                <a:lnTo>
                                  <a:pt x="67" y="860"/>
                                </a:lnTo>
                                <a:lnTo>
                                  <a:pt x="0" y="725"/>
                                </a:lnTo>
                                <a:lnTo>
                                  <a:pt x="135" y="725"/>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59" name="Freeform 48"/>
                        <wps:cNvSpPr>
                          <a:spLocks noEditPoints="1"/>
                        </wps:cNvSpPr>
                        <wps:spPr bwMode="auto">
                          <a:xfrm>
                            <a:off x="2091690" y="1765935"/>
                            <a:ext cx="1714500" cy="464820"/>
                          </a:xfrm>
                          <a:custGeom>
                            <a:avLst/>
                            <a:gdLst>
                              <a:gd name="T0" fmla="*/ 4 w 2700"/>
                              <a:gd name="T1" fmla="*/ 0 h 732"/>
                              <a:gd name="T2" fmla="*/ 2593 w 2700"/>
                              <a:gd name="T3" fmla="*/ 663 h 732"/>
                              <a:gd name="T4" fmla="*/ 2589 w 2700"/>
                              <a:gd name="T5" fmla="*/ 680 h 732"/>
                              <a:gd name="T6" fmla="*/ 0 w 2700"/>
                              <a:gd name="T7" fmla="*/ 16 h 732"/>
                              <a:gd name="T8" fmla="*/ 4 w 2700"/>
                              <a:gd name="T9" fmla="*/ 0 h 732"/>
                              <a:gd name="T10" fmla="*/ 2586 w 2700"/>
                              <a:gd name="T11" fmla="*/ 601 h 732"/>
                              <a:gd name="T12" fmla="*/ 2700 w 2700"/>
                              <a:gd name="T13" fmla="*/ 699 h 732"/>
                              <a:gd name="T14" fmla="*/ 2553 w 2700"/>
                              <a:gd name="T15" fmla="*/ 732 h 732"/>
                              <a:gd name="T16" fmla="*/ 2586 w 2700"/>
                              <a:gd name="T17" fmla="*/ 601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0" h="732">
                                <a:moveTo>
                                  <a:pt x="4" y="0"/>
                                </a:moveTo>
                                <a:lnTo>
                                  <a:pt x="2593" y="663"/>
                                </a:lnTo>
                                <a:lnTo>
                                  <a:pt x="2589" y="680"/>
                                </a:lnTo>
                                <a:lnTo>
                                  <a:pt x="0" y="16"/>
                                </a:lnTo>
                                <a:lnTo>
                                  <a:pt x="4" y="0"/>
                                </a:lnTo>
                                <a:close/>
                                <a:moveTo>
                                  <a:pt x="2586" y="601"/>
                                </a:moveTo>
                                <a:lnTo>
                                  <a:pt x="2700" y="699"/>
                                </a:lnTo>
                                <a:lnTo>
                                  <a:pt x="2553" y="732"/>
                                </a:lnTo>
                                <a:lnTo>
                                  <a:pt x="2586" y="60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6783D5" id="Canvas 60" o:spid="_x0000_s1026" editas="canvas" style="position:absolute;margin-left:429.25pt;margin-top:29.25pt;width:480.45pt;height:308.5pt;z-index:251658246;mso-position-horizontal:right;mso-position-horizontal-relative:margin" coordsize="61017,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017;height:39179;visibility:visible;mso-wrap-style:square">
                  <v:fill o:detectmouseclick="t"/>
                  <v:path o:connecttype="none"/>
                </v:shape>
                <v:rect id="Rectangle 5" o:spid="_x0000_s1028" style="position:absolute;left:4279;top:24085;width:22911;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" fillcolor="#f2f2f2 [3054]" stroked="f"/>
                <v:rect id="Rectangle 6" o:spid="_x0000_s1029" style="position:absolute;left:29222;top:24085;width:27515;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" fillcolor="#e5f3dc [662]" stroked="f"/>
                <v:rect id="Rectangle 7" o:spid="_x0000_s1030" style="position:absolute;left:20662;top:2355;width:16904;height:4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1D172417" w14:textId="77777777" w:rsidR="0087678E" w:rsidRDefault="0087678E" w:rsidP="00561E6C">
                        <w:r>
                          <w:rPr>
                            <w:rFonts w:ascii="Calibri" w:hAnsi="Calibri" w:cs="Calibri"/>
                            <w:b/>
                            <w:bCs/>
                            <w:color w:val="000000"/>
                            <w:sz w:val="32"/>
                            <w:szCs w:val="32"/>
                          </w:rPr>
                          <w:t>Year of activity data</w:t>
                        </w:r>
                      </w:p>
                    </w:txbxContent>
                  </v:textbox>
                </v:rect>
                <v:rect id="Rectangle 8" o:spid="_x0000_s1031" style="position:absolute;left:13703;top:7169;width:5848;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21834CCF" w14:textId="5131E62B" w:rsidR="0087678E" w:rsidRDefault="0087678E" w:rsidP="00561E6C">
                        <w:r>
                          <w:rPr>
                            <w:rFonts w:ascii="Calibri" w:hAnsi="Calibri" w:cs="Calibri"/>
                            <w:b/>
                            <w:bCs/>
                            <w:color w:val="000000"/>
                            <w:sz w:val="26"/>
                            <w:szCs w:val="26"/>
                          </w:rPr>
                          <w:t>2018–19</w:t>
                        </w:r>
                      </w:p>
                    </w:txbxContent>
                  </v:textbox>
                </v:rect>
                <v:rect id="Rectangle 9" o:spid="_x0000_s1032" style="position:absolute;left:38754;top:7169;width:5848;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AD5FF28" w14:textId="0A1BE4C2" w:rsidR="0087678E" w:rsidRDefault="0087678E" w:rsidP="00561E6C">
                        <w:r>
                          <w:rPr>
                            <w:rFonts w:ascii="Calibri" w:hAnsi="Calibri" w:cs="Calibri"/>
                            <w:b/>
                            <w:bCs/>
                            <w:color w:val="000000"/>
                            <w:sz w:val="26"/>
                            <w:szCs w:val="26"/>
                          </w:rPr>
                          <w:t>201</w:t>
                        </w:r>
                        <w:r w:rsidR="00D0034D">
                          <w:rPr>
                            <w:rFonts w:ascii="Calibri" w:hAnsi="Calibri" w:cs="Calibri"/>
                            <w:b/>
                            <w:bCs/>
                            <w:color w:val="000000"/>
                            <w:sz w:val="26"/>
                            <w:szCs w:val="26"/>
                          </w:rPr>
                          <w:t>9</w:t>
                        </w:r>
                        <w:r>
                          <w:rPr>
                            <w:rFonts w:ascii="Calibri" w:hAnsi="Calibri" w:cs="Calibri"/>
                            <w:b/>
                            <w:bCs/>
                            <w:color w:val="000000"/>
                            <w:sz w:val="26"/>
                            <w:szCs w:val="26"/>
                          </w:rPr>
                          <w:t>–</w:t>
                        </w:r>
                        <w:r w:rsidR="00D0034D">
                          <w:rPr>
                            <w:rFonts w:ascii="Calibri" w:hAnsi="Calibri" w:cs="Calibri"/>
                            <w:b/>
                            <w:bCs/>
                            <w:color w:val="000000"/>
                            <w:sz w:val="26"/>
                            <w:szCs w:val="26"/>
                          </w:rPr>
                          <w:t>20</w:t>
                        </w:r>
                      </w:p>
                    </w:txbxContent>
                  </v:textbox>
                </v:rect>
                <v:rect id="Rectangle 10" o:spid="_x0000_s1033" style="position:absolute;left:29978;top:12217;width:86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E6B3053" w14:textId="436DFB34" w:rsidR="0087678E" w:rsidRPr="00EC1F9C" w:rsidRDefault="0087678E" w:rsidP="00561E6C">
                        <w:pPr>
                          <w:rPr>
                            <w:color w:val="5E2F7E"/>
                          </w:rPr>
                        </w:pPr>
                        <w:r>
                          <w:rPr>
                            <w:rFonts w:ascii="Calibri" w:hAnsi="Calibri" w:cs="Calibri"/>
                            <w:b/>
                            <w:bCs/>
                            <w:color w:val="5E2F7E"/>
                            <w:sz w:val="26"/>
                            <w:szCs w:val="26"/>
                          </w:rPr>
                          <w:t>Y</w:t>
                        </w:r>
                      </w:p>
                    </w:txbxContent>
                  </v:textbox>
                </v:rect>
                <v:rect id="Rectangle 11" o:spid="_x0000_s1034" style="position:absolute;left:38754;top:11455;width:10204;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" filled="f" stroked="f">
                  <v:textbox style="mso-fit-shape-to-text:t" inset="0,0,0,0">
                    <w:txbxContent>
                      <w:p w14:paraId="4B469A9F" w14:textId="172CA98B" w:rsidR="0087678E" w:rsidRDefault="0087678E" w:rsidP="00561E6C">
                        <w:r>
                          <w:rPr>
                            <w:rFonts w:ascii="Calibri" w:hAnsi="Calibri" w:cs="Calibri"/>
                            <w:b/>
                            <w:bCs/>
                            <w:color w:val="000000"/>
                            <w:sz w:val="26"/>
                            <w:szCs w:val="26"/>
                          </w:rPr>
                          <w:t>$</w:t>
                        </w:r>
                        <w:r w:rsidDel="00A458EE">
                          <w:rPr>
                            <w:rFonts w:ascii="Calibri" w:hAnsi="Calibri" w:cs="Calibri"/>
                            <w:b/>
                            <w:bCs/>
                            <w:color w:val="000000"/>
                            <w:sz w:val="26"/>
                            <w:szCs w:val="26"/>
                          </w:rPr>
                          <w:t>5,</w:t>
                        </w:r>
                        <w:r>
                          <w:rPr>
                            <w:rFonts w:ascii="Calibri" w:hAnsi="Calibri" w:cs="Calibri"/>
                            <w:b/>
                            <w:bCs/>
                            <w:color w:val="000000"/>
                            <w:sz w:val="26"/>
                            <w:szCs w:val="26"/>
                          </w:rPr>
                          <w:t>307 (</w:t>
                        </w:r>
                      </w:p>
                    </w:txbxContent>
                  </v:textbox>
                </v:rect>
                <v:rect id="Rectangle 12" o:spid="_x0000_s1035" style="position:absolute;left:44227;top:11455;width:87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0BEEE9F8" w14:textId="58BDBC0F" w:rsidR="0087678E" w:rsidRPr="00EC1F9C" w:rsidRDefault="0087678E" w:rsidP="00561E6C">
                        <w:pPr>
                          <w:rPr>
                            <w:color w:val="006331" w:themeColor="accent2" w:themeShade="BF"/>
                          </w:rPr>
                        </w:pPr>
                        <w:r>
                          <w:rPr>
                            <w:rFonts w:ascii="Calibri" w:hAnsi="Calibri" w:cs="Calibri"/>
                            <w:b/>
                            <w:bCs/>
                            <w:color w:val="006331" w:themeColor="accent2" w:themeShade="BF"/>
                            <w:sz w:val="26"/>
                            <w:szCs w:val="26"/>
                          </w:rPr>
                          <w:t>C</w:t>
                        </w:r>
                      </w:p>
                    </w:txbxContent>
                  </v:textbox>
                </v:rect>
                <v:rect id="Rectangle 13" o:spid="_x0000_s1036" style="position:absolute;left:45021;top:11391;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7DB5C988" w14:textId="77777777" w:rsidR="0087678E" w:rsidRDefault="0087678E" w:rsidP="00561E6C">
                        <w:r>
                          <w:rPr>
                            <w:rFonts w:ascii="Calibri" w:hAnsi="Calibri" w:cs="Calibri"/>
                            <w:b/>
                            <w:bCs/>
                            <w:color w:val="000000"/>
                            <w:sz w:val="26"/>
                            <w:szCs w:val="26"/>
                          </w:rPr>
                          <w:t>)</w:t>
                        </w:r>
                      </w:p>
                    </w:txbxContent>
                  </v:textbox>
                </v:rect>
                <v:rect id="Rectangle 14" o:spid="_x0000_s1037" style="position:absolute;left:13703;top:15735;width:549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9770FAE" w14:textId="685E48C6" w:rsidR="0087678E" w:rsidRDefault="0087678E" w:rsidP="00561E6C">
                        <w:r w:rsidRPr="00C943FD">
                          <w:rPr>
                            <w:rFonts w:ascii="Calibri" w:hAnsi="Calibri" w:cs="Calibri"/>
                            <w:b/>
                            <w:bCs/>
                            <w:color w:val="000000"/>
                            <w:sz w:val="26"/>
                            <w:szCs w:val="26"/>
                          </w:rPr>
                          <w:t>$</w:t>
                        </w:r>
                        <w:r>
                          <w:rPr>
                            <w:rFonts w:ascii="Calibri" w:hAnsi="Calibri" w:cs="Calibri"/>
                            <w:b/>
                            <w:bCs/>
                            <w:color w:val="000000"/>
                            <w:sz w:val="26"/>
                            <w:szCs w:val="26"/>
                          </w:rPr>
                          <w:t>5</w:t>
                        </w:r>
                        <w:r w:rsidRPr="00302CEC">
                          <w:rPr>
                            <w:rFonts w:ascii="Calibri" w:hAnsi="Calibri" w:cs="Calibri"/>
                            <w:b/>
                            <w:bCs/>
                            <w:color w:val="000000"/>
                            <w:sz w:val="26"/>
                            <w:szCs w:val="26"/>
                          </w:rPr>
                          <w:t>,</w:t>
                        </w:r>
                        <w:r>
                          <w:rPr>
                            <w:rFonts w:ascii="Calibri" w:hAnsi="Calibri" w:cs="Calibri"/>
                            <w:b/>
                            <w:bCs/>
                            <w:color w:val="000000"/>
                            <w:sz w:val="26"/>
                            <w:szCs w:val="26"/>
                          </w:rPr>
                          <w:t>167 (</w:t>
                        </w:r>
                      </w:p>
                    </w:txbxContent>
                  </v:textbox>
                </v:rect>
                <v:rect id="Rectangle 15" o:spid="_x0000_s1038" style="position:absolute;left:19037;top:15735;width:100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040B8E9D" w14:textId="77777777" w:rsidR="0087678E" w:rsidRPr="00EC1F9C" w:rsidRDefault="0087678E" w:rsidP="00561E6C">
                        <w:pPr>
                          <w:rPr>
                            <w:color w:val="006331" w:themeColor="accent2" w:themeShade="BF"/>
                          </w:rPr>
                        </w:pPr>
                        <w:r w:rsidRPr="00EC1F9C">
                          <w:rPr>
                            <w:rFonts w:ascii="Calibri" w:hAnsi="Calibri" w:cs="Calibri"/>
                            <w:b/>
                            <w:bCs/>
                            <w:color w:val="006331" w:themeColor="accent2" w:themeShade="BF"/>
                            <w:sz w:val="26"/>
                            <w:szCs w:val="26"/>
                          </w:rPr>
                          <w:t>A</w:t>
                        </w:r>
                      </w:p>
                    </w:txbxContent>
                  </v:textbox>
                </v:rect>
                <v:rect id="Rectangle 16" o:spid="_x0000_s1039" style="position:absolute;left:20040;top:15735;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18B63B6" w14:textId="77777777" w:rsidR="0087678E" w:rsidRDefault="0087678E" w:rsidP="00561E6C">
                        <w:r>
                          <w:rPr>
                            <w:rFonts w:ascii="Calibri" w:hAnsi="Calibri" w:cs="Calibri"/>
                            <w:b/>
                            <w:bCs/>
                            <w:color w:val="000000"/>
                            <w:sz w:val="26"/>
                            <w:szCs w:val="26"/>
                          </w:rPr>
                          <w:t>)</w:t>
                        </w:r>
                      </w:p>
                    </w:txbxContent>
                  </v:textbox>
                </v:rect>
                <v:rect id="Rectangle 17" o:spid="_x0000_s1040" style="position:absolute;left:43033;top:15735;width:79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61DF17A2" w14:textId="77777777" w:rsidR="0087678E" w:rsidRPr="00EC1F9C" w:rsidRDefault="0087678E" w:rsidP="00561E6C">
                        <w:pPr>
                          <w:rPr>
                            <w:color w:val="5E2F7E"/>
                          </w:rPr>
                        </w:pPr>
                        <w:r w:rsidRPr="00EC1F9C">
                          <w:rPr>
                            <w:rFonts w:ascii="Calibri" w:hAnsi="Calibri" w:cs="Calibri"/>
                            <w:b/>
                            <w:bCs/>
                            <w:color w:val="5E2F7E"/>
                            <w:sz w:val="26"/>
                            <w:szCs w:val="26"/>
                          </w:rPr>
                          <w:t>Z</w:t>
                        </w:r>
                      </w:p>
                    </w:txbxContent>
                  </v:textbox>
                </v:rect>
                <v:rect id="Rectangle 18" o:spid="_x0000_s1041" style="position:absolute;left:30295;top:20015;width:915;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3298C3AB" w14:textId="041ACDFE" w:rsidR="0087678E" w:rsidRPr="00EC1F9C" w:rsidRDefault="0087678E" w:rsidP="00561E6C">
                        <w:pPr>
                          <w:rPr>
                            <w:color w:val="5E2F7E"/>
                          </w:rPr>
                        </w:pPr>
                        <w:r>
                          <w:rPr>
                            <w:rFonts w:ascii="Calibri" w:hAnsi="Calibri" w:cs="Calibri"/>
                            <w:b/>
                            <w:bCs/>
                            <w:color w:val="5E2F7E"/>
                            <w:sz w:val="26"/>
                            <w:szCs w:val="26"/>
                          </w:rPr>
                          <w:t>X</w:t>
                        </w:r>
                      </w:p>
                    </w:txbxContent>
                  </v:textbox>
                </v:rect>
                <v:rect id="Rectangle 19" o:spid="_x0000_s1042" style="position:absolute;left:38754;top:20015;width:549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B18756A" w14:textId="2770FC2F" w:rsidR="0087678E" w:rsidRDefault="0087678E" w:rsidP="00561E6C">
                        <w:r>
                          <w:rPr>
                            <w:rFonts w:ascii="Calibri" w:hAnsi="Calibri" w:cs="Calibri"/>
                            <w:b/>
                            <w:bCs/>
                            <w:color w:val="000000"/>
                            <w:sz w:val="26"/>
                            <w:szCs w:val="26"/>
                          </w:rPr>
                          <w:t>$</w:t>
                        </w:r>
                        <w:r w:rsidDel="00586470">
                          <w:rPr>
                            <w:rFonts w:ascii="Calibri" w:hAnsi="Calibri" w:cs="Calibri"/>
                            <w:b/>
                            <w:bCs/>
                            <w:color w:val="000000"/>
                            <w:sz w:val="26"/>
                            <w:szCs w:val="26"/>
                          </w:rPr>
                          <w:t>4,</w:t>
                        </w:r>
                        <w:r>
                          <w:rPr>
                            <w:rFonts w:ascii="Calibri" w:hAnsi="Calibri" w:cs="Calibri"/>
                            <w:b/>
                            <w:bCs/>
                            <w:color w:val="000000"/>
                            <w:sz w:val="26"/>
                            <w:szCs w:val="26"/>
                          </w:rPr>
                          <w:t>873 (</w:t>
                        </w:r>
                      </w:p>
                    </w:txbxContent>
                  </v:textbox>
                </v:rect>
                <v:rect id="Rectangle 20" o:spid="_x0000_s1043" style="position:absolute;left:44145;top:20015;width:92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6591CD53" w14:textId="7E389AA0" w:rsidR="0087678E" w:rsidRPr="00EC1F9C" w:rsidRDefault="0087678E" w:rsidP="00561E6C">
                        <w:pPr>
                          <w:rPr>
                            <w:color w:val="006331" w:themeColor="accent2" w:themeShade="BF"/>
                          </w:rPr>
                        </w:pPr>
                        <w:r>
                          <w:rPr>
                            <w:rFonts w:ascii="Calibri" w:hAnsi="Calibri" w:cs="Calibri"/>
                            <w:b/>
                            <w:bCs/>
                            <w:color w:val="006331" w:themeColor="accent2" w:themeShade="BF"/>
                            <w:sz w:val="26"/>
                            <w:szCs w:val="26"/>
                          </w:rPr>
                          <w:t>B</w:t>
                        </w:r>
                      </w:p>
                    </w:txbxContent>
                  </v:textbox>
                </v:rect>
                <v:rect id="Rectangle 21" o:spid="_x0000_s1044" style="position:absolute;left:45021;top:20015;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0DFF59F0" w14:textId="77777777" w:rsidR="0087678E" w:rsidRDefault="0087678E" w:rsidP="00561E6C">
                        <w:r>
                          <w:rPr>
                            <w:rFonts w:ascii="Calibri" w:hAnsi="Calibri" w:cs="Calibri"/>
                            <w:b/>
                            <w:bCs/>
                            <w:color w:val="000000"/>
                            <w:sz w:val="26"/>
                            <w:szCs w:val="26"/>
                          </w:rPr>
                          <w:t>)</w:t>
                        </w:r>
                      </w:p>
                    </w:txbxContent>
                  </v:textbox>
                </v:rect>
                <v:rect id="Rectangle 22" o:spid="_x0000_s1045" style="position:absolute;left:6743;top:26441;width:100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1CBDDFE4" w14:textId="77777777" w:rsidR="0087678E" w:rsidRPr="00EC1F9C" w:rsidRDefault="0087678E" w:rsidP="00561E6C">
                        <w:pPr>
                          <w:rPr>
                            <w:color w:val="006331" w:themeColor="accent2" w:themeShade="BF"/>
                          </w:rPr>
                        </w:pPr>
                        <w:r w:rsidRPr="00EC1F9C">
                          <w:rPr>
                            <w:rFonts w:ascii="Calibri" w:hAnsi="Calibri" w:cs="Calibri"/>
                            <w:b/>
                            <w:bCs/>
                            <w:color w:val="006331" w:themeColor="accent2" w:themeShade="BF"/>
                            <w:sz w:val="26"/>
                            <w:szCs w:val="26"/>
                          </w:rPr>
                          <w:t>A</w:t>
                        </w:r>
                      </w:p>
                    </w:txbxContent>
                  </v:textbox>
                </v:rect>
                <v:rect id="Rectangle 23" o:spid="_x0000_s1046" style="position:absolute;left:7708;top:26441;width:1725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129BBE8D" w14:textId="64DDF4D4" w:rsidR="0087678E" w:rsidRDefault="0087678E" w:rsidP="00561E6C">
                        <w:r>
                          <w:rPr>
                            <w:rFonts w:ascii="Calibri" w:hAnsi="Calibri" w:cs="Calibri"/>
                            <w:b/>
                            <w:bCs/>
                            <w:color w:val="000000"/>
                            <w:sz w:val="26"/>
                            <w:szCs w:val="26"/>
                          </w:rPr>
                          <w:t xml:space="preserve"> - 2018–19 reference cost</w:t>
                        </w:r>
                      </w:p>
                    </w:txbxContent>
                  </v:textbox>
                </v:rect>
                <v:rect id="Rectangle 24" o:spid="_x0000_s1047" style="position:absolute;left:31686;top:26441;width:9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559D3504" w14:textId="77777777" w:rsidR="0087678E" w:rsidRPr="00EC1F9C" w:rsidRDefault="0087678E" w:rsidP="00561E6C">
                        <w:pPr>
                          <w:rPr>
                            <w:color w:val="5E2F7E"/>
                          </w:rPr>
                        </w:pPr>
                        <w:r w:rsidRPr="00EC1F9C">
                          <w:rPr>
                            <w:rFonts w:ascii="Calibri" w:hAnsi="Calibri" w:cs="Calibri"/>
                            <w:b/>
                            <w:bCs/>
                            <w:color w:val="5E2F7E"/>
                            <w:sz w:val="26"/>
                            <w:szCs w:val="26"/>
                          </w:rPr>
                          <w:t>X</w:t>
                        </w:r>
                      </w:p>
                    </w:txbxContent>
                  </v:textbox>
                </v:rect>
                <v:rect id="Rectangle 25" o:spid="_x0000_s1048" style="position:absolute;left:32543;top:26441;width:2308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45064B9A" w14:textId="77777777" w:rsidR="0087678E" w:rsidRDefault="0087678E" w:rsidP="00561E6C">
                        <w:r>
                          <w:rPr>
                            <w:rFonts w:ascii="Calibri" w:hAnsi="Calibri" w:cs="Calibri"/>
                            <w:b/>
                            <w:bCs/>
                            <w:color w:val="000000"/>
                            <w:sz w:val="26"/>
                            <w:szCs w:val="26"/>
                          </w:rPr>
                          <w:t xml:space="preserve"> - Crude growth rate to mean cost</w:t>
                        </w:r>
                      </w:p>
                    </w:txbxContent>
                  </v:textbox>
                </v:rect>
                <v:rect id="Rectangle 26" o:spid="_x0000_s1049" style="position:absolute;left:6743;top:28581;width:92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1A9E96B5" w14:textId="77777777" w:rsidR="0087678E" w:rsidRPr="00EC1F9C" w:rsidRDefault="0087678E" w:rsidP="00561E6C">
                        <w:pPr>
                          <w:rPr>
                            <w:color w:val="006331" w:themeColor="accent2" w:themeShade="BF"/>
                          </w:rPr>
                        </w:pPr>
                        <w:r w:rsidRPr="00EC1F9C">
                          <w:rPr>
                            <w:rFonts w:ascii="Calibri" w:hAnsi="Calibri" w:cs="Calibri"/>
                            <w:b/>
                            <w:bCs/>
                            <w:color w:val="006331" w:themeColor="accent2" w:themeShade="BF"/>
                            <w:sz w:val="26"/>
                            <w:szCs w:val="26"/>
                          </w:rPr>
                          <w:t>B</w:t>
                        </w:r>
                      </w:p>
                    </w:txbxContent>
                  </v:textbox>
                </v:rect>
                <v:rect id="Rectangle 27" o:spid="_x0000_s1050" style="position:absolute;left:7600;top:28581;width:1452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4B4E65FF" w14:textId="32BABCE2" w:rsidR="0087678E" w:rsidRDefault="0087678E" w:rsidP="00561E6C">
                        <w:r>
                          <w:rPr>
                            <w:rFonts w:ascii="Calibri" w:hAnsi="Calibri" w:cs="Calibri"/>
                            <w:b/>
                            <w:bCs/>
                            <w:color w:val="000000"/>
                            <w:sz w:val="26"/>
                            <w:szCs w:val="26"/>
                          </w:rPr>
                          <w:t xml:space="preserve"> - 2019</w:t>
                        </w:r>
                        <w:r w:rsidR="00D0034D">
                          <w:rPr>
                            <w:rFonts w:ascii="Calibri" w:hAnsi="Calibri" w:cs="Calibri"/>
                            <w:b/>
                            <w:bCs/>
                            <w:color w:val="000000"/>
                            <w:sz w:val="26"/>
                            <w:szCs w:val="26"/>
                          </w:rPr>
                          <w:t>–</w:t>
                        </w:r>
                        <w:r>
                          <w:rPr>
                            <w:rFonts w:ascii="Calibri" w:hAnsi="Calibri" w:cs="Calibri"/>
                            <w:b/>
                            <w:bCs/>
                            <w:color w:val="000000"/>
                            <w:sz w:val="26"/>
                            <w:szCs w:val="26"/>
                          </w:rPr>
                          <w:t>20 mean cost</w:t>
                        </w:r>
                      </w:p>
                    </w:txbxContent>
                  </v:textbox>
                </v:rect>
                <v:rect id="Rectangle 28" o:spid="_x0000_s1051" style="position:absolute;left:31686;top:28581;width:86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D52752E" w14:textId="77777777" w:rsidR="0087678E" w:rsidRPr="00EC1F9C" w:rsidRDefault="0087678E" w:rsidP="00561E6C">
                        <w:pPr>
                          <w:rPr>
                            <w:color w:val="5E2F7E"/>
                          </w:rPr>
                        </w:pPr>
                        <w:r w:rsidRPr="00EC1F9C">
                          <w:rPr>
                            <w:rFonts w:ascii="Calibri" w:hAnsi="Calibri" w:cs="Calibri"/>
                            <w:b/>
                            <w:bCs/>
                            <w:color w:val="5E2F7E"/>
                            <w:sz w:val="26"/>
                            <w:szCs w:val="26"/>
                          </w:rPr>
                          <w:t>Y</w:t>
                        </w:r>
                      </w:p>
                    </w:txbxContent>
                  </v:textbox>
                </v:rect>
                <v:rect id="Rectangle 29" o:spid="_x0000_s1052" style="position:absolute;left:32543;top:28581;width:18765;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369B5E5" w14:textId="77777777" w:rsidR="0087678E" w:rsidRDefault="0087678E" w:rsidP="00561E6C">
                        <w:r>
                          <w:rPr>
                            <w:rFonts w:ascii="Calibri" w:hAnsi="Calibri" w:cs="Calibri"/>
                            <w:b/>
                            <w:bCs/>
                            <w:color w:val="000000"/>
                            <w:sz w:val="26"/>
                            <w:szCs w:val="26"/>
                          </w:rPr>
                          <w:t xml:space="preserve"> - Standardised growth rate</w:t>
                        </w:r>
                      </w:p>
                    </w:txbxContent>
                  </v:textbox>
                </v:rect>
                <v:rect id="Rectangle 30" o:spid="_x0000_s1053" style="position:absolute;left:6743;top:30721;width:87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223DBD88" w14:textId="77777777" w:rsidR="0087678E" w:rsidRPr="00EC1F9C" w:rsidRDefault="0087678E" w:rsidP="00561E6C">
                        <w:pPr>
                          <w:rPr>
                            <w:color w:val="006331" w:themeColor="accent2" w:themeShade="BF"/>
                          </w:rPr>
                        </w:pPr>
                        <w:r w:rsidRPr="00EC1F9C">
                          <w:rPr>
                            <w:rFonts w:ascii="Calibri" w:hAnsi="Calibri" w:cs="Calibri"/>
                            <w:b/>
                            <w:bCs/>
                            <w:color w:val="006331" w:themeColor="accent2" w:themeShade="BF"/>
                            <w:sz w:val="26"/>
                            <w:szCs w:val="26"/>
                          </w:rPr>
                          <w:t>C</w:t>
                        </w:r>
                      </w:p>
                    </w:txbxContent>
                  </v:textbox>
                </v:rect>
                <v:rect id="Rectangle 31" o:spid="_x0000_s1054" style="position:absolute;left:7600;top:30721;width:1725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E37FEB4" w14:textId="6E1D962D" w:rsidR="0087678E" w:rsidRDefault="0087678E" w:rsidP="00561E6C">
                        <w:r>
                          <w:rPr>
                            <w:rFonts w:ascii="Calibri" w:hAnsi="Calibri" w:cs="Calibri"/>
                            <w:b/>
                            <w:bCs/>
                            <w:color w:val="000000"/>
                            <w:sz w:val="26"/>
                            <w:szCs w:val="26"/>
                          </w:rPr>
                          <w:t xml:space="preserve"> - 2019–20 reference cost</w:t>
                        </w:r>
                      </w:p>
                    </w:txbxContent>
                  </v:textbox>
                </v:rect>
                <v:rect id="Rectangle 32" o:spid="_x0000_s1055" style="position:absolute;left:31686;top:30721;width:79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38B42C0F" w14:textId="77777777" w:rsidR="0087678E" w:rsidRPr="00EC1F9C" w:rsidRDefault="0087678E" w:rsidP="00561E6C">
                        <w:pPr>
                          <w:rPr>
                            <w:color w:val="5E2F7E"/>
                          </w:rPr>
                        </w:pPr>
                        <w:r w:rsidRPr="00EC1F9C">
                          <w:rPr>
                            <w:rFonts w:ascii="Calibri" w:hAnsi="Calibri" w:cs="Calibri"/>
                            <w:b/>
                            <w:bCs/>
                            <w:color w:val="5E2F7E"/>
                            <w:sz w:val="26"/>
                            <w:szCs w:val="26"/>
                          </w:rPr>
                          <w:t>Z</w:t>
                        </w:r>
                      </w:p>
                    </w:txbxContent>
                  </v:textbox>
                </v:rect>
                <v:rect id="Rectangle 33" o:spid="_x0000_s1056" style="position:absolute;left:32435;top:30721;width:1155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7E1103A" w14:textId="77777777" w:rsidR="0087678E" w:rsidRDefault="0087678E" w:rsidP="00561E6C">
                        <w:r>
                          <w:rPr>
                            <w:rFonts w:ascii="Calibri" w:hAnsi="Calibri" w:cs="Calibri"/>
                            <w:b/>
                            <w:bCs/>
                            <w:color w:val="000000"/>
                            <w:sz w:val="26"/>
                            <w:szCs w:val="26"/>
                          </w:rPr>
                          <w:t xml:space="preserve"> - rebasing factor</w:t>
                        </w:r>
                      </w:p>
                    </w:txbxContent>
                  </v:textbox>
                </v:rect>
                <v:line id="Line 34" o:spid="_x0000_s1057" style="position:absolute;visibility:visible;mso-wrap-style:square" from="0,0" to="0,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GtxAAAANsAAAAPAAAAZHJzL2Rvd25yZXYueG1sRI9Ba8JA&#10;FITvQv/D8gre6kap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MBDAa3EAAAA2wAAAA8A&#10;AAAAAAAAAAAAAAAABwIAAGRycy9kb3ducmV2LnhtbFBLBQYAAAAAAwADALcAAAD4AgAAAAA=&#10;" strokeweight="0"/>
                <v:rect id="Rectangle 35" o:spid="_x0000_s1058" style="position:absolute;width:107;height:39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line id="Line 36" o:spid="_x0000_s1059" style="position:absolute;visibility:visible;mso-wrap-style:square" from="60909,107" to="60909,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" strokeweight="0"/>
                <v:rect id="Rectangle 37" o:spid="_x0000_s1060" style="position:absolute;left:60909;width:108;height:3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line id="Line 38" o:spid="_x0000_s1061" style="position:absolute;visibility:visible;mso-wrap-style:square" from="107,0" to="6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uoxAAAANsAAAAPAAAAZHJzL2Rvd25yZXYueG1sRI9Ba8JA&#10;FITvQv/D8gq96cZS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EEOC6jEAAAA2wAAAA8A&#10;AAAAAAAAAAAAAAAABwIAAGRycy9kb3ducmV2LnhtbFBLBQYAAAAAAwADALcAAAD4AgAAAAA=&#10;" strokeweight="0"/>
                <v:rect id="Rectangle 39" o:spid="_x0000_s1062" style="position:absolute;left:107;width:609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line id="Line 40" o:spid="_x0000_s1063" style="position:absolute;visibility:visible;mso-wrap-style:square" from="6419,10064" to="50952,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" strokeweight="0"/>
                <v:rect id="Rectangle 41" o:spid="_x0000_s1064" style="position:absolute;left:6419;top:10064;width:4453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line id="Line 42" o:spid="_x0000_s1065" style="position:absolute;visibility:visible;mso-wrap-style:square" from="6419,10274" to="50952,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qfxAAAANsAAAAPAAAAZHJzL2Rvd25yZXYueG1sRI9Ba8JA&#10;FITvQv/D8gre6kaL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KU/qp/EAAAA2wAAAA8A&#10;AAAAAAAAAAAAAAAABwIAAGRycy9kb3ducmV2LnhtbFBLBQYAAAAAAwADALcAAAD4AgAAAAA=&#10;" strokeweight="0"/>
                <v:rect id="Rectangle 43" o:spid="_x0000_s1066" style="position:absolute;left:6419;top:10274;width:4453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line id="Line 44" o:spid="_x0000_s1067" style="position:absolute;visibility:visible;mso-wrap-style:square" from="107,39071" to="61017,3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rect id="Rectangle 45" o:spid="_x0000_s1068" style="position:absolute;left:107;top:39071;width:609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shape id="Freeform 46" o:spid="_x0000_s1069" style="position:absolute;left:20916;top:13188;width:16606;height:4534;visibility:visible;mso-wrap-style:square;v-text-anchor:top" coordsize="26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" path="m4,714l2509,69r-5,-17l,699r4,15xm2502,131l2615,32,2469,r33,131xe" fillcolor="black" strokeweight=".05pt">
                  <v:path arrowok="t" o:connecttype="custom" o:connectlocs="2540,453390;1593215,43815;1590040,33020;0,443865;2540,453390;1588770,83185;1660525,20320;1567815,0;1588770,83185" o:connectangles="0,0,0,0,0,0,0,0,0"/>
                  <o:lock v:ext="edit" verticies="t"/>
                </v:shape>
                <v:shape id="Freeform 47" o:spid="_x0000_s1070" style="position:absolute;left:41173;top:14700;width:857;height:5461;rotation:180;visibility:visible;mso-wrap-style:square;v-text-anchor:top" coordsize="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" path="m76,r,748l59,748,59,,76,xm135,725l67,860,,725r135,xe" fillcolor="black" strokeweight=".05pt">
                  <v:path arrowok="t" o:connecttype="custom" o:connectlocs="48260,0;48260,474980;37465,474980;37465,0;48260,0;85725,460375;42545,546100;0,460375;85725,460375" o:connectangles="0,0,0,0,0,0,0,0,0"/>
                  <o:lock v:ext="edit" verticies="t"/>
                </v:shape>
                <v:shape id="Freeform 48" o:spid="_x0000_s1071" style="position:absolute;left:20916;top:17659;width:17145;height:4648;visibility:visible;mso-wrap-style:square;v-text-anchor:top" coordsize="270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" path="m4,l2593,663r-4,17l,16,4,xm2586,601r114,98l2553,732r33,-131xe" fillcolor="black" strokeweight=".05pt">
                  <v:path arrowok="t" o:connecttype="custom" o:connectlocs="2540,0;1646555,421005;1644015,431800;0,10160;2540,0;1642110,381635;1714500,443865;1621155,464820;1642110,381635" o:connectangles="0,0,0,0,0,0,0,0,0"/>
                  <o:lock v:ext="edit" verticies="t"/>
                </v:shape>
                <w10:wrap type="topAndBottom" anchorx="margin"/>
              </v:group>
            </w:pict>
          </mc:Fallback>
        </mc:AlternateContent>
      </w:r>
      <w:r w:rsidRPr="3E62FDA7">
        <w:rPr>
          <w:b/>
          <w:bCs/>
        </w:rPr>
        <w:t xml:space="preserve">Figure </w:t>
      </w:r>
      <w:r w:rsidR="008E2878" w:rsidRPr="3E62FDA7">
        <w:rPr>
          <w:b/>
          <w:bCs/>
        </w:rPr>
        <w:t>7</w:t>
      </w:r>
      <w:r w:rsidRPr="3E62FDA7">
        <w:rPr>
          <w:b/>
          <w:bCs/>
        </w:rPr>
        <w:t xml:space="preserve">: Derivation of </w:t>
      </w:r>
      <w:r w:rsidR="002B4587" w:rsidRPr="3E62FDA7">
        <w:rPr>
          <w:b/>
          <w:bCs/>
        </w:rPr>
        <w:t>201</w:t>
      </w:r>
      <w:r w:rsidR="002B4587">
        <w:rPr>
          <w:b/>
          <w:bCs/>
        </w:rPr>
        <w:t>9</w:t>
      </w:r>
      <w:r w:rsidRPr="3E62FDA7">
        <w:rPr>
          <w:b/>
          <w:bCs/>
        </w:rPr>
        <w:t>–</w:t>
      </w:r>
      <w:r w:rsidR="002B4587">
        <w:rPr>
          <w:b/>
          <w:bCs/>
        </w:rPr>
        <w:t>20</w:t>
      </w:r>
      <w:r w:rsidR="002B4587" w:rsidRPr="3E62FDA7">
        <w:rPr>
          <w:b/>
          <w:bCs/>
        </w:rPr>
        <w:t xml:space="preserve"> </w:t>
      </w:r>
      <w:r w:rsidRPr="3E62FDA7">
        <w:rPr>
          <w:b/>
          <w:bCs/>
        </w:rPr>
        <w:t>reference cost</w:t>
      </w:r>
    </w:p>
    <w:p w14:paraId="6EDB4C2C" w14:textId="77777777" w:rsidR="00561E6C" w:rsidRPr="00704036" w:rsidRDefault="00561E6C" w:rsidP="00561E6C">
      <w:pPr>
        <w:spacing w:before="100" w:beforeAutospacing="1" w:line="240" w:lineRule="auto"/>
        <w:rPr>
          <w:rFonts w:eastAsia="Calibri" w:cstheme="minorHAnsi"/>
        </w:rPr>
      </w:pPr>
      <w:r w:rsidRPr="00BA0326">
        <w:rPr>
          <w:rFonts w:eastAsia="Calibri" w:cstheme="minorHAnsi"/>
        </w:rPr>
        <w:t>There are two intended consequences of the selection of the reference costs:</w:t>
      </w:r>
    </w:p>
    <w:p w14:paraId="6E06330F" w14:textId="77777777" w:rsidR="00561E6C" w:rsidRPr="00074712" w:rsidRDefault="00561E6C" w:rsidP="00FE1EA1">
      <w:pPr>
        <w:pStyle w:val="ListParagraph"/>
        <w:numPr>
          <w:ilvl w:val="0"/>
          <w:numId w:val="33"/>
        </w:numPr>
        <w:rPr>
          <w:rFonts w:eastAsia="Calibri"/>
        </w:rPr>
      </w:pPr>
      <w:r w:rsidRPr="00074712">
        <w:rPr>
          <w:rFonts w:eastAsia="Calibri"/>
        </w:rPr>
        <w:t xml:space="preserve">The change in reference costs represents change in unit costs excluding the </w:t>
      </w:r>
      <w:r w:rsidR="00F96104" w:rsidRPr="00074712">
        <w:rPr>
          <w:rFonts w:eastAsia="Calibri"/>
        </w:rPr>
        <w:t>effect of any changes in case</w:t>
      </w:r>
      <w:r w:rsidRPr="00074712">
        <w:rPr>
          <w:rFonts w:eastAsia="Calibri"/>
        </w:rPr>
        <w:t>mix.</w:t>
      </w:r>
    </w:p>
    <w:p w14:paraId="7EE1C90C" w14:textId="5BC45EA2" w:rsidR="00561E6C" w:rsidRPr="00074712" w:rsidRDefault="00561E6C" w:rsidP="00FE1EA1">
      <w:pPr>
        <w:pStyle w:val="ListParagraph"/>
        <w:numPr>
          <w:ilvl w:val="0"/>
          <w:numId w:val="33"/>
        </w:numPr>
        <w:rPr>
          <w:rFonts w:eastAsia="Calibri"/>
        </w:rPr>
      </w:pPr>
      <w:r w:rsidRPr="00074712">
        <w:rPr>
          <w:rFonts w:eastAsia="Calibri"/>
        </w:rPr>
        <w:t xml:space="preserve">The </w:t>
      </w:r>
      <w:r w:rsidR="002B4587" w:rsidRPr="00074712">
        <w:rPr>
          <w:rFonts w:eastAsia="Calibri"/>
        </w:rPr>
        <w:t>201</w:t>
      </w:r>
      <w:r w:rsidR="002B4587">
        <w:rPr>
          <w:rFonts w:eastAsia="Calibri"/>
        </w:rPr>
        <w:t>8</w:t>
      </w:r>
      <w:r w:rsidR="007F5279">
        <w:rPr>
          <w:rFonts w:eastAsia="Calibri"/>
        </w:rPr>
        <w:t>–</w:t>
      </w:r>
      <w:r w:rsidR="002B4587" w:rsidRPr="00074712">
        <w:rPr>
          <w:rFonts w:eastAsia="Calibri"/>
        </w:rPr>
        <w:t>1</w:t>
      </w:r>
      <w:r w:rsidR="002B4587">
        <w:rPr>
          <w:rFonts w:eastAsia="Calibri"/>
        </w:rPr>
        <w:t>9</w:t>
      </w:r>
      <w:r w:rsidR="002B4587" w:rsidRPr="00074712">
        <w:rPr>
          <w:rFonts w:eastAsia="Calibri"/>
        </w:rPr>
        <w:t xml:space="preserve"> </w:t>
      </w:r>
      <w:r w:rsidRPr="00074712">
        <w:rPr>
          <w:rFonts w:eastAsia="Calibri"/>
        </w:rPr>
        <w:t xml:space="preserve">and </w:t>
      </w:r>
      <w:r w:rsidR="002B4587" w:rsidRPr="00074712">
        <w:rPr>
          <w:rFonts w:eastAsia="Calibri"/>
        </w:rPr>
        <w:t>201</w:t>
      </w:r>
      <w:r w:rsidR="002B4587">
        <w:rPr>
          <w:rFonts w:eastAsia="Calibri"/>
        </w:rPr>
        <w:t>9</w:t>
      </w:r>
      <w:r w:rsidRPr="00074712">
        <w:rPr>
          <w:rFonts w:eastAsia="Calibri"/>
        </w:rPr>
        <w:t>–</w:t>
      </w:r>
      <w:r w:rsidR="002B4587">
        <w:rPr>
          <w:rFonts w:eastAsia="Calibri"/>
        </w:rPr>
        <w:t>20</w:t>
      </w:r>
      <w:r w:rsidR="002B4587" w:rsidRPr="00074712">
        <w:rPr>
          <w:rFonts w:eastAsia="Calibri"/>
        </w:rPr>
        <w:t xml:space="preserve"> </w:t>
      </w:r>
      <w:r w:rsidRPr="00074712">
        <w:rPr>
          <w:rFonts w:eastAsia="Calibri"/>
        </w:rPr>
        <w:t xml:space="preserve">cost weight models give the same total weighted volume when applied to the </w:t>
      </w:r>
      <w:r w:rsidR="002B4587" w:rsidRPr="00074712">
        <w:rPr>
          <w:rFonts w:eastAsia="Calibri"/>
        </w:rPr>
        <w:t>201</w:t>
      </w:r>
      <w:r w:rsidR="00B41392">
        <w:rPr>
          <w:rFonts w:eastAsia="Calibri"/>
        </w:rPr>
        <w:t>8</w:t>
      </w:r>
      <w:r w:rsidRPr="00074712">
        <w:rPr>
          <w:rFonts w:eastAsia="Calibri"/>
        </w:rPr>
        <w:t>–</w:t>
      </w:r>
      <w:r w:rsidR="00B41392">
        <w:rPr>
          <w:rFonts w:eastAsia="Calibri"/>
        </w:rPr>
        <w:t>19</w:t>
      </w:r>
      <w:r w:rsidR="002B4587" w:rsidRPr="00074712">
        <w:rPr>
          <w:rFonts w:eastAsia="Calibri"/>
        </w:rPr>
        <w:t xml:space="preserve"> </w:t>
      </w:r>
      <w:r w:rsidRPr="00074712">
        <w:rPr>
          <w:rFonts w:eastAsia="Calibri"/>
        </w:rPr>
        <w:t>activity data on which the standardised growth rate is derived.</w:t>
      </w:r>
    </w:p>
    <w:p w14:paraId="36EAC247" w14:textId="4AAE5AA5" w:rsidR="00561E6C" w:rsidRPr="000351BD" w:rsidRDefault="00561E6C" w:rsidP="00755433">
      <w:pPr>
        <w:pStyle w:val="Heading2"/>
      </w:pPr>
      <w:bookmarkStart w:id="251" w:name="_Toc499221009"/>
      <w:bookmarkStart w:id="252" w:name="_Toc499290961"/>
      <w:bookmarkStart w:id="253" w:name="_Toc26278347"/>
      <w:bookmarkStart w:id="254" w:name="_Toc26370525"/>
      <w:bookmarkStart w:id="255" w:name="_Toc65145959"/>
      <w:bookmarkStart w:id="256" w:name="_Ref89169547"/>
      <w:bookmarkStart w:id="257" w:name="_Ref89169615"/>
      <w:bookmarkStart w:id="258" w:name="_Ref89244913"/>
      <w:bookmarkStart w:id="259" w:name="_Toc98882308"/>
      <w:r w:rsidRPr="000A0BF3">
        <w:t>Indexation</w:t>
      </w:r>
      <w:bookmarkEnd w:id="251"/>
      <w:bookmarkEnd w:id="252"/>
      <w:bookmarkEnd w:id="253"/>
      <w:bookmarkEnd w:id="254"/>
      <w:bookmarkEnd w:id="255"/>
      <w:bookmarkEnd w:id="256"/>
      <w:bookmarkEnd w:id="257"/>
      <w:bookmarkEnd w:id="258"/>
      <w:bookmarkEnd w:id="259"/>
      <w:r w:rsidRPr="000351BD">
        <w:t xml:space="preserve"> </w:t>
      </w:r>
    </w:p>
    <w:p w14:paraId="672BED71" w14:textId="01000DD2" w:rsidR="00561E6C" w:rsidRPr="00704036" w:rsidRDefault="00561E6C" w:rsidP="00561E6C">
      <w:pPr>
        <w:spacing w:before="100" w:beforeAutospacing="1" w:after="100" w:afterAutospacing="1" w:line="240" w:lineRule="auto"/>
        <w:rPr>
          <w:rFonts w:eastAsia="Calibri" w:cstheme="minorHAnsi"/>
        </w:rPr>
      </w:pPr>
      <w:r w:rsidRPr="00704036">
        <w:rPr>
          <w:rFonts w:eastAsia="Calibri" w:cstheme="minorHAnsi"/>
        </w:rPr>
        <w:t xml:space="preserve">The final step in the transformation of the cost model to pricing model is the indexation of costs to estimate those in the year of the pricing model. Describing the methodology in the context of the </w:t>
      </w:r>
      <w:r w:rsidR="002B4587">
        <w:rPr>
          <w:rFonts w:eastAsia="Calibri" w:cstheme="minorHAnsi"/>
        </w:rPr>
        <w:t>2022</w:t>
      </w:r>
      <w:r>
        <w:rPr>
          <w:rFonts w:eastAsia="Calibri" w:cstheme="minorHAnsi"/>
        </w:rPr>
        <w:t>–</w:t>
      </w:r>
      <w:r w:rsidR="002B4587">
        <w:rPr>
          <w:rFonts w:eastAsia="Calibri" w:cstheme="minorHAnsi"/>
        </w:rPr>
        <w:t>23</w:t>
      </w:r>
      <w:r w:rsidR="002B4587" w:rsidRPr="00704036">
        <w:rPr>
          <w:rFonts w:eastAsia="Calibri" w:cstheme="minorHAnsi"/>
        </w:rPr>
        <w:t xml:space="preserve"> </w:t>
      </w:r>
      <w:r w:rsidRPr="00704036">
        <w:rPr>
          <w:rFonts w:eastAsia="Calibri" w:cstheme="minorHAnsi"/>
        </w:rPr>
        <w:t xml:space="preserve">pricing model, the objective is to derive an annual indexation rate that is used to inflate the </w:t>
      </w:r>
      <w:r w:rsidR="002B4587">
        <w:rPr>
          <w:rFonts w:eastAsia="Calibri" w:cstheme="minorHAnsi"/>
        </w:rPr>
        <w:t>2019</w:t>
      </w:r>
      <w:r>
        <w:rPr>
          <w:rFonts w:eastAsia="Calibri" w:cstheme="minorHAnsi"/>
        </w:rPr>
        <w:t>–</w:t>
      </w:r>
      <w:r w:rsidR="002B4587">
        <w:rPr>
          <w:rFonts w:eastAsia="Calibri" w:cstheme="minorHAnsi"/>
        </w:rPr>
        <w:t>20</w:t>
      </w:r>
      <w:r w:rsidR="002B4587" w:rsidRPr="00704036">
        <w:rPr>
          <w:rFonts w:eastAsia="Calibri" w:cstheme="minorHAnsi"/>
        </w:rPr>
        <w:t xml:space="preserve"> </w:t>
      </w:r>
      <w:r w:rsidRPr="00704036">
        <w:rPr>
          <w:rFonts w:eastAsia="Calibri" w:cstheme="minorHAnsi"/>
        </w:rPr>
        <w:t xml:space="preserve">cost model over three years to a level reflective of estimated </w:t>
      </w:r>
      <w:r w:rsidR="002B4587">
        <w:rPr>
          <w:rFonts w:eastAsia="Calibri" w:cstheme="minorHAnsi"/>
        </w:rPr>
        <w:t>2022</w:t>
      </w:r>
      <w:r>
        <w:rPr>
          <w:rFonts w:eastAsia="Calibri" w:cstheme="minorHAnsi"/>
        </w:rPr>
        <w:t>–</w:t>
      </w:r>
      <w:r w:rsidR="002B4587">
        <w:rPr>
          <w:rFonts w:eastAsia="Calibri" w:cstheme="minorHAnsi"/>
        </w:rPr>
        <w:t>23</w:t>
      </w:r>
      <w:r w:rsidR="002B4587" w:rsidRPr="00704036">
        <w:rPr>
          <w:rFonts w:eastAsia="Calibri" w:cstheme="minorHAnsi"/>
        </w:rPr>
        <w:t xml:space="preserve"> </w:t>
      </w:r>
      <w:r w:rsidRPr="00704036">
        <w:rPr>
          <w:rFonts w:eastAsia="Calibri" w:cstheme="minorHAnsi"/>
        </w:rPr>
        <w:t>costs.</w:t>
      </w:r>
    </w:p>
    <w:p w14:paraId="1B40E51D" w14:textId="2DF796CA" w:rsidR="00561E6C" w:rsidRDefault="00561E6C" w:rsidP="00561E6C">
      <w:pPr>
        <w:spacing w:line="240" w:lineRule="auto"/>
        <w:rPr>
          <w:rFonts w:eastAsia="Calibri" w:cstheme="minorHAnsi"/>
        </w:rPr>
      </w:pPr>
      <w:r w:rsidRPr="00704036">
        <w:rPr>
          <w:rFonts w:eastAsia="Calibri" w:cstheme="minorHAnsi"/>
        </w:rPr>
        <w:lastRenderedPageBreak/>
        <w:t xml:space="preserve">To derive this rate, the </w:t>
      </w:r>
      <w:r w:rsidR="00D611E9">
        <w:rPr>
          <w:rFonts w:eastAsia="Calibri" w:cstheme="minorHAnsi"/>
        </w:rPr>
        <w:t>2019</w:t>
      </w:r>
      <w:r>
        <w:rPr>
          <w:rFonts w:eastAsia="Calibri" w:cstheme="minorHAnsi"/>
        </w:rPr>
        <w:t>–</w:t>
      </w:r>
      <w:r w:rsidR="00D611E9">
        <w:rPr>
          <w:rFonts w:eastAsia="Calibri" w:cstheme="minorHAnsi"/>
        </w:rPr>
        <w:t>20</w:t>
      </w:r>
      <w:r w:rsidR="00D611E9" w:rsidRPr="00704036">
        <w:rPr>
          <w:rFonts w:eastAsia="Calibri" w:cstheme="minorHAnsi"/>
        </w:rPr>
        <w:t xml:space="preserve"> </w:t>
      </w:r>
      <w:r w:rsidRPr="00704036">
        <w:rPr>
          <w:rFonts w:eastAsia="Calibri" w:cstheme="minorHAnsi"/>
        </w:rPr>
        <w:t xml:space="preserve">cost model is applied retrospectively to the </w:t>
      </w:r>
      <w:r w:rsidRPr="00801AF5">
        <w:rPr>
          <w:rFonts w:eastAsia="Calibri" w:cstheme="minorHAnsi"/>
        </w:rPr>
        <w:t>five years</w:t>
      </w:r>
      <w:r w:rsidRPr="00704036">
        <w:rPr>
          <w:rFonts w:eastAsia="Calibri" w:cstheme="minorHAnsi"/>
        </w:rPr>
        <w:t xml:space="preserve"> of patient costed </w:t>
      </w:r>
      <w:r>
        <w:rPr>
          <w:rFonts w:eastAsia="Calibri" w:cstheme="minorHAnsi"/>
        </w:rPr>
        <w:t>admitted acute</w:t>
      </w:r>
      <w:r w:rsidRPr="00704036">
        <w:rPr>
          <w:rFonts w:eastAsia="Calibri" w:cstheme="minorHAnsi"/>
        </w:rPr>
        <w:t xml:space="preserve"> activity data</w:t>
      </w:r>
      <w:r w:rsidRPr="00704036">
        <w:rPr>
          <w:rFonts w:eastAsia="Calibri" w:cstheme="minorHAnsi"/>
          <w:vertAlign w:val="superscript"/>
        </w:rPr>
        <w:footnoteReference w:id="22"/>
      </w:r>
      <w:r w:rsidRPr="00704036">
        <w:rPr>
          <w:rFonts w:eastAsia="Calibri" w:cstheme="minorHAnsi"/>
        </w:rPr>
        <w:t xml:space="preserve"> </w:t>
      </w:r>
      <w:r>
        <w:rPr>
          <w:rFonts w:eastAsia="Calibri" w:cstheme="minorHAnsi"/>
        </w:rPr>
        <w:t>prior to</w:t>
      </w:r>
      <w:r w:rsidRPr="00704036">
        <w:rPr>
          <w:rFonts w:eastAsia="Calibri" w:cstheme="minorHAnsi"/>
        </w:rPr>
        <w:t xml:space="preserve"> </w:t>
      </w:r>
      <w:r w:rsidR="00D611E9">
        <w:rPr>
          <w:rFonts w:eastAsia="Calibri" w:cstheme="minorHAnsi"/>
        </w:rPr>
        <w:t>2019</w:t>
      </w:r>
      <w:r>
        <w:rPr>
          <w:rFonts w:eastAsia="Calibri" w:cstheme="minorHAnsi"/>
        </w:rPr>
        <w:t>–</w:t>
      </w:r>
      <w:r w:rsidR="00D611E9">
        <w:rPr>
          <w:rFonts w:eastAsia="Calibri" w:cstheme="minorHAnsi"/>
        </w:rPr>
        <w:t>20</w:t>
      </w:r>
      <w:r w:rsidRPr="00704036">
        <w:rPr>
          <w:rFonts w:eastAsia="Calibri" w:cstheme="minorHAnsi"/>
        </w:rPr>
        <w:t>, and comparisons are made between actual and model</w:t>
      </w:r>
      <w:r>
        <w:rPr>
          <w:rFonts w:eastAsia="Calibri" w:cstheme="minorHAnsi"/>
        </w:rPr>
        <w:t>led</w:t>
      </w:r>
      <w:r w:rsidRPr="00704036">
        <w:rPr>
          <w:rFonts w:eastAsia="Calibri" w:cstheme="minorHAnsi"/>
        </w:rPr>
        <w:t xml:space="preserve"> costs to determine the scaling of the </w:t>
      </w:r>
      <w:r w:rsidR="00D611E9">
        <w:rPr>
          <w:rFonts w:eastAsia="Calibri" w:cstheme="minorHAnsi"/>
        </w:rPr>
        <w:t>2019</w:t>
      </w:r>
      <w:r>
        <w:rPr>
          <w:rFonts w:eastAsia="Calibri" w:cstheme="minorHAnsi"/>
        </w:rPr>
        <w:t>–</w:t>
      </w:r>
      <w:r w:rsidR="00D611E9">
        <w:rPr>
          <w:rFonts w:eastAsia="Calibri" w:cstheme="minorHAnsi"/>
        </w:rPr>
        <w:t>20</w:t>
      </w:r>
      <w:r w:rsidR="00D611E9" w:rsidRPr="00704036">
        <w:rPr>
          <w:rFonts w:eastAsia="Calibri" w:cstheme="minorHAnsi"/>
        </w:rPr>
        <w:t xml:space="preserve"> </w:t>
      </w:r>
      <w:r w:rsidRPr="00704036">
        <w:rPr>
          <w:rFonts w:eastAsia="Calibri" w:cstheme="minorHAnsi"/>
        </w:rPr>
        <w:t>cost model required to equalise each year’s model</w:t>
      </w:r>
      <w:r>
        <w:rPr>
          <w:rFonts w:eastAsia="Calibri" w:cstheme="minorHAnsi"/>
        </w:rPr>
        <w:t>led</w:t>
      </w:r>
      <w:r w:rsidRPr="00704036">
        <w:rPr>
          <w:rFonts w:eastAsia="Calibri" w:cstheme="minorHAnsi"/>
        </w:rPr>
        <w:t xml:space="preserve"> costs and actual costs. The trend of these scaling factors from </w:t>
      </w:r>
      <w:r w:rsidRPr="002C6265">
        <w:rPr>
          <w:rFonts w:eastAsia="Calibri" w:cstheme="minorHAnsi"/>
        </w:rPr>
        <w:t>20</w:t>
      </w:r>
      <w:r w:rsidRPr="00EA1011">
        <w:rPr>
          <w:rFonts w:eastAsia="Calibri" w:cstheme="minorHAnsi"/>
        </w:rPr>
        <w:t>1</w:t>
      </w:r>
      <w:r w:rsidR="00B51420">
        <w:rPr>
          <w:rFonts w:eastAsia="Calibri" w:cstheme="minorHAnsi"/>
        </w:rPr>
        <w:t>4</w:t>
      </w:r>
      <w:r>
        <w:rPr>
          <w:rFonts w:eastAsia="Calibri" w:cstheme="minorHAnsi"/>
        </w:rPr>
        <w:t>–</w:t>
      </w:r>
      <w:r w:rsidRPr="002C6265">
        <w:rPr>
          <w:rFonts w:eastAsia="Calibri" w:cstheme="minorHAnsi"/>
        </w:rPr>
        <w:t>1</w:t>
      </w:r>
      <w:r w:rsidR="00B51420">
        <w:rPr>
          <w:rFonts w:eastAsia="Calibri" w:cstheme="minorHAnsi"/>
        </w:rPr>
        <w:t>5</w:t>
      </w:r>
      <w:r w:rsidRPr="002C6265">
        <w:rPr>
          <w:rFonts w:eastAsia="Calibri" w:cstheme="minorHAnsi"/>
        </w:rPr>
        <w:t xml:space="preserve"> to</w:t>
      </w:r>
      <w:r w:rsidRPr="00801AF5">
        <w:rPr>
          <w:rFonts w:eastAsia="Calibri" w:cstheme="minorHAnsi"/>
        </w:rPr>
        <w:t xml:space="preserve"> </w:t>
      </w:r>
      <w:r w:rsidR="00D611E9">
        <w:rPr>
          <w:rFonts w:eastAsia="Calibri" w:cstheme="minorHAnsi"/>
        </w:rPr>
        <w:t>2019</w:t>
      </w:r>
      <w:r>
        <w:rPr>
          <w:rFonts w:eastAsia="Calibri" w:cstheme="minorHAnsi"/>
        </w:rPr>
        <w:t>–</w:t>
      </w:r>
      <w:r w:rsidR="00D611E9">
        <w:rPr>
          <w:rFonts w:eastAsia="Calibri" w:cstheme="minorHAnsi"/>
        </w:rPr>
        <w:t>20</w:t>
      </w:r>
      <w:r w:rsidR="00D611E9" w:rsidRPr="00704036">
        <w:rPr>
          <w:rFonts w:eastAsia="Calibri" w:cstheme="minorHAnsi"/>
        </w:rPr>
        <w:t xml:space="preserve"> </w:t>
      </w:r>
      <w:r w:rsidRPr="00704036">
        <w:rPr>
          <w:rFonts w:eastAsia="Calibri" w:cstheme="minorHAnsi"/>
        </w:rPr>
        <w:t xml:space="preserve">is then projected to model the indexation rate for the following </w:t>
      </w:r>
      <w:r w:rsidRPr="00801AF5">
        <w:rPr>
          <w:rFonts w:eastAsia="Calibri" w:cstheme="minorHAnsi"/>
        </w:rPr>
        <w:t>three years</w:t>
      </w:r>
      <w:r w:rsidRPr="00704036">
        <w:rPr>
          <w:rFonts w:eastAsia="Calibri" w:cstheme="minorHAnsi"/>
        </w:rPr>
        <w:t>.</w:t>
      </w:r>
      <w:r w:rsidR="00D55148">
        <w:rPr>
          <w:rFonts w:eastAsia="Calibri" w:cstheme="minorHAnsi"/>
        </w:rPr>
        <w:t xml:space="preserve"> </w:t>
      </w:r>
    </w:p>
    <w:p w14:paraId="23A253F1" w14:textId="32EB3167" w:rsidR="00561E6C" w:rsidRDefault="00561E6C" w:rsidP="00561E6C">
      <w:pPr>
        <w:spacing w:line="240" w:lineRule="auto"/>
        <w:rPr>
          <w:rFonts w:eastAsia="Calibri" w:cstheme="minorHAnsi"/>
        </w:rPr>
      </w:pPr>
      <w:r w:rsidRPr="00CC15B6">
        <w:t xml:space="preserve">Figure </w:t>
      </w:r>
      <w:r w:rsidR="008E2878">
        <w:rPr>
          <w:noProof/>
        </w:rPr>
        <w:t>8</w:t>
      </w:r>
      <w:r w:rsidRPr="000C2251">
        <w:rPr>
          <w:rFonts w:eastAsia="Calibri" w:cstheme="minorHAnsi"/>
        </w:rPr>
        <w:t xml:space="preserve"> illustrates the </w:t>
      </w:r>
      <w:r w:rsidR="00434D6C">
        <w:rPr>
          <w:rFonts w:eastAsia="Calibri" w:cstheme="minorHAnsi"/>
        </w:rPr>
        <w:t>2019</w:t>
      </w:r>
      <w:r>
        <w:rPr>
          <w:rFonts w:eastAsia="Calibri" w:cstheme="minorHAnsi"/>
        </w:rPr>
        <w:t>–</w:t>
      </w:r>
      <w:r w:rsidR="00434D6C">
        <w:rPr>
          <w:rFonts w:eastAsia="Calibri" w:cstheme="minorHAnsi"/>
        </w:rPr>
        <w:t xml:space="preserve">20 </w:t>
      </w:r>
      <w:r w:rsidRPr="000C2251">
        <w:rPr>
          <w:rFonts w:eastAsia="Calibri" w:cstheme="minorHAnsi"/>
        </w:rPr>
        <w:t>cost model applied to patient costed admitted acute activity data</w:t>
      </w:r>
      <w:r w:rsidRPr="00704036">
        <w:rPr>
          <w:rFonts w:eastAsia="Calibri" w:cstheme="minorHAnsi"/>
        </w:rPr>
        <w:t xml:space="preserve"> and shows the scaling factors required to ensure the model costs are equalised with actual costs. Since the </w:t>
      </w:r>
      <w:r w:rsidR="00434D6C">
        <w:rPr>
          <w:rFonts w:eastAsia="Calibri" w:cstheme="minorHAnsi"/>
        </w:rPr>
        <w:t>2019</w:t>
      </w:r>
      <w:r>
        <w:rPr>
          <w:rFonts w:eastAsia="Calibri" w:cstheme="minorHAnsi"/>
        </w:rPr>
        <w:t>–</w:t>
      </w:r>
      <w:r w:rsidR="00434D6C">
        <w:rPr>
          <w:rFonts w:eastAsia="Calibri" w:cstheme="minorHAnsi"/>
        </w:rPr>
        <w:t>20</w:t>
      </w:r>
      <w:r w:rsidR="00434D6C" w:rsidRPr="00704036">
        <w:rPr>
          <w:rFonts w:eastAsia="Calibri" w:cstheme="minorHAnsi"/>
        </w:rPr>
        <w:t xml:space="preserve"> </w:t>
      </w:r>
      <w:r w:rsidRPr="00704036">
        <w:rPr>
          <w:rFonts w:eastAsia="Calibri" w:cstheme="minorHAnsi"/>
        </w:rPr>
        <w:t xml:space="preserve">cost model itself is equalised against </w:t>
      </w:r>
      <w:r w:rsidR="00434D6C">
        <w:rPr>
          <w:rFonts w:eastAsia="Calibri" w:cstheme="minorHAnsi"/>
        </w:rPr>
        <w:t>2019</w:t>
      </w:r>
      <w:r>
        <w:rPr>
          <w:rFonts w:eastAsia="Calibri" w:cstheme="minorHAnsi"/>
        </w:rPr>
        <w:t>–</w:t>
      </w:r>
      <w:r w:rsidR="00434D6C">
        <w:rPr>
          <w:rFonts w:eastAsia="Calibri" w:cstheme="minorHAnsi"/>
        </w:rPr>
        <w:t xml:space="preserve">20 </w:t>
      </w:r>
      <w:r w:rsidRPr="00704036">
        <w:rPr>
          <w:rFonts w:eastAsia="Calibri" w:cstheme="minorHAnsi"/>
        </w:rPr>
        <w:t xml:space="preserve">actual costs, the scaling factor for </w:t>
      </w:r>
      <w:r w:rsidR="00434D6C">
        <w:rPr>
          <w:rFonts w:eastAsia="Calibri" w:cstheme="minorHAnsi"/>
        </w:rPr>
        <w:t>2019</w:t>
      </w:r>
      <w:r>
        <w:rPr>
          <w:rFonts w:eastAsia="Calibri" w:cstheme="minorHAnsi"/>
        </w:rPr>
        <w:t>–</w:t>
      </w:r>
      <w:r w:rsidR="00434D6C">
        <w:rPr>
          <w:rFonts w:eastAsia="Calibri" w:cstheme="minorHAnsi"/>
        </w:rPr>
        <w:t xml:space="preserve">20 </w:t>
      </w:r>
      <w:r w:rsidRPr="00704036">
        <w:rPr>
          <w:rFonts w:eastAsia="Calibri" w:cstheme="minorHAnsi"/>
        </w:rPr>
        <w:t>is equal to 1 (</w:t>
      </w:r>
      <w:r>
        <w:rPr>
          <w:rFonts w:eastAsia="Calibri" w:cstheme="minorHAnsi"/>
        </w:rPr>
        <w:t>that is,</w:t>
      </w:r>
      <w:r w:rsidRPr="00704036">
        <w:rPr>
          <w:rFonts w:eastAsia="Calibri" w:cstheme="minorHAnsi"/>
        </w:rPr>
        <w:t xml:space="preserve"> no scaling </w:t>
      </w:r>
      <w:r>
        <w:rPr>
          <w:rFonts w:eastAsia="Calibri" w:cstheme="minorHAnsi"/>
        </w:rPr>
        <w:t xml:space="preserve">is </w:t>
      </w:r>
      <w:r w:rsidRPr="00704036">
        <w:rPr>
          <w:rFonts w:eastAsia="Calibri" w:cstheme="minorHAnsi"/>
        </w:rPr>
        <w:t xml:space="preserve">required). Going back through the </w:t>
      </w:r>
      <w:r w:rsidRPr="00801AF5">
        <w:rPr>
          <w:rFonts w:eastAsia="Calibri" w:cstheme="minorHAnsi"/>
        </w:rPr>
        <w:t>prior five years</w:t>
      </w:r>
      <w:r w:rsidRPr="00704036">
        <w:rPr>
          <w:rFonts w:eastAsia="Calibri" w:cstheme="minorHAnsi"/>
        </w:rPr>
        <w:t xml:space="preserve"> of cost data, scaling factors of less than </w:t>
      </w:r>
      <w:r>
        <w:rPr>
          <w:rFonts w:eastAsia="Calibri" w:cstheme="minorHAnsi"/>
        </w:rPr>
        <w:t>one</w:t>
      </w:r>
      <w:r w:rsidRPr="00704036">
        <w:rPr>
          <w:rFonts w:eastAsia="Calibri" w:cstheme="minorHAnsi"/>
        </w:rPr>
        <w:t xml:space="preserve"> are required to deflate the modelled costs down to the level of the actual costs. </w:t>
      </w:r>
      <w:r w:rsidR="006C5B90">
        <w:rPr>
          <w:rFonts w:eastAsia="Calibri" w:cstheme="minorHAnsi"/>
        </w:rPr>
        <w:t>This</w:t>
      </w:r>
      <w:r w:rsidR="00DB4FCF" w:rsidRPr="00704036">
        <w:rPr>
          <w:rFonts w:eastAsia="Calibri" w:cstheme="minorHAnsi"/>
        </w:rPr>
        <w:t xml:space="preserve"> time series of scaling factors</w:t>
      </w:r>
      <w:r w:rsidR="006C5B90">
        <w:rPr>
          <w:rFonts w:eastAsia="Calibri" w:cstheme="minorHAnsi"/>
        </w:rPr>
        <w:t xml:space="preserve"> is given by: </w:t>
      </w:r>
    </w:p>
    <w:p w14:paraId="257B0631" w14:textId="153C87D2" w:rsidR="00561E6C" w:rsidRPr="00704036" w:rsidRDefault="001375CD" w:rsidP="00561E6C">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S</m:t>
            </m:r>
          </m:e>
          <m:sub>
            <m:r>
              <w:rPr>
                <w:rFonts w:ascii="Cambria Math" w:eastAsia="Calibri" w:hAnsi="Cambria Math" w:cstheme="minorHAnsi"/>
              </w:rPr>
              <m:t>2014-15</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S</m:t>
            </m:r>
          </m:e>
          <m:sub>
            <m:r>
              <w:rPr>
                <w:rFonts w:ascii="Cambria Math" w:eastAsia="Calibri" w:hAnsi="Cambria Math" w:cstheme="minorHAnsi"/>
              </w:rPr>
              <m:t>2019-20</m:t>
            </m:r>
          </m:sub>
        </m:sSub>
      </m:oMath>
      <w:r w:rsidR="00561E6C">
        <w:rPr>
          <w:rFonts w:eastAsia="Calibri" w:cstheme="minorHAnsi"/>
        </w:rPr>
        <w:t>,</w:t>
      </w:r>
    </w:p>
    <w:p w14:paraId="7BA93DC5" w14:textId="05F01ABC" w:rsidR="00561E6C" w:rsidRPr="00704036" w:rsidRDefault="006C5B90" w:rsidP="00561E6C">
      <w:pPr>
        <w:spacing w:before="100" w:beforeAutospacing="1" w:after="100" w:afterAutospacing="1" w:line="240" w:lineRule="auto"/>
        <w:rPr>
          <w:rFonts w:eastAsia="Calibri" w:cstheme="minorHAnsi"/>
        </w:rPr>
      </w:pPr>
      <w:r>
        <w:rPr>
          <w:rFonts w:eastAsia="Calibri" w:cstheme="minorHAnsi"/>
        </w:rPr>
        <w:t>This is</w:t>
      </w:r>
      <w:r w:rsidR="00561E6C" w:rsidRPr="00704036">
        <w:rPr>
          <w:rFonts w:eastAsia="Calibri" w:cstheme="minorHAnsi"/>
        </w:rPr>
        <w:t xml:space="preserve"> then used to model an annual scaling factor, denoted </w:t>
      </w:r>
      <w:r w:rsidR="00561E6C" w:rsidRPr="00BD4DD8">
        <w:rPr>
          <w:rFonts w:eastAsia="Calibri" w:cstheme="minorHAnsi"/>
          <w:b/>
          <w:i/>
        </w:rPr>
        <w:t>s</w:t>
      </w:r>
      <w:r w:rsidR="00561E6C" w:rsidRPr="00704036">
        <w:rPr>
          <w:rFonts w:eastAsia="Calibri" w:cstheme="minorHAnsi"/>
        </w:rPr>
        <w:t xml:space="preserve">, which would inflate the </w:t>
      </w:r>
      <w:r w:rsidR="00780140">
        <w:rPr>
          <w:rFonts w:eastAsia="Calibri" w:cstheme="minorHAnsi"/>
        </w:rPr>
        <w:t>2019</w:t>
      </w:r>
      <w:r w:rsidR="00561E6C">
        <w:rPr>
          <w:rFonts w:eastAsia="Calibri" w:cstheme="minorHAnsi"/>
        </w:rPr>
        <w:t>–</w:t>
      </w:r>
      <w:r w:rsidR="00780140">
        <w:rPr>
          <w:rFonts w:eastAsia="Calibri" w:cstheme="minorHAnsi"/>
        </w:rPr>
        <w:t xml:space="preserve">20 </w:t>
      </w:r>
      <w:r w:rsidR="00561E6C" w:rsidRPr="00704036">
        <w:rPr>
          <w:rFonts w:eastAsia="Calibri" w:cstheme="minorHAnsi"/>
        </w:rPr>
        <w:t xml:space="preserve">cost model up to </w:t>
      </w:r>
      <w:r w:rsidR="00780140">
        <w:rPr>
          <w:rFonts w:eastAsia="Calibri" w:cstheme="minorHAnsi"/>
        </w:rPr>
        <w:t>2022</w:t>
      </w:r>
      <w:r w:rsidR="00561E6C">
        <w:rPr>
          <w:rFonts w:eastAsia="Calibri" w:cstheme="minorHAnsi"/>
        </w:rPr>
        <w:t>–</w:t>
      </w:r>
      <w:r w:rsidR="00780140">
        <w:rPr>
          <w:rFonts w:eastAsia="Calibri" w:cstheme="minorHAnsi"/>
        </w:rPr>
        <w:t>23</w:t>
      </w:r>
      <w:r w:rsidR="00780140" w:rsidRPr="00704036">
        <w:rPr>
          <w:rFonts w:eastAsia="Calibri" w:cstheme="minorHAnsi"/>
        </w:rPr>
        <w:t xml:space="preserve"> </w:t>
      </w:r>
      <w:r w:rsidR="00561E6C" w:rsidRPr="00704036">
        <w:rPr>
          <w:rFonts w:eastAsia="Calibri" w:cstheme="minorHAnsi"/>
        </w:rPr>
        <w:t>projected actual costs. The indexation rate is then based on this annual scaling factor.</w:t>
      </w:r>
    </w:p>
    <w:p w14:paraId="26B3A2B5" w14:textId="365D0760" w:rsidR="00561E6C" w:rsidRPr="00704036" w:rsidRDefault="00561E6C" w:rsidP="00561E6C">
      <w:pPr>
        <w:spacing w:before="100" w:beforeAutospacing="1" w:after="100" w:afterAutospacing="1" w:line="240" w:lineRule="auto"/>
        <w:rPr>
          <w:rFonts w:eastAsia="Calibri" w:cstheme="minorHAnsi"/>
        </w:rPr>
      </w:pPr>
      <w:r w:rsidRPr="00CC15B6">
        <w:t xml:space="preserve">Figure </w:t>
      </w:r>
      <w:r w:rsidR="008E2878">
        <w:rPr>
          <w:noProof/>
        </w:rPr>
        <w:t>8</w:t>
      </w:r>
      <w:r w:rsidRPr="000C2251">
        <w:rPr>
          <w:rFonts w:eastAsia="Calibri" w:cstheme="minorHAnsi"/>
        </w:rPr>
        <w:t xml:space="preserve"> also illustrates the projected annual scaling factor, </w:t>
      </w:r>
      <w:r w:rsidRPr="000C2251">
        <w:rPr>
          <w:rFonts w:eastAsia="Calibri" w:cstheme="minorHAnsi"/>
          <w:i/>
        </w:rPr>
        <w:t>s,</w:t>
      </w:r>
      <w:r w:rsidRPr="000C2251">
        <w:rPr>
          <w:rFonts w:eastAsia="Calibri" w:cstheme="minorHAnsi"/>
        </w:rPr>
        <w:t xml:space="preserve"> together with projected actual and</w:t>
      </w:r>
      <w:r w:rsidRPr="00704036">
        <w:rPr>
          <w:rFonts w:eastAsia="Calibri" w:cstheme="minorHAnsi"/>
        </w:rPr>
        <w:t xml:space="preserve"> model costs. The </w:t>
      </w:r>
      <w:r w:rsidR="00780140">
        <w:rPr>
          <w:rFonts w:eastAsia="Calibri" w:cstheme="minorHAnsi"/>
        </w:rPr>
        <w:t>2022</w:t>
      </w:r>
      <w:r>
        <w:rPr>
          <w:rFonts w:eastAsia="Calibri" w:cstheme="minorHAnsi"/>
        </w:rPr>
        <w:t>–</w:t>
      </w:r>
      <w:r w:rsidR="00780140">
        <w:rPr>
          <w:rFonts w:eastAsia="Calibri" w:cstheme="minorHAnsi"/>
        </w:rPr>
        <w:t>23</w:t>
      </w:r>
      <w:r w:rsidR="00780140" w:rsidRPr="00704036">
        <w:rPr>
          <w:rFonts w:eastAsia="Calibri" w:cstheme="minorHAnsi"/>
        </w:rPr>
        <w:t xml:space="preserve"> </w:t>
      </w:r>
      <w:r w:rsidRPr="00704036">
        <w:rPr>
          <w:rFonts w:eastAsia="Calibri" w:cstheme="minorHAnsi"/>
        </w:rPr>
        <w:t xml:space="preserve">projected scaling factor of </w:t>
      </w:r>
      <w:r w:rsidRPr="00704036">
        <w:rPr>
          <w:rFonts w:eastAsia="Calibri" w:cstheme="minorHAnsi"/>
          <w:i/>
        </w:rPr>
        <w:t>s</w:t>
      </w:r>
      <w:r w:rsidRPr="00704036">
        <w:rPr>
          <w:rFonts w:eastAsia="Calibri" w:cstheme="minorHAnsi"/>
          <w:i/>
          <w:vertAlign w:val="superscript"/>
        </w:rPr>
        <w:t>3</w:t>
      </w:r>
      <w:r w:rsidRPr="00704036">
        <w:rPr>
          <w:rFonts w:eastAsia="Calibri" w:cstheme="minorHAnsi"/>
        </w:rPr>
        <w:t xml:space="preserve"> is pictured alongside projected actual and model costs to illustrate that the </w:t>
      </w:r>
      <w:r w:rsidR="00780140">
        <w:rPr>
          <w:rFonts w:eastAsia="Calibri" w:cstheme="minorHAnsi"/>
        </w:rPr>
        <w:t>2019</w:t>
      </w:r>
      <w:r>
        <w:rPr>
          <w:rFonts w:eastAsia="Calibri" w:cstheme="minorHAnsi"/>
        </w:rPr>
        <w:t>–</w:t>
      </w:r>
      <w:r w:rsidR="00780140">
        <w:rPr>
          <w:rFonts w:eastAsia="Calibri" w:cstheme="minorHAnsi"/>
        </w:rPr>
        <w:t xml:space="preserve">20 </w:t>
      </w:r>
      <w:r w:rsidRPr="00704036">
        <w:rPr>
          <w:rFonts w:eastAsia="Calibri" w:cstheme="minorHAnsi"/>
        </w:rPr>
        <w:t xml:space="preserve">cost model would require scaling by </w:t>
      </w:r>
      <w:r w:rsidRPr="00704036">
        <w:rPr>
          <w:rFonts w:eastAsia="Calibri" w:cstheme="minorHAnsi"/>
          <w:i/>
        </w:rPr>
        <w:t>s</w:t>
      </w:r>
      <w:r w:rsidRPr="00704036">
        <w:rPr>
          <w:rFonts w:eastAsia="Calibri" w:cstheme="minorHAnsi"/>
          <w:i/>
          <w:vertAlign w:val="superscript"/>
        </w:rPr>
        <w:t>3</w:t>
      </w:r>
      <w:r w:rsidRPr="00704036">
        <w:rPr>
          <w:rFonts w:eastAsia="Calibri" w:cstheme="minorHAnsi"/>
        </w:rPr>
        <w:t xml:space="preserve"> to ensure that the resulting ‘</w:t>
      </w:r>
      <w:r w:rsidRPr="00704036">
        <w:rPr>
          <w:rFonts w:eastAsia="Calibri" w:cstheme="minorHAnsi"/>
          <w:i/>
        </w:rPr>
        <w:t>s</w:t>
      </w:r>
      <w:r w:rsidRPr="00704036">
        <w:rPr>
          <w:rFonts w:eastAsia="Calibri" w:cstheme="minorHAnsi"/>
          <w:i/>
          <w:vertAlign w:val="superscript"/>
        </w:rPr>
        <w:t>3</w:t>
      </w:r>
      <w:r w:rsidRPr="00704036">
        <w:rPr>
          <w:rFonts w:eastAsia="Calibri" w:cstheme="minorHAnsi"/>
        </w:rPr>
        <w:t xml:space="preserve">-scaled </w:t>
      </w:r>
      <w:r w:rsidR="00780140">
        <w:rPr>
          <w:rFonts w:eastAsia="Calibri" w:cstheme="minorHAnsi"/>
        </w:rPr>
        <w:t>2019</w:t>
      </w:r>
      <w:r>
        <w:rPr>
          <w:rFonts w:eastAsia="Calibri" w:cstheme="minorHAnsi"/>
        </w:rPr>
        <w:t>–</w:t>
      </w:r>
      <w:r w:rsidR="00780140">
        <w:rPr>
          <w:rFonts w:eastAsia="Calibri" w:cstheme="minorHAnsi"/>
        </w:rPr>
        <w:t xml:space="preserve">20 </w:t>
      </w:r>
      <w:r w:rsidRPr="00704036">
        <w:rPr>
          <w:rFonts w:eastAsia="Calibri" w:cstheme="minorHAnsi"/>
        </w:rPr>
        <w:t xml:space="preserve">cost model’, when applied to </w:t>
      </w:r>
      <w:r w:rsidR="00780140">
        <w:rPr>
          <w:rFonts w:eastAsia="Calibri" w:cstheme="minorHAnsi"/>
        </w:rPr>
        <w:t>2022</w:t>
      </w:r>
      <w:r>
        <w:rPr>
          <w:rFonts w:eastAsia="Calibri" w:cstheme="minorHAnsi"/>
        </w:rPr>
        <w:t>–</w:t>
      </w:r>
      <w:r w:rsidR="00780140">
        <w:rPr>
          <w:rFonts w:eastAsia="Calibri" w:cstheme="minorHAnsi"/>
        </w:rPr>
        <w:t>23</w:t>
      </w:r>
      <w:r w:rsidR="00780140" w:rsidRPr="00704036">
        <w:rPr>
          <w:rFonts w:eastAsia="Calibri" w:cstheme="minorHAnsi"/>
        </w:rPr>
        <w:t xml:space="preserve"> </w:t>
      </w:r>
      <w:r w:rsidRPr="00704036">
        <w:rPr>
          <w:rFonts w:eastAsia="Calibri" w:cstheme="minorHAnsi"/>
        </w:rPr>
        <w:t xml:space="preserve">patient costed activity, would estimate the actual costs of the activity. </w:t>
      </w:r>
    </w:p>
    <w:p w14:paraId="5475C235" w14:textId="77777777" w:rsidR="00561E6C" w:rsidRPr="0063574B" w:rsidRDefault="00561E6C" w:rsidP="00066D14">
      <w:pPr>
        <w:keepNext/>
        <w:spacing w:line="240" w:lineRule="auto"/>
        <w:rPr>
          <w:b/>
        </w:rPr>
      </w:pPr>
      <w:r w:rsidRPr="0063574B">
        <w:rPr>
          <w:b/>
        </w:rPr>
        <w:t xml:space="preserve">Figure </w:t>
      </w:r>
      <w:r w:rsidR="008E2878">
        <w:rPr>
          <w:b/>
          <w:noProof/>
        </w:rPr>
        <w:t>8</w:t>
      </w:r>
      <w:r w:rsidRPr="0063574B">
        <w:rPr>
          <w:b/>
        </w:rPr>
        <w:t>: Illustration of scaling factors required to equalise model and actual costs</w:t>
      </w:r>
    </w:p>
    <w:p w14:paraId="44A85DE5" w14:textId="77777777" w:rsidR="00561E6C" w:rsidRPr="00704036" w:rsidRDefault="00561E6C" w:rsidP="00561E6C">
      <w:pPr>
        <w:spacing w:after="100" w:afterAutospacing="1" w:line="240" w:lineRule="auto"/>
        <w:rPr>
          <w:rFonts w:eastAsia="Calibri" w:cs="Arial"/>
          <w:sz w:val="18"/>
        </w:rPr>
      </w:pPr>
      <w:r w:rsidRPr="00767441">
        <w:rPr>
          <w:rFonts w:ascii="Calibri" w:eastAsia="Calibri" w:hAnsi="Calibri"/>
          <w:noProof/>
          <w:color w:val="2B579A"/>
          <w:shd w:val="clear" w:color="auto" w:fill="E6E6E6"/>
        </w:rPr>
        <mc:AlternateContent>
          <mc:Choice Requires="wpc">
            <w:drawing>
              <wp:anchor distT="0" distB="0" distL="114300" distR="114300" simplePos="0" relativeHeight="251658245" behindDoc="1" locked="0" layoutInCell="1" allowOverlap="1" wp14:anchorId="0B7660C8" wp14:editId="4A5C25E1">
                <wp:simplePos x="0" y="0"/>
                <wp:positionH relativeFrom="column">
                  <wp:posOffset>4445</wp:posOffset>
                </wp:positionH>
                <wp:positionV relativeFrom="paragraph">
                  <wp:posOffset>12700</wp:posOffset>
                </wp:positionV>
                <wp:extent cx="5687695" cy="3744595"/>
                <wp:effectExtent l="0" t="0" r="27305" b="27305"/>
                <wp:wrapTight wrapText="bothSides">
                  <wp:wrapPolygon edited="0">
                    <wp:start x="0" y="0"/>
                    <wp:lineTo x="0" y="21648"/>
                    <wp:lineTo x="21631" y="21648"/>
                    <wp:lineTo x="21631" y="0"/>
                    <wp:lineTo x="0" y="0"/>
                  </wp:wrapPolygon>
                </wp:wrapTight>
                <wp:docPr id="222" name="Canvas 222" descr="A summary of Figure 7 is outlined in the text prior to this figure. " title="Figure 7: Illustration of scaling factors required to equalise model and actual cost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161" name="Rectangle 19"/>
                        <wps:cNvSpPr/>
                        <wps:spPr>
                          <a:xfrm>
                            <a:off x="555070" y="1755249"/>
                            <a:ext cx="166254" cy="504173"/>
                          </a:xfrm>
                          <a:prstGeom prst="rect">
                            <a:avLst/>
                          </a:prstGeom>
                          <a:solidFill>
                            <a:srgbClr val="9BBB59">
                              <a:lumMod val="75000"/>
                            </a:srgbClr>
                          </a:solidFill>
                          <a:ln w="127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20"/>
                        <wps:cNvSpPr/>
                        <wps:spPr>
                          <a:xfrm>
                            <a:off x="721324" y="1470067"/>
                            <a:ext cx="165735" cy="78935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67E5A949" w14:textId="77777777" w:rsidR="0087678E" w:rsidRDefault="0087678E" w:rsidP="00561E6C"/>
                            <w:p w14:paraId="709C54AC"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Straight Arrow Connector 21"/>
                        <wps:cNvCnPr/>
                        <wps:spPr>
                          <a:xfrm>
                            <a:off x="634583" y="1470067"/>
                            <a:ext cx="0" cy="285182"/>
                          </a:xfrm>
                          <a:prstGeom prst="straightConnector1">
                            <a:avLst/>
                          </a:prstGeom>
                          <a:noFill/>
                          <a:ln w="9525" cap="flat" cmpd="sng" algn="ctr">
                            <a:solidFill>
                              <a:sysClr val="windowText" lastClr="000000"/>
                            </a:solidFill>
                            <a:prstDash val="solid"/>
                            <a:tailEnd type="arrow" w="sm" len="sm"/>
                          </a:ln>
                          <a:effectLst/>
                        </wps:spPr>
                        <wps:bodyPr/>
                      </wps:wsp>
                      <wps:wsp>
                        <wps:cNvPr id="164" name="Oval 22"/>
                        <wps:cNvSpPr/>
                        <wps:spPr>
                          <a:xfrm>
                            <a:off x="1110006" y="1881684"/>
                            <a:ext cx="45719" cy="45719"/>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23"/>
                        <wps:cNvSpPr/>
                        <wps:spPr>
                          <a:xfrm>
                            <a:off x="1317836" y="1882318"/>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14:paraId="360AA5A9" w14:textId="77777777" w:rsidR="0087678E" w:rsidRDefault="0087678E" w:rsidP="00561E6C"/>
                            <w:p w14:paraId="51820D60"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Oval 24"/>
                        <wps:cNvSpPr/>
                        <wps:spPr>
                          <a:xfrm>
                            <a:off x="1524570" y="1881684"/>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14:paraId="34318496" w14:textId="77777777" w:rsidR="0087678E" w:rsidRDefault="0087678E" w:rsidP="00561E6C"/>
                            <w:p w14:paraId="6AB83526"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Text Box 11"/>
                        <wps:cNvSpPr txBox="1"/>
                        <wps:spPr>
                          <a:xfrm>
                            <a:off x="1362921" y="1161766"/>
                            <a:ext cx="625042" cy="298450"/>
                          </a:xfrm>
                          <a:prstGeom prst="rect">
                            <a:avLst/>
                          </a:prstGeom>
                          <a:noFill/>
                          <a:ln w="6350">
                            <a:noFill/>
                          </a:ln>
                          <a:effectLst/>
                        </wps:spPr>
                        <wps:txbx>
                          <w:txbxContent>
                            <w:p w14:paraId="07ED349B" w14:textId="6DAF1014" w:rsidR="0087678E" w:rsidRPr="00490D61" w:rsidRDefault="0087678E" w:rsidP="005031A0">
                              <w:pPr>
                                <w:pStyle w:val="NormalWeb"/>
                              </w:pPr>
                              <w:r w:rsidRPr="008916CD">
                                <w:rPr>
                                  <w:i/>
                                  <w:vertAlign w:val="superscript"/>
                                </w:rPr>
                                <w:t>S</w:t>
                              </w:r>
                              <w:r>
                                <w:rPr>
                                  <w:vertAlign w:val="subscript"/>
                                </w:rPr>
                                <w:t>2018–19</w:t>
                              </w:r>
                            </w:p>
                            <w:p w14:paraId="3207D95A"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Rectangle 26"/>
                        <wps:cNvSpPr/>
                        <wps:spPr>
                          <a:xfrm>
                            <a:off x="1756345" y="1404607"/>
                            <a:ext cx="165735" cy="854182"/>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57986FA5" w14:textId="77777777" w:rsidR="0087678E" w:rsidRDefault="0087678E" w:rsidP="00561E6C"/>
                            <w:p w14:paraId="0E000129"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27"/>
                        <wps:cNvSpPr/>
                        <wps:spPr>
                          <a:xfrm>
                            <a:off x="1922715" y="1293288"/>
                            <a:ext cx="165735" cy="96613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792C016A" w14:textId="77777777" w:rsidR="0087678E" w:rsidRDefault="0087678E" w:rsidP="005031A0">
                              <w:pPr>
                                <w:pStyle w:val="NormalWeb"/>
                              </w:pPr>
                            </w:p>
                            <w:p w14:paraId="283F44E2"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Straight Arrow Connector 28"/>
                        <wps:cNvCnPr/>
                        <wps:spPr>
                          <a:xfrm>
                            <a:off x="1835720" y="1293288"/>
                            <a:ext cx="0" cy="108081"/>
                          </a:xfrm>
                          <a:prstGeom prst="straightConnector1">
                            <a:avLst/>
                          </a:prstGeom>
                          <a:noFill/>
                          <a:ln w="9525" cap="flat" cmpd="sng" algn="ctr">
                            <a:solidFill>
                              <a:sysClr val="windowText" lastClr="000000"/>
                            </a:solidFill>
                            <a:prstDash val="solid"/>
                            <a:tailEnd type="arrow" w="sm" len="sm"/>
                          </a:ln>
                          <a:effectLst/>
                        </wps:spPr>
                        <wps:bodyPr/>
                      </wps:wsp>
                      <wps:wsp>
                        <wps:cNvPr id="171" name="Text Box 11"/>
                        <wps:cNvSpPr txBox="1"/>
                        <wps:spPr>
                          <a:xfrm>
                            <a:off x="2212426" y="891747"/>
                            <a:ext cx="1096989" cy="298450"/>
                          </a:xfrm>
                          <a:prstGeom prst="rect">
                            <a:avLst/>
                          </a:prstGeom>
                          <a:noFill/>
                          <a:ln w="6350">
                            <a:noFill/>
                          </a:ln>
                          <a:effectLst/>
                        </wps:spPr>
                        <wps:txbx>
                          <w:txbxContent>
                            <w:p w14:paraId="714B7B3A" w14:textId="5F3DFAFA" w:rsidR="0087678E" w:rsidRPr="008916CD" w:rsidRDefault="0087678E" w:rsidP="005031A0">
                              <w:pPr>
                                <w:pStyle w:val="NormalWeb"/>
                                <w:rPr>
                                  <w:vertAlign w:val="subscript"/>
                                </w:rPr>
                              </w:pPr>
                              <w:r w:rsidRPr="008916CD">
                                <w:rPr>
                                  <w:i/>
                                  <w:vertAlign w:val="superscript"/>
                                </w:rPr>
                                <w:t>S</w:t>
                              </w:r>
                              <w:r>
                                <w:rPr>
                                  <w:vertAlign w:val="subscript"/>
                                </w:rPr>
                                <w:t>2019–20</w:t>
                              </w:r>
                              <w:r w:rsidRPr="008916CD">
                                <w:rPr>
                                  <w:vertAlign w:val="subscript"/>
                                </w:rPr>
                                <w:t xml:space="preserve"> </w:t>
                              </w:r>
                              <w:r w:rsidRPr="008916CD">
                                <w:t>= 1</w:t>
                              </w:r>
                            </w:p>
                            <w:p w14:paraId="77C34825" w14:textId="77777777" w:rsidR="0087678E" w:rsidRPr="00490D61" w:rsidRDefault="0087678E" w:rsidP="005031A0">
                              <w:pPr>
                                <w:pStyle w:val="NormalWeb"/>
                              </w:pPr>
                            </w:p>
                            <w:p w14:paraId="19B398D2"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Rectangle 30"/>
                        <wps:cNvSpPr/>
                        <wps:spPr>
                          <a:xfrm>
                            <a:off x="2377694" y="1155763"/>
                            <a:ext cx="165735" cy="111110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3A333570" w14:textId="77777777" w:rsidR="0087678E" w:rsidRDefault="0087678E" w:rsidP="005031A0">
                              <w:pPr>
                                <w:pStyle w:val="NormalWeb"/>
                              </w:pPr>
                            </w:p>
                            <w:p w14:paraId="5995E71F"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Rectangle 31"/>
                        <wps:cNvSpPr/>
                        <wps:spPr>
                          <a:xfrm>
                            <a:off x="2544064" y="1155763"/>
                            <a:ext cx="165735" cy="111110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676BB79F" w14:textId="77777777" w:rsidR="0087678E" w:rsidRDefault="0087678E" w:rsidP="005031A0">
                              <w:pPr>
                                <w:pStyle w:val="NormalWeb"/>
                              </w:pPr>
                            </w:p>
                            <w:p w14:paraId="2A702EF9"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Text Box 11"/>
                        <wps:cNvSpPr txBox="1"/>
                        <wps:spPr>
                          <a:xfrm>
                            <a:off x="3257600" y="802291"/>
                            <a:ext cx="257736" cy="320034"/>
                          </a:xfrm>
                          <a:prstGeom prst="rect">
                            <a:avLst/>
                          </a:prstGeom>
                          <a:noFill/>
                          <a:ln w="6350">
                            <a:noFill/>
                          </a:ln>
                          <a:effectLst/>
                        </wps:spPr>
                        <wps:txbx>
                          <w:txbxContent>
                            <w:p w14:paraId="6025487E" w14:textId="77777777" w:rsidR="0087678E" w:rsidRPr="00BD4DD8" w:rsidRDefault="0087678E" w:rsidP="005031A0">
                              <w:pPr>
                                <w:pStyle w:val="NormalWeb"/>
                                <w:rPr>
                                  <w:vertAlign w:val="subscript"/>
                                </w:rPr>
                              </w:pPr>
                              <w:r w:rsidRPr="00BD4DD8">
                                <w:rPr>
                                  <w:vertAlign w:val="subscript"/>
                                </w:rPr>
                                <w:t>S</w:t>
                              </w:r>
                            </w:p>
                            <w:p w14:paraId="115AF7D9"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Rectangle 33"/>
                        <wps:cNvSpPr/>
                        <wps:spPr>
                          <a:xfrm>
                            <a:off x="3019705" y="923552"/>
                            <a:ext cx="165735" cy="1342173"/>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41A2DA9F" w14:textId="77777777" w:rsidR="0087678E" w:rsidRDefault="0087678E" w:rsidP="005031A0">
                              <w:pPr>
                                <w:pStyle w:val="NormalWeb"/>
                              </w:pPr>
                            </w:p>
                            <w:p w14:paraId="1FA9EC6A"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Rectangle 34"/>
                        <wps:cNvSpPr/>
                        <wps:spPr>
                          <a:xfrm>
                            <a:off x="3180137" y="1031502"/>
                            <a:ext cx="165735" cy="1234223"/>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1B388A18" w14:textId="77777777" w:rsidR="0087678E" w:rsidRDefault="0087678E" w:rsidP="005031A0">
                              <w:pPr>
                                <w:pStyle w:val="NormalWeb"/>
                              </w:pPr>
                            </w:p>
                            <w:p w14:paraId="63167C47"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Straight Arrow Connector 35"/>
                        <wps:cNvCnPr/>
                        <wps:spPr>
                          <a:xfrm>
                            <a:off x="3266109" y="923552"/>
                            <a:ext cx="0" cy="107950"/>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78" name="Text Box 11"/>
                        <wps:cNvSpPr txBox="1"/>
                        <wps:spPr>
                          <a:xfrm>
                            <a:off x="3870569" y="593469"/>
                            <a:ext cx="420221" cy="298122"/>
                          </a:xfrm>
                          <a:prstGeom prst="rect">
                            <a:avLst/>
                          </a:prstGeom>
                          <a:noFill/>
                          <a:ln w="6350">
                            <a:noFill/>
                          </a:ln>
                          <a:effectLst/>
                        </wps:spPr>
                        <wps:txbx>
                          <w:txbxContent>
                            <w:p w14:paraId="5ECFBF93" w14:textId="77777777" w:rsidR="0087678E" w:rsidRPr="00C034B3" w:rsidRDefault="0087678E" w:rsidP="005031A0">
                              <w:pPr>
                                <w:pStyle w:val="NormalWeb"/>
                                <w:rPr>
                                  <w:sz w:val="28"/>
                                  <w:vertAlign w:val="superscript"/>
                                </w:rPr>
                              </w:pPr>
                              <w:r w:rsidRPr="00C034B3">
                                <w:rPr>
                                  <w:vertAlign w:val="subscript"/>
                                </w:rPr>
                                <w:t>S</w:t>
                              </w:r>
                              <w:r w:rsidRPr="00C034B3">
                                <w:rPr>
                                  <w:vertAlign w:val="superscript"/>
                                </w:rPr>
                                <w:t>2</w:t>
                              </w:r>
                            </w:p>
                            <w:p w14:paraId="62F558C5"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 name="Rectangle 37"/>
                        <wps:cNvSpPr/>
                        <wps:spPr>
                          <a:xfrm>
                            <a:off x="3660062" y="593573"/>
                            <a:ext cx="165735" cy="167146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43683D98" w14:textId="77777777" w:rsidR="0087678E" w:rsidRDefault="0087678E" w:rsidP="005031A0">
                              <w:pPr>
                                <w:pStyle w:val="NormalWeb"/>
                              </w:pPr>
                            </w:p>
                            <w:p w14:paraId="110FD872"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Rectangle 38"/>
                        <wps:cNvSpPr/>
                        <wps:spPr>
                          <a:xfrm>
                            <a:off x="3826432" y="831843"/>
                            <a:ext cx="165735" cy="143319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2467B0A9" w14:textId="77777777" w:rsidR="0087678E" w:rsidRDefault="0087678E" w:rsidP="005031A0">
                              <w:pPr>
                                <w:pStyle w:val="NormalWeb"/>
                              </w:pPr>
                            </w:p>
                            <w:p w14:paraId="38F10CD3"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Straight Arrow Connector 39"/>
                        <wps:cNvCnPr/>
                        <wps:spPr>
                          <a:xfrm flipH="1">
                            <a:off x="3918507" y="601227"/>
                            <a:ext cx="1" cy="230616"/>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82" name="Text Box 11"/>
                        <wps:cNvSpPr txBox="1"/>
                        <wps:spPr>
                          <a:xfrm>
                            <a:off x="4488610" y="291808"/>
                            <a:ext cx="354482" cy="333540"/>
                          </a:xfrm>
                          <a:prstGeom prst="rect">
                            <a:avLst/>
                          </a:prstGeom>
                          <a:noFill/>
                          <a:ln w="6350">
                            <a:noFill/>
                          </a:ln>
                          <a:effectLst/>
                        </wps:spPr>
                        <wps:txbx>
                          <w:txbxContent>
                            <w:p w14:paraId="334136EE" w14:textId="77777777" w:rsidR="0087678E" w:rsidRPr="005846EB" w:rsidRDefault="0087678E" w:rsidP="005031A0">
                              <w:pPr>
                                <w:pStyle w:val="NormalWeb"/>
                                <w:rPr>
                                  <w:sz w:val="32"/>
                                  <w:vertAlign w:val="superscript"/>
                                </w:rPr>
                              </w:pPr>
                              <w:r w:rsidRPr="00BD4DD8">
                                <w:rPr>
                                  <w:vertAlign w:val="subscript"/>
                                </w:rPr>
                                <w:t>S</w:t>
                              </w:r>
                              <w:r w:rsidRPr="005846EB">
                                <w:rPr>
                                  <w:vertAlign w:val="superscript"/>
                                </w:rPr>
                                <w:t>3</w:t>
                              </w:r>
                            </w:p>
                            <w:p w14:paraId="67E5115D" w14:textId="77777777" w:rsidR="0087678E" w:rsidRPr="00490D61" w:rsidRDefault="0087678E" w:rsidP="005031A0">
                              <w:pPr>
                                <w:pStyle w:val="NormalWeb"/>
                                <w:rPr>
                                  <w:vertAlign w:val="superscript"/>
                                </w:rPr>
                              </w:pPr>
                            </w:p>
                            <w:p w14:paraId="59D812DF"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Rectangle 41"/>
                        <wps:cNvSpPr/>
                        <wps:spPr>
                          <a:xfrm>
                            <a:off x="4247481" y="251667"/>
                            <a:ext cx="165100" cy="2008146"/>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588B4147" w14:textId="77777777" w:rsidR="0087678E" w:rsidRDefault="0087678E" w:rsidP="005031A0">
                              <w:pPr>
                                <w:pStyle w:val="NormalWeb"/>
                              </w:pPr>
                            </w:p>
                            <w:p w14:paraId="7154292A"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Rectangle 42"/>
                        <wps:cNvSpPr/>
                        <wps:spPr>
                          <a:xfrm>
                            <a:off x="4413847" y="625378"/>
                            <a:ext cx="165100" cy="163443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02C14EDD" w14:textId="77777777" w:rsidR="0087678E" w:rsidRDefault="0087678E" w:rsidP="005031A0">
                              <w:pPr>
                                <w:pStyle w:val="NormalWeb"/>
                              </w:pPr>
                            </w:p>
                            <w:p w14:paraId="4CFB181A"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Straight Arrow Connector 43"/>
                        <wps:cNvCnPr/>
                        <wps:spPr>
                          <a:xfrm>
                            <a:off x="4496243" y="251667"/>
                            <a:ext cx="154" cy="373711"/>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86" name="Text Box 11"/>
                        <wps:cNvSpPr txBox="1"/>
                        <wps:spPr>
                          <a:xfrm>
                            <a:off x="421611" y="2355488"/>
                            <a:ext cx="595656" cy="241608"/>
                          </a:xfrm>
                          <a:prstGeom prst="rect">
                            <a:avLst/>
                          </a:prstGeom>
                          <a:noFill/>
                          <a:ln w="6350">
                            <a:noFill/>
                          </a:ln>
                          <a:effectLst/>
                        </wps:spPr>
                        <wps:txbx>
                          <w:txbxContent>
                            <w:p w14:paraId="25625FD6" w14:textId="39F4C808" w:rsidR="0087678E" w:rsidRPr="001A297C" w:rsidRDefault="0087678E" w:rsidP="005031A0">
                              <w:pPr>
                                <w:pStyle w:val="NormalWeb"/>
                              </w:pPr>
                              <w:r w:rsidRPr="00801AF5">
                                <w:t>20</w:t>
                              </w:r>
                              <w:r>
                                <w:t>14–15</w:t>
                              </w:r>
                            </w:p>
                            <w:p w14:paraId="4A035854"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11"/>
                        <wps:cNvSpPr txBox="1"/>
                        <wps:spPr>
                          <a:xfrm>
                            <a:off x="1550200" y="2355401"/>
                            <a:ext cx="759913" cy="241300"/>
                          </a:xfrm>
                          <a:prstGeom prst="rect">
                            <a:avLst/>
                          </a:prstGeom>
                          <a:noFill/>
                          <a:ln w="6350">
                            <a:noFill/>
                          </a:ln>
                          <a:effectLst/>
                        </wps:spPr>
                        <wps:txbx>
                          <w:txbxContent>
                            <w:p w14:paraId="75A48755" w14:textId="2141E7B8" w:rsidR="0087678E" w:rsidRPr="00D9271F" w:rsidRDefault="0087678E" w:rsidP="005031A0">
                              <w:pPr>
                                <w:pStyle w:val="NormalWeb"/>
                              </w:pPr>
                              <w:r>
                                <w:t>2018–19</w:t>
                              </w:r>
                            </w:p>
                            <w:p w14:paraId="43E8C04A"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Text Box 11"/>
                        <wps:cNvSpPr txBox="1"/>
                        <wps:spPr>
                          <a:xfrm>
                            <a:off x="2241364" y="2362290"/>
                            <a:ext cx="711385" cy="240665"/>
                          </a:xfrm>
                          <a:prstGeom prst="rect">
                            <a:avLst/>
                          </a:prstGeom>
                          <a:noFill/>
                          <a:ln w="6350">
                            <a:noFill/>
                          </a:ln>
                          <a:effectLst/>
                        </wps:spPr>
                        <wps:txbx>
                          <w:txbxContent>
                            <w:p w14:paraId="6764019A" w14:textId="60597CCC" w:rsidR="0087678E" w:rsidRPr="00D9271F" w:rsidRDefault="0087678E" w:rsidP="005031A0">
                              <w:pPr>
                                <w:pStyle w:val="NormalWeb"/>
                              </w:pPr>
                              <w:r>
                                <w:t>2019–20</w:t>
                              </w:r>
                            </w:p>
                            <w:p w14:paraId="029E60D1"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Text Box 11"/>
                        <wps:cNvSpPr txBox="1"/>
                        <wps:spPr>
                          <a:xfrm>
                            <a:off x="2888167" y="2362413"/>
                            <a:ext cx="636720" cy="240030"/>
                          </a:xfrm>
                          <a:prstGeom prst="rect">
                            <a:avLst/>
                          </a:prstGeom>
                          <a:noFill/>
                          <a:ln w="6350">
                            <a:noFill/>
                          </a:ln>
                          <a:effectLst/>
                        </wps:spPr>
                        <wps:txbx>
                          <w:txbxContent>
                            <w:p w14:paraId="1F28458D" w14:textId="6C98684E" w:rsidR="0087678E" w:rsidRDefault="0087678E" w:rsidP="005031A0">
                              <w:pPr>
                                <w:pStyle w:val="NormalWeb"/>
                              </w:pPr>
                              <w:r w:rsidRPr="00D9271F">
                                <w:t>20</w:t>
                              </w:r>
                              <w:r>
                                <w:t>20–21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Text Box 11"/>
                        <wps:cNvSpPr txBox="1"/>
                        <wps:spPr>
                          <a:xfrm>
                            <a:off x="3524887" y="2359072"/>
                            <a:ext cx="649548" cy="240030"/>
                          </a:xfrm>
                          <a:prstGeom prst="rect">
                            <a:avLst/>
                          </a:prstGeom>
                          <a:noFill/>
                          <a:ln w="6350">
                            <a:noFill/>
                          </a:ln>
                          <a:effectLst/>
                        </wps:spPr>
                        <wps:txbx>
                          <w:txbxContent>
                            <w:p w14:paraId="29700A94" w14:textId="43461127" w:rsidR="0087678E" w:rsidRPr="00D9271F" w:rsidRDefault="0087678E" w:rsidP="005031A0">
                              <w:pPr>
                                <w:pStyle w:val="NormalWeb"/>
                              </w:pPr>
                              <w:r>
                                <w:t>2021–22</w:t>
                              </w:r>
                            </w:p>
                            <w:p w14:paraId="4A52A003"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 name="Text Box 11"/>
                        <wps:cNvSpPr txBox="1"/>
                        <wps:spPr>
                          <a:xfrm>
                            <a:off x="4112568" y="2349632"/>
                            <a:ext cx="682069" cy="240030"/>
                          </a:xfrm>
                          <a:prstGeom prst="rect">
                            <a:avLst/>
                          </a:prstGeom>
                          <a:noFill/>
                          <a:ln w="6350">
                            <a:noFill/>
                          </a:ln>
                          <a:effectLst/>
                        </wps:spPr>
                        <wps:txbx>
                          <w:txbxContent>
                            <w:p w14:paraId="26633492" w14:textId="4F118A25" w:rsidR="0087678E" w:rsidRPr="00D9271F" w:rsidRDefault="0087678E" w:rsidP="005031A0">
                              <w:pPr>
                                <w:pStyle w:val="NormalWeb"/>
                              </w:pPr>
                              <w:r>
                                <w:t>2022–23</w:t>
                              </w:r>
                            </w:p>
                            <w:p w14:paraId="46E489AC"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Text Box 11"/>
                        <wps:cNvSpPr txBox="1"/>
                        <wps:spPr>
                          <a:xfrm>
                            <a:off x="222880" y="387566"/>
                            <a:ext cx="972524" cy="241300"/>
                          </a:xfrm>
                          <a:prstGeom prst="rect">
                            <a:avLst/>
                          </a:prstGeom>
                          <a:noFill/>
                          <a:ln w="6350">
                            <a:noFill/>
                          </a:ln>
                          <a:effectLst/>
                        </wps:spPr>
                        <wps:txbx>
                          <w:txbxContent>
                            <w:p w14:paraId="4FA9597A" w14:textId="77777777" w:rsidR="0087678E" w:rsidRPr="005031A0" w:rsidRDefault="0087678E" w:rsidP="005031A0">
                              <w:pPr>
                                <w:pStyle w:val="NormalWeb"/>
                              </w:pPr>
                              <w:r w:rsidRPr="005031A0">
                                <w:t>Actual costs</w:t>
                              </w:r>
                            </w:p>
                            <w:p w14:paraId="2EDA749D" w14:textId="77777777" w:rsidR="0087678E" w:rsidRPr="005031A0" w:rsidRDefault="0087678E" w:rsidP="00561E6C">
                              <w:pPr>
                                <w:rPr>
                                  <w:rFonts w:asciiTheme="minorHAnsi" w:hAnsiTheme="minorHAnsi" w:cstheme="minorHAnsi"/>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Rectangle 51"/>
                        <wps:cNvSpPr/>
                        <wps:spPr>
                          <a:xfrm>
                            <a:off x="77107" y="430425"/>
                            <a:ext cx="165735" cy="139107"/>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789250C8" w14:textId="77777777" w:rsidR="0087678E" w:rsidRDefault="0087678E" w:rsidP="00561E6C"/>
                            <w:p w14:paraId="2031F082"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52"/>
                        <wps:cNvSpPr/>
                        <wps:spPr>
                          <a:xfrm>
                            <a:off x="72064" y="649855"/>
                            <a:ext cx="165735" cy="13906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766D3EE2" w14:textId="77777777" w:rsidR="0087678E" w:rsidRDefault="0087678E" w:rsidP="005031A0">
                              <w:pPr>
                                <w:pStyle w:val="NormalWeb"/>
                              </w:pPr>
                            </w:p>
                            <w:p w14:paraId="581249C7"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Text Box 11"/>
                        <wps:cNvSpPr txBox="1"/>
                        <wps:spPr>
                          <a:xfrm>
                            <a:off x="351131" y="2599988"/>
                            <a:ext cx="666136" cy="317477"/>
                          </a:xfrm>
                          <a:prstGeom prst="rect">
                            <a:avLst/>
                          </a:prstGeom>
                          <a:noFill/>
                          <a:ln w="6350">
                            <a:noFill/>
                          </a:ln>
                          <a:effectLst/>
                        </wps:spPr>
                        <wps:txbx>
                          <w:txbxContent>
                            <w:p w14:paraId="6F2956B0" w14:textId="2C8771AC" w:rsidR="0087678E" w:rsidRPr="00C034B3" w:rsidRDefault="0087678E" w:rsidP="005031A0">
                              <w:pPr>
                                <w:pStyle w:val="NormalWeb"/>
                                <w:rPr>
                                  <w:vertAlign w:val="subscript"/>
                                </w:rPr>
                              </w:pPr>
                              <w:r w:rsidRPr="00801AF5">
                                <w:rPr>
                                  <w:i/>
                                  <w:vertAlign w:val="superscript"/>
                                </w:rPr>
                                <w:t>S</w:t>
                              </w:r>
                              <w:r w:rsidRPr="00801AF5">
                                <w:rPr>
                                  <w:vertAlign w:val="subscript"/>
                                </w:rPr>
                                <w:t>20</w:t>
                              </w:r>
                              <w:r>
                                <w:rPr>
                                  <w:vertAlign w:val="subscript"/>
                                </w:rPr>
                                <w:t>14–</w:t>
                              </w:r>
                              <w:r w:rsidRPr="00801AF5">
                                <w:rPr>
                                  <w:vertAlign w:val="subscript"/>
                                </w:rPr>
                                <w:t>1</w:t>
                              </w:r>
                              <w:r>
                                <w:rPr>
                                  <w:vertAlign w:val="subscript"/>
                                </w:rPr>
                                <w:t>5</w:t>
                              </w:r>
                            </w:p>
                            <w:p w14:paraId="1FEFA33D"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 name="Text Box 11"/>
                        <wps:cNvSpPr txBox="1"/>
                        <wps:spPr>
                          <a:xfrm>
                            <a:off x="1596756" y="2594231"/>
                            <a:ext cx="603885" cy="298450"/>
                          </a:xfrm>
                          <a:prstGeom prst="rect">
                            <a:avLst/>
                          </a:prstGeom>
                          <a:noFill/>
                          <a:ln w="6350">
                            <a:noFill/>
                          </a:ln>
                          <a:effectLst/>
                        </wps:spPr>
                        <wps:txbx>
                          <w:txbxContent>
                            <w:p w14:paraId="4C4B4B93" w14:textId="04A733E6" w:rsidR="0087678E" w:rsidRPr="00C034B3" w:rsidRDefault="0087678E" w:rsidP="005031A0">
                              <w:pPr>
                                <w:pStyle w:val="NormalWeb"/>
                                <w:rPr>
                                  <w:vertAlign w:val="subscript"/>
                                </w:rPr>
                              </w:pPr>
                              <w:r w:rsidRPr="00C034B3">
                                <w:rPr>
                                  <w:i/>
                                  <w:vertAlign w:val="superscript"/>
                                </w:rPr>
                                <w:t>S</w:t>
                              </w:r>
                              <w:r>
                                <w:rPr>
                                  <w:vertAlign w:val="subscript"/>
                                </w:rPr>
                                <w:t>2018–19</w:t>
                              </w:r>
                            </w:p>
                            <w:p w14:paraId="7F9F29FA" w14:textId="77777777" w:rsidR="0087678E" w:rsidRPr="00490D61" w:rsidRDefault="0087678E" w:rsidP="005031A0">
                              <w:pPr>
                                <w:pStyle w:val="NormalWeb"/>
                              </w:pPr>
                            </w:p>
                            <w:p w14:paraId="181A6B63"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Text Box 11"/>
                        <wps:cNvSpPr txBox="1"/>
                        <wps:spPr>
                          <a:xfrm>
                            <a:off x="2329731" y="2598994"/>
                            <a:ext cx="558435" cy="299445"/>
                          </a:xfrm>
                          <a:prstGeom prst="rect">
                            <a:avLst/>
                          </a:prstGeom>
                          <a:noFill/>
                          <a:ln w="6350">
                            <a:noFill/>
                          </a:ln>
                          <a:effectLst/>
                        </wps:spPr>
                        <wps:txbx>
                          <w:txbxContent>
                            <w:p w14:paraId="4D54072C" w14:textId="60D3799B" w:rsidR="0087678E" w:rsidRPr="00C034B3" w:rsidRDefault="0087678E" w:rsidP="005031A0">
                              <w:pPr>
                                <w:pStyle w:val="NormalWeb"/>
                                <w:rPr>
                                  <w:vertAlign w:val="subscript"/>
                                </w:rPr>
                              </w:pPr>
                              <w:r w:rsidRPr="00C034B3">
                                <w:rPr>
                                  <w:i/>
                                  <w:vertAlign w:val="superscript"/>
                                </w:rPr>
                                <w:t>S</w:t>
                              </w:r>
                              <w:r>
                                <w:rPr>
                                  <w:vertAlign w:val="subscript"/>
                                </w:rPr>
                                <w:t>2019–20</w:t>
                              </w:r>
                            </w:p>
                            <w:p w14:paraId="2BA3F149" w14:textId="77777777" w:rsidR="0087678E" w:rsidRPr="00C034B3" w:rsidRDefault="0087678E" w:rsidP="005031A0">
                              <w:pPr>
                                <w:pStyle w:val="NormalWeb"/>
                              </w:pPr>
                            </w:p>
                            <w:p w14:paraId="4B6C503D"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Text Box 11"/>
                        <wps:cNvSpPr txBox="1"/>
                        <wps:spPr>
                          <a:xfrm>
                            <a:off x="3051108" y="2613284"/>
                            <a:ext cx="294764" cy="260346"/>
                          </a:xfrm>
                          <a:prstGeom prst="rect">
                            <a:avLst/>
                          </a:prstGeom>
                          <a:noFill/>
                          <a:ln w="6350">
                            <a:noFill/>
                          </a:ln>
                          <a:effectLst/>
                        </wps:spPr>
                        <wps:txbx>
                          <w:txbxContent>
                            <w:p w14:paraId="17E6C47F" w14:textId="77777777" w:rsidR="0087678E" w:rsidRPr="00C034B3" w:rsidRDefault="0087678E" w:rsidP="005031A0">
                              <w:pPr>
                                <w:pStyle w:val="NormalWeb"/>
                                <w:rPr>
                                  <w:sz w:val="28"/>
                                  <w:vertAlign w:val="subscript"/>
                                </w:rPr>
                              </w:pPr>
                              <w:r w:rsidRPr="00C034B3">
                                <w:rPr>
                                  <w:vertAlign w:val="subscript"/>
                                </w:rPr>
                                <w:t>S</w:t>
                              </w:r>
                            </w:p>
                            <w:p w14:paraId="0B0D0D23"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Straight Arrow Connector 81"/>
                        <wps:cNvCnPr/>
                        <wps:spPr>
                          <a:xfrm>
                            <a:off x="2115242" y="2743200"/>
                            <a:ext cx="228273" cy="0"/>
                          </a:xfrm>
                          <a:prstGeom prst="straightConnector1">
                            <a:avLst/>
                          </a:prstGeom>
                          <a:noFill/>
                          <a:ln w="9525" cap="flat" cmpd="sng" algn="ctr">
                            <a:solidFill>
                              <a:sysClr val="windowText" lastClr="000000"/>
                            </a:solidFill>
                            <a:prstDash val="solid"/>
                            <a:tailEnd type="arrow"/>
                          </a:ln>
                          <a:effectLst/>
                        </wps:spPr>
                        <wps:bodyPr/>
                      </wps:wsp>
                      <wps:wsp>
                        <wps:cNvPr id="200" name="Straight Arrow Connector 82"/>
                        <wps:cNvCnPr/>
                        <wps:spPr>
                          <a:xfrm>
                            <a:off x="2784454"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1" name="Straight Arrow Connector 83"/>
                        <wps:cNvCnPr/>
                        <wps:spPr>
                          <a:xfrm>
                            <a:off x="3395959" y="2743200"/>
                            <a:ext cx="227965" cy="0"/>
                          </a:xfrm>
                          <a:prstGeom prst="straightConnector1">
                            <a:avLst/>
                          </a:prstGeom>
                          <a:noFill/>
                          <a:ln w="9525" cap="flat" cmpd="sng" algn="ctr">
                            <a:solidFill>
                              <a:sysClr val="windowText" lastClr="000000"/>
                            </a:solidFill>
                            <a:prstDash val="solid"/>
                            <a:tailEnd type="arrow"/>
                          </a:ln>
                          <a:effectLst/>
                        </wps:spPr>
                        <wps:bodyPr/>
                      </wps:wsp>
                      <wps:wsp>
                        <wps:cNvPr id="202" name="Straight Arrow Connector 84"/>
                        <wps:cNvCnPr/>
                        <wps:spPr>
                          <a:xfrm>
                            <a:off x="4036992" y="2742225"/>
                            <a:ext cx="227965" cy="0"/>
                          </a:xfrm>
                          <a:prstGeom prst="straightConnector1">
                            <a:avLst/>
                          </a:prstGeom>
                          <a:noFill/>
                          <a:ln w="9525" cap="flat" cmpd="sng" algn="ctr">
                            <a:solidFill>
                              <a:sysClr val="windowText" lastClr="000000"/>
                            </a:solidFill>
                            <a:prstDash val="solid"/>
                            <a:tailEnd type="arrow"/>
                          </a:ln>
                          <a:effectLst/>
                        </wps:spPr>
                        <wps:bodyPr/>
                      </wps:wsp>
                      <wps:wsp>
                        <wps:cNvPr id="203" name="Straight Arrow Connector 85"/>
                        <wps:cNvCnPr/>
                        <wps:spPr>
                          <a:xfrm>
                            <a:off x="976316"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4" name="Straight Arrow Connector 86"/>
                        <wps:cNvCnPr/>
                        <wps:spPr>
                          <a:xfrm>
                            <a:off x="1435965"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5" name="Straight Connector 87"/>
                        <wps:cNvCnPr/>
                        <wps:spPr>
                          <a:xfrm>
                            <a:off x="1256829" y="2751750"/>
                            <a:ext cx="140970" cy="0"/>
                          </a:xfrm>
                          <a:prstGeom prst="line">
                            <a:avLst/>
                          </a:prstGeom>
                          <a:noFill/>
                          <a:ln w="9525" cap="flat" cmpd="sng" algn="ctr">
                            <a:solidFill>
                              <a:sysClr val="windowText" lastClr="000000"/>
                            </a:solidFill>
                            <a:prstDash val="sysDash"/>
                          </a:ln>
                          <a:effectLst/>
                        </wps:spPr>
                        <wps:bodyPr/>
                      </wps:wsp>
                      <wps:wsp>
                        <wps:cNvPr id="206" name="Text Box 11"/>
                        <wps:cNvSpPr txBox="1"/>
                        <wps:spPr>
                          <a:xfrm>
                            <a:off x="219269" y="554760"/>
                            <a:ext cx="2226219" cy="368629"/>
                          </a:xfrm>
                          <a:prstGeom prst="rect">
                            <a:avLst/>
                          </a:prstGeom>
                          <a:noFill/>
                          <a:ln w="6350">
                            <a:noFill/>
                          </a:ln>
                          <a:effectLst/>
                        </wps:spPr>
                        <wps:txbx>
                          <w:txbxContent>
                            <w:p w14:paraId="1F659111" w14:textId="6DB4E800" w:rsidR="0087678E" w:rsidRPr="005031A0" w:rsidRDefault="0087678E" w:rsidP="005031A0">
                              <w:pPr>
                                <w:pStyle w:val="NormalWeb"/>
                              </w:pPr>
                              <w:r w:rsidRPr="005031A0">
                                <w:t>Mode</w:t>
                              </w:r>
                              <w:r>
                                <w:t>l costs derived by applying 2019–20</w:t>
                              </w:r>
                              <w:r w:rsidRPr="005031A0">
                                <w:t xml:space="preserve"> cost model to costed activity data scaling</w:t>
                              </w:r>
                            </w:p>
                            <w:p w14:paraId="167B018F"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Straight Connector 89"/>
                        <wps:cNvCnPr/>
                        <wps:spPr>
                          <a:xfrm flipV="1">
                            <a:off x="2873545" y="137082"/>
                            <a:ext cx="0" cy="3139959"/>
                          </a:xfrm>
                          <a:prstGeom prst="line">
                            <a:avLst/>
                          </a:prstGeom>
                          <a:noFill/>
                          <a:ln w="9525" cap="flat" cmpd="sng" algn="ctr">
                            <a:solidFill>
                              <a:sysClr val="windowText" lastClr="000000"/>
                            </a:solidFill>
                            <a:prstDash val="dash"/>
                          </a:ln>
                          <a:effectLst/>
                        </wps:spPr>
                        <wps:bodyPr/>
                      </wps:wsp>
                      <wps:wsp>
                        <wps:cNvPr id="208" name="Straight Arrow Connector 90"/>
                        <wps:cNvCnPr/>
                        <wps:spPr>
                          <a:xfrm>
                            <a:off x="3026294" y="378422"/>
                            <a:ext cx="768641" cy="0"/>
                          </a:xfrm>
                          <a:prstGeom prst="straightConnector1">
                            <a:avLst/>
                          </a:prstGeom>
                          <a:noFill/>
                          <a:ln w="9525" cap="flat" cmpd="sng" algn="ctr">
                            <a:solidFill>
                              <a:sysClr val="windowText" lastClr="000000"/>
                            </a:solidFill>
                            <a:prstDash val="solid"/>
                            <a:tailEnd type="arrow"/>
                          </a:ln>
                          <a:effectLst/>
                        </wps:spPr>
                        <wps:bodyPr/>
                      </wps:wsp>
                      <wps:wsp>
                        <wps:cNvPr id="209" name="Text Box 11"/>
                        <wps:cNvSpPr txBox="1"/>
                        <wps:spPr>
                          <a:xfrm>
                            <a:off x="3051108" y="166662"/>
                            <a:ext cx="775323" cy="241300"/>
                          </a:xfrm>
                          <a:prstGeom prst="rect">
                            <a:avLst/>
                          </a:prstGeom>
                          <a:noFill/>
                          <a:ln w="6350">
                            <a:noFill/>
                          </a:ln>
                          <a:effectLst/>
                        </wps:spPr>
                        <wps:txbx>
                          <w:txbxContent>
                            <w:p w14:paraId="3F660E7E" w14:textId="77777777" w:rsidR="0087678E" w:rsidRPr="00D9271F" w:rsidRDefault="0087678E" w:rsidP="005031A0">
                              <w:pPr>
                                <w:pStyle w:val="NormalWeb"/>
                              </w:pPr>
                              <w:r>
                                <w:t>Projected</w:t>
                              </w:r>
                            </w:p>
                            <w:p w14:paraId="4946BB6F"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Straight Arrow Connector 92"/>
                        <wps:cNvCnPr/>
                        <wps:spPr>
                          <a:xfrm>
                            <a:off x="1970951" y="376504"/>
                            <a:ext cx="768350" cy="0"/>
                          </a:xfrm>
                          <a:prstGeom prst="straightConnector1">
                            <a:avLst/>
                          </a:prstGeom>
                          <a:noFill/>
                          <a:ln w="9525" cap="flat" cmpd="sng" algn="ctr">
                            <a:solidFill>
                              <a:sysClr val="windowText" lastClr="000000"/>
                            </a:solidFill>
                            <a:prstDash val="solid"/>
                            <a:headEnd type="arrow" w="med" len="med"/>
                            <a:tailEnd type="none" w="med" len="med"/>
                          </a:ln>
                          <a:effectLst/>
                        </wps:spPr>
                        <wps:bodyPr/>
                      </wps:wsp>
                      <wps:wsp>
                        <wps:cNvPr id="211" name="Text Box 11"/>
                        <wps:cNvSpPr txBox="1"/>
                        <wps:spPr>
                          <a:xfrm>
                            <a:off x="2076697" y="165049"/>
                            <a:ext cx="728361" cy="241300"/>
                          </a:xfrm>
                          <a:prstGeom prst="rect">
                            <a:avLst/>
                          </a:prstGeom>
                          <a:noFill/>
                          <a:ln w="6350">
                            <a:noFill/>
                          </a:ln>
                          <a:effectLst/>
                        </wps:spPr>
                        <wps:txbx>
                          <w:txbxContent>
                            <w:p w14:paraId="1AE89A82" w14:textId="77777777" w:rsidR="0087678E" w:rsidRPr="00D9271F" w:rsidRDefault="0087678E" w:rsidP="005031A0">
                              <w:pPr>
                                <w:pStyle w:val="NormalWeb"/>
                                <w:rPr>
                                  <w:sz w:val="18"/>
                                </w:rPr>
                              </w:pPr>
                              <w:r w:rsidRPr="00D9271F">
                                <w:t>Historic</w:t>
                              </w:r>
                              <w:r>
                                <w:t>al</w:t>
                              </w:r>
                            </w:p>
                            <w:p w14:paraId="687C3FA5"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Text Box 11"/>
                        <wps:cNvSpPr txBox="1"/>
                        <wps:spPr>
                          <a:xfrm>
                            <a:off x="276295" y="1253617"/>
                            <a:ext cx="814994" cy="298450"/>
                          </a:xfrm>
                          <a:prstGeom prst="rect">
                            <a:avLst/>
                          </a:prstGeom>
                          <a:noFill/>
                          <a:ln w="6350">
                            <a:noFill/>
                          </a:ln>
                          <a:effectLst/>
                        </wps:spPr>
                        <wps:txbx>
                          <w:txbxContent>
                            <w:p w14:paraId="5553F30B" w14:textId="43364431" w:rsidR="0087678E" w:rsidRPr="00490D61" w:rsidRDefault="0087678E" w:rsidP="005031A0">
                              <w:pPr>
                                <w:pStyle w:val="NormalWeb"/>
                              </w:pPr>
                              <w:r w:rsidRPr="00801AF5">
                                <w:rPr>
                                  <w:i/>
                                  <w:vertAlign w:val="superscript"/>
                                </w:rPr>
                                <w:t>S</w:t>
                              </w:r>
                              <w:r w:rsidRPr="00801AF5">
                                <w:rPr>
                                  <w:vertAlign w:val="subscript"/>
                                </w:rPr>
                                <w:t>20</w:t>
                              </w:r>
                              <w:r>
                                <w:rPr>
                                  <w:vertAlign w:val="subscript"/>
                                </w:rPr>
                                <w:t>14–15</w:t>
                              </w:r>
                            </w:p>
                            <w:p w14:paraId="109FE2DD"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xt Box 11"/>
                        <wps:cNvSpPr txBox="1"/>
                        <wps:spPr>
                          <a:xfrm>
                            <a:off x="3701165" y="2603165"/>
                            <a:ext cx="335827" cy="324633"/>
                          </a:xfrm>
                          <a:prstGeom prst="rect">
                            <a:avLst/>
                          </a:prstGeom>
                          <a:noFill/>
                          <a:ln w="6350">
                            <a:noFill/>
                          </a:ln>
                          <a:effectLst/>
                        </wps:spPr>
                        <wps:txbx>
                          <w:txbxContent>
                            <w:p w14:paraId="7D542837" w14:textId="77777777" w:rsidR="0087678E" w:rsidRPr="00C034B3" w:rsidRDefault="0087678E" w:rsidP="005031A0">
                              <w:pPr>
                                <w:pStyle w:val="NormalWeb"/>
                                <w:rPr>
                                  <w:sz w:val="28"/>
                                  <w:vertAlign w:val="superscript"/>
                                </w:rPr>
                              </w:pPr>
                              <w:r w:rsidRPr="00C034B3">
                                <w:rPr>
                                  <w:vertAlign w:val="subscript"/>
                                </w:rPr>
                                <w:t>S</w:t>
                              </w:r>
                              <w:r w:rsidRPr="00C034B3">
                                <w:rPr>
                                  <w:vertAlign w:val="superscript"/>
                                </w:rPr>
                                <w:t>2</w:t>
                              </w:r>
                            </w:p>
                            <w:p w14:paraId="2097C2E3"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Text Box 11"/>
                        <wps:cNvSpPr txBox="1"/>
                        <wps:spPr>
                          <a:xfrm>
                            <a:off x="4286846" y="2592981"/>
                            <a:ext cx="334010" cy="324485"/>
                          </a:xfrm>
                          <a:prstGeom prst="rect">
                            <a:avLst/>
                          </a:prstGeom>
                          <a:noFill/>
                          <a:ln w="6350">
                            <a:noFill/>
                          </a:ln>
                          <a:effectLst/>
                        </wps:spPr>
                        <wps:txbx>
                          <w:txbxContent>
                            <w:p w14:paraId="4E498775" w14:textId="77777777" w:rsidR="0087678E" w:rsidRPr="00C034B3" w:rsidRDefault="0087678E" w:rsidP="005031A0">
                              <w:pPr>
                                <w:pStyle w:val="NormalWeb"/>
                                <w:rPr>
                                  <w:sz w:val="28"/>
                                  <w:vertAlign w:val="superscript"/>
                                </w:rPr>
                              </w:pPr>
                              <w:r w:rsidRPr="00E33EAE">
                                <w:rPr>
                                  <w:vertAlign w:val="subscript"/>
                                </w:rPr>
                                <w:t>S</w:t>
                              </w:r>
                              <w:r w:rsidRPr="00C034B3">
                                <w:rPr>
                                  <w:vertAlign w:val="superscript"/>
                                </w:rPr>
                                <w:t>3</w:t>
                              </w:r>
                            </w:p>
                            <w:p w14:paraId="75DE73A2" w14:textId="77777777" w:rsidR="0087678E" w:rsidRPr="00490D61" w:rsidRDefault="0087678E" w:rsidP="005031A0">
                              <w:pPr>
                                <w:pStyle w:val="NormalWeb"/>
                                <w:rPr>
                                  <w:vertAlign w:val="superscript"/>
                                </w:rPr>
                              </w:pPr>
                            </w:p>
                            <w:p w14:paraId="72070FC6"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Text Box 11"/>
                        <wps:cNvSpPr txBox="1"/>
                        <wps:spPr>
                          <a:xfrm>
                            <a:off x="21259" y="822829"/>
                            <a:ext cx="329871" cy="297815"/>
                          </a:xfrm>
                          <a:prstGeom prst="rect">
                            <a:avLst/>
                          </a:prstGeom>
                          <a:noFill/>
                          <a:ln w="6350">
                            <a:noFill/>
                          </a:ln>
                          <a:effectLst/>
                        </wps:spPr>
                        <wps:txbx>
                          <w:txbxContent>
                            <w:p w14:paraId="3D8A2F2B" w14:textId="77777777" w:rsidR="0087678E" w:rsidRPr="008916CD" w:rsidRDefault="0087678E" w:rsidP="005031A0">
                              <w:pPr>
                                <w:pStyle w:val="NormalWeb"/>
                              </w:pPr>
                              <w:r w:rsidRPr="008916CD">
                                <w:rPr>
                                  <w:vertAlign w:val="superscript"/>
                                </w:rPr>
                                <w:t>S</w:t>
                              </w:r>
                              <w:r>
                                <w:rPr>
                                  <w:vertAlign w:val="subscript"/>
                                </w:rPr>
                                <w:t>X</w:t>
                              </w:r>
                            </w:p>
                            <w:p w14:paraId="79405A30"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Text Box 11"/>
                        <wps:cNvSpPr txBox="1"/>
                        <wps:spPr>
                          <a:xfrm>
                            <a:off x="201975" y="848838"/>
                            <a:ext cx="1943100" cy="338455"/>
                          </a:xfrm>
                          <a:prstGeom prst="rect">
                            <a:avLst/>
                          </a:prstGeom>
                          <a:noFill/>
                          <a:ln w="6350">
                            <a:noFill/>
                          </a:ln>
                          <a:effectLst/>
                        </wps:spPr>
                        <wps:txbx>
                          <w:txbxContent>
                            <w:p w14:paraId="497841D4" w14:textId="77777777" w:rsidR="0087678E" w:rsidRPr="005031A0" w:rsidRDefault="0087678E" w:rsidP="005031A0">
                              <w:pPr>
                                <w:pStyle w:val="NormalWeb"/>
                              </w:pPr>
                              <w:r w:rsidRPr="005031A0">
                                <w:t>Scaling factor required to equalise model costs with actual costs</w:t>
                              </w:r>
                            </w:p>
                            <w:p w14:paraId="25824838"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Left Brace 131"/>
                        <wps:cNvSpPr/>
                        <wps:spPr>
                          <a:xfrm rot="16200000">
                            <a:off x="1464727" y="1899884"/>
                            <a:ext cx="272566" cy="2216679"/>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Left Brace 132"/>
                        <wps:cNvSpPr/>
                        <wps:spPr>
                          <a:xfrm rot="16200000">
                            <a:off x="3652930" y="2323638"/>
                            <a:ext cx="272415" cy="1370843"/>
                          </a:xfrm>
                          <a:prstGeom prst="leftBrace">
                            <a:avLst/>
                          </a:prstGeom>
                          <a:noFill/>
                          <a:ln w="9525" cap="flat" cmpd="sng" algn="ctr">
                            <a:solidFill>
                              <a:sysClr val="windowText" lastClr="000000"/>
                            </a:solidFill>
                            <a:prstDash val="solid"/>
                          </a:ln>
                          <a:effectLst/>
                        </wps:spPr>
                        <wps:txbx>
                          <w:txbxContent>
                            <w:p w14:paraId="720D7AC8" w14:textId="77777777" w:rsidR="0087678E" w:rsidRDefault="0087678E" w:rsidP="00561E6C"/>
                            <w:p w14:paraId="0A2C3056"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Text Box 11"/>
                        <wps:cNvSpPr txBox="1"/>
                        <wps:spPr>
                          <a:xfrm>
                            <a:off x="887059" y="3096885"/>
                            <a:ext cx="1423054" cy="240665"/>
                          </a:xfrm>
                          <a:prstGeom prst="rect">
                            <a:avLst/>
                          </a:prstGeom>
                          <a:noFill/>
                          <a:ln w="6350">
                            <a:noFill/>
                          </a:ln>
                          <a:effectLst/>
                        </wps:spPr>
                        <wps:txbx>
                          <w:txbxContent>
                            <w:p w14:paraId="2EA8322F" w14:textId="77777777" w:rsidR="0087678E" w:rsidRPr="008916CD" w:rsidRDefault="0087678E" w:rsidP="005031A0">
                              <w:pPr>
                                <w:pStyle w:val="NormalWeb"/>
                              </w:pPr>
                              <w:r w:rsidRPr="008916CD">
                                <w:t>Time series</w:t>
                              </w:r>
                            </w:p>
                            <w:p w14:paraId="059A1403"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Text Box 11"/>
                        <wps:cNvSpPr txBox="1"/>
                        <wps:spPr>
                          <a:xfrm>
                            <a:off x="3081199" y="3107501"/>
                            <a:ext cx="1418734" cy="240030"/>
                          </a:xfrm>
                          <a:prstGeom prst="rect">
                            <a:avLst/>
                          </a:prstGeom>
                          <a:noFill/>
                          <a:ln w="6350">
                            <a:noFill/>
                          </a:ln>
                          <a:effectLst/>
                        </wps:spPr>
                        <wps:txbx>
                          <w:txbxContent>
                            <w:p w14:paraId="7617252A" w14:textId="77777777" w:rsidR="0087678E" w:rsidRPr="008916CD" w:rsidRDefault="0087678E" w:rsidP="005031A0">
                              <w:pPr>
                                <w:pStyle w:val="NormalWeb"/>
                              </w:pPr>
                              <w:r w:rsidRPr="008916CD">
                                <w:t>Projection of time series</w:t>
                              </w:r>
                            </w:p>
                            <w:p w14:paraId="70F9A3F5"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B7660C8" id="Canvas 222" o:spid="_x0000_s1072" editas="canvas" alt="Title: Figure 7: Illustration of scaling factors required to equalise model and actual costs. - Description: A summary of Figure 7 is outlined in the text prior to this figure. " style="position:absolute;margin-left:.35pt;margin-top:1pt;width:447.85pt;height:294.85pt;z-index:-251658235;mso-width-relative:margin;mso-height-relative:margin" coordsize="56876,3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">
                <v:shape id="_x0000_s1073" type="#_x0000_t75" alt="A summary of Figure 7 is outlined in the text prior to this figure. " style="position:absolute;width:56876;height:37445;visibility:visible;mso-wrap-style:square" stroked="t" strokecolor="black [3213]">
                  <v:fill o:detectmouseclick="t"/>
                  <v:path o:connecttype="none"/>
                </v:shape>
                <v:rect id="Rectangle 19" o:spid="_x0000_s1074" style="position:absolute;left:5550;top:17552;width:166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" fillcolor="#77933c" strokecolor="#4f6228" strokeweight="1pt"/>
                <v:rect id="Rectangle 20" o:spid="_x0000_s1075" style="position:absolute;left:7213;top:14700;width:1657;height:7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" fillcolor="#c3d69b" strokecolor="#4f6228" strokeweight="1pt">
                  <v:textbox>
                    <w:txbxContent>
                      <w:p w14:paraId="67E5A949" w14:textId="77777777" w:rsidR="0087678E" w:rsidRDefault="0087678E" w:rsidP="00561E6C"/>
                      <w:p w14:paraId="709C54AC" w14:textId="77777777" w:rsidR="0087678E" w:rsidRDefault="0087678E" w:rsidP="00561E6C"/>
                    </w:txbxContent>
                  </v:textbox>
                </v:rect>
                <v:shapetype id="_x0000_t32" coordsize="21600,21600" o:spt="32" o:oned="t" path="m,l21600,21600e" filled="f">
                  <v:path arrowok="t" fillok="f" o:connecttype="none"/>
                  <o:lock v:ext="edit" shapetype="t"/>
                </v:shapetype>
                <v:shape id="Straight Arrow Connector 21" o:spid="_x0000_s1076" type="#_x0000_t32" style="position:absolute;left:6345;top:14700;width:0;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" strokecolor="windowText">
                  <v:stroke endarrow="open" endarrowwidth="narrow" endarrowlength="short"/>
                </v:shape>
                <v:oval id="Oval 22" o:spid="_x0000_s1077" style="position:absolute;left:11100;top:18816;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" fillcolor="windowText" strokecolor="windowText" strokeweight="2pt"/>
                <v:oval id="Oval 23" o:spid="_x0000_s1078" style="position:absolute;left:13178;top:188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" fillcolor="windowText" strokecolor="windowText" strokeweight="2pt">
                  <v:textbox>
                    <w:txbxContent>
                      <w:p w14:paraId="360AA5A9" w14:textId="77777777" w:rsidR="0087678E" w:rsidRDefault="0087678E" w:rsidP="00561E6C"/>
                      <w:p w14:paraId="51820D60" w14:textId="77777777" w:rsidR="0087678E" w:rsidRDefault="0087678E" w:rsidP="00561E6C"/>
                    </w:txbxContent>
                  </v:textbox>
                </v:oval>
                <v:oval id="Oval 24" o:spid="_x0000_s1079" style="position:absolute;left:15245;top:1881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" fillcolor="windowText" strokecolor="windowText" strokeweight="2pt">
                  <v:textbox>
                    <w:txbxContent>
                      <w:p w14:paraId="34318496" w14:textId="77777777" w:rsidR="0087678E" w:rsidRDefault="0087678E" w:rsidP="00561E6C"/>
                      <w:p w14:paraId="6AB83526" w14:textId="77777777" w:rsidR="0087678E" w:rsidRDefault="0087678E" w:rsidP="00561E6C"/>
                    </w:txbxContent>
                  </v:textbox>
                </v:oval>
                <v:shapetype id="_x0000_t202" coordsize="21600,21600" o:spt="202" path="m,l,21600r21600,l21600,xe">
                  <v:stroke joinstyle="miter"/>
                  <v:path gradientshapeok="t" o:connecttype="rect"/>
                </v:shapetype>
                <v:shape id="Text Box 11" o:spid="_x0000_s1080" type="#_x0000_t202" style="position:absolute;left:13629;top:11617;width:62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07ED349B" w14:textId="6DAF1014" w:rsidR="0087678E" w:rsidRPr="00490D61" w:rsidRDefault="0087678E" w:rsidP="005031A0">
                        <w:pPr>
                          <w:pStyle w:val="NormalWeb"/>
                        </w:pPr>
                        <w:r w:rsidRPr="008916CD">
                          <w:rPr>
                            <w:i/>
                            <w:vertAlign w:val="superscript"/>
                          </w:rPr>
                          <w:t>S</w:t>
                        </w:r>
                        <w:r>
                          <w:rPr>
                            <w:vertAlign w:val="subscript"/>
                          </w:rPr>
                          <w:t>2018–19</w:t>
                        </w:r>
                      </w:p>
                      <w:p w14:paraId="3207D95A" w14:textId="77777777" w:rsidR="0087678E" w:rsidRDefault="0087678E" w:rsidP="00561E6C"/>
                    </w:txbxContent>
                  </v:textbox>
                </v:shape>
                <v:rect id="Rectangle 26" o:spid="_x0000_s1081" style="position:absolute;left:17563;top:14046;width:1657;height:8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" fillcolor="#77933c" strokecolor="#4f6228" strokeweight="1pt">
                  <v:textbox>
                    <w:txbxContent>
                      <w:p w14:paraId="57986FA5" w14:textId="77777777" w:rsidR="0087678E" w:rsidRDefault="0087678E" w:rsidP="00561E6C"/>
                      <w:p w14:paraId="0E000129" w14:textId="77777777" w:rsidR="0087678E" w:rsidRDefault="0087678E" w:rsidP="00561E6C"/>
                    </w:txbxContent>
                  </v:textbox>
                </v:rect>
                <v:rect id="Rectangle 27" o:spid="_x0000_s1082" style="position:absolute;left:19227;top:12932;width:1657;height:9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" fillcolor="#c3d69b" strokecolor="#4f6228" strokeweight="1pt">
                  <v:textbox>
                    <w:txbxContent>
                      <w:p w14:paraId="792C016A" w14:textId="77777777" w:rsidR="0087678E" w:rsidRDefault="0087678E" w:rsidP="005031A0">
                        <w:pPr>
                          <w:pStyle w:val="NormalWeb"/>
                        </w:pPr>
                      </w:p>
                      <w:p w14:paraId="283F44E2" w14:textId="77777777" w:rsidR="0087678E" w:rsidRDefault="0087678E" w:rsidP="00561E6C"/>
                    </w:txbxContent>
                  </v:textbox>
                </v:rect>
                <v:shape id="Straight Arrow Connector 28" o:spid="_x0000_s1083" type="#_x0000_t32" style="position:absolute;left:18357;top:12932;width:0;height:1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" strokecolor="windowText">
                  <v:stroke endarrow="open" endarrowwidth="narrow" endarrowlength="short"/>
                </v:shape>
                <v:shape id="Text Box 11" o:spid="_x0000_s1084" type="#_x0000_t202" style="position:absolute;left:22124;top:8917;width:1097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714B7B3A" w14:textId="5F3DFAFA" w:rsidR="0087678E" w:rsidRPr="008916CD" w:rsidRDefault="0087678E" w:rsidP="005031A0">
                        <w:pPr>
                          <w:pStyle w:val="NormalWeb"/>
                          <w:rPr>
                            <w:vertAlign w:val="subscript"/>
                          </w:rPr>
                        </w:pPr>
                        <w:r w:rsidRPr="008916CD">
                          <w:rPr>
                            <w:i/>
                            <w:vertAlign w:val="superscript"/>
                          </w:rPr>
                          <w:t>S</w:t>
                        </w:r>
                        <w:r>
                          <w:rPr>
                            <w:vertAlign w:val="subscript"/>
                          </w:rPr>
                          <w:t>2019–20</w:t>
                        </w:r>
                        <w:r w:rsidRPr="008916CD">
                          <w:rPr>
                            <w:vertAlign w:val="subscript"/>
                          </w:rPr>
                          <w:t xml:space="preserve"> </w:t>
                        </w:r>
                        <w:r w:rsidRPr="008916CD">
                          <w:t>= 1</w:t>
                        </w:r>
                      </w:p>
                      <w:p w14:paraId="77C34825" w14:textId="77777777" w:rsidR="0087678E" w:rsidRPr="00490D61" w:rsidRDefault="0087678E" w:rsidP="005031A0">
                        <w:pPr>
                          <w:pStyle w:val="NormalWeb"/>
                        </w:pPr>
                      </w:p>
                      <w:p w14:paraId="19B398D2" w14:textId="77777777" w:rsidR="0087678E" w:rsidRDefault="0087678E" w:rsidP="00561E6C"/>
                    </w:txbxContent>
                  </v:textbox>
                </v:shape>
                <v:rect id="Rectangle 30" o:spid="_x0000_s1085" style="position:absolute;left:23776;top:11557;width:1658;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" fillcolor="#77933c" strokecolor="#4f6228" strokeweight="1pt">
                  <v:textbox>
                    <w:txbxContent>
                      <w:p w14:paraId="3A333570" w14:textId="77777777" w:rsidR="0087678E" w:rsidRDefault="0087678E" w:rsidP="005031A0">
                        <w:pPr>
                          <w:pStyle w:val="NormalWeb"/>
                        </w:pPr>
                      </w:p>
                      <w:p w14:paraId="5995E71F" w14:textId="77777777" w:rsidR="0087678E" w:rsidRDefault="0087678E" w:rsidP="00561E6C"/>
                    </w:txbxContent>
                  </v:textbox>
                </v:rect>
                <v:rect id="Rectangle 31" o:spid="_x0000_s1086" style="position:absolute;left:25440;top:11557;width:1657;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" fillcolor="#c3d69b" strokecolor="#4f6228" strokeweight="1pt">
                  <v:textbox>
                    <w:txbxContent>
                      <w:p w14:paraId="676BB79F" w14:textId="77777777" w:rsidR="0087678E" w:rsidRDefault="0087678E" w:rsidP="005031A0">
                        <w:pPr>
                          <w:pStyle w:val="NormalWeb"/>
                        </w:pPr>
                      </w:p>
                      <w:p w14:paraId="2A702EF9" w14:textId="77777777" w:rsidR="0087678E" w:rsidRDefault="0087678E" w:rsidP="00561E6C"/>
                    </w:txbxContent>
                  </v:textbox>
                </v:rect>
                <v:shape id="Text Box 11" o:spid="_x0000_s1087" type="#_x0000_t202" style="position:absolute;left:32576;top:8022;width:25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6025487E" w14:textId="77777777" w:rsidR="0087678E" w:rsidRPr="00BD4DD8" w:rsidRDefault="0087678E" w:rsidP="005031A0">
                        <w:pPr>
                          <w:pStyle w:val="NormalWeb"/>
                          <w:rPr>
                            <w:vertAlign w:val="subscript"/>
                          </w:rPr>
                        </w:pPr>
                        <w:r w:rsidRPr="00BD4DD8">
                          <w:rPr>
                            <w:vertAlign w:val="subscript"/>
                          </w:rPr>
                          <w:t>S</w:t>
                        </w:r>
                      </w:p>
                      <w:p w14:paraId="115AF7D9" w14:textId="77777777" w:rsidR="0087678E" w:rsidRDefault="0087678E" w:rsidP="00561E6C"/>
                    </w:txbxContent>
                  </v:textbox>
                </v:shape>
                <v:rect id="Rectangle 33" o:spid="_x0000_s1088" style="position:absolute;left:30197;top:9235;width:1657;height:1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" fillcolor="#77933c" strokecolor="#4f6228" strokeweight="1pt">
                  <v:textbox>
                    <w:txbxContent>
                      <w:p w14:paraId="41A2DA9F" w14:textId="77777777" w:rsidR="0087678E" w:rsidRDefault="0087678E" w:rsidP="005031A0">
                        <w:pPr>
                          <w:pStyle w:val="NormalWeb"/>
                        </w:pPr>
                      </w:p>
                      <w:p w14:paraId="1FA9EC6A" w14:textId="77777777" w:rsidR="0087678E" w:rsidRDefault="0087678E" w:rsidP="00561E6C"/>
                    </w:txbxContent>
                  </v:textbox>
                </v:rect>
                <v:rect id="Rectangle 34" o:spid="_x0000_s1089" style="position:absolute;left:31801;top:10315;width:1657;height:1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" fillcolor="#c3d69b" strokecolor="#4f6228" strokeweight="1pt">
                  <v:textbox>
                    <w:txbxContent>
                      <w:p w14:paraId="1B388A18" w14:textId="77777777" w:rsidR="0087678E" w:rsidRDefault="0087678E" w:rsidP="005031A0">
                        <w:pPr>
                          <w:pStyle w:val="NormalWeb"/>
                        </w:pPr>
                      </w:p>
                      <w:p w14:paraId="63167C47" w14:textId="77777777" w:rsidR="0087678E" w:rsidRDefault="0087678E" w:rsidP="00561E6C"/>
                    </w:txbxContent>
                  </v:textbox>
                </v:rect>
                <v:shape id="Straight Arrow Connector 35" o:spid="_x0000_s1090" type="#_x0000_t32" style="position:absolute;left:32661;top:9235;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" strokecolor="windowText">
                  <v:stroke startarrow="open" startarrowwidth="narrow" startarrowlength="short" endarrowwidth="narrow" endarrowlength="short"/>
                </v:shape>
                <v:shape id="Text Box 11" o:spid="_x0000_s1091" type="#_x0000_t202" style="position:absolute;left:38705;top:5934;width:4202;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5ECFBF93" w14:textId="77777777" w:rsidR="0087678E" w:rsidRPr="00C034B3" w:rsidRDefault="0087678E" w:rsidP="005031A0">
                        <w:pPr>
                          <w:pStyle w:val="NormalWeb"/>
                          <w:rPr>
                            <w:sz w:val="28"/>
                            <w:vertAlign w:val="superscript"/>
                          </w:rPr>
                        </w:pPr>
                        <w:r w:rsidRPr="00C034B3">
                          <w:rPr>
                            <w:vertAlign w:val="subscript"/>
                          </w:rPr>
                          <w:t>S</w:t>
                        </w:r>
                        <w:r w:rsidRPr="00C034B3">
                          <w:rPr>
                            <w:vertAlign w:val="superscript"/>
                          </w:rPr>
                          <w:t>2</w:t>
                        </w:r>
                      </w:p>
                      <w:p w14:paraId="62F558C5" w14:textId="77777777" w:rsidR="0087678E" w:rsidRDefault="0087678E" w:rsidP="00561E6C"/>
                    </w:txbxContent>
                  </v:textbox>
                </v:shape>
                <v:rect id="Rectangle 37" o:spid="_x0000_s1092" style="position:absolute;left:36600;top:5935;width:1657;height:1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" fillcolor="#77933c" strokecolor="#4f6228" strokeweight="1pt">
                  <v:textbox>
                    <w:txbxContent>
                      <w:p w14:paraId="43683D98" w14:textId="77777777" w:rsidR="0087678E" w:rsidRDefault="0087678E" w:rsidP="005031A0">
                        <w:pPr>
                          <w:pStyle w:val="NormalWeb"/>
                        </w:pPr>
                      </w:p>
                      <w:p w14:paraId="110FD872" w14:textId="77777777" w:rsidR="0087678E" w:rsidRDefault="0087678E" w:rsidP="00561E6C"/>
                    </w:txbxContent>
                  </v:textbox>
                </v:rect>
                <v:rect id="Rectangle 38" o:spid="_x0000_s1093" style="position:absolute;left:38264;top:8318;width:1657;height:14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" fillcolor="#c3d69b" strokecolor="#4f6228" strokeweight="1pt">
                  <v:textbox>
                    <w:txbxContent>
                      <w:p w14:paraId="2467B0A9" w14:textId="77777777" w:rsidR="0087678E" w:rsidRDefault="0087678E" w:rsidP="005031A0">
                        <w:pPr>
                          <w:pStyle w:val="NormalWeb"/>
                        </w:pPr>
                      </w:p>
                      <w:p w14:paraId="38F10CD3" w14:textId="77777777" w:rsidR="0087678E" w:rsidRDefault="0087678E" w:rsidP="00561E6C"/>
                    </w:txbxContent>
                  </v:textbox>
                </v:rect>
                <v:shape id="Straight Arrow Connector 39" o:spid="_x0000_s1094" type="#_x0000_t32" style="position:absolute;left:39185;top:6012;width:0;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" strokecolor="windowText">
                  <v:stroke startarrow="open" startarrowwidth="narrow" startarrowlength="short" endarrowwidth="narrow" endarrowlength="short"/>
                </v:shape>
                <v:shape id="Text Box 11" o:spid="_x0000_s1095" type="#_x0000_t202" style="position:absolute;left:44886;top:2918;width:3544;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334136EE" w14:textId="77777777" w:rsidR="0087678E" w:rsidRPr="005846EB" w:rsidRDefault="0087678E" w:rsidP="005031A0">
                        <w:pPr>
                          <w:pStyle w:val="NormalWeb"/>
                          <w:rPr>
                            <w:sz w:val="32"/>
                            <w:vertAlign w:val="superscript"/>
                          </w:rPr>
                        </w:pPr>
                        <w:r w:rsidRPr="00BD4DD8">
                          <w:rPr>
                            <w:vertAlign w:val="subscript"/>
                          </w:rPr>
                          <w:t>S</w:t>
                        </w:r>
                        <w:r w:rsidRPr="005846EB">
                          <w:rPr>
                            <w:vertAlign w:val="superscript"/>
                          </w:rPr>
                          <w:t>3</w:t>
                        </w:r>
                      </w:p>
                      <w:p w14:paraId="67E5115D" w14:textId="77777777" w:rsidR="0087678E" w:rsidRPr="00490D61" w:rsidRDefault="0087678E" w:rsidP="005031A0">
                        <w:pPr>
                          <w:pStyle w:val="NormalWeb"/>
                          <w:rPr>
                            <w:vertAlign w:val="superscript"/>
                          </w:rPr>
                        </w:pPr>
                      </w:p>
                      <w:p w14:paraId="59D812DF" w14:textId="77777777" w:rsidR="0087678E" w:rsidRDefault="0087678E" w:rsidP="00561E6C"/>
                    </w:txbxContent>
                  </v:textbox>
                </v:shape>
                <v:rect id="Rectangle 41" o:spid="_x0000_s1096" style="position:absolute;left:42474;top:2516;width:1651;height:20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" fillcolor="#77933c" strokecolor="#4f6228" strokeweight="1pt">
                  <v:textbox>
                    <w:txbxContent>
                      <w:p w14:paraId="588B4147" w14:textId="77777777" w:rsidR="0087678E" w:rsidRDefault="0087678E" w:rsidP="005031A0">
                        <w:pPr>
                          <w:pStyle w:val="NormalWeb"/>
                        </w:pPr>
                      </w:p>
                      <w:p w14:paraId="7154292A" w14:textId="77777777" w:rsidR="0087678E" w:rsidRDefault="0087678E" w:rsidP="00561E6C"/>
                    </w:txbxContent>
                  </v:textbox>
                </v:rect>
                <v:rect id="Rectangle 42" o:spid="_x0000_s1097" style="position:absolute;left:44138;top:6253;width:1651;height:16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" fillcolor="#c3d69b" strokecolor="#4f6228" strokeweight="1pt">
                  <v:textbox>
                    <w:txbxContent>
                      <w:p w14:paraId="02C14EDD" w14:textId="77777777" w:rsidR="0087678E" w:rsidRDefault="0087678E" w:rsidP="005031A0">
                        <w:pPr>
                          <w:pStyle w:val="NormalWeb"/>
                        </w:pPr>
                      </w:p>
                      <w:p w14:paraId="4CFB181A" w14:textId="77777777" w:rsidR="0087678E" w:rsidRDefault="0087678E" w:rsidP="00561E6C"/>
                    </w:txbxContent>
                  </v:textbox>
                </v:rect>
                <v:shape id="Straight Arrow Connector 43" o:spid="_x0000_s1098" type="#_x0000_t32" style="position:absolute;left:44962;top:2516;width:1;height:3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" strokecolor="windowText">
                  <v:stroke startarrow="open" startarrowwidth="narrow" startarrowlength="short" endarrowwidth="narrow" endarrowlength="short"/>
                </v:shape>
                <v:shape id="Text Box 11" o:spid="_x0000_s1099" type="#_x0000_t202" style="position:absolute;left:4216;top:23554;width:595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25625FD6" w14:textId="39F4C808" w:rsidR="0087678E" w:rsidRPr="001A297C" w:rsidRDefault="0087678E" w:rsidP="005031A0">
                        <w:pPr>
                          <w:pStyle w:val="NormalWeb"/>
                        </w:pPr>
                        <w:r w:rsidRPr="00801AF5">
                          <w:t>20</w:t>
                        </w:r>
                        <w:r>
                          <w:t>14–15</w:t>
                        </w:r>
                      </w:p>
                      <w:p w14:paraId="4A035854" w14:textId="77777777" w:rsidR="0087678E" w:rsidRDefault="0087678E" w:rsidP="00561E6C"/>
                    </w:txbxContent>
                  </v:textbox>
                </v:shape>
                <v:shape id="Text Box 11" o:spid="_x0000_s1100" type="#_x0000_t202" style="position:absolute;left:15502;top:23554;width:759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75A48755" w14:textId="2141E7B8" w:rsidR="0087678E" w:rsidRPr="00D9271F" w:rsidRDefault="0087678E" w:rsidP="005031A0">
                        <w:pPr>
                          <w:pStyle w:val="NormalWeb"/>
                        </w:pPr>
                        <w:r>
                          <w:t>2018–19</w:t>
                        </w:r>
                      </w:p>
                      <w:p w14:paraId="43E8C04A" w14:textId="77777777" w:rsidR="0087678E" w:rsidRDefault="0087678E" w:rsidP="00561E6C"/>
                    </w:txbxContent>
                  </v:textbox>
                </v:shape>
                <v:shape id="Text Box 11" o:spid="_x0000_s1101" type="#_x0000_t202" style="position:absolute;left:22413;top:23622;width:711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6764019A" w14:textId="60597CCC" w:rsidR="0087678E" w:rsidRPr="00D9271F" w:rsidRDefault="0087678E" w:rsidP="005031A0">
                        <w:pPr>
                          <w:pStyle w:val="NormalWeb"/>
                        </w:pPr>
                        <w:r>
                          <w:t>2019–20</w:t>
                        </w:r>
                      </w:p>
                      <w:p w14:paraId="029E60D1" w14:textId="77777777" w:rsidR="0087678E" w:rsidRDefault="0087678E" w:rsidP="00561E6C"/>
                    </w:txbxContent>
                  </v:textbox>
                </v:shape>
                <v:shape id="Text Box 11" o:spid="_x0000_s1102" type="#_x0000_t202" style="position:absolute;left:28881;top:23624;width:636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1F28458D" w14:textId="6C98684E" w:rsidR="0087678E" w:rsidRDefault="0087678E" w:rsidP="005031A0">
                        <w:pPr>
                          <w:pStyle w:val="NormalWeb"/>
                        </w:pPr>
                        <w:r w:rsidRPr="00D9271F">
                          <w:t>20</w:t>
                        </w:r>
                        <w:r>
                          <w:t>20–21</w:t>
                        </w:r>
                      </w:p>
                    </w:txbxContent>
                  </v:textbox>
                </v:shape>
                <v:shape id="Text Box 11" o:spid="_x0000_s1103" type="#_x0000_t202" style="position:absolute;left:35248;top:23590;width:649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29700A94" w14:textId="43461127" w:rsidR="0087678E" w:rsidRPr="00D9271F" w:rsidRDefault="0087678E" w:rsidP="005031A0">
                        <w:pPr>
                          <w:pStyle w:val="NormalWeb"/>
                        </w:pPr>
                        <w:r>
                          <w:t>2021–22</w:t>
                        </w:r>
                      </w:p>
                      <w:p w14:paraId="4A52A003" w14:textId="77777777" w:rsidR="0087678E" w:rsidRDefault="0087678E" w:rsidP="00561E6C"/>
                    </w:txbxContent>
                  </v:textbox>
                </v:shape>
                <v:shape id="Text Box 11" o:spid="_x0000_s1104" type="#_x0000_t202" style="position:absolute;left:41125;top:23496;width:68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26633492" w14:textId="4F118A25" w:rsidR="0087678E" w:rsidRPr="00D9271F" w:rsidRDefault="0087678E" w:rsidP="005031A0">
                        <w:pPr>
                          <w:pStyle w:val="NormalWeb"/>
                        </w:pPr>
                        <w:r>
                          <w:t>2022–23</w:t>
                        </w:r>
                      </w:p>
                      <w:p w14:paraId="46E489AC" w14:textId="77777777" w:rsidR="0087678E" w:rsidRDefault="0087678E" w:rsidP="00561E6C"/>
                    </w:txbxContent>
                  </v:textbox>
                </v:shape>
                <v:shape id="Text Box 11" o:spid="_x0000_s1105" type="#_x0000_t202" style="position:absolute;left:2228;top:3875;width:97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4FA9597A" w14:textId="77777777" w:rsidR="0087678E" w:rsidRPr="005031A0" w:rsidRDefault="0087678E" w:rsidP="005031A0">
                        <w:pPr>
                          <w:pStyle w:val="NormalWeb"/>
                        </w:pPr>
                        <w:r w:rsidRPr="005031A0">
                          <w:t>Actual costs</w:t>
                        </w:r>
                      </w:p>
                      <w:p w14:paraId="2EDA749D" w14:textId="77777777" w:rsidR="0087678E" w:rsidRPr="005031A0" w:rsidRDefault="0087678E" w:rsidP="00561E6C">
                        <w:pPr>
                          <w:rPr>
                            <w:rFonts w:asciiTheme="minorHAnsi" w:hAnsiTheme="minorHAnsi" w:cstheme="minorHAnsi"/>
                            <w:sz w:val="16"/>
                            <w:szCs w:val="16"/>
                          </w:rPr>
                        </w:pPr>
                      </w:p>
                    </w:txbxContent>
                  </v:textbox>
                </v:shape>
                <v:rect id="Rectangle 51" o:spid="_x0000_s1106" style="position:absolute;left:771;top:4304;width:1657;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" fillcolor="#77933c" strokecolor="#4f6228" strokeweight="1pt">
                  <v:textbox>
                    <w:txbxContent>
                      <w:p w14:paraId="789250C8" w14:textId="77777777" w:rsidR="0087678E" w:rsidRDefault="0087678E" w:rsidP="00561E6C"/>
                      <w:p w14:paraId="2031F082" w14:textId="77777777" w:rsidR="0087678E" w:rsidRDefault="0087678E" w:rsidP="00561E6C"/>
                    </w:txbxContent>
                  </v:textbox>
                </v:rect>
                <v:rect id="Rectangle 52" o:spid="_x0000_s1107" style="position:absolute;left:720;top:6498;width:1657;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" fillcolor="#c3d69b" strokecolor="#4f6228" strokeweight="1pt">
                  <v:textbox>
                    <w:txbxContent>
                      <w:p w14:paraId="766D3EE2" w14:textId="77777777" w:rsidR="0087678E" w:rsidRDefault="0087678E" w:rsidP="005031A0">
                        <w:pPr>
                          <w:pStyle w:val="NormalWeb"/>
                        </w:pPr>
                      </w:p>
                      <w:p w14:paraId="581249C7" w14:textId="77777777" w:rsidR="0087678E" w:rsidRDefault="0087678E" w:rsidP="00561E6C"/>
                    </w:txbxContent>
                  </v:textbox>
                </v:rect>
                <v:shape id="Text Box 11" o:spid="_x0000_s1108" type="#_x0000_t202" style="position:absolute;left:3511;top:25999;width:666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6F2956B0" w14:textId="2C8771AC" w:rsidR="0087678E" w:rsidRPr="00C034B3" w:rsidRDefault="0087678E" w:rsidP="005031A0">
                        <w:pPr>
                          <w:pStyle w:val="NormalWeb"/>
                          <w:rPr>
                            <w:vertAlign w:val="subscript"/>
                          </w:rPr>
                        </w:pPr>
                        <w:r w:rsidRPr="00801AF5">
                          <w:rPr>
                            <w:i/>
                            <w:vertAlign w:val="superscript"/>
                          </w:rPr>
                          <w:t>S</w:t>
                        </w:r>
                        <w:r w:rsidRPr="00801AF5">
                          <w:rPr>
                            <w:vertAlign w:val="subscript"/>
                          </w:rPr>
                          <w:t>20</w:t>
                        </w:r>
                        <w:r>
                          <w:rPr>
                            <w:vertAlign w:val="subscript"/>
                          </w:rPr>
                          <w:t>14–</w:t>
                        </w:r>
                        <w:r w:rsidRPr="00801AF5">
                          <w:rPr>
                            <w:vertAlign w:val="subscript"/>
                          </w:rPr>
                          <w:t>1</w:t>
                        </w:r>
                        <w:r>
                          <w:rPr>
                            <w:vertAlign w:val="subscript"/>
                          </w:rPr>
                          <w:t>5</w:t>
                        </w:r>
                      </w:p>
                      <w:p w14:paraId="1FEFA33D" w14:textId="77777777" w:rsidR="0087678E" w:rsidRDefault="0087678E" w:rsidP="00561E6C"/>
                    </w:txbxContent>
                  </v:textbox>
                </v:shape>
                <v:shape id="Text Box 11" o:spid="_x0000_s1109" type="#_x0000_t202" style="position:absolute;left:15967;top:25942;width:603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4C4B4B93" w14:textId="04A733E6" w:rsidR="0087678E" w:rsidRPr="00C034B3" w:rsidRDefault="0087678E" w:rsidP="005031A0">
                        <w:pPr>
                          <w:pStyle w:val="NormalWeb"/>
                          <w:rPr>
                            <w:vertAlign w:val="subscript"/>
                          </w:rPr>
                        </w:pPr>
                        <w:r w:rsidRPr="00C034B3">
                          <w:rPr>
                            <w:i/>
                            <w:vertAlign w:val="superscript"/>
                          </w:rPr>
                          <w:t>S</w:t>
                        </w:r>
                        <w:r>
                          <w:rPr>
                            <w:vertAlign w:val="subscript"/>
                          </w:rPr>
                          <w:t>2018–19</w:t>
                        </w:r>
                      </w:p>
                      <w:p w14:paraId="7F9F29FA" w14:textId="77777777" w:rsidR="0087678E" w:rsidRPr="00490D61" w:rsidRDefault="0087678E" w:rsidP="005031A0">
                        <w:pPr>
                          <w:pStyle w:val="NormalWeb"/>
                        </w:pPr>
                      </w:p>
                      <w:p w14:paraId="181A6B63" w14:textId="77777777" w:rsidR="0087678E" w:rsidRDefault="0087678E" w:rsidP="00561E6C"/>
                    </w:txbxContent>
                  </v:textbox>
                </v:shape>
                <v:shape id="Text Box 11" o:spid="_x0000_s1110" type="#_x0000_t202" style="position:absolute;left:23297;top:25989;width:5584;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4D54072C" w14:textId="60D3799B" w:rsidR="0087678E" w:rsidRPr="00C034B3" w:rsidRDefault="0087678E" w:rsidP="005031A0">
                        <w:pPr>
                          <w:pStyle w:val="NormalWeb"/>
                          <w:rPr>
                            <w:vertAlign w:val="subscript"/>
                          </w:rPr>
                        </w:pPr>
                        <w:r w:rsidRPr="00C034B3">
                          <w:rPr>
                            <w:i/>
                            <w:vertAlign w:val="superscript"/>
                          </w:rPr>
                          <w:t>S</w:t>
                        </w:r>
                        <w:r>
                          <w:rPr>
                            <w:vertAlign w:val="subscript"/>
                          </w:rPr>
                          <w:t>2019–20</w:t>
                        </w:r>
                      </w:p>
                      <w:p w14:paraId="2BA3F149" w14:textId="77777777" w:rsidR="0087678E" w:rsidRPr="00C034B3" w:rsidRDefault="0087678E" w:rsidP="005031A0">
                        <w:pPr>
                          <w:pStyle w:val="NormalWeb"/>
                        </w:pPr>
                      </w:p>
                      <w:p w14:paraId="4B6C503D" w14:textId="77777777" w:rsidR="0087678E" w:rsidRDefault="0087678E" w:rsidP="00561E6C"/>
                    </w:txbxContent>
                  </v:textbox>
                </v:shape>
                <v:shape id="Text Box 11" o:spid="_x0000_s1111" type="#_x0000_t202" style="position:absolute;left:30511;top:26132;width:294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17E6C47F" w14:textId="77777777" w:rsidR="0087678E" w:rsidRPr="00C034B3" w:rsidRDefault="0087678E" w:rsidP="005031A0">
                        <w:pPr>
                          <w:pStyle w:val="NormalWeb"/>
                          <w:rPr>
                            <w:sz w:val="28"/>
                            <w:vertAlign w:val="subscript"/>
                          </w:rPr>
                        </w:pPr>
                        <w:r w:rsidRPr="00C034B3">
                          <w:rPr>
                            <w:vertAlign w:val="subscript"/>
                          </w:rPr>
                          <w:t>S</w:t>
                        </w:r>
                      </w:p>
                      <w:p w14:paraId="0B0D0D23" w14:textId="77777777" w:rsidR="0087678E" w:rsidRDefault="0087678E" w:rsidP="00561E6C"/>
                    </w:txbxContent>
                  </v:textbox>
                </v:shape>
                <v:shape id="Straight Arrow Connector 81" o:spid="_x0000_s1112" type="#_x0000_t32" style="position:absolute;left:21152;top:27432;width:2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" strokecolor="windowText">
                  <v:stroke endarrow="open"/>
                </v:shape>
                <v:shape id="Straight Arrow Connector 82" o:spid="_x0000_s1113" type="#_x0000_t32" style="position:absolute;left:27844;top:27517;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" strokecolor="windowText">
                  <v:stroke endarrow="open"/>
                </v:shape>
                <v:shape id="Straight Arrow Connector 83" o:spid="_x0000_s1114" type="#_x0000_t32" style="position:absolute;left:33959;top:27432;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" strokecolor="windowText">
                  <v:stroke endarrow="open"/>
                </v:shape>
                <v:shape id="Straight Arrow Connector 84" o:spid="_x0000_s1115" type="#_x0000_t32" style="position:absolute;left:40369;top:27422;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" strokecolor="windowText">
                  <v:stroke endarrow="open"/>
                </v:shape>
                <v:shape id="Straight Arrow Connector 85" o:spid="_x0000_s1116" type="#_x0000_t32" style="position:absolute;left:9763;top:27517;width:2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ROxAAAANwAAAAPAAAAZHJzL2Rvd25yZXYueG1sRI9BawIx&#10;FITvQv9DeAVvmq2i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EKsVE7EAAAA3AAAAA8A&#10;AAAAAAAAAAAAAAAABwIAAGRycy9kb3ducmV2LnhtbFBLBQYAAAAAAwADALcAAAD4AgAAAAA=&#10;" strokecolor="windowText">
                  <v:stroke endarrow="open"/>
                </v:shape>
                <v:shape id="Straight Arrow Connector 86" o:spid="_x0000_s1117" type="#_x0000_t32" style="position:absolute;left:14359;top:27517;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w6xAAAANwAAAAPAAAAZHJzL2Rvd25yZXYueG1sRI9BawIx&#10;FITvQv9DeAVvmq2o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M1FzDrEAAAA3AAAAA8A&#10;AAAAAAAAAAAAAAAABwIAAGRycy9kb3ducmV2LnhtbFBLBQYAAAAAAwADALcAAAD4AgAAAAA=&#10;" strokecolor="windowText">
                  <v:stroke endarrow="open"/>
                </v:shape>
                <v:line id="Straight Connector 87" o:spid="_x0000_s1118" style="position:absolute;visibility:visible;mso-wrap-style:square" from="12568,27517" to="13977,2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" strokecolor="windowText">
                  <v:stroke dashstyle="3 1"/>
                </v:line>
                <v:shape id="Text Box 11" o:spid="_x0000_s1119" type="#_x0000_t202" style="position:absolute;left:2192;top:5547;width:22262;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1F659111" w14:textId="6DB4E800" w:rsidR="0087678E" w:rsidRPr="005031A0" w:rsidRDefault="0087678E" w:rsidP="005031A0">
                        <w:pPr>
                          <w:pStyle w:val="NormalWeb"/>
                        </w:pPr>
                        <w:r w:rsidRPr="005031A0">
                          <w:t>Mode</w:t>
                        </w:r>
                        <w:r>
                          <w:t>l costs derived by applying 2019–20</w:t>
                        </w:r>
                        <w:r w:rsidRPr="005031A0">
                          <w:t xml:space="preserve"> cost model to costed activity data scaling</w:t>
                        </w:r>
                      </w:p>
                      <w:p w14:paraId="167B018F" w14:textId="77777777" w:rsidR="0087678E" w:rsidRDefault="0087678E" w:rsidP="00561E6C"/>
                    </w:txbxContent>
                  </v:textbox>
                </v:shape>
                <v:line id="Straight Connector 89" o:spid="_x0000_s1120" style="position:absolute;flip:y;visibility:visible;mso-wrap-style:square" from="28735,1370" to="28735,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" strokecolor="windowText">
                  <v:stroke dashstyle="dash"/>
                </v:line>
                <v:shape id="Straight Arrow Connector 90" o:spid="_x0000_s1121" type="#_x0000_t32" style="position:absolute;left:30262;top:3784;width:7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" strokecolor="windowText">
                  <v:stroke endarrow="open"/>
                </v:shape>
                <v:shape id="Text Box 11" o:spid="_x0000_s1122" type="#_x0000_t202" style="position:absolute;left:30511;top:1666;width:77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3F660E7E" w14:textId="77777777" w:rsidR="0087678E" w:rsidRPr="00D9271F" w:rsidRDefault="0087678E" w:rsidP="005031A0">
                        <w:pPr>
                          <w:pStyle w:val="NormalWeb"/>
                        </w:pPr>
                        <w:r>
                          <w:t>Projected</w:t>
                        </w:r>
                      </w:p>
                      <w:p w14:paraId="4946BB6F" w14:textId="77777777" w:rsidR="0087678E" w:rsidRDefault="0087678E" w:rsidP="00561E6C"/>
                    </w:txbxContent>
                  </v:textbox>
                </v:shape>
                <v:shape id="Straight Arrow Connector 92" o:spid="_x0000_s1123" type="#_x0000_t32" style="position:absolute;left:19709;top:3765;width:7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" strokecolor="windowText">
                  <v:stroke startarrow="open"/>
                </v:shape>
                <v:shape id="Text Box 11" o:spid="_x0000_s1124" type="#_x0000_t202" style="position:absolute;left:20766;top:1650;width:728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1AE89A82" w14:textId="77777777" w:rsidR="0087678E" w:rsidRPr="00D9271F" w:rsidRDefault="0087678E" w:rsidP="005031A0">
                        <w:pPr>
                          <w:pStyle w:val="NormalWeb"/>
                          <w:rPr>
                            <w:sz w:val="18"/>
                          </w:rPr>
                        </w:pPr>
                        <w:r w:rsidRPr="00D9271F">
                          <w:t>Historic</w:t>
                        </w:r>
                        <w:r>
                          <w:t>al</w:t>
                        </w:r>
                      </w:p>
                      <w:p w14:paraId="687C3FA5" w14:textId="77777777" w:rsidR="0087678E" w:rsidRDefault="0087678E" w:rsidP="00561E6C"/>
                    </w:txbxContent>
                  </v:textbox>
                </v:shape>
                <v:shape id="Text Box 11" o:spid="_x0000_s1125" type="#_x0000_t202" style="position:absolute;left:2762;top:12536;width:81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5553F30B" w14:textId="43364431" w:rsidR="0087678E" w:rsidRPr="00490D61" w:rsidRDefault="0087678E" w:rsidP="005031A0">
                        <w:pPr>
                          <w:pStyle w:val="NormalWeb"/>
                        </w:pPr>
                        <w:r w:rsidRPr="00801AF5">
                          <w:rPr>
                            <w:i/>
                            <w:vertAlign w:val="superscript"/>
                          </w:rPr>
                          <w:t>S</w:t>
                        </w:r>
                        <w:r w:rsidRPr="00801AF5">
                          <w:rPr>
                            <w:vertAlign w:val="subscript"/>
                          </w:rPr>
                          <w:t>20</w:t>
                        </w:r>
                        <w:r>
                          <w:rPr>
                            <w:vertAlign w:val="subscript"/>
                          </w:rPr>
                          <w:t>14–15</w:t>
                        </w:r>
                      </w:p>
                      <w:p w14:paraId="109FE2DD" w14:textId="77777777" w:rsidR="0087678E" w:rsidRDefault="0087678E" w:rsidP="00561E6C"/>
                    </w:txbxContent>
                  </v:textbox>
                </v:shape>
                <v:shape id="Text Box 11" o:spid="_x0000_s1126" type="#_x0000_t202" style="position:absolute;left:37011;top:26031;width:3358;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7D542837" w14:textId="77777777" w:rsidR="0087678E" w:rsidRPr="00C034B3" w:rsidRDefault="0087678E" w:rsidP="005031A0">
                        <w:pPr>
                          <w:pStyle w:val="NormalWeb"/>
                          <w:rPr>
                            <w:sz w:val="28"/>
                            <w:vertAlign w:val="superscript"/>
                          </w:rPr>
                        </w:pPr>
                        <w:r w:rsidRPr="00C034B3">
                          <w:rPr>
                            <w:vertAlign w:val="subscript"/>
                          </w:rPr>
                          <w:t>S</w:t>
                        </w:r>
                        <w:r w:rsidRPr="00C034B3">
                          <w:rPr>
                            <w:vertAlign w:val="superscript"/>
                          </w:rPr>
                          <w:t>2</w:t>
                        </w:r>
                      </w:p>
                      <w:p w14:paraId="2097C2E3" w14:textId="77777777" w:rsidR="0087678E" w:rsidRDefault="0087678E" w:rsidP="00561E6C"/>
                    </w:txbxContent>
                  </v:textbox>
                </v:shape>
                <v:shape id="Text Box 11" o:spid="_x0000_s1127" type="#_x0000_t202" style="position:absolute;left:42868;top:25929;width:334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4E498775" w14:textId="77777777" w:rsidR="0087678E" w:rsidRPr="00C034B3" w:rsidRDefault="0087678E" w:rsidP="005031A0">
                        <w:pPr>
                          <w:pStyle w:val="NormalWeb"/>
                          <w:rPr>
                            <w:sz w:val="28"/>
                            <w:vertAlign w:val="superscript"/>
                          </w:rPr>
                        </w:pPr>
                        <w:r w:rsidRPr="00E33EAE">
                          <w:rPr>
                            <w:vertAlign w:val="subscript"/>
                          </w:rPr>
                          <w:t>S</w:t>
                        </w:r>
                        <w:r w:rsidRPr="00C034B3">
                          <w:rPr>
                            <w:vertAlign w:val="superscript"/>
                          </w:rPr>
                          <w:t>3</w:t>
                        </w:r>
                      </w:p>
                      <w:p w14:paraId="75DE73A2" w14:textId="77777777" w:rsidR="0087678E" w:rsidRPr="00490D61" w:rsidRDefault="0087678E" w:rsidP="005031A0">
                        <w:pPr>
                          <w:pStyle w:val="NormalWeb"/>
                          <w:rPr>
                            <w:vertAlign w:val="superscript"/>
                          </w:rPr>
                        </w:pPr>
                      </w:p>
                      <w:p w14:paraId="72070FC6" w14:textId="77777777" w:rsidR="0087678E" w:rsidRDefault="0087678E" w:rsidP="00561E6C"/>
                    </w:txbxContent>
                  </v:textbox>
                </v:shape>
                <v:shape id="Text Box 11" o:spid="_x0000_s1128" type="#_x0000_t202" style="position:absolute;left:212;top:8228;width:329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3D8A2F2B" w14:textId="77777777" w:rsidR="0087678E" w:rsidRPr="008916CD" w:rsidRDefault="0087678E" w:rsidP="005031A0">
                        <w:pPr>
                          <w:pStyle w:val="NormalWeb"/>
                        </w:pPr>
                        <w:r w:rsidRPr="008916CD">
                          <w:rPr>
                            <w:vertAlign w:val="superscript"/>
                          </w:rPr>
                          <w:t>S</w:t>
                        </w:r>
                        <w:r>
                          <w:rPr>
                            <w:vertAlign w:val="subscript"/>
                          </w:rPr>
                          <w:t>X</w:t>
                        </w:r>
                      </w:p>
                      <w:p w14:paraId="79405A30" w14:textId="77777777" w:rsidR="0087678E" w:rsidRDefault="0087678E" w:rsidP="00561E6C"/>
                    </w:txbxContent>
                  </v:textbox>
                </v:shape>
                <v:shape id="Text Box 11" o:spid="_x0000_s1129" type="#_x0000_t202" style="position:absolute;left:2019;top:8488;width:1943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497841D4" w14:textId="77777777" w:rsidR="0087678E" w:rsidRPr="005031A0" w:rsidRDefault="0087678E" w:rsidP="005031A0">
                        <w:pPr>
                          <w:pStyle w:val="NormalWeb"/>
                        </w:pPr>
                        <w:r w:rsidRPr="005031A0">
                          <w:t>Scaling factor required to equalise model costs with actual costs</w:t>
                        </w:r>
                      </w:p>
                      <w:p w14:paraId="25824838" w14:textId="77777777" w:rsidR="0087678E" w:rsidRDefault="0087678E" w:rsidP="00561E6C"/>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1" o:spid="_x0000_s1130" type="#_x0000_t87" style="position:absolute;left:14647;top:18998;width:2726;height:22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" adj="221" strokecolor="windowText"/>
                <v:shape id="Left Brace 132" o:spid="_x0000_s1131" type="#_x0000_t87" style="position:absolute;left:36529;top:23236;width:2724;height:137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" adj="358" strokecolor="windowText">
                  <v:textbox>
                    <w:txbxContent>
                      <w:p w14:paraId="720D7AC8" w14:textId="77777777" w:rsidR="0087678E" w:rsidRDefault="0087678E" w:rsidP="00561E6C"/>
                      <w:p w14:paraId="0A2C3056" w14:textId="77777777" w:rsidR="0087678E" w:rsidRDefault="0087678E" w:rsidP="00561E6C"/>
                    </w:txbxContent>
                  </v:textbox>
                </v:shape>
                <v:shape id="Text Box 11" o:spid="_x0000_s1132" type="#_x0000_t202" style="position:absolute;left:8870;top:30968;width:1423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2EA8322F" w14:textId="77777777" w:rsidR="0087678E" w:rsidRPr="008916CD" w:rsidRDefault="0087678E" w:rsidP="005031A0">
                        <w:pPr>
                          <w:pStyle w:val="NormalWeb"/>
                        </w:pPr>
                        <w:r w:rsidRPr="008916CD">
                          <w:t>Time series</w:t>
                        </w:r>
                      </w:p>
                      <w:p w14:paraId="059A1403" w14:textId="77777777" w:rsidR="0087678E" w:rsidRDefault="0087678E" w:rsidP="00561E6C"/>
                    </w:txbxContent>
                  </v:textbox>
                </v:shape>
                <v:shape id="Text Box 11" o:spid="_x0000_s1133" type="#_x0000_t202" style="position:absolute;left:30811;top:31075;width:1418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7617252A" w14:textId="77777777" w:rsidR="0087678E" w:rsidRPr="008916CD" w:rsidRDefault="0087678E" w:rsidP="005031A0">
                        <w:pPr>
                          <w:pStyle w:val="NormalWeb"/>
                        </w:pPr>
                        <w:r w:rsidRPr="008916CD">
                          <w:t>Projection of time series</w:t>
                        </w:r>
                      </w:p>
                      <w:p w14:paraId="70F9A3F5" w14:textId="77777777" w:rsidR="0087678E" w:rsidRDefault="0087678E" w:rsidP="00561E6C"/>
                    </w:txbxContent>
                  </v:textbox>
                </v:shape>
                <w10:wrap type="tight"/>
              </v:group>
            </w:pict>
          </mc:Fallback>
        </mc:AlternateContent>
      </w:r>
    </w:p>
    <w:p w14:paraId="0A26F096" w14:textId="77777777" w:rsidR="00561E6C" w:rsidRPr="00704036" w:rsidRDefault="00561E6C" w:rsidP="00561E6C">
      <w:pPr>
        <w:spacing w:before="240" w:after="200" w:line="240" w:lineRule="auto"/>
        <w:rPr>
          <w:rFonts w:eastAsia="Calibri" w:cs="Arial"/>
        </w:rPr>
      </w:pPr>
      <w:r w:rsidRPr="00704036">
        <w:rPr>
          <w:rFonts w:eastAsia="Calibri" w:cs="Arial"/>
        </w:rPr>
        <w:lastRenderedPageBreak/>
        <w:t>Denoting the historical total actual costs of the activity by</w:t>
      </w:r>
      <w:r>
        <w:rPr>
          <w:rFonts w:eastAsia="Calibri" w:cs="Arial"/>
        </w:rPr>
        <w:t>:</w:t>
      </w:r>
    </w:p>
    <w:p w14:paraId="12E86E88" w14:textId="4D2D821D" w:rsidR="00561E6C" w:rsidRDefault="001375CD" w:rsidP="00561E6C">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C</m:t>
            </m:r>
          </m:e>
          <m:sub>
            <m:r>
              <w:rPr>
                <w:rFonts w:ascii="Cambria Math" w:eastAsia="Calibri" w:hAnsi="Cambria Math" w:cstheme="minorHAnsi"/>
              </w:rPr>
              <m:t>2014-15</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C</m:t>
            </m:r>
          </m:e>
          <m:sub>
            <m:r>
              <w:rPr>
                <w:rFonts w:ascii="Cambria Math" w:eastAsia="Calibri" w:hAnsi="Cambria Math" w:cstheme="minorHAnsi"/>
              </w:rPr>
              <m:t>2019-20</m:t>
            </m:r>
          </m:sub>
        </m:sSub>
      </m:oMath>
      <w:r w:rsidR="00561E6C">
        <w:rPr>
          <w:rFonts w:eastAsia="Calibri" w:cstheme="minorHAnsi"/>
        </w:rPr>
        <w:t>,</w:t>
      </w:r>
    </w:p>
    <w:p w14:paraId="79E5082E" w14:textId="27BDB281" w:rsidR="00561E6C" w:rsidRPr="00704036" w:rsidRDefault="00561E6C" w:rsidP="00561E6C">
      <w:pPr>
        <w:spacing w:before="100" w:beforeAutospacing="1" w:after="100" w:afterAutospacing="1" w:line="240" w:lineRule="auto"/>
        <w:rPr>
          <w:rFonts w:eastAsia="Calibri" w:cs="Arial"/>
        </w:rPr>
      </w:pPr>
      <w:r>
        <w:rPr>
          <w:rFonts w:eastAsia="Calibri" w:cs="Arial"/>
        </w:rPr>
        <w:t>A</w:t>
      </w:r>
      <w:r w:rsidRPr="00704036">
        <w:rPr>
          <w:rFonts w:eastAsia="Calibri" w:cs="Arial"/>
        </w:rPr>
        <w:t xml:space="preserve">nd denoting the total model costs associated with the </w:t>
      </w:r>
      <w:r>
        <w:rPr>
          <w:rFonts w:eastAsia="Calibri" w:cs="Arial"/>
        </w:rPr>
        <w:t>201</w:t>
      </w:r>
      <w:r w:rsidR="009275C1">
        <w:rPr>
          <w:rFonts w:eastAsia="Calibri" w:cs="Arial"/>
        </w:rPr>
        <w:t>9</w:t>
      </w:r>
      <w:r>
        <w:rPr>
          <w:rFonts w:eastAsia="Calibri" w:cs="Arial"/>
        </w:rPr>
        <w:t>–</w:t>
      </w:r>
      <w:r w:rsidR="00C34F7B">
        <w:rPr>
          <w:rFonts w:eastAsia="Calibri" w:cs="Arial"/>
        </w:rPr>
        <w:t>20</w:t>
      </w:r>
      <w:r w:rsidRPr="00704036">
        <w:rPr>
          <w:rFonts w:eastAsia="Calibri" w:cs="Arial"/>
        </w:rPr>
        <w:t xml:space="preserve"> cost model applied to each year’s costed activity by</w:t>
      </w:r>
      <w:r>
        <w:rPr>
          <w:rFonts w:eastAsia="Calibri" w:cs="Arial"/>
        </w:rPr>
        <w:t>:</w:t>
      </w:r>
    </w:p>
    <w:p w14:paraId="6277D66D" w14:textId="09BEAE63" w:rsidR="00561E6C" w:rsidRDefault="001375CD" w:rsidP="00561E6C">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M</m:t>
            </m:r>
          </m:e>
          <m:sub>
            <m:r>
              <w:rPr>
                <w:rFonts w:ascii="Cambria Math" w:eastAsia="Calibri" w:hAnsi="Cambria Math" w:cstheme="minorHAnsi"/>
              </w:rPr>
              <m:t>2014-15</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M</m:t>
            </m:r>
          </m:e>
          <m:sub>
            <m:r>
              <w:rPr>
                <w:rFonts w:ascii="Cambria Math" w:eastAsia="Calibri" w:hAnsi="Cambria Math" w:cstheme="minorHAnsi"/>
              </w:rPr>
              <m:t>2019-20</m:t>
            </m:r>
          </m:sub>
        </m:sSub>
      </m:oMath>
      <w:r w:rsidR="00561E6C">
        <w:rPr>
          <w:rFonts w:eastAsia="Calibri" w:cstheme="minorHAnsi"/>
        </w:rPr>
        <w:t>,</w:t>
      </w:r>
    </w:p>
    <w:p w14:paraId="2A6A0E68" w14:textId="77777777" w:rsidR="00561E6C" w:rsidRPr="00704036" w:rsidRDefault="00561E6C" w:rsidP="00561E6C">
      <w:pPr>
        <w:spacing w:before="100" w:beforeAutospacing="1" w:after="100" w:afterAutospacing="1" w:line="240" w:lineRule="auto"/>
        <w:rPr>
          <w:rFonts w:eastAsia="Calibri" w:cs="Arial"/>
        </w:rPr>
      </w:pPr>
      <w:r>
        <w:rPr>
          <w:rFonts w:eastAsia="Calibri" w:cs="Arial"/>
        </w:rPr>
        <w:t>E</w:t>
      </w:r>
      <w:r w:rsidRPr="00704036">
        <w:rPr>
          <w:rFonts w:eastAsia="Calibri" w:cs="Arial"/>
        </w:rPr>
        <w:t xml:space="preserve">ach year’s scaling factor </w:t>
      </w:r>
      <w:r>
        <w:rPr>
          <w:rFonts w:eastAsia="Calibri" w:cs="Arial"/>
        </w:rPr>
        <w:t>s</w:t>
      </w:r>
      <w:r w:rsidRPr="00704036">
        <w:rPr>
          <w:rFonts w:eastAsia="Calibri" w:cs="Arial"/>
          <w:i/>
          <w:vertAlign w:val="subscript"/>
        </w:rPr>
        <w:t>x</w:t>
      </w:r>
      <w:r w:rsidRPr="00704036">
        <w:rPr>
          <w:rFonts w:eastAsia="Calibri" w:cs="Arial"/>
        </w:rPr>
        <w:t xml:space="preserve"> is given by</w:t>
      </w:r>
      <w:r>
        <w:rPr>
          <w:rFonts w:eastAsia="Calibri" w:cs="Arial"/>
        </w:rPr>
        <w:t>:</w:t>
      </w:r>
    </w:p>
    <w:p w14:paraId="41B77A75" w14:textId="77777777" w:rsidR="00561E6C" w:rsidRPr="00BD4DD8" w:rsidRDefault="001375CD" w:rsidP="00561E6C">
      <w:pPr>
        <w:spacing w:before="100" w:beforeAutospacing="1" w:after="100" w:afterAutospacing="1" w:line="240" w:lineRule="auto"/>
        <w:jc w:val="center"/>
        <w:rPr>
          <w:rFonts w:eastAsia="Calibri" w:cs="Arial"/>
        </w:rPr>
      </w:pPr>
      <m:oMathPara>
        <m:oMath>
          <m:sSub>
            <m:sSubPr>
              <m:ctrlPr>
                <w:rPr>
                  <w:rFonts w:ascii="Cambria Math" w:eastAsia="Calibri" w:hAnsi="Cambria Math" w:cs="Arial"/>
                  <w:i/>
                </w:rPr>
              </m:ctrlPr>
            </m:sSubPr>
            <m:e>
              <m:r>
                <w:rPr>
                  <w:rFonts w:ascii="Cambria Math" w:eastAsia="Calibri" w:hAnsi="Cambria Math" w:cs="Arial"/>
                </w:rPr>
                <m:t>S</m:t>
              </m:r>
            </m:e>
            <m:sub>
              <m:r>
                <w:rPr>
                  <w:rFonts w:ascii="Cambria Math" w:eastAsia="Calibri" w:hAnsi="Cambria Math" w:cs="Arial"/>
                </w:rPr>
                <m:t>x</m:t>
              </m:r>
            </m:sub>
          </m:sSub>
          <m:r>
            <w:rPr>
              <w:rFonts w:ascii="Cambria Math" w:eastAsia="Calibri" w:hAnsi="Cambria Math" w:cs="Arial"/>
            </w:rPr>
            <m:t xml:space="preserve"> = </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x</m:t>
              </m:r>
            </m:sub>
          </m:sSub>
          <m:r>
            <w:rPr>
              <w:rFonts w:ascii="Cambria Math" w:eastAsia="Calibri" w:hAnsi="Cambria Math" w:cs="Arial"/>
              <w:vertAlign w:val="subscript"/>
            </w:rPr>
            <m:t xml:space="preserve"> </m:t>
          </m:r>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x</m:t>
              </m:r>
            </m:sub>
          </m:sSub>
        </m:oMath>
      </m:oMathPara>
    </w:p>
    <w:p w14:paraId="36E1A9B4"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This ratio is referred to as the </w:t>
      </w:r>
      <w:r>
        <w:rPr>
          <w:rFonts w:eastAsia="Calibri" w:cs="Arial"/>
        </w:rPr>
        <w:t>‘</w:t>
      </w:r>
      <w:r w:rsidRPr="00EC1F9C">
        <w:rPr>
          <w:rFonts w:eastAsia="Calibri" w:cs="Arial"/>
        </w:rPr>
        <w:t>cost ratio’</w:t>
      </w:r>
      <w:r w:rsidRPr="00704036">
        <w:rPr>
          <w:rFonts w:eastAsia="Calibri" w:cs="Arial"/>
        </w:rPr>
        <w:t>.</w:t>
      </w:r>
    </w:p>
    <w:p w14:paraId="0A383802" w14:textId="36EAC236"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It is worth noting that multiplying each year’s cost ratio by the </w:t>
      </w:r>
      <w:r w:rsidR="0052142D">
        <w:rPr>
          <w:rFonts w:eastAsia="Calibri" w:cs="Arial"/>
        </w:rPr>
        <w:t>2019</w:t>
      </w:r>
      <w:r>
        <w:rPr>
          <w:rFonts w:eastAsia="Calibri" w:cs="Arial"/>
        </w:rPr>
        <w:t>–</w:t>
      </w:r>
      <w:r w:rsidR="0052142D">
        <w:rPr>
          <w:rFonts w:eastAsia="Calibri" w:cs="Arial"/>
        </w:rPr>
        <w:t>20</w:t>
      </w:r>
      <w:r w:rsidR="0052142D" w:rsidRPr="00704036">
        <w:rPr>
          <w:rFonts w:eastAsia="Calibri" w:cs="Arial"/>
        </w:rPr>
        <w:t xml:space="preserve"> </w:t>
      </w:r>
      <w:r w:rsidRPr="00704036">
        <w:rPr>
          <w:rFonts w:eastAsia="Calibri" w:cs="Arial"/>
        </w:rPr>
        <w:t xml:space="preserve">reference cost of </w:t>
      </w:r>
      <w:r w:rsidRPr="00D55148">
        <w:rPr>
          <w:rFonts w:eastAsia="Calibri" w:cs="Arial"/>
        </w:rPr>
        <w:t>$</w:t>
      </w:r>
      <w:r w:rsidR="00A470C6">
        <w:rPr>
          <w:rFonts w:eastAsia="Calibri" w:cs="Arial"/>
        </w:rPr>
        <w:t>5,</w:t>
      </w:r>
      <w:r w:rsidR="001C1EF5">
        <w:rPr>
          <w:rFonts w:eastAsia="Calibri" w:cs="Arial"/>
        </w:rPr>
        <w:t>307</w:t>
      </w:r>
      <w:r w:rsidR="001C1EF5" w:rsidRPr="00704036">
        <w:rPr>
          <w:rFonts w:eastAsia="Calibri" w:cs="Arial"/>
        </w:rPr>
        <w:t xml:space="preserve"> </w:t>
      </w:r>
      <w:r w:rsidRPr="00704036">
        <w:rPr>
          <w:rFonts w:eastAsia="Calibri" w:cs="Arial"/>
        </w:rPr>
        <w:t>converts the {</w:t>
      </w:r>
      <w:r w:rsidRPr="00704036">
        <w:rPr>
          <w:rFonts w:eastAsia="Calibri" w:cs="Arial"/>
          <w:i/>
        </w:rPr>
        <w:t>s</w:t>
      </w:r>
      <w:r w:rsidRPr="00704036">
        <w:rPr>
          <w:rFonts w:eastAsia="Calibri" w:cs="Arial"/>
          <w:i/>
          <w:vertAlign w:val="subscript"/>
        </w:rPr>
        <w:t>x</w:t>
      </w:r>
      <w:r w:rsidRPr="00704036">
        <w:rPr>
          <w:rFonts w:eastAsia="Calibri" w:cs="Arial"/>
        </w:rPr>
        <w:t xml:space="preserve">} time series to the time series of costs per weighted separation, where the weighted separations are determined by </w:t>
      </w:r>
      <w:r w:rsidR="0052142D">
        <w:rPr>
          <w:rFonts w:eastAsia="Calibri" w:cs="Arial"/>
        </w:rPr>
        <w:t>2019</w:t>
      </w:r>
      <w:r>
        <w:rPr>
          <w:rFonts w:eastAsia="Calibri" w:cs="Arial"/>
        </w:rPr>
        <w:t>–</w:t>
      </w:r>
      <w:r w:rsidR="0052142D">
        <w:rPr>
          <w:rFonts w:eastAsia="Calibri" w:cs="Arial"/>
        </w:rPr>
        <w:t>20</w:t>
      </w:r>
      <w:r w:rsidR="0052142D" w:rsidRPr="00704036">
        <w:rPr>
          <w:rFonts w:eastAsia="Calibri" w:cs="Arial"/>
        </w:rPr>
        <w:t xml:space="preserve"> </w:t>
      </w:r>
      <w:r w:rsidRPr="00704036">
        <w:rPr>
          <w:rFonts w:eastAsia="Calibri" w:cs="Arial"/>
        </w:rPr>
        <w:t>cost weight model.</w:t>
      </w:r>
    </w:p>
    <w:p w14:paraId="29C9617F"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A crucial requirement of the cost ratio time series is comparability over time. One way to ensure this occurs is to restrict the data on which the ratios are calculated to the set of establishments for which data is present across all five years</w:t>
      </w:r>
      <w:r>
        <w:rPr>
          <w:rFonts w:eastAsia="Calibri" w:cs="Arial"/>
        </w:rPr>
        <w:t xml:space="preserve"> (</w:t>
      </w:r>
      <w:r w:rsidRPr="00704036">
        <w:rPr>
          <w:rFonts w:eastAsia="Calibri" w:cs="Arial"/>
        </w:rPr>
        <w:t>that is, to ensure that all five ratios are calculated across a common set of establishments</w:t>
      </w:r>
      <w:r>
        <w:rPr>
          <w:rFonts w:eastAsia="Calibri" w:cs="Arial"/>
        </w:rPr>
        <w:t>)</w:t>
      </w:r>
      <w:r w:rsidRPr="00704036">
        <w:rPr>
          <w:rFonts w:eastAsia="Calibri" w:cs="Arial"/>
        </w:rPr>
        <w:t>. While this approach ensures comparability over time, it places significant restrictions on the sample of data.</w:t>
      </w:r>
    </w:p>
    <w:p w14:paraId="2DAE0487" w14:textId="37CA9EAE" w:rsidR="00561E6C" w:rsidRDefault="00561E6C" w:rsidP="00561E6C">
      <w:pPr>
        <w:spacing w:before="100" w:beforeAutospacing="1" w:after="100" w:afterAutospacing="1" w:line="240" w:lineRule="auto"/>
        <w:rPr>
          <w:rFonts w:eastAsia="Calibri" w:cs="Arial"/>
        </w:rPr>
      </w:pPr>
      <w:r w:rsidRPr="00704036">
        <w:rPr>
          <w:rFonts w:eastAsia="Calibri" w:cs="Arial"/>
        </w:rPr>
        <w:t xml:space="preserve">Instead, an alternate method is used that greatly increases the data sample while maintaining comparability of the ratios over time. This method relies on the fact that any time series of ratios can be equivalently represented as the time series of year to year changes in ratios together with a single value of the time series (in this case, the </w:t>
      </w:r>
      <w:r w:rsidR="004D1F0B">
        <w:rPr>
          <w:rFonts w:eastAsia="Calibri" w:cs="Arial"/>
        </w:rPr>
        <w:t>2018</w:t>
      </w:r>
      <w:r>
        <w:rPr>
          <w:rFonts w:eastAsia="Calibri" w:cs="Arial"/>
        </w:rPr>
        <w:t>–</w:t>
      </w:r>
      <w:r w:rsidR="004D1F0B">
        <w:rPr>
          <w:rFonts w:eastAsia="Calibri" w:cs="Arial"/>
        </w:rPr>
        <w:t xml:space="preserve">19 </w:t>
      </w:r>
      <w:r>
        <w:rPr>
          <w:rFonts w:eastAsia="Calibri" w:cs="Arial"/>
        </w:rPr>
        <w:t xml:space="preserve">to </w:t>
      </w:r>
      <w:r w:rsidR="004D1F0B">
        <w:rPr>
          <w:rFonts w:eastAsia="Calibri" w:cs="Arial"/>
        </w:rPr>
        <w:t>2019</w:t>
      </w:r>
      <w:r>
        <w:rPr>
          <w:rFonts w:eastAsia="Calibri" w:cs="Arial"/>
        </w:rPr>
        <w:t>–</w:t>
      </w:r>
      <w:r w:rsidR="004D1F0B">
        <w:rPr>
          <w:rFonts w:eastAsia="Calibri" w:cs="Arial"/>
        </w:rPr>
        <w:t xml:space="preserve">20 </w:t>
      </w:r>
      <w:r>
        <w:rPr>
          <w:rFonts w:eastAsia="Calibri" w:cs="Arial"/>
        </w:rPr>
        <w:t xml:space="preserve">change in </w:t>
      </w:r>
      <w:r w:rsidRPr="00704036">
        <w:rPr>
          <w:rFonts w:eastAsia="Calibri" w:cs="Arial"/>
        </w:rPr>
        <w:t xml:space="preserve">cost ratio </w:t>
      </w:r>
      <w:r w:rsidRPr="00801AF5">
        <w:rPr>
          <w:rFonts w:eastAsia="Calibri" w:cs="Arial"/>
        </w:rPr>
        <w:t xml:space="preserve">of </w:t>
      </w:r>
      <w:r w:rsidR="003B55EA">
        <w:rPr>
          <w:rFonts w:eastAsia="Calibri" w:cs="Arial"/>
        </w:rPr>
        <w:t>2</w:t>
      </w:r>
      <w:r w:rsidR="00917CB6" w:rsidRPr="002D4A0B">
        <w:rPr>
          <w:rFonts w:eastAsia="Calibri" w:cs="Arial"/>
        </w:rPr>
        <w:t>.</w:t>
      </w:r>
      <w:r w:rsidR="00F857B0">
        <w:rPr>
          <w:rFonts w:eastAsia="Calibri" w:cs="Arial"/>
        </w:rPr>
        <w:t>6</w:t>
      </w:r>
      <w:r w:rsidR="00F857B0" w:rsidRPr="002D4A0B">
        <w:rPr>
          <w:rFonts w:eastAsia="Calibri" w:cs="Arial"/>
        </w:rPr>
        <w:t> </w:t>
      </w:r>
      <w:r w:rsidRPr="002D4A0B">
        <w:rPr>
          <w:rFonts w:eastAsia="Calibri" w:cs="Arial"/>
        </w:rPr>
        <w:t>per cent</w:t>
      </w:r>
      <w:r w:rsidRPr="003053EC">
        <w:rPr>
          <w:rFonts w:eastAsia="Calibri" w:cs="Arial"/>
        </w:rPr>
        <w:t>).</w:t>
      </w:r>
      <w:r w:rsidRPr="00704036">
        <w:rPr>
          <w:rFonts w:eastAsia="Calibri" w:cs="Arial"/>
        </w:rPr>
        <w:t xml:space="preserve"> This method only requires that each year</w:t>
      </w:r>
      <w:r>
        <w:rPr>
          <w:rFonts w:eastAsia="Calibri" w:cs="Arial"/>
        </w:rPr>
        <w:t>-</w:t>
      </w:r>
      <w:r w:rsidRPr="00704036">
        <w:rPr>
          <w:rFonts w:eastAsia="Calibri" w:cs="Arial"/>
        </w:rPr>
        <w:t>to</w:t>
      </w:r>
      <w:r>
        <w:rPr>
          <w:rFonts w:eastAsia="Calibri" w:cs="Arial"/>
        </w:rPr>
        <w:t>-</w:t>
      </w:r>
      <w:r w:rsidRPr="00704036">
        <w:rPr>
          <w:rFonts w:eastAsia="Calibri" w:cs="Arial"/>
        </w:rPr>
        <w:t>year comparison uses a common set of establishments (rather than requiring the establishments to be common across all five years).</w:t>
      </w:r>
    </w:p>
    <w:p w14:paraId="07F07C26" w14:textId="4A3803B1" w:rsidR="00561E6C" w:rsidRPr="00704036" w:rsidRDefault="00561E6C" w:rsidP="00561E6C">
      <w:pPr>
        <w:spacing w:before="100" w:beforeAutospacing="1" w:after="100" w:afterAutospacing="1" w:line="240" w:lineRule="auto"/>
        <w:rPr>
          <w:rFonts w:eastAsia="Calibri" w:cs="Arial"/>
        </w:rPr>
      </w:pPr>
      <w:r>
        <w:rPr>
          <w:rFonts w:eastAsia="Calibri" w:cs="Arial"/>
        </w:rPr>
        <w:t xml:space="preserve">The indexation rate relies on the </w:t>
      </w:r>
      <w:r w:rsidR="004D1F0B">
        <w:rPr>
          <w:rFonts w:eastAsia="Calibri" w:cs="Arial"/>
        </w:rPr>
        <w:t>2019</w:t>
      </w:r>
      <w:r>
        <w:rPr>
          <w:rFonts w:eastAsia="Calibri" w:cs="Arial"/>
        </w:rPr>
        <w:t>–</w:t>
      </w:r>
      <w:r w:rsidR="004D1F0B">
        <w:rPr>
          <w:rFonts w:eastAsia="Calibri" w:cs="Arial"/>
        </w:rPr>
        <w:t xml:space="preserve">20 </w:t>
      </w:r>
      <w:r>
        <w:rPr>
          <w:rFonts w:eastAsia="Calibri" w:cs="Arial"/>
        </w:rPr>
        <w:t xml:space="preserve">admitted acute cost model only, which is based on AR-DRG Version 10.0. </w:t>
      </w:r>
    </w:p>
    <w:p w14:paraId="2FD76DC3" w14:textId="3FFF85A6" w:rsidR="00561E6C" w:rsidRPr="00704036" w:rsidRDefault="00561E6C" w:rsidP="00561E6C">
      <w:pPr>
        <w:spacing w:before="100" w:beforeAutospacing="1" w:after="100" w:afterAutospacing="1" w:line="240" w:lineRule="auto"/>
        <w:rPr>
          <w:rFonts w:eastAsia="Calibri" w:cs="Arial"/>
        </w:rPr>
      </w:pPr>
      <w:r w:rsidRPr="002D606E">
        <w:t xml:space="preserve">Table </w:t>
      </w:r>
      <w:r w:rsidRPr="002D606E">
        <w:rPr>
          <w:noProof/>
        </w:rPr>
        <w:t>1</w:t>
      </w:r>
      <w:r w:rsidR="00302145">
        <w:rPr>
          <w:noProof/>
        </w:rPr>
        <w:t>8</w:t>
      </w:r>
      <w:r w:rsidRPr="00542CD9">
        <w:rPr>
          <w:rFonts w:eastAsia="Calibri" w:cs="Arial"/>
        </w:rPr>
        <w:t xml:space="preserve"> shows the year-to-year changes in cost ratio</w:t>
      </w:r>
      <w:r>
        <w:rPr>
          <w:rFonts w:eastAsia="Calibri" w:cs="Arial"/>
        </w:rPr>
        <w:t>,</w:t>
      </w:r>
      <w:r w:rsidRPr="00542CD9">
        <w:rPr>
          <w:rFonts w:eastAsia="Calibri" w:cs="Arial"/>
        </w:rPr>
        <w:t xml:space="preserve"> calculated by applying the </w:t>
      </w:r>
      <w:r w:rsidR="004D1F0B">
        <w:rPr>
          <w:rFonts w:eastAsia="Calibri" w:cs="Arial"/>
        </w:rPr>
        <w:t>2019</w:t>
      </w:r>
      <w:r>
        <w:rPr>
          <w:rFonts w:eastAsia="Calibri" w:cs="Arial"/>
        </w:rPr>
        <w:t>–</w:t>
      </w:r>
      <w:r w:rsidR="004D1F0B">
        <w:rPr>
          <w:rFonts w:eastAsia="Calibri" w:cs="Arial"/>
        </w:rPr>
        <w:t>20</w:t>
      </w:r>
      <w:r w:rsidR="004D1F0B" w:rsidRPr="00542CD9">
        <w:rPr>
          <w:rFonts w:eastAsia="Calibri" w:cs="Arial"/>
        </w:rPr>
        <w:t xml:space="preserve"> </w:t>
      </w:r>
      <w:r w:rsidRPr="00542CD9">
        <w:rPr>
          <w:rFonts w:eastAsia="Calibri" w:cs="Arial"/>
        </w:rPr>
        <w:t>cost</w:t>
      </w:r>
      <w:r w:rsidRPr="00704036">
        <w:rPr>
          <w:rFonts w:eastAsia="Calibri" w:cs="Arial"/>
        </w:rPr>
        <w:t xml:space="preserve"> model to pairs of consecutive years’ cost data, ensuring a common set of establishments are present in each pairwise comparison.</w:t>
      </w:r>
    </w:p>
    <w:p w14:paraId="769A8EE7" w14:textId="77777777" w:rsidR="00561E6C" w:rsidRPr="003331A3" w:rsidRDefault="00561E6C" w:rsidP="00836FC5">
      <w:pPr>
        <w:pStyle w:val="TableHeading"/>
      </w:pPr>
      <w:r w:rsidRPr="003331A3">
        <w:t xml:space="preserve">Table </w:t>
      </w:r>
      <w:r w:rsidR="00176BB4">
        <w:rPr>
          <w:noProof/>
        </w:rPr>
        <w:t>1</w:t>
      </w:r>
      <w:r w:rsidR="00302145">
        <w:rPr>
          <w:noProof/>
        </w:rPr>
        <w:t>8</w:t>
      </w:r>
      <w:r w:rsidRPr="003331A3">
        <w:t>: Year-to-year changes in cost ratio</w:t>
      </w:r>
    </w:p>
    <w:tbl>
      <w:tblPr>
        <w:tblStyle w:val="TableGrid1"/>
        <w:tblW w:w="7746" w:type="dxa"/>
        <w:tblLook w:val="04A0" w:firstRow="1" w:lastRow="0" w:firstColumn="1" w:lastColumn="0" w:noHBand="0" w:noVBand="1"/>
        <w:tblCaption w:val="Table 17: Year-to-year changes in cost ratio."/>
        <w:tblDescription w:val="A summary of table 17 is outlined in the text prior to this table. "/>
      </w:tblPr>
      <w:tblGrid>
        <w:gridCol w:w="1604"/>
        <w:gridCol w:w="1540"/>
        <w:gridCol w:w="1535"/>
        <w:gridCol w:w="1535"/>
        <w:gridCol w:w="1532"/>
      </w:tblGrid>
      <w:tr w:rsidR="00917CB6" w:rsidRPr="00163EB6" w14:paraId="33F29FAA" w14:textId="77777777" w:rsidTr="00412FC7">
        <w:trPr>
          <w:tblHeader/>
        </w:trPr>
        <w:tc>
          <w:tcPr>
            <w:tcW w:w="1604" w:type="dxa"/>
            <w:shd w:val="clear" w:color="auto" w:fill="288A32"/>
          </w:tcPr>
          <w:p w14:paraId="2269358C" w14:textId="72F3735E" w:rsidR="00917CB6" w:rsidRPr="00C213C1" w:rsidRDefault="000E4744" w:rsidP="00961168">
            <w:pPr>
              <w:spacing w:line="240" w:lineRule="auto"/>
              <w:rPr>
                <w:rFonts w:eastAsia="Times New Roman" w:cs="Arial"/>
                <w:b/>
                <w:color w:val="FFFFFF" w:themeColor="background1"/>
                <w:sz w:val="20"/>
                <w:szCs w:val="20"/>
                <w:lang w:eastAsia="en-AU"/>
              </w:rPr>
            </w:pPr>
            <w:r w:rsidRPr="007F5279">
              <w:rPr>
                <w:b/>
                <w:bCs/>
                <w:color w:val="FFFFFF" w:themeColor="background1"/>
                <w:sz w:val="20"/>
                <w:szCs w:val="20"/>
              </w:rPr>
              <w:t>2014</w:t>
            </w:r>
            <w:r w:rsidR="007F5279">
              <w:rPr>
                <w:b/>
                <w:bCs/>
                <w:color w:val="FFFFFF" w:themeColor="background1"/>
                <w:sz w:val="20"/>
                <w:szCs w:val="20"/>
              </w:rPr>
              <w:t>–</w:t>
            </w:r>
            <w:r w:rsidRPr="007F5279">
              <w:rPr>
                <w:b/>
                <w:bCs/>
                <w:color w:val="FFFFFF" w:themeColor="background1"/>
                <w:sz w:val="20"/>
                <w:szCs w:val="20"/>
              </w:rPr>
              <w:t>15 to 2015</w:t>
            </w:r>
            <w:r w:rsidR="007F5279">
              <w:rPr>
                <w:b/>
                <w:bCs/>
                <w:color w:val="FFFFFF" w:themeColor="background1"/>
                <w:sz w:val="20"/>
                <w:szCs w:val="20"/>
              </w:rPr>
              <w:t>–</w:t>
            </w:r>
            <w:r w:rsidRPr="007F5279">
              <w:rPr>
                <w:b/>
                <w:bCs/>
                <w:color w:val="FFFFFF" w:themeColor="background1"/>
                <w:sz w:val="20"/>
                <w:szCs w:val="20"/>
              </w:rPr>
              <w:t>16</w:t>
            </w:r>
          </w:p>
        </w:tc>
        <w:tc>
          <w:tcPr>
            <w:tcW w:w="1540" w:type="dxa"/>
            <w:shd w:val="clear" w:color="auto" w:fill="288A32"/>
          </w:tcPr>
          <w:p w14:paraId="3937F8A1" w14:textId="01FD0026" w:rsidR="00917CB6" w:rsidRPr="00C213C1" w:rsidRDefault="000E4744" w:rsidP="00961168">
            <w:pPr>
              <w:spacing w:line="240" w:lineRule="auto"/>
              <w:rPr>
                <w:rFonts w:cs="Arial"/>
                <w:b/>
                <w:color w:val="FFFFFF" w:themeColor="background1"/>
                <w:sz w:val="20"/>
                <w:szCs w:val="20"/>
              </w:rPr>
            </w:pPr>
            <w:r w:rsidRPr="007F5279">
              <w:rPr>
                <w:b/>
                <w:bCs/>
                <w:color w:val="FFFFFF" w:themeColor="background1"/>
                <w:sz w:val="20"/>
                <w:szCs w:val="20"/>
              </w:rPr>
              <w:t>2015</w:t>
            </w:r>
            <w:r w:rsidR="007F5279">
              <w:rPr>
                <w:b/>
                <w:bCs/>
                <w:color w:val="FFFFFF" w:themeColor="background1"/>
                <w:sz w:val="20"/>
                <w:szCs w:val="20"/>
              </w:rPr>
              <w:t>–</w:t>
            </w:r>
            <w:r w:rsidRPr="007F5279">
              <w:rPr>
                <w:b/>
                <w:bCs/>
                <w:color w:val="FFFFFF" w:themeColor="background1"/>
                <w:sz w:val="20"/>
                <w:szCs w:val="20"/>
              </w:rPr>
              <w:t>16 to 2016</w:t>
            </w:r>
            <w:r w:rsidR="007F5279">
              <w:rPr>
                <w:b/>
                <w:bCs/>
                <w:color w:val="FFFFFF" w:themeColor="background1"/>
                <w:sz w:val="20"/>
                <w:szCs w:val="20"/>
              </w:rPr>
              <w:t>–</w:t>
            </w:r>
            <w:r w:rsidRPr="007F5279">
              <w:rPr>
                <w:b/>
                <w:bCs/>
                <w:color w:val="FFFFFF" w:themeColor="background1"/>
                <w:sz w:val="20"/>
                <w:szCs w:val="20"/>
              </w:rPr>
              <w:t>17</w:t>
            </w:r>
          </w:p>
        </w:tc>
        <w:tc>
          <w:tcPr>
            <w:tcW w:w="1535" w:type="dxa"/>
            <w:shd w:val="clear" w:color="auto" w:fill="288A32"/>
          </w:tcPr>
          <w:p w14:paraId="3349F7E1" w14:textId="3ED9232B" w:rsidR="00917CB6" w:rsidRPr="00C213C1" w:rsidDel="00FA23C5" w:rsidRDefault="000E4744" w:rsidP="00961168">
            <w:pPr>
              <w:spacing w:line="240" w:lineRule="auto"/>
              <w:rPr>
                <w:rFonts w:cs="Arial"/>
                <w:b/>
                <w:color w:val="FFFFFF" w:themeColor="background1"/>
                <w:sz w:val="20"/>
                <w:szCs w:val="20"/>
              </w:rPr>
            </w:pPr>
            <w:r w:rsidRPr="007F5279">
              <w:rPr>
                <w:b/>
                <w:bCs/>
                <w:color w:val="FFFFFF" w:themeColor="background1"/>
                <w:sz w:val="20"/>
                <w:szCs w:val="20"/>
              </w:rPr>
              <w:t>2016</w:t>
            </w:r>
            <w:r w:rsidR="007F5279">
              <w:rPr>
                <w:b/>
                <w:bCs/>
                <w:color w:val="FFFFFF" w:themeColor="background1"/>
                <w:sz w:val="20"/>
                <w:szCs w:val="20"/>
              </w:rPr>
              <w:t>–</w:t>
            </w:r>
            <w:r w:rsidRPr="007F5279">
              <w:rPr>
                <w:b/>
                <w:bCs/>
                <w:color w:val="FFFFFF" w:themeColor="background1"/>
                <w:sz w:val="20"/>
                <w:szCs w:val="20"/>
              </w:rPr>
              <w:t>17 to 2017</w:t>
            </w:r>
            <w:r w:rsidR="007F5279">
              <w:rPr>
                <w:b/>
                <w:bCs/>
                <w:color w:val="FFFFFF" w:themeColor="background1"/>
                <w:sz w:val="20"/>
                <w:szCs w:val="20"/>
              </w:rPr>
              <w:t>–</w:t>
            </w:r>
            <w:r w:rsidRPr="007F5279">
              <w:rPr>
                <w:b/>
                <w:bCs/>
                <w:color w:val="FFFFFF" w:themeColor="background1"/>
                <w:sz w:val="20"/>
                <w:szCs w:val="20"/>
              </w:rPr>
              <w:t>18</w:t>
            </w:r>
          </w:p>
        </w:tc>
        <w:tc>
          <w:tcPr>
            <w:tcW w:w="1535" w:type="dxa"/>
            <w:shd w:val="clear" w:color="auto" w:fill="288A32"/>
          </w:tcPr>
          <w:p w14:paraId="37B73FD7" w14:textId="4506E6B9" w:rsidR="00917CB6" w:rsidRPr="00C213C1" w:rsidRDefault="000E4744" w:rsidP="00961168">
            <w:pPr>
              <w:spacing w:line="240" w:lineRule="auto"/>
              <w:rPr>
                <w:rFonts w:cs="Arial"/>
                <w:b/>
                <w:color w:val="FFFFFF" w:themeColor="background1"/>
                <w:sz w:val="20"/>
                <w:szCs w:val="20"/>
              </w:rPr>
            </w:pPr>
            <w:r w:rsidRPr="007F5279">
              <w:rPr>
                <w:b/>
                <w:bCs/>
                <w:color w:val="FFFFFF" w:themeColor="background1"/>
                <w:sz w:val="20"/>
                <w:szCs w:val="20"/>
              </w:rPr>
              <w:t>2017</w:t>
            </w:r>
            <w:r w:rsidR="007F5279">
              <w:rPr>
                <w:b/>
                <w:bCs/>
                <w:color w:val="FFFFFF" w:themeColor="background1"/>
                <w:sz w:val="20"/>
                <w:szCs w:val="20"/>
              </w:rPr>
              <w:t>–</w:t>
            </w:r>
            <w:r w:rsidRPr="007F5279">
              <w:rPr>
                <w:b/>
                <w:bCs/>
                <w:color w:val="FFFFFF" w:themeColor="background1"/>
                <w:sz w:val="20"/>
                <w:szCs w:val="20"/>
              </w:rPr>
              <w:t>18 to 2018</w:t>
            </w:r>
            <w:r w:rsidR="007F5279">
              <w:rPr>
                <w:b/>
                <w:bCs/>
                <w:color w:val="FFFFFF" w:themeColor="background1"/>
                <w:sz w:val="20"/>
                <w:szCs w:val="20"/>
              </w:rPr>
              <w:t>–</w:t>
            </w:r>
            <w:r w:rsidRPr="007F5279">
              <w:rPr>
                <w:b/>
                <w:bCs/>
                <w:color w:val="FFFFFF" w:themeColor="background1"/>
                <w:sz w:val="20"/>
                <w:szCs w:val="20"/>
              </w:rPr>
              <w:t>19</w:t>
            </w:r>
          </w:p>
        </w:tc>
        <w:tc>
          <w:tcPr>
            <w:tcW w:w="1532" w:type="dxa"/>
            <w:shd w:val="clear" w:color="auto" w:fill="288A32"/>
          </w:tcPr>
          <w:p w14:paraId="0C18F16D" w14:textId="6834D47C" w:rsidR="00917CB6" w:rsidRPr="00C213C1" w:rsidRDefault="00917CB6" w:rsidP="00961168">
            <w:pPr>
              <w:spacing w:line="240" w:lineRule="auto"/>
              <w:rPr>
                <w:rFonts w:cs="Arial"/>
                <w:b/>
                <w:color w:val="FFFFFF" w:themeColor="background1"/>
                <w:sz w:val="20"/>
                <w:szCs w:val="20"/>
              </w:rPr>
            </w:pPr>
            <w:r w:rsidRPr="007F5279">
              <w:rPr>
                <w:b/>
                <w:color w:val="FFFFFF" w:themeColor="background1"/>
                <w:sz w:val="20"/>
                <w:szCs w:val="20"/>
              </w:rPr>
              <w:t>201</w:t>
            </w:r>
            <w:r w:rsidR="00412FC7">
              <w:rPr>
                <w:b/>
                <w:bCs/>
                <w:color w:val="FFFFFF" w:themeColor="background1"/>
                <w:sz w:val="20"/>
                <w:szCs w:val="20"/>
              </w:rPr>
              <w:t>8</w:t>
            </w:r>
            <w:r w:rsidR="007F5279">
              <w:rPr>
                <w:b/>
                <w:bCs/>
                <w:color w:val="FFFFFF" w:themeColor="background1"/>
                <w:sz w:val="20"/>
                <w:szCs w:val="20"/>
              </w:rPr>
              <w:t>–</w:t>
            </w:r>
            <w:r w:rsidR="000E4744" w:rsidRPr="007F5279">
              <w:rPr>
                <w:b/>
                <w:bCs/>
                <w:color w:val="FFFFFF" w:themeColor="background1"/>
                <w:sz w:val="20"/>
                <w:szCs w:val="20"/>
              </w:rPr>
              <w:t>1</w:t>
            </w:r>
            <w:r w:rsidR="00412FC7">
              <w:rPr>
                <w:b/>
                <w:bCs/>
                <w:color w:val="FFFFFF" w:themeColor="background1"/>
                <w:sz w:val="20"/>
                <w:szCs w:val="20"/>
              </w:rPr>
              <w:t>9</w:t>
            </w:r>
            <w:r w:rsidRPr="007F5279">
              <w:rPr>
                <w:b/>
                <w:color w:val="FFFFFF" w:themeColor="background1"/>
                <w:sz w:val="20"/>
                <w:szCs w:val="20"/>
              </w:rPr>
              <w:t xml:space="preserve"> to </w:t>
            </w:r>
            <w:r w:rsidR="000E4744" w:rsidRPr="007F5279">
              <w:rPr>
                <w:b/>
                <w:bCs/>
                <w:color w:val="FFFFFF" w:themeColor="background1"/>
                <w:sz w:val="20"/>
                <w:szCs w:val="20"/>
              </w:rPr>
              <w:t>2019-20</w:t>
            </w:r>
          </w:p>
        </w:tc>
      </w:tr>
      <w:tr w:rsidR="00917CB6" w:rsidRPr="00163EB6" w14:paraId="01FE8414" w14:textId="77777777" w:rsidTr="00412FC7">
        <w:tc>
          <w:tcPr>
            <w:tcW w:w="1604" w:type="dxa"/>
          </w:tcPr>
          <w:p w14:paraId="7DE41804" w14:textId="0CBCA834" w:rsidR="00917CB6" w:rsidRPr="00C213C1" w:rsidRDefault="007E2165" w:rsidP="00961168">
            <w:pPr>
              <w:spacing w:line="240" w:lineRule="auto"/>
              <w:jc w:val="center"/>
              <w:rPr>
                <w:rFonts w:eastAsiaTheme="minorHAnsi" w:cs="Arial"/>
                <w:b/>
                <w:noProof/>
                <w:sz w:val="20"/>
                <w:szCs w:val="20"/>
                <w:lang w:eastAsia="en-AU"/>
              </w:rPr>
            </w:pPr>
            <w:r w:rsidRPr="007F5279">
              <w:rPr>
                <w:sz w:val="20"/>
                <w:szCs w:val="20"/>
              </w:rPr>
              <w:t>1.8%</w:t>
            </w:r>
          </w:p>
        </w:tc>
        <w:tc>
          <w:tcPr>
            <w:tcW w:w="1540" w:type="dxa"/>
          </w:tcPr>
          <w:p w14:paraId="327A5ACC" w14:textId="30307965" w:rsidR="00917CB6" w:rsidRPr="00C213C1" w:rsidRDefault="007E2165" w:rsidP="00961168">
            <w:pPr>
              <w:spacing w:line="240" w:lineRule="auto"/>
              <w:jc w:val="center"/>
              <w:rPr>
                <w:sz w:val="20"/>
                <w:szCs w:val="20"/>
              </w:rPr>
            </w:pPr>
            <w:r w:rsidRPr="007F5279">
              <w:rPr>
                <w:sz w:val="20"/>
                <w:szCs w:val="20"/>
              </w:rPr>
              <w:t>1.8%</w:t>
            </w:r>
          </w:p>
        </w:tc>
        <w:tc>
          <w:tcPr>
            <w:tcW w:w="1535" w:type="dxa"/>
            <w:shd w:val="clear" w:color="auto" w:fill="FFFFFF" w:themeFill="background1"/>
          </w:tcPr>
          <w:p w14:paraId="1AFA1C01" w14:textId="47311616" w:rsidR="00917CB6" w:rsidRPr="00C213C1" w:rsidRDefault="007E2165" w:rsidP="00961168">
            <w:pPr>
              <w:spacing w:line="240" w:lineRule="auto"/>
              <w:jc w:val="center"/>
              <w:rPr>
                <w:sz w:val="20"/>
                <w:szCs w:val="20"/>
              </w:rPr>
            </w:pPr>
            <w:r w:rsidRPr="007F5279">
              <w:rPr>
                <w:sz w:val="20"/>
                <w:szCs w:val="20"/>
              </w:rPr>
              <w:t>3.5%</w:t>
            </w:r>
          </w:p>
        </w:tc>
        <w:tc>
          <w:tcPr>
            <w:tcW w:w="1535" w:type="dxa"/>
            <w:shd w:val="clear" w:color="auto" w:fill="FFFFFF" w:themeFill="background1"/>
          </w:tcPr>
          <w:p w14:paraId="08110851" w14:textId="6A5EB08A" w:rsidR="00917CB6" w:rsidRPr="00C213C1" w:rsidRDefault="007E2165" w:rsidP="004A03A2">
            <w:pPr>
              <w:spacing w:line="240" w:lineRule="auto"/>
              <w:jc w:val="center"/>
              <w:rPr>
                <w:sz w:val="20"/>
                <w:szCs w:val="20"/>
              </w:rPr>
            </w:pPr>
            <w:r w:rsidRPr="007F5279">
              <w:rPr>
                <w:sz w:val="20"/>
                <w:szCs w:val="20"/>
              </w:rPr>
              <w:t>3.3%</w:t>
            </w:r>
          </w:p>
        </w:tc>
        <w:tc>
          <w:tcPr>
            <w:tcW w:w="1532" w:type="dxa"/>
            <w:shd w:val="clear" w:color="auto" w:fill="FFFFFF" w:themeFill="background1"/>
          </w:tcPr>
          <w:p w14:paraId="1078B683" w14:textId="73365871" w:rsidR="00917CB6" w:rsidRPr="00C213C1" w:rsidRDefault="007E2165" w:rsidP="004A03A2">
            <w:pPr>
              <w:spacing w:line="240" w:lineRule="auto"/>
              <w:jc w:val="center"/>
              <w:rPr>
                <w:sz w:val="20"/>
                <w:szCs w:val="20"/>
              </w:rPr>
            </w:pPr>
            <w:r w:rsidRPr="007F5279">
              <w:rPr>
                <w:sz w:val="20"/>
                <w:szCs w:val="20"/>
              </w:rPr>
              <w:t>2.</w:t>
            </w:r>
            <w:r w:rsidR="00F32016">
              <w:rPr>
                <w:sz w:val="20"/>
                <w:szCs w:val="20"/>
              </w:rPr>
              <w:t>6</w:t>
            </w:r>
            <w:r w:rsidRPr="007F5279">
              <w:rPr>
                <w:sz w:val="20"/>
                <w:szCs w:val="20"/>
              </w:rPr>
              <w:t>%</w:t>
            </w:r>
          </w:p>
        </w:tc>
      </w:tr>
    </w:tbl>
    <w:p w14:paraId="1C1DA77E" w14:textId="2EE26110" w:rsidR="00241009" w:rsidRDefault="00561E6C" w:rsidP="00F41C22">
      <w:pPr>
        <w:spacing w:before="100" w:beforeAutospacing="1" w:after="100" w:afterAutospacing="1" w:line="240" w:lineRule="auto"/>
        <w:rPr>
          <w:b/>
          <w:szCs w:val="20"/>
        </w:rPr>
      </w:pPr>
      <w:r w:rsidRPr="00CC15B6">
        <w:t xml:space="preserve">Table </w:t>
      </w:r>
      <w:r w:rsidR="00302145">
        <w:rPr>
          <w:noProof/>
        </w:rPr>
        <w:t>19</w:t>
      </w:r>
      <w:r w:rsidRPr="000C2251">
        <w:rPr>
          <w:rFonts w:eastAsia="Calibri" w:cs="Arial"/>
        </w:rPr>
        <w:t xml:space="preserve"> shows the resulting</w:t>
      </w:r>
      <w:r w:rsidRPr="00704036">
        <w:rPr>
          <w:rFonts w:eastAsia="Calibri" w:cs="Arial"/>
        </w:rPr>
        <w:t xml:space="preserve"> cost ratio time series derived by back</w:t>
      </w:r>
      <w:r>
        <w:rPr>
          <w:rFonts w:eastAsia="Calibri" w:cs="Arial"/>
        </w:rPr>
        <w:t>-</w:t>
      </w:r>
      <w:r w:rsidRPr="00704036">
        <w:rPr>
          <w:rFonts w:eastAsia="Calibri" w:cs="Arial"/>
        </w:rPr>
        <w:t xml:space="preserve">casting </w:t>
      </w:r>
      <w:r w:rsidRPr="009602D0">
        <w:rPr>
          <w:rFonts w:eastAsia="Calibri" w:cs="Arial"/>
        </w:rPr>
        <w:t xml:space="preserve">the </w:t>
      </w:r>
      <w:r w:rsidR="004D1F0B">
        <w:rPr>
          <w:rFonts w:eastAsia="Calibri" w:cs="Arial"/>
        </w:rPr>
        <w:t>2019</w:t>
      </w:r>
      <w:r>
        <w:rPr>
          <w:rFonts w:eastAsia="Calibri" w:cs="Arial"/>
        </w:rPr>
        <w:t>–</w:t>
      </w:r>
      <w:r w:rsidR="004D1F0B">
        <w:rPr>
          <w:rFonts w:eastAsia="Calibri" w:cs="Arial"/>
        </w:rPr>
        <w:t>20</w:t>
      </w:r>
      <w:r w:rsidR="004D1F0B" w:rsidRPr="00765488">
        <w:rPr>
          <w:rFonts w:eastAsia="Calibri" w:cs="Arial"/>
        </w:rPr>
        <w:t xml:space="preserve"> </w:t>
      </w:r>
      <w:r w:rsidRPr="00765488">
        <w:rPr>
          <w:rFonts w:eastAsia="Calibri" w:cs="Arial"/>
        </w:rPr>
        <w:t xml:space="preserve">cost ratio of </w:t>
      </w:r>
      <w:r w:rsidRPr="005C61A3">
        <w:rPr>
          <w:rFonts w:eastAsia="Calibri" w:cs="Arial"/>
        </w:rPr>
        <w:t>1.000</w:t>
      </w:r>
      <w:r w:rsidRPr="00C12A66">
        <w:rPr>
          <w:rFonts w:eastAsia="Calibri" w:cs="Arial"/>
        </w:rPr>
        <w:t xml:space="preserve"> using</w:t>
      </w:r>
      <w:r w:rsidRPr="00704036">
        <w:rPr>
          <w:rFonts w:eastAsia="Calibri" w:cs="Arial"/>
        </w:rPr>
        <w:t xml:space="preserve"> the inverse of the year</w:t>
      </w:r>
      <w:r>
        <w:rPr>
          <w:rFonts w:eastAsia="Calibri" w:cs="Arial"/>
        </w:rPr>
        <w:t>-</w:t>
      </w:r>
      <w:r w:rsidRPr="00704036">
        <w:rPr>
          <w:rFonts w:eastAsia="Calibri" w:cs="Arial"/>
        </w:rPr>
        <w:t>to</w:t>
      </w:r>
      <w:r>
        <w:rPr>
          <w:rFonts w:eastAsia="Calibri" w:cs="Arial"/>
        </w:rPr>
        <w:t>-</w:t>
      </w:r>
      <w:r w:rsidRPr="000C2251">
        <w:rPr>
          <w:rFonts w:eastAsia="Calibri" w:cs="Arial"/>
        </w:rPr>
        <w:t xml:space="preserve">year changes given in </w:t>
      </w:r>
      <w:r w:rsidRPr="00CC15B6">
        <w:t xml:space="preserve">Table </w:t>
      </w:r>
      <w:r w:rsidRPr="00CC15B6">
        <w:rPr>
          <w:noProof/>
        </w:rPr>
        <w:t>1</w:t>
      </w:r>
      <w:r w:rsidR="00DE3F2F">
        <w:rPr>
          <w:noProof/>
        </w:rPr>
        <w:t>8</w:t>
      </w:r>
      <w:r w:rsidRPr="000C2251">
        <w:rPr>
          <w:rFonts w:eastAsia="Calibri" w:cs="Arial"/>
        </w:rPr>
        <w:t xml:space="preserve">. </w:t>
      </w:r>
      <w:r w:rsidRPr="00CC15B6">
        <w:t xml:space="preserve">Table </w:t>
      </w:r>
      <w:r w:rsidR="00DE3F2F">
        <w:rPr>
          <w:noProof/>
        </w:rPr>
        <w:t>19</w:t>
      </w:r>
      <w:r w:rsidR="00DE3F2F" w:rsidRPr="000C2251">
        <w:rPr>
          <w:rFonts w:eastAsia="Calibri" w:cs="Arial"/>
        </w:rPr>
        <w:t xml:space="preserve"> </w:t>
      </w:r>
      <w:r w:rsidRPr="000C2251">
        <w:rPr>
          <w:rFonts w:eastAsia="Calibri" w:cs="Arial"/>
        </w:rPr>
        <w:t xml:space="preserve">also shows the equivalent cost per weighted separation time series, and </w:t>
      </w:r>
      <w:r w:rsidRPr="00CC15B6">
        <w:t xml:space="preserve">Figure </w:t>
      </w:r>
      <w:r w:rsidR="008E2878">
        <w:rPr>
          <w:noProof/>
        </w:rPr>
        <w:t>9</w:t>
      </w:r>
      <w:r w:rsidRPr="000C2251">
        <w:rPr>
          <w:rFonts w:eastAsia="Calibri" w:cs="Arial"/>
        </w:rPr>
        <w:t xml:space="preserve"> illustrates the </w:t>
      </w:r>
      <w:r>
        <w:rPr>
          <w:rFonts w:eastAsia="Calibri" w:cs="Arial"/>
        </w:rPr>
        <w:br/>
      </w:r>
      <w:r w:rsidRPr="000C2251">
        <w:rPr>
          <w:rFonts w:eastAsia="Calibri" w:cs="Arial"/>
        </w:rPr>
        <w:t>two</w:t>
      </w:r>
      <w:r>
        <w:rPr>
          <w:rFonts w:eastAsia="Calibri" w:cs="Arial"/>
        </w:rPr>
        <w:t>-</w:t>
      </w:r>
      <w:r w:rsidRPr="000C2251">
        <w:rPr>
          <w:rFonts w:eastAsia="Calibri" w:cs="Arial"/>
        </w:rPr>
        <w:t>time series graphically.</w:t>
      </w:r>
    </w:p>
    <w:p w14:paraId="38AF5768" w14:textId="77777777" w:rsidR="00561E6C" w:rsidRPr="003331A3" w:rsidRDefault="00561E6C" w:rsidP="00836FC5">
      <w:pPr>
        <w:pStyle w:val="TableHeading"/>
      </w:pPr>
      <w:r w:rsidRPr="003331A3">
        <w:lastRenderedPageBreak/>
        <w:t xml:space="preserve">Table </w:t>
      </w:r>
      <w:r w:rsidR="00302145">
        <w:rPr>
          <w:noProof/>
        </w:rPr>
        <w:t>19</w:t>
      </w:r>
      <w:r w:rsidRPr="003331A3">
        <w:t xml:space="preserve">: Cost ratios and costs per weighted separation time series derived by applying the </w:t>
      </w:r>
      <w:r>
        <w:t>201</w:t>
      </w:r>
      <w:r w:rsidR="00721C69">
        <w:t>8</w:t>
      </w:r>
      <w:r>
        <w:t>–1</w:t>
      </w:r>
      <w:r w:rsidR="00721C69">
        <w:t>9</w:t>
      </w:r>
      <w:r w:rsidRPr="003331A3">
        <w:t xml:space="preserve"> cost model and cost weight model to historical patient costed activity data</w:t>
      </w:r>
    </w:p>
    <w:tbl>
      <w:tblPr>
        <w:tblStyle w:val="TableGrid1"/>
        <w:tblW w:w="9187" w:type="dxa"/>
        <w:tblLayout w:type="fixed"/>
        <w:tblLook w:val="04A0" w:firstRow="1" w:lastRow="0" w:firstColumn="1" w:lastColumn="0" w:noHBand="0" w:noVBand="1"/>
        <w:tblCaption w:val="Table 18: Cost ratios and costs per weighted separation time series derived by applying the 2015-16 cost model and cost weight model to historical patient costed activity data."/>
        <w:tblDescription w:val="A summary of table 18 is outlined in the text prior to this table. "/>
      </w:tblPr>
      <w:tblGrid>
        <w:gridCol w:w="2041"/>
        <w:gridCol w:w="1191"/>
        <w:gridCol w:w="1191"/>
        <w:gridCol w:w="1191"/>
        <w:gridCol w:w="1191"/>
        <w:gridCol w:w="1191"/>
        <w:gridCol w:w="1191"/>
      </w:tblGrid>
      <w:tr w:rsidR="009C3558" w:rsidRPr="006957DA" w14:paraId="74A5EB98" w14:textId="77777777" w:rsidTr="00412FC7">
        <w:trPr>
          <w:cantSplit/>
          <w:trHeight w:val="454"/>
          <w:tblHeader/>
        </w:trPr>
        <w:tc>
          <w:tcPr>
            <w:tcW w:w="2041" w:type="dxa"/>
            <w:shd w:val="clear" w:color="auto" w:fill="288A32"/>
            <w:vAlign w:val="center"/>
          </w:tcPr>
          <w:p w14:paraId="39B8F7F7" w14:textId="77777777" w:rsidR="00917CB6" w:rsidRPr="00C213C1" w:rsidRDefault="00917CB6" w:rsidP="00961168">
            <w:pPr>
              <w:spacing w:line="240" w:lineRule="auto"/>
              <w:rPr>
                <w:rFonts w:eastAsia="Times New Roman" w:cs="Arial"/>
                <w:color w:val="FFFFFF" w:themeColor="background1"/>
                <w:sz w:val="20"/>
                <w:szCs w:val="20"/>
                <w:lang w:eastAsia="en-AU"/>
              </w:rPr>
            </w:pPr>
          </w:p>
        </w:tc>
        <w:tc>
          <w:tcPr>
            <w:tcW w:w="1191" w:type="dxa"/>
            <w:tcBorders>
              <w:bottom w:val="single" w:sz="4" w:space="0" w:color="auto"/>
            </w:tcBorders>
            <w:shd w:val="clear" w:color="auto" w:fill="288A32"/>
          </w:tcPr>
          <w:p w14:paraId="080D87A4" w14:textId="641C801A" w:rsidR="00917CB6" w:rsidRPr="00C213C1" w:rsidRDefault="00F203C2" w:rsidP="00961168">
            <w:pPr>
              <w:spacing w:line="240" w:lineRule="auto"/>
              <w:jc w:val="center"/>
              <w:rPr>
                <w:rFonts w:eastAsia="Times New Roman" w:cs="Arial"/>
                <w:b/>
                <w:color w:val="FFFFFF" w:themeColor="background1"/>
                <w:sz w:val="20"/>
                <w:szCs w:val="20"/>
                <w:lang w:eastAsia="en-AU"/>
              </w:rPr>
            </w:pPr>
            <w:r w:rsidRPr="007F5279">
              <w:rPr>
                <w:b/>
                <w:bCs/>
                <w:color w:val="FFFFFF" w:themeColor="background1"/>
                <w:sz w:val="20"/>
                <w:szCs w:val="20"/>
              </w:rPr>
              <w:t>2014</w:t>
            </w:r>
            <w:r w:rsidR="00412FC7">
              <w:rPr>
                <w:b/>
                <w:bCs/>
                <w:color w:val="FFFFFF" w:themeColor="background1"/>
                <w:sz w:val="20"/>
                <w:szCs w:val="20"/>
              </w:rPr>
              <w:t>–</w:t>
            </w:r>
            <w:r w:rsidRPr="007F5279">
              <w:rPr>
                <w:b/>
                <w:bCs/>
                <w:color w:val="FFFFFF" w:themeColor="background1"/>
                <w:sz w:val="20"/>
                <w:szCs w:val="20"/>
              </w:rPr>
              <w:t>15</w:t>
            </w:r>
          </w:p>
        </w:tc>
        <w:tc>
          <w:tcPr>
            <w:tcW w:w="1191" w:type="dxa"/>
            <w:tcBorders>
              <w:bottom w:val="single" w:sz="4" w:space="0" w:color="auto"/>
            </w:tcBorders>
            <w:shd w:val="clear" w:color="auto" w:fill="288A32"/>
          </w:tcPr>
          <w:p w14:paraId="0A1947F1" w14:textId="6F1D62AC" w:rsidR="00917CB6" w:rsidRPr="00C213C1" w:rsidRDefault="00F203C2" w:rsidP="00961168">
            <w:pPr>
              <w:spacing w:line="240" w:lineRule="auto"/>
              <w:jc w:val="center"/>
              <w:rPr>
                <w:rFonts w:eastAsia="Times New Roman" w:cs="Arial"/>
                <w:b/>
                <w:color w:val="FFFFFF" w:themeColor="background1"/>
                <w:sz w:val="20"/>
                <w:szCs w:val="20"/>
                <w:lang w:eastAsia="en-AU"/>
              </w:rPr>
            </w:pPr>
            <w:r w:rsidRPr="007F5279">
              <w:rPr>
                <w:b/>
                <w:bCs/>
                <w:color w:val="FFFFFF" w:themeColor="background1"/>
                <w:sz w:val="20"/>
                <w:szCs w:val="20"/>
              </w:rPr>
              <w:t>2015</w:t>
            </w:r>
            <w:r w:rsidR="00412FC7">
              <w:rPr>
                <w:b/>
                <w:bCs/>
                <w:color w:val="FFFFFF" w:themeColor="background1"/>
                <w:sz w:val="20"/>
                <w:szCs w:val="20"/>
              </w:rPr>
              <w:t>–</w:t>
            </w:r>
            <w:r w:rsidRPr="007F5279">
              <w:rPr>
                <w:b/>
                <w:bCs/>
                <w:color w:val="FFFFFF" w:themeColor="background1"/>
                <w:sz w:val="20"/>
                <w:szCs w:val="20"/>
              </w:rPr>
              <w:t>16</w:t>
            </w:r>
          </w:p>
        </w:tc>
        <w:tc>
          <w:tcPr>
            <w:tcW w:w="1191" w:type="dxa"/>
            <w:tcBorders>
              <w:bottom w:val="single" w:sz="4" w:space="0" w:color="auto"/>
            </w:tcBorders>
            <w:shd w:val="clear" w:color="auto" w:fill="288A32"/>
          </w:tcPr>
          <w:p w14:paraId="06E9A638" w14:textId="1107AA07" w:rsidR="00917CB6" w:rsidRPr="00C213C1" w:rsidRDefault="00F203C2" w:rsidP="00961168">
            <w:pPr>
              <w:spacing w:line="240" w:lineRule="auto"/>
              <w:jc w:val="center"/>
              <w:rPr>
                <w:rFonts w:cs="Arial"/>
                <w:b/>
                <w:color w:val="FFFFFF" w:themeColor="background1"/>
                <w:sz w:val="20"/>
                <w:szCs w:val="20"/>
              </w:rPr>
            </w:pPr>
            <w:r w:rsidRPr="007F5279">
              <w:rPr>
                <w:b/>
                <w:bCs/>
                <w:color w:val="FFFFFF" w:themeColor="background1"/>
                <w:sz w:val="20"/>
                <w:szCs w:val="20"/>
              </w:rPr>
              <w:t>2016</w:t>
            </w:r>
            <w:r w:rsidR="00412FC7">
              <w:rPr>
                <w:b/>
                <w:bCs/>
                <w:color w:val="FFFFFF" w:themeColor="background1"/>
                <w:sz w:val="20"/>
                <w:szCs w:val="20"/>
              </w:rPr>
              <w:t>–</w:t>
            </w:r>
            <w:r w:rsidRPr="007F5279">
              <w:rPr>
                <w:b/>
                <w:bCs/>
                <w:color w:val="FFFFFF" w:themeColor="background1"/>
                <w:sz w:val="20"/>
                <w:szCs w:val="20"/>
              </w:rPr>
              <w:t>17</w:t>
            </w:r>
          </w:p>
        </w:tc>
        <w:tc>
          <w:tcPr>
            <w:tcW w:w="1191" w:type="dxa"/>
            <w:tcBorders>
              <w:bottom w:val="single" w:sz="4" w:space="0" w:color="auto"/>
            </w:tcBorders>
            <w:shd w:val="clear" w:color="auto" w:fill="288A32"/>
          </w:tcPr>
          <w:p w14:paraId="4C9A78A0" w14:textId="0B84B94C" w:rsidR="00917CB6" w:rsidRPr="00C213C1" w:rsidDel="00FA23C5" w:rsidRDefault="00F203C2" w:rsidP="00961168">
            <w:pPr>
              <w:spacing w:line="240" w:lineRule="auto"/>
              <w:jc w:val="center"/>
              <w:rPr>
                <w:rFonts w:cs="Arial"/>
                <w:b/>
                <w:color w:val="FFFFFF" w:themeColor="background1"/>
                <w:sz w:val="20"/>
                <w:szCs w:val="20"/>
              </w:rPr>
            </w:pPr>
            <w:r w:rsidRPr="007F5279">
              <w:rPr>
                <w:b/>
                <w:bCs/>
                <w:color w:val="FFFFFF" w:themeColor="background1"/>
                <w:sz w:val="20"/>
                <w:szCs w:val="20"/>
              </w:rPr>
              <w:t>2017</w:t>
            </w:r>
            <w:r w:rsidR="00412FC7">
              <w:rPr>
                <w:b/>
                <w:bCs/>
                <w:color w:val="FFFFFF" w:themeColor="background1"/>
                <w:sz w:val="20"/>
                <w:szCs w:val="20"/>
              </w:rPr>
              <w:t>–</w:t>
            </w:r>
            <w:r w:rsidRPr="007F5279">
              <w:rPr>
                <w:b/>
                <w:bCs/>
                <w:color w:val="FFFFFF" w:themeColor="background1"/>
                <w:sz w:val="20"/>
                <w:szCs w:val="20"/>
              </w:rPr>
              <w:t>18</w:t>
            </w:r>
          </w:p>
        </w:tc>
        <w:tc>
          <w:tcPr>
            <w:tcW w:w="1191" w:type="dxa"/>
            <w:tcBorders>
              <w:bottom w:val="single" w:sz="4" w:space="0" w:color="auto"/>
            </w:tcBorders>
            <w:shd w:val="clear" w:color="auto" w:fill="288A32"/>
          </w:tcPr>
          <w:p w14:paraId="5D127A80" w14:textId="6F1443C9" w:rsidR="00917CB6" w:rsidRPr="00C213C1" w:rsidRDefault="00F203C2" w:rsidP="00961168">
            <w:pPr>
              <w:spacing w:line="240" w:lineRule="auto"/>
              <w:jc w:val="center"/>
              <w:rPr>
                <w:rFonts w:cs="Arial"/>
                <w:b/>
                <w:color w:val="FFFFFF" w:themeColor="background1"/>
                <w:sz w:val="20"/>
                <w:szCs w:val="20"/>
              </w:rPr>
            </w:pPr>
            <w:r w:rsidRPr="007F5279">
              <w:rPr>
                <w:b/>
                <w:bCs/>
                <w:color w:val="FFFFFF" w:themeColor="background1"/>
                <w:sz w:val="20"/>
                <w:szCs w:val="20"/>
              </w:rPr>
              <w:t>2018</w:t>
            </w:r>
            <w:r w:rsidR="00412FC7">
              <w:rPr>
                <w:b/>
                <w:bCs/>
                <w:color w:val="FFFFFF" w:themeColor="background1"/>
                <w:sz w:val="20"/>
                <w:szCs w:val="20"/>
              </w:rPr>
              <w:t>–</w:t>
            </w:r>
            <w:r w:rsidRPr="007F5279">
              <w:rPr>
                <w:b/>
                <w:bCs/>
                <w:color w:val="FFFFFF" w:themeColor="background1"/>
                <w:sz w:val="20"/>
                <w:szCs w:val="20"/>
              </w:rPr>
              <w:t>19</w:t>
            </w:r>
          </w:p>
        </w:tc>
        <w:tc>
          <w:tcPr>
            <w:tcW w:w="1191" w:type="dxa"/>
            <w:tcBorders>
              <w:bottom w:val="single" w:sz="4" w:space="0" w:color="auto"/>
            </w:tcBorders>
            <w:shd w:val="clear" w:color="auto" w:fill="288A32"/>
          </w:tcPr>
          <w:p w14:paraId="28F25B51" w14:textId="4CB0775E" w:rsidR="00917CB6" w:rsidRPr="00C213C1" w:rsidRDefault="00F203C2" w:rsidP="00961168">
            <w:pPr>
              <w:spacing w:line="240" w:lineRule="auto"/>
              <w:jc w:val="center"/>
              <w:rPr>
                <w:rFonts w:cs="Arial"/>
                <w:b/>
                <w:color w:val="FFFFFF" w:themeColor="background1"/>
                <w:sz w:val="20"/>
                <w:szCs w:val="20"/>
              </w:rPr>
            </w:pPr>
            <w:r w:rsidRPr="007F5279">
              <w:rPr>
                <w:b/>
                <w:bCs/>
                <w:color w:val="FFFFFF" w:themeColor="background1"/>
                <w:sz w:val="20"/>
                <w:szCs w:val="20"/>
              </w:rPr>
              <w:t>2019</w:t>
            </w:r>
            <w:r w:rsidR="00412FC7">
              <w:rPr>
                <w:b/>
                <w:bCs/>
                <w:color w:val="FFFFFF" w:themeColor="background1"/>
                <w:sz w:val="20"/>
                <w:szCs w:val="20"/>
              </w:rPr>
              <w:t>–</w:t>
            </w:r>
            <w:r w:rsidRPr="007F5279">
              <w:rPr>
                <w:b/>
                <w:bCs/>
                <w:color w:val="FFFFFF" w:themeColor="background1"/>
                <w:sz w:val="20"/>
                <w:szCs w:val="20"/>
              </w:rPr>
              <w:t>20</w:t>
            </w:r>
          </w:p>
        </w:tc>
      </w:tr>
      <w:tr w:rsidR="00F9513B" w:rsidRPr="006957DA" w14:paraId="5C67FBCB" w14:textId="77777777" w:rsidTr="00412FC7">
        <w:trPr>
          <w:cantSplit/>
          <w:trHeight w:val="454"/>
        </w:trPr>
        <w:tc>
          <w:tcPr>
            <w:tcW w:w="2041" w:type="dxa"/>
            <w:vAlign w:val="center"/>
          </w:tcPr>
          <w:p w14:paraId="1C4C16C3" w14:textId="77777777" w:rsidR="00FF4589" w:rsidRPr="00C213C1" w:rsidRDefault="00FF4589" w:rsidP="00FF4589">
            <w:pPr>
              <w:spacing w:line="240" w:lineRule="auto"/>
              <w:rPr>
                <w:rFonts w:cs="Arial"/>
                <w:b/>
                <w:sz w:val="20"/>
                <w:szCs w:val="20"/>
              </w:rPr>
            </w:pPr>
            <w:r w:rsidRPr="00C213C1">
              <w:rPr>
                <w:rFonts w:cs="Arial"/>
                <w:b/>
                <w:sz w:val="20"/>
                <w:szCs w:val="20"/>
              </w:rPr>
              <w:t>Cost ratio</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2E120A16" w14:textId="06EBE216" w:rsidR="00FF4589" w:rsidRPr="004A03A2" w:rsidRDefault="00F203C2" w:rsidP="004A03A2">
            <w:pPr>
              <w:spacing w:line="240" w:lineRule="auto"/>
              <w:jc w:val="center"/>
              <w:rPr>
                <w:sz w:val="20"/>
                <w:szCs w:val="20"/>
              </w:rPr>
            </w:pPr>
            <w:r w:rsidRPr="007F5279">
              <w:rPr>
                <w:sz w:val="20"/>
                <w:szCs w:val="20"/>
              </w:rPr>
              <w:t>0.</w:t>
            </w:r>
            <w:r w:rsidR="00F62164" w:rsidRPr="007F5279">
              <w:rPr>
                <w:sz w:val="20"/>
                <w:szCs w:val="20"/>
              </w:rPr>
              <w:t>87</w:t>
            </w:r>
            <w:r w:rsidR="00F62164">
              <w:rPr>
                <w:sz w:val="20"/>
                <w:szCs w:val="20"/>
              </w:rPr>
              <w:t>96</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0519C044" w14:textId="224D235C" w:rsidR="00FF4589" w:rsidRPr="004A03A2" w:rsidRDefault="00F203C2" w:rsidP="004A03A2">
            <w:pPr>
              <w:spacing w:line="240" w:lineRule="auto"/>
              <w:jc w:val="center"/>
              <w:rPr>
                <w:sz w:val="20"/>
                <w:szCs w:val="20"/>
              </w:rPr>
            </w:pPr>
            <w:r w:rsidRPr="007F5279">
              <w:rPr>
                <w:sz w:val="20"/>
                <w:szCs w:val="20"/>
              </w:rPr>
              <w:t>0.</w:t>
            </w:r>
            <w:r w:rsidR="00F62164" w:rsidRPr="007F5279">
              <w:rPr>
                <w:sz w:val="20"/>
                <w:szCs w:val="20"/>
              </w:rPr>
              <w:t>89</w:t>
            </w:r>
            <w:r w:rsidR="00F62164">
              <w:rPr>
                <w:sz w:val="20"/>
                <w:szCs w:val="20"/>
              </w:rPr>
              <w:t>54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47F1B51D" w14:textId="04525133" w:rsidR="00FF4589" w:rsidRPr="004A03A2" w:rsidRDefault="00F203C2" w:rsidP="004A03A2">
            <w:pPr>
              <w:spacing w:line="240" w:lineRule="auto"/>
              <w:jc w:val="center"/>
              <w:rPr>
                <w:sz w:val="20"/>
                <w:szCs w:val="20"/>
              </w:rPr>
            </w:pPr>
            <w:r w:rsidRPr="007F5279">
              <w:rPr>
                <w:sz w:val="20"/>
                <w:szCs w:val="20"/>
              </w:rPr>
              <w:t>0.</w:t>
            </w:r>
            <w:r w:rsidR="00F62164" w:rsidRPr="007F5279">
              <w:rPr>
                <w:sz w:val="20"/>
                <w:szCs w:val="20"/>
              </w:rPr>
              <w:t>91</w:t>
            </w:r>
            <w:r w:rsidR="00F62164">
              <w:rPr>
                <w:sz w:val="20"/>
                <w:szCs w:val="20"/>
              </w:rPr>
              <w:t>16</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DED28" w14:textId="6501BDA8" w:rsidR="00FF4589" w:rsidRPr="004A03A2" w:rsidRDefault="00F203C2" w:rsidP="004A03A2">
            <w:pPr>
              <w:spacing w:line="240" w:lineRule="auto"/>
              <w:jc w:val="center"/>
              <w:rPr>
                <w:sz w:val="20"/>
                <w:szCs w:val="20"/>
              </w:rPr>
            </w:pPr>
            <w:r w:rsidRPr="007F5279">
              <w:rPr>
                <w:sz w:val="20"/>
                <w:szCs w:val="20"/>
              </w:rPr>
              <w:t>0.</w:t>
            </w:r>
            <w:r w:rsidR="00F62164" w:rsidRPr="007F5279">
              <w:rPr>
                <w:sz w:val="20"/>
                <w:szCs w:val="20"/>
              </w:rPr>
              <w:t>94</w:t>
            </w:r>
            <w:r w:rsidR="00F62164">
              <w:rPr>
                <w:sz w:val="20"/>
                <w:szCs w:val="20"/>
              </w:rPr>
              <w:t>38</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FE647" w14:textId="0ED5D5B6" w:rsidR="00FF4589" w:rsidRPr="004A03A2" w:rsidRDefault="00F203C2" w:rsidP="004A03A2">
            <w:pPr>
              <w:spacing w:line="240" w:lineRule="auto"/>
              <w:jc w:val="center"/>
              <w:rPr>
                <w:sz w:val="20"/>
                <w:szCs w:val="20"/>
              </w:rPr>
            </w:pPr>
            <w:r w:rsidRPr="007F5279">
              <w:rPr>
                <w:sz w:val="20"/>
                <w:szCs w:val="20"/>
              </w:rPr>
              <w:t>0.</w:t>
            </w:r>
            <w:r w:rsidR="00F62164" w:rsidRPr="007F5279">
              <w:rPr>
                <w:sz w:val="20"/>
                <w:szCs w:val="20"/>
              </w:rPr>
              <w:t>97</w:t>
            </w:r>
            <w:r w:rsidR="00F62164">
              <w:rPr>
                <w:sz w:val="20"/>
                <w:szCs w:val="20"/>
              </w:rPr>
              <w:t>45</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22E52" w14:textId="79D5E732" w:rsidR="00FF4589" w:rsidRPr="004A03A2" w:rsidRDefault="00F203C2" w:rsidP="004A03A2">
            <w:pPr>
              <w:spacing w:line="240" w:lineRule="auto"/>
              <w:jc w:val="center"/>
              <w:rPr>
                <w:sz w:val="20"/>
                <w:szCs w:val="20"/>
              </w:rPr>
            </w:pPr>
            <w:r w:rsidRPr="007F5279">
              <w:rPr>
                <w:sz w:val="20"/>
                <w:szCs w:val="20"/>
              </w:rPr>
              <w:t>1.0000</w:t>
            </w:r>
          </w:p>
        </w:tc>
      </w:tr>
      <w:tr w:rsidR="00F9513B" w:rsidRPr="006957DA" w14:paraId="3B8BB0AB" w14:textId="77777777" w:rsidTr="00412FC7">
        <w:trPr>
          <w:cantSplit/>
          <w:trHeight w:val="454"/>
        </w:trPr>
        <w:tc>
          <w:tcPr>
            <w:tcW w:w="2041" w:type="dxa"/>
            <w:vAlign w:val="center"/>
          </w:tcPr>
          <w:p w14:paraId="1C338C31" w14:textId="77777777" w:rsidR="00FF4589" w:rsidRPr="00C213C1" w:rsidRDefault="00FF4589" w:rsidP="00FF4589">
            <w:pPr>
              <w:spacing w:line="240" w:lineRule="auto"/>
              <w:rPr>
                <w:rFonts w:cs="Arial"/>
                <w:b/>
                <w:sz w:val="20"/>
                <w:szCs w:val="20"/>
              </w:rPr>
            </w:pPr>
            <w:r w:rsidRPr="00C213C1">
              <w:rPr>
                <w:rFonts w:cs="Arial"/>
                <w:b/>
                <w:sz w:val="20"/>
                <w:szCs w:val="20"/>
              </w:rPr>
              <w:t>Cost per weighted separation</w:t>
            </w:r>
          </w:p>
        </w:tc>
        <w:tc>
          <w:tcPr>
            <w:tcW w:w="1191" w:type="dxa"/>
            <w:tcBorders>
              <w:top w:val="single" w:sz="4" w:space="0" w:color="auto"/>
            </w:tcBorders>
            <w:vAlign w:val="center"/>
          </w:tcPr>
          <w:p w14:paraId="0095E76E" w14:textId="3C746E60" w:rsidR="00FF4589" w:rsidRPr="004A03A2" w:rsidRDefault="00F203C2" w:rsidP="004A03A2">
            <w:pPr>
              <w:spacing w:line="240" w:lineRule="auto"/>
              <w:jc w:val="center"/>
              <w:rPr>
                <w:sz w:val="20"/>
                <w:szCs w:val="20"/>
              </w:rPr>
            </w:pPr>
            <w:r w:rsidRPr="007F5279">
              <w:rPr>
                <w:sz w:val="20"/>
                <w:szCs w:val="20"/>
              </w:rPr>
              <w:t>$4,</w:t>
            </w:r>
            <w:r w:rsidR="00F62164" w:rsidRPr="007F5279">
              <w:rPr>
                <w:sz w:val="20"/>
                <w:szCs w:val="20"/>
              </w:rPr>
              <w:t>6</w:t>
            </w:r>
            <w:r w:rsidR="00F62164">
              <w:rPr>
                <w:sz w:val="20"/>
                <w:szCs w:val="20"/>
              </w:rPr>
              <w:t>68</w:t>
            </w:r>
          </w:p>
        </w:tc>
        <w:tc>
          <w:tcPr>
            <w:tcW w:w="1191" w:type="dxa"/>
            <w:tcBorders>
              <w:top w:val="single" w:sz="4" w:space="0" w:color="auto"/>
            </w:tcBorders>
            <w:vAlign w:val="center"/>
          </w:tcPr>
          <w:p w14:paraId="11DC2036" w14:textId="59BB28BF" w:rsidR="00FF4589" w:rsidRPr="004A03A2" w:rsidRDefault="00F203C2" w:rsidP="004A03A2">
            <w:pPr>
              <w:spacing w:line="240" w:lineRule="auto"/>
              <w:jc w:val="center"/>
              <w:rPr>
                <w:sz w:val="20"/>
                <w:szCs w:val="20"/>
              </w:rPr>
            </w:pPr>
            <w:r w:rsidRPr="007F5279">
              <w:rPr>
                <w:sz w:val="20"/>
                <w:szCs w:val="20"/>
              </w:rPr>
              <w:t>$4,</w:t>
            </w:r>
            <w:r w:rsidR="00F62164" w:rsidRPr="007F5279">
              <w:rPr>
                <w:sz w:val="20"/>
                <w:szCs w:val="20"/>
              </w:rPr>
              <w:t>75</w:t>
            </w:r>
            <w:r w:rsidR="00F62164">
              <w:rPr>
                <w:sz w:val="20"/>
                <w:szCs w:val="20"/>
              </w:rPr>
              <w:t>2</w:t>
            </w:r>
          </w:p>
        </w:tc>
        <w:tc>
          <w:tcPr>
            <w:tcW w:w="1191" w:type="dxa"/>
            <w:tcBorders>
              <w:top w:val="single" w:sz="4" w:space="0" w:color="auto"/>
            </w:tcBorders>
            <w:vAlign w:val="center"/>
          </w:tcPr>
          <w:p w14:paraId="44CC6267" w14:textId="7C171959" w:rsidR="00FF4589" w:rsidRPr="004A03A2" w:rsidRDefault="00F203C2" w:rsidP="004A03A2">
            <w:pPr>
              <w:spacing w:line="240" w:lineRule="auto"/>
              <w:jc w:val="center"/>
              <w:rPr>
                <w:sz w:val="20"/>
                <w:szCs w:val="20"/>
              </w:rPr>
            </w:pPr>
            <w:r w:rsidRPr="007F5279">
              <w:rPr>
                <w:sz w:val="20"/>
                <w:szCs w:val="20"/>
              </w:rPr>
              <w:t>$4,</w:t>
            </w:r>
            <w:r w:rsidR="00F62164" w:rsidRPr="007F5279">
              <w:rPr>
                <w:sz w:val="20"/>
                <w:szCs w:val="20"/>
              </w:rPr>
              <w:t>8</w:t>
            </w:r>
            <w:r w:rsidR="00F62164">
              <w:rPr>
                <w:sz w:val="20"/>
                <w:szCs w:val="20"/>
              </w:rPr>
              <w:t>38</w:t>
            </w:r>
          </w:p>
        </w:tc>
        <w:tc>
          <w:tcPr>
            <w:tcW w:w="1191" w:type="dxa"/>
            <w:tcBorders>
              <w:top w:val="single" w:sz="4" w:space="0" w:color="auto"/>
            </w:tcBorders>
            <w:shd w:val="clear" w:color="auto" w:fill="FFFFFF" w:themeFill="background1"/>
            <w:vAlign w:val="center"/>
          </w:tcPr>
          <w:p w14:paraId="6FE7E3E4" w14:textId="1D34761A" w:rsidR="00FF4589" w:rsidRPr="004A03A2" w:rsidRDefault="00F203C2" w:rsidP="004A03A2">
            <w:pPr>
              <w:spacing w:line="240" w:lineRule="auto"/>
              <w:jc w:val="center"/>
              <w:rPr>
                <w:sz w:val="20"/>
                <w:szCs w:val="20"/>
              </w:rPr>
            </w:pPr>
            <w:r w:rsidRPr="007F5279">
              <w:rPr>
                <w:sz w:val="20"/>
                <w:szCs w:val="20"/>
              </w:rPr>
              <w:t>$5,</w:t>
            </w:r>
            <w:r w:rsidR="00F62164" w:rsidRPr="007F5279">
              <w:rPr>
                <w:sz w:val="20"/>
                <w:szCs w:val="20"/>
              </w:rPr>
              <w:t>0</w:t>
            </w:r>
            <w:r w:rsidR="00F62164">
              <w:rPr>
                <w:sz w:val="20"/>
                <w:szCs w:val="20"/>
              </w:rPr>
              <w:t>09</w:t>
            </w:r>
          </w:p>
        </w:tc>
        <w:tc>
          <w:tcPr>
            <w:tcW w:w="1191" w:type="dxa"/>
            <w:tcBorders>
              <w:top w:val="single" w:sz="4" w:space="0" w:color="auto"/>
            </w:tcBorders>
            <w:shd w:val="clear" w:color="auto" w:fill="FFFFFF" w:themeFill="background1"/>
            <w:vAlign w:val="center"/>
          </w:tcPr>
          <w:p w14:paraId="2E1E9B83" w14:textId="00A38636" w:rsidR="00FF4589" w:rsidRPr="004A03A2" w:rsidRDefault="00F203C2" w:rsidP="004A03A2">
            <w:pPr>
              <w:spacing w:line="240" w:lineRule="auto"/>
              <w:jc w:val="center"/>
              <w:rPr>
                <w:sz w:val="20"/>
                <w:szCs w:val="20"/>
              </w:rPr>
            </w:pPr>
            <w:r w:rsidRPr="007F5279">
              <w:rPr>
                <w:sz w:val="20"/>
                <w:szCs w:val="20"/>
              </w:rPr>
              <w:t>$5,</w:t>
            </w:r>
            <w:r w:rsidR="00F62164" w:rsidRPr="007F5279">
              <w:rPr>
                <w:sz w:val="20"/>
                <w:szCs w:val="20"/>
              </w:rPr>
              <w:t>17</w:t>
            </w:r>
            <w:r w:rsidR="00F62164">
              <w:rPr>
                <w:sz w:val="20"/>
                <w:szCs w:val="20"/>
              </w:rPr>
              <w:t>2</w:t>
            </w:r>
          </w:p>
        </w:tc>
        <w:tc>
          <w:tcPr>
            <w:tcW w:w="1191" w:type="dxa"/>
            <w:tcBorders>
              <w:top w:val="single" w:sz="4" w:space="0" w:color="auto"/>
            </w:tcBorders>
            <w:shd w:val="clear" w:color="auto" w:fill="FFFFFF" w:themeFill="background1"/>
            <w:vAlign w:val="center"/>
          </w:tcPr>
          <w:p w14:paraId="6740C9D4" w14:textId="1C607307" w:rsidR="00FF4589" w:rsidRPr="004A03A2" w:rsidRDefault="00F203C2" w:rsidP="004A03A2">
            <w:pPr>
              <w:spacing w:line="240" w:lineRule="auto"/>
              <w:jc w:val="center"/>
              <w:rPr>
                <w:sz w:val="20"/>
                <w:szCs w:val="20"/>
              </w:rPr>
            </w:pPr>
            <w:r w:rsidRPr="007F5279">
              <w:rPr>
                <w:sz w:val="20"/>
                <w:szCs w:val="20"/>
              </w:rPr>
              <w:t>$5,</w:t>
            </w:r>
            <w:r w:rsidR="00F62164" w:rsidRPr="007F5279">
              <w:rPr>
                <w:sz w:val="20"/>
                <w:szCs w:val="20"/>
              </w:rPr>
              <w:t>3</w:t>
            </w:r>
            <w:r w:rsidR="00F62164">
              <w:rPr>
                <w:sz w:val="20"/>
                <w:szCs w:val="20"/>
              </w:rPr>
              <w:t>07</w:t>
            </w:r>
          </w:p>
        </w:tc>
      </w:tr>
    </w:tbl>
    <w:p w14:paraId="7905641D" w14:textId="3B2989DE" w:rsidR="00561E6C" w:rsidRPr="000351BD" w:rsidRDefault="00561E6C" w:rsidP="00561E6C">
      <w:pPr>
        <w:spacing w:before="100" w:beforeAutospacing="1" w:after="100" w:afterAutospacing="1" w:line="240" w:lineRule="auto"/>
        <w:rPr>
          <w:rFonts w:eastAsia="Calibri" w:cs="Arial"/>
          <w:b/>
        </w:rPr>
      </w:pPr>
      <w:r w:rsidRPr="00704036">
        <w:rPr>
          <w:rFonts w:eastAsia="Calibri" w:cs="Arial"/>
        </w:rPr>
        <w:t xml:space="preserve">The next step in the process of deriving an annual indexation rate is to model a line of best fit against the time series of cost ratios (or equivalently, against the time series of costs per weighted </w:t>
      </w:r>
      <w:r w:rsidRPr="000C2251">
        <w:rPr>
          <w:rFonts w:eastAsia="Calibri" w:cs="Arial"/>
        </w:rPr>
        <w:t xml:space="preserve">separation). This line of best fit is used to estimate the projected annual inflation factor, </w:t>
      </w:r>
      <w:r w:rsidRPr="000C2251">
        <w:rPr>
          <w:rFonts w:eastAsia="Calibri" w:cs="Arial"/>
          <w:i/>
        </w:rPr>
        <w:t>s,</w:t>
      </w:r>
      <w:r w:rsidRPr="000C2251">
        <w:rPr>
          <w:rFonts w:eastAsia="Calibri" w:cs="Arial"/>
        </w:rPr>
        <w:t xml:space="preserve"> shown in </w:t>
      </w:r>
      <w:r w:rsidR="008E2878" w:rsidRPr="002D4A0B">
        <w:t xml:space="preserve">Figure </w:t>
      </w:r>
      <w:r w:rsidR="00CD7780">
        <w:t>8</w:t>
      </w:r>
      <w:r>
        <w:rPr>
          <w:rFonts w:eastAsia="Calibri" w:cs="Arial"/>
        </w:rPr>
        <w:t>.</w:t>
      </w:r>
    </w:p>
    <w:p w14:paraId="5EDE9E20"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Given that the inflation factor</w:t>
      </w:r>
      <w:r>
        <w:rPr>
          <w:rFonts w:eastAsia="Calibri" w:cs="Arial"/>
        </w:rPr>
        <w:t>,</w:t>
      </w:r>
      <w:r w:rsidRPr="00704036">
        <w:rPr>
          <w:rFonts w:eastAsia="Calibri" w:cs="Arial"/>
        </w:rPr>
        <w:t xml:space="preserve"> </w:t>
      </w:r>
      <w:r w:rsidRPr="00704036">
        <w:rPr>
          <w:rFonts w:eastAsia="Calibri" w:cs="Arial"/>
          <w:i/>
        </w:rPr>
        <w:t>s</w:t>
      </w:r>
      <w:r>
        <w:rPr>
          <w:rFonts w:eastAsia="Calibri" w:cs="Arial"/>
          <w:i/>
        </w:rPr>
        <w:t>,</w:t>
      </w:r>
      <w:r w:rsidRPr="00704036">
        <w:rPr>
          <w:rFonts w:eastAsia="Calibri" w:cs="Arial"/>
        </w:rPr>
        <w:t xml:space="preserve"> being modelled is an annual growth rate (</w:t>
      </w:r>
      <w:r>
        <w:rPr>
          <w:rFonts w:eastAsia="Calibri" w:cs="Arial"/>
        </w:rPr>
        <w:t>that is,</w:t>
      </w:r>
      <w:r w:rsidRPr="00704036">
        <w:rPr>
          <w:rFonts w:eastAsia="Calibri" w:cs="Arial"/>
        </w:rPr>
        <w:t xml:space="preserve"> </w:t>
      </w:r>
      <w:r w:rsidRPr="00704036">
        <w:rPr>
          <w:rFonts w:eastAsia="Calibri" w:cs="Arial"/>
          <w:i/>
        </w:rPr>
        <w:t xml:space="preserve">s </w:t>
      </w:r>
      <w:r w:rsidRPr="00704036">
        <w:rPr>
          <w:rFonts w:eastAsia="Calibri" w:cs="Arial"/>
        </w:rPr>
        <w:t xml:space="preserve">≈ </w:t>
      </w:r>
      <w:r w:rsidRPr="00704036">
        <w:rPr>
          <w:rFonts w:eastAsia="Calibri" w:cs="Arial"/>
          <w:i/>
        </w:rPr>
        <w:t>s</w:t>
      </w:r>
      <w:r w:rsidRPr="00704036">
        <w:rPr>
          <w:rFonts w:eastAsia="Calibri" w:cs="Arial"/>
          <w:vertAlign w:val="subscript"/>
        </w:rPr>
        <w:t>x+1</w:t>
      </w:r>
      <w:r w:rsidRPr="00704036">
        <w:rPr>
          <w:rFonts w:eastAsia="Calibri" w:cs="Arial"/>
        </w:rPr>
        <w:t xml:space="preserve"> / </w:t>
      </w:r>
      <w:r w:rsidRPr="00704036">
        <w:rPr>
          <w:rFonts w:eastAsia="Calibri" w:cs="Arial"/>
          <w:i/>
        </w:rPr>
        <w:t>s</w:t>
      </w:r>
      <w:r w:rsidRPr="00704036">
        <w:rPr>
          <w:rFonts w:eastAsia="Calibri" w:cs="Arial"/>
          <w:vertAlign w:val="subscript"/>
        </w:rPr>
        <w:t>x</w:t>
      </w:r>
      <w:r w:rsidRPr="00704036">
        <w:rPr>
          <w:rFonts w:eastAsia="Calibri" w:cs="Arial"/>
        </w:rPr>
        <w:t>) as opposed to an arithmetic change each year (</w:t>
      </w:r>
      <w:r>
        <w:rPr>
          <w:rFonts w:eastAsia="Calibri" w:cs="Arial"/>
        </w:rPr>
        <w:t>that is,</w:t>
      </w:r>
      <w:r w:rsidRPr="00704036">
        <w:rPr>
          <w:rFonts w:eastAsia="Calibri" w:cs="Arial"/>
        </w:rPr>
        <w:t xml:space="preserve"> </w:t>
      </w:r>
      <w:r w:rsidRPr="00704036">
        <w:rPr>
          <w:rFonts w:eastAsia="Calibri" w:cs="Arial"/>
          <w:i/>
        </w:rPr>
        <w:t>s</w:t>
      </w:r>
      <w:r w:rsidRPr="00704036">
        <w:rPr>
          <w:rFonts w:eastAsia="Calibri" w:cs="Arial"/>
          <w:vertAlign w:val="subscript"/>
        </w:rPr>
        <w:t>x+1</w:t>
      </w:r>
      <w:r w:rsidRPr="00704036">
        <w:rPr>
          <w:rFonts w:eastAsia="Calibri" w:cs="Arial"/>
        </w:rPr>
        <w:t xml:space="preserve"> </w:t>
      </w:r>
      <w:r w:rsidRPr="00704036">
        <w:rPr>
          <w:rFonts w:ascii="Symbol" w:eastAsia="Symbol" w:hAnsi="Symbol" w:cs="Symbol"/>
        </w:rPr>
        <w:t></w:t>
      </w:r>
      <w:r w:rsidRPr="00704036">
        <w:rPr>
          <w:rFonts w:eastAsia="Calibri" w:cs="Arial"/>
        </w:rPr>
        <w:t xml:space="preserve"> </w:t>
      </w:r>
      <w:r w:rsidRPr="00704036">
        <w:rPr>
          <w:rFonts w:eastAsia="Calibri" w:cs="Arial"/>
          <w:i/>
        </w:rPr>
        <w:t>s</w:t>
      </w:r>
      <w:r w:rsidRPr="00704036">
        <w:rPr>
          <w:rFonts w:eastAsia="Calibri" w:cs="Arial"/>
          <w:vertAlign w:val="subscript"/>
        </w:rPr>
        <w:t>x</w:t>
      </w:r>
      <w:r w:rsidRPr="00704036">
        <w:rPr>
          <w:rFonts w:eastAsia="Calibri" w:cs="Arial"/>
        </w:rPr>
        <w:t xml:space="preserve">), the line of best fit is taken to have an exponential form. In other words, an exponential form is chosen because exponential functions </w:t>
      </w:r>
      <w:r w:rsidRPr="00704036">
        <w:rPr>
          <w:rFonts w:eastAsia="Calibri" w:cs="Arial"/>
          <w:i/>
        </w:rPr>
        <w:t>A</w:t>
      </w:r>
      <w:r w:rsidRPr="00704036">
        <w:rPr>
          <w:rFonts w:eastAsia="Calibri" w:cs="Arial"/>
        </w:rPr>
        <w:t>e</w:t>
      </w:r>
      <w:r w:rsidRPr="00704036">
        <w:rPr>
          <w:rFonts w:eastAsia="Calibri" w:cs="Arial"/>
          <w:i/>
          <w:vertAlign w:val="superscript"/>
        </w:rPr>
        <w:t>Bx</w:t>
      </w:r>
      <w:r w:rsidRPr="00704036">
        <w:rPr>
          <w:rFonts w:eastAsia="Calibri" w:cs="Arial"/>
        </w:rPr>
        <w:t xml:space="preserve"> have the characteristic that their annual growth rate is constant:</w:t>
      </w:r>
    </w:p>
    <w:p w14:paraId="1D65198E" w14:textId="77777777" w:rsidR="00561E6C" w:rsidRPr="00704036" w:rsidRDefault="00561E6C" w:rsidP="00561E6C">
      <w:pPr>
        <w:spacing w:before="100" w:beforeAutospacing="1" w:after="100" w:afterAutospacing="1" w:line="240" w:lineRule="auto"/>
        <w:jc w:val="center"/>
        <w:rPr>
          <w:rFonts w:eastAsia="Calibri" w:cs="Arial"/>
        </w:rPr>
      </w:pPr>
      <m:oMathPara>
        <m:oMath>
          <m:r>
            <w:rPr>
              <w:rFonts w:ascii="Cambria Math" w:eastAsia="Calibri" w:hAnsi="Cambria Math" w:cs="Arial"/>
            </w:rPr>
            <m:t>A</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B(x+1)</m:t>
              </m:r>
            </m:sup>
          </m:sSup>
          <m:r>
            <w:rPr>
              <w:rFonts w:ascii="Cambria Math" w:eastAsia="Calibri" w:hAnsi="Cambria Math" w:cs="Arial"/>
            </w:rPr>
            <m:t xml:space="preserve"> / A</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Bx</m:t>
              </m:r>
            </m:sup>
          </m:sSup>
          <m:r>
            <w:rPr>
              <w:rFonts w:ascii="Cambria Math" w:eastAsia="Calibri" w:hAnsi="Cambria Math" w:cs="Arial"/>
            </w:rPr>
            <m:t xml:space="preserve"> =</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m:t>
              </m:r>
            </m:sup>
          </m:sSup>
          <m:r>
            <w:rPr>
              <w:rFonts w:ascii="Cambria Math" w:eastAsia="Calibri" w:hAnsi="Cambria Math" w:cs="Arial"/>
            </w:rPr>
            <m:t xml:space="preserve">  = constant</m:t>
          </m:r>
        </m:oMath>
      </m:oMathPara>
    </w:p>
    <w:p w14:paraId="4A920D97" w14:textId="439AE313"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The exponential line of best fit is also modelled so that it passes through the </w:t>
      </w:r>
      <w:r w:rsidR="004D1F0B">
        <w:rPr>
          <w:rFonts w:eastAsia="Calibri" w:cs="Arial"/>
        </w:rPr>
        <w:t>2019</w:t>
      </w:r>
      <w:r>
        <w:rPr>
          <w:rFonts w:eastAsia="Calibri" w:cs="Arial"/>
        </w:rPr>
        <w:t>–</w:t>
      </w:r>
      <w:r w:rsidR="004D1F0B">
        <w:rPr>
          <w:rFonts w:eastAsia="Calibri" w:cs="Arial"/>
        </w:rPr>
        <w:t>20</w:t>
      </w:r>
      <w:r w:rsidR="004D1F0B" w:rsidRPr="00704036">
        <w:rPr>
          <w:rFonts w:eastAsia="Calibri" w:cs="Arial"/>
        </w:rPr>
        <w:t xml:space="preserve"> </w:t>
      </w:r>
      <w:r w:rsidRPr="00704036">
        <w:rPr>
          <w:rFonts w:eastAsia="Calibri" w:cs="Arial"/>
        </w:rPr>
        <w:t xml:space="preserve">observation to ensure that the resulting annual scaling factor applies to the </w:t>
      </w:r>
      <w:r w:rsidR="004D1F0B">
        <w:rPr>
          <w:rFonts w:eastAsia="Calibri" w:cs="Arial"/>
        </w:rPr>
        <w:t>2019</w:t>
      </w:r>
      <w:r>
        <w:rPr>
          <w:rFonts w:eastAsia="Calibri" w:cs="Arial"/>
        </w:rPr>
        <w:t>–</w:t>
      </w:r>
      <w:r w:rsidR="004D1F0B">
        <w:rPr>
          <w:rFonts w:eastAsia="Calibri" w:cs="Arial"/>
        </w:rPr>
        <w:t>20</w:t>
      </w:r>
      <w:r w:rsidR="004D1F0B" w:rsidRPr="00704036">
        <w:rPr>
          <w:rFonts w:eastAsia="Calibri" w:cs="Arial"/>
        </w:rPr>
        <w:t xml:space="preserve"> </w:t>
      </w:r>
      <w:r w:rsidRPr="00704036">
        <w:rPr>
          <w:rFonts w:eastAsia="Calibri" w:cs="Arial"/>
        </w:rPr>
        <w:t xml:space="preserve">cost ratio of </w:t>
      </w:r>
      <w:r w:rsidRPr="00176BB4">
        <w:rPr>
          <w:rFonts w:eastAsia="Calibri" w:cs="Arial"/>
        </w:rPr>
        <w:t>1</w:t>
      </w:r>
      <w:r w:rsidR="005C61A3" w:rsidRPr="00176BB4">
        <w:rPr>
          <w:rFonts w:eastAsia="Calibri" w:cs="Arial"/>
        </w:rPr>
        <w:t>.</w:t>
      </w:r>
      <w:r w:rsidR="005C61A3">
        <w:rPr>
          <w:rFonts w:eastAsia="Calibri" w:cs="Arial"/>
        </w:rPr>
        <w:t>000</w:t>
      </w:r>
      <w:r w:rsidRPr="00704036">
        <w:rPr>
          <w:rFonts w:eastAsia="Calibri" w:cs="Arial"/>
        </w:rPr>
        <w:t xml:space="preserve"> (or equivalently, to the </w:t>
      </w:r>
      <w:r w:rsidR="004D1F0B">
        <w:rPr>
          <w:rFonts w:eastAsia="Calibri" w:cs="Arial"/>
        </w:rPr>
        <w:t>2019</w:t>
      </w:r>
      <w:r>
        <w:rPr>
          <w:rFonts w:eastAsia="Calibri" w:cs="Arial"/>
        </w:rPr>
        <w:t>–</w:t>
      </w:r>
      <w:r w:rsidR="004D1F0B">
        <w:rPr>
          <w:rFonts w:eastAsia="Calibri" w:cs="Arial"/>
        </w:rPr>
        <w:t>20</w:t>
      </w:r>
      <w:r w:rsidR="004D1F0B" w:rsidRPr="00704036">
        <w:rPr>
          <w:rFonts w:eastAsia="Calibri" w:cs="Arial"/>
        </w:rPr>
        <w:t xml:space="preserve"> </w:t>
      </w:r>
      <w:r w:rsidRPr="00704036">
        <w:rPr>
          <w:rFonts w:eastAsia="Calibri" w:cs="Arial"/>
        </w:rPr>
        <w:t xml:space="preserve">reference cost </w:t>
      </w:r>
      <w:r w:rsidRPr="00801AF5">
        <w:rPr>
          <w:rFonts w:eastAsia="Calibri" w:cs="Arial"/>
        </w:rPr>
        <w:t xml:space="preserve">of </w:t>
      </w:r>
      <w:r w:rsidRPr="009602D0">
        <w:rPr>
          <w:rFonts w:eastAsia="Calibri" w:cs="Arial"/>
        </w:rPr>
        <w:t>$</w:t>
      </w:r>
      <w:r w:rsidR="00A470C6">
        <w:rPr>
          <w:rFonts w:eastAsia="Calibri" w:cs="Arial"/>
        </w:rPr>
        <w:t>5,</w:t>
      </w:r>
      <w:r w:rsidR="0095539E">
        <w:rPr>
          <w:rFonts w:eastAsia="Calibri" w:cs="Arial"/>
        </w:rPr>
        <w:t>307</w:t>
      </w:r>
      <w:r w:rsidRPr="00801AF5">
        <w:rPr>
          <w:rFonts w:eastAsia="Calibri" w:cs="Arial"/>
        </w:rPr>
        <w:t>).</w:t>
      </w:r>
    </w:p>
    <w:p w14:paraId="60202BC0" w14:textId="77777777" w:rsidR="00561E6C" w:rsidRPr="00640FD5" w:rsidRDefault="00561E6C" w:rsidP="00640FD5">
      <w:pPr>
        <w:spacing w:before="100" w:beforeAutospacing="1" w:after="100" w:afterAutospacing="1" w:line="240" w:lineRule="auto"/>
        <w:rPr>
          <w:rFonts w:eastAsia="Calibri" w:cs="Arial"/>
        </w:rPr>
      </w:pPr>
      <w:r w:rsidRPr="00704036">
        <w:rPr>
          <w:rFonts w:eastAsia="Calibri" w:cs="Arial"/>
        </w:rPr>
        <w:t xml:space="preserve">The time series and associated exponential line of best fit are shown in Figure </w:t>
      </w:r>
      <w:r w:rsidR="008E2878">
        <w:rPr>
          <w:rFonts w:eastAsia="Calibri" w:cs="Arial"/>
        </w:rPr>
        <w:t>9</w:t>
      </w:r>
      <w:r w:rsidRPr="00704036">
        <w:rPr>
          <w:rFonts w:eastAsia="Calibri" w:cs="Arial"/>
        </w:rPr>
        <w:t xml:space="preserve">. The two equations displayed in Figure </w:t>
      </w:r>
      <w:r w:rsidR="008E2878">
        <w:rPr>
          <w:rFonts w:eastAsia="Calibri" w:cs="Arial"/>
        </w:rPr>
        <w:t>9</w:t>
      </w:r>
      <w:r w:rsidRPr="00704036">
        <w:rPr>
          <w:rFonts w:eastAsia="Calibri" w:cs="Arial"/>
        </w:rPr>
        <w:t xml:space="preserve"> represent the exponential line expressed in terms of the cost ratio time series and the cost per weighted separation time series.</w:t>
      </w:r>
    </w:p>
    <w:p w14:paraId="4D3B530B" w14:textId="77777777" w:rsidR="00561E6C" w:rsidRDefault="00561E6C" w:rsidP="00F41C22">
      <w:pPr>
        <w:keepNext/>
        <w:spacing w:line="240" w:lineRule="auto"/>
        <w:rPr>
          <w:b/>
        </w:rPr>
      </w:pPr>
      <w:r w:rsidRPr="00F23B33">
        <w:rPr>
          <w:b/>
        </w:rPr>
        <w:lastRenderedPageBreak/>
        <w:t>F</w:t>
      </w:r>
      <w:r w:rsidR="008E2878">
        <w:rPr>
          <w:b/>
        </w:rPr>
        <w:t>igure 9</w:t>
      </w:r>
      <w:r w:rsidRPr="00F23B33">
        <w:rPr>
          <w:b/>
        </w:rPr>
        <w:t>: Time series of cost ratio and cost per weighted separation with exponential line of best fit</w:t>
      </w:r>
    </w:p>
    <w:p w14:paraId="2FC313B8" w14:textId="7E5F6469" w:rsidR="000822BA" w:rsidRDefault="00F17CA4" w:rsidP="00F41C22">
      <w:pPr>
        <w:keepNext/>
        <w:spacing w:line="240" w:lineRule="auto"/>
        <w:rPr>
          <w:b/>
        </w:rPr>
      </w:pPr>
      <w:r>
        <w:rPr>
          <w:b/>
          <w:noProof/>
          <w:color w:val="2B579A"/>
          <w:shd w:val="clear" w:color="auto" w:fill="E6E6E6"/>
        </w:rPr>
        <w:drawing>
          <wp:inline distT="0" distB="0" distL="0" distR="0" wp14:anchorId="3837B37E" wp14:editId="0034A30A">
            <wp:extent cx="6047740" cy="3853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7740" cy="3853180"/>
                    </a:xfrm>
                    <a:prstGeom prst="rect">
                      <a:avLst/>
                    </a:prstGeom>
                    <a:noFill/>
                  </pic:spPr>
                </pic:pic>
              </a:graphicData>
            </a:graphic>
          </wp:inline>
        </w:drawing>
      </w:r>
    </w:p>
    <w:p w14:paraId="5011F40E" w14:textId="7CAD66FA" w:rsidR="00561E6C" w:rsidRPr="00704036" w:rsidRDefault="00561E6C" w:rsidP="00561E6C">
      <w:pPr>
        <w:spacing w:before="0" w:after="0" w:line="240" w:lineRule="auto"/>
        <w:rPr>
          <w:rFonts w:eastAsia="Calibri" w:cs="Arial"/>
        </w:rPr>
      </w:pPr>
      <w:r w:rsidRPr="00704036">
        <w:rPr>
          <w:rFonts w:eastAsia="Calibri" w:cs="Arial"/>
        </w:rPr>
        <w:t>Note</w:t>
      </w:r>
      <w:r>
        <w:rPr>
          <w:rFonts w:eastAsia="Calibri" w:cs="Arial"/>
        </w:rPr>
        <w:t>:</w:t>
      </w:r>
      <w:r w:rsidRPr="00704036">
        <w:rPr>
          <w:rFonts w:eastAsia="Calibri" w:cs="Arial"/>
        </w:rPr>
        <w:t xml:space="preserve"> that although the two equations in Figure </w:t>
      </w:r>
      <w:r w:rsidR="008E2878">
        <w:rPr>
          <w:rFonts w:eastAsia="Calibri" w:cs="Arial"/>
        </w:rPr>
        <w:t>9</w:t>
      </w:r>
      <w:r w:rsidRPr="00704036">
        <w:rPr>
          <w:rFonts w:eastAsia="Calibri" w:cs="Arial"/>
        </w:rPr>
        <w:t xml:space="preserve"> have different coefficients multiplying the exponential function (</w:t>
      </w:r>
      <w:r>
        <w:rPr>
          <w:rFonts w:eastAsia="Calibri" w:cs="Arial"/>
        </w:rPr>
        <w:t>that is,</w:t>
      </w:r>
      <w:r w:rsidRPr="00801AF5">
        <w:rPr>
          <w:rFonts w:eastAsia="Calibri" w:cs="Arial"/>
        </w:rPr>
        <w:t xml:space="preserve"> </w:t>
      </w:r>
      <w:r w:rsidRPr="002D4A0B">
        <w:rPr>
          <w:rFonts w:eastAsia="Calibri" w:cs="Arial"/>
        </w:rPr>
        <w:t>one</w:t>
      </w:r>
      <w:r w:rsidRPr="00801AF5">
        <w:rPr>
          <w:rFonts w:eastAsia="Calibri" w:cs="Arial"/>
        </w:rPr>
        <w:t xml:space="preserve"> and $</w:t>
      </w:r>
      <w:r w:rsidR="00BC4C31">
        <w:rPr>
          <w:rFonts w:eastAsia="Calibri" w:cs="Arial"/>
        </w:rPr>
        <w:t>5,</w:t>
      </w:r>
      <w:r w:rsidR="00A47C8F">
        <w:rPr>
          <w:rFonts w:eastAsia="Calibri" w:cs="Arial"/>
        </w:rPr>
        <w:t>307</w:t>
      </w:r>
      <w:r w:rsidRPr="00C12A66">
        <w:rPr>
          <w:rFonts w:eastAsia="Calibri" w:cs="Arial"/>
        </w:rPr>
        <w:t xml:space="preserve">), both have precisely the same coefficient inside the exponential function </w:t>
      </w:r>
      <w:r w:rsidRPr="00283DF8">
        <w:rPr>
          <w:rFonts w:eastAsia="Calibri" w:cs="Arial"/>
        </w:rPr>
        <w:t>(</w:t>
      </w:r>
      <w:r>
        <w:rPr>
          <w:rFonts w:eastAsia="Calibri" w:cs="Arial"/>
        </w:rPr>
        <w:t>that is</w:t>
      </w:r>
      <w:r w:rsidRPr="002D4A0B">
        <w:rPr>
          <w:rFonts w:eastAsia="Calibri" w:cs="Arial"/>
        </w:rPr>
        <w:t>, 0.</w:t>
      </w:r>
      <w:r w:rsidR="00C736A0" w:rsidRPr="002D4A0B">
        <w:rPr>
          <w:rFonts w:eastAsia="Calibri" w:cs="Arial"/>
        </w:rPr>
        <w:t>02</w:t>
      </w:r>
      <w:r w:rsidR="00B414B3">
        <w:rPr>
          <w:rFonts w:eastAsia="Calibri" w:cs="Arial"/>
        </w:rPr>
        <w:t>81</w:t>
      </w:r>
      <w:r>
        <w:rPr>
          <w:rFonts w:eastAsia="Calibri" w:cs="Arial"/>
        </w:rPr>
        <w:t>)</w:t>
      </w:r>
      <w:r w:rsidRPr="00283DF8">
        <w:rPr>
          <w:rFonts w:eastAsia="Calibri" w:cs="Arial"/>
        </w:rPr>
        <w:t>.</w:t>
      </w:r>
      <w:r w:rsidRPr="00704036">
        <w:rPr>
          <w:rFonts w:eastAsia="Calibri" w:cs="Arial"/>
        </w:rPr>
        <w:t xml:space="preserve"> The two different coefficients multiplying the exponential function represent the estimated cost ratio and cost per weighted separation in ‘year zero’ (</w:t>
      </w:r>
      <w:r>
        <w:rPr>
          <w:rFonts w:eastAsia="Calibri" w:cs="Arial"/>
        </w:rPr>
        <w:t>that is,</w:t>
      </w:r>
      <w:r w:rsidRPr="00704036">
        <w:rPr>
          <w:rFonts w:eastAsia="Calibri" w:cs="Arial"/>
        </w:rPr>
        <w:t xml:space="preserve"> x</w:t>
      </w:r>
      <w:r>
        <w:rPr>
          <w:rFonts w:eastAsia="Calibri" w:cs="Arial"/>
        </w:rPr>
        <w:t xml:space="preserve"> </w:t>
      </w:r>
      <w:r w:rsidRPr="00704036">
        <w:rPr>
          <w:rFonts w:eastAsia="Calibri" w:cs="Arial"/>
        </w:rPr>
        <w:t>=</w:t>
      </w:r>
      <w:r>
        <w:rPr>
          <w:rFonts w:eastAsia="Calibri" w:cs="Arial"/>
        </w:rPr>
        <w:t xml:space="preserve"> </w:t>
      </w:r>
      <w:r w:rsidRPr="00704036">
        <w:rPr>
          <w:rFonts w:eastAsia="Calibri" w:cs="Arial"/>
        </w:rPr>
        <w:t xml:space="preserve">0), which is </w:t>
      </w:r>
      <w:r w:rsidR="004D1F0B">
        <w:rPr>
          <w:rFonts w:eastAsia="Calibri" w:cs="Arial"/>
        </w:rPr>
        <w:t>2019</w:t>
      </w:r>
      <w:r>
        <w:rPr>
          <w:rFonts w:eastAsia="Calibri" w:cs="Arial"/>
        </w:rPr>
        <w:t>–</w:t>
      </w:r>
      <w:r w:rsidR="004D1F0B">
        <w:rPr>
          <w:rFonts w:eastAsia="Calibri" w:cs="Arial"/>
        </w:rPr>
        <w:t>20</w:t>
      </w:r>
      <w:r w:rsidRPr="00704036">
        <w:rPr>
          <w:rFonts w:eastAsia="Calibri" w:cs="Arial"/>
        </w:rPr>
        <w:t xml:space="preserve">. That is, the regression modelled cost ratio for </w:t>
      </w:r>
      <w:r w:rsidR="004D1F0B">
        <w:rPr>
          <w:rFonts w:eastAsia="Calibri" w:cs="Arial"/>
        </w:rPr>
        <w:t>2019</w:t>
      </w:r>
      <w:r>
        <w:rPr>
          <w:rFonts w:eastAsia="Calibri" w:cs="Arial"/>
        </w:rPr>
        <w:t>–</w:t>
      </w:r>
      <w:r w:rsidR="004D1F0B">
        <w:rPr>
          <w:rFonts w:eastAsia="Calibri" w:cs="Arial"/>
        </w:rPr>
        <w:t>20</w:t>
      </w:r>
      <w:r w:rsidR="004D1F0B" w:rsidRPr="007B0C5C">
        <w:rPr>
          <w:rFonts w:eastAsia="Calibri" w:cs="Arial"/>
        </w:rPr>
        <w:t xml:space="preserve"> </w:t>
      </w:r>
      <w:r w:rsidRPr="007B0C5C">
        <w:rPr>
          <w:rFonts w:eastAsia="Calibri" w:cs="Arial"/>
        </w:rPr>
        <w:t xml:space="preserve">is </w:t>
      </w:r>
      <w:r w:rsidRPr="002D4A0B">
        <w:rPr>
          <w:rFonts w:eastAsia="Calibri" w:cs="Arial"/>
        </w:rPr>
        <w:t>1.000</w:t>
      </w:r>
      <w:r w:rsidRPr="007B0C5C">
        <w:rPr>
          <w:rFonts w:eastAsia="Calibri" w:cs="Arial"/>
        </w:rPr>
        <w:t xml:space="preserve"> and the modelled cost per weighted separation for </w:t>
      </w:r>
      <w:r w:rsidR="004D1F0B">
        <w:rPr>
          <w:rFonts w:eastAsia="Calibri" w:cs="Arial"/>
        </w:rPr>
        <w:t>2019</w:t>
      </w:r>
      <w:r>
        <w:rPr>
          <w:rFonts w:eastAsia="Calibri" w:cs="Arial"/>
        </w:rPr>
        <w:t>–</w:t>
      </w:r>
      <w:r w:rsidR="004D1F0B">
        <w:rPr>
          <w:rFonts w:eastAsia="Calibri" w:cs="Arial"/>
        </w:rPr>
        <w:t>20</w:t>
      </w:r>
      <w:r w:rsidR="004D1F0B" w:rsidRPr="00801AF5">
        <w:rPr>
          <w:rFonts w:eastAsia="Calibri" w:cs="Arial"/>
        </w:rPr>
        <w:t xml:space="preserve"> </w:t>
      </w:r>
      <w:r w:rsidRPr="00801AF5">
        <w:rPr>
          <w:rFonts w:eastAsia="Calibri" w:cs="Arial"/>
        </w:rPr>
        <w:t xml:space="preserve">is </w:t>
      </w:r>
      <w:r w:rsidRPr="009602D0">
        <w:rPr>
          <w:rFonts w:eastAsia="Calibri" w:cs="Arial"/>
        </w:rPr>
        <w:t>$</w:t>
      </w:r>
      <w:r w:rsidR="00BC4C31">
        <w:rPr>
          <w:rFonts w:eastAsia="Calibri" w:cs="Arial"/>
        </w:rPr>
        <w:t>5,</w:t>
      </w:r>
      <w:r w:rsidR="0069471F">
        <w:rPr>
          <w:rFonts w:eastAsia="Calibri" w:cs="Arial"/>
        </w:rPr>
        <w:t>307</w:t>
      </w:r>
      <w:r w:rsidRPr="00765488">
        <w:rPr>
          <w:rFonts w:eastAsia="Calibri" w:cs="Arial"/>
        </w:rPr>
        <w:t>.</w:t>
      </w:r>
    </w:p>
    <w:p w14:paraId="5BCC9487" w14:textId="4FA0917D" w:rsidR="00561E6C" w:rsidRDefault="00561E6C" w:rsidP="00561E6C">
      <w:pPr>
        <w:spacing w:after="0" w:line="240" w:lineRule="auto"/>
        <w:rPr>
          <w:rFonts w:eastAsia="Calibri" w:cs="Arial"/>
        </w:rPr>
      </w:pPr>
      <w:r w:rsidRPr="00704036">
        <w:rPr>
          <w:rFonts w:eastAsia="Calibri" w:cs="Arial"/>
        </w:rPr>
        <w:t xml:space="preserve">The regression modelled estimates of cost ratio and cost per weighted separation for each of the years from </w:t>
      </w:r>
      <w:r w:rsidR="004D6A25" w:rsidRPr="00801AF5">
        <w:rPr>
          <w:rFonts w:eastAsia="Calibri" w:cs="Arial"/>
        </w:rPr>
        <w:t>20</w:t>
      </w:r>
      <w:r w:rsidR="004D6A25">
        <w:rPr>
          <w:rFonts w:eastAsia="Calibri" w:cs="Arial"/>
        </w:rPr>
        <w:t>1</w:t>
      </w:r>
      <w:r w:rsidR="00A02C23">
        <w:rPr>
          <w:rFonts w:eastAsia="Calibri" w:cs="Arial"/>
        </w:rPr>
        <w:t>4</w:t>
      </w:r>
      <w:r>
        <w:rPr>
          <w:rFonts w:eastAsia="Calibri" w:cs="Arial"/>
        </w:rPr>
        <w:t>–</w:t>
      </w:r>
      <w:r w:rsidR="004D6A25" w:rsidRPr="00801AF5">
        <w:rPr>
          <w:rFonts w:eastAsia="Calibri" w:cs="Arial"/>
        </w:rPr>
        <w:t>1</w:t>
      </w:r>
      <w:r w:rsidR="00A02C23">
        <w:rPr>
          <w:rFonts w:eastAsia="Calibri" w:cs="Arial"/>
        </w:rPr>
        <w:t>5</w:t>
      </w:r>
      <w:r w:rsidR="004D6A25">
        <w:rPr>
          <w:rFonts w:eastAsia="Calibri" w:cs="Arial"/>
        </w:rPr>
        <w:t xml:space="preserve"> </w:t>
      </w:r>
      <w:r w:rsidRPr="00801AF5">
        <w:rPr>
          <w:rFonts w:eastAsia="Calibri" w:cs="Arial"/>
        </w:rPr>
        <w:t xml:space="preserve">to </w:t>
      </w:r>
      <w:r w:rsidR="004D6A25">
        <w:rPr>
          <w:rFonts w:eastAsia="Calibri" w:cs="Arial"/>
        </w:rPr>
        <w:t>2019</w:t>
      </w:r>
      <w:r>
        <w:rPr>
          <w:rFonts w:eastAsia="Calibri" w:cs="Arial"/>
        </w:rPr>
        <w:t>–</w:t>
      </w:r>
      <w:r w:rsidR="004D6A25">
        <w:rPr>
          <w:rFonts w:eastAsia="Calibri" w:cs="Arial"/>
        </w:rPr>
        <w:t>20</w:t>
      </w:r>
      <w:r w:rsidR="004D6A25" w:rsidRPr="00801AF5">
        <w:rPr>
          <w:rFonts w:eastAsia="Calibri" w:cs="Arial"/>
        </w:rPr>
        <w:t xml:space="preserve"> </w:t>
      </w:r>
      <w:r w:rsidRPr="00801AF5">
        <w:rPr>
          <w:rFonts w:eastAsia="Calibri" w:cs="Arial"/>
        </w:rPr>
        <w:t xml:space="preserve">are given by </w:t>
      </w:r>
      <w:r w:rsidRPr="003053EC">
        <w:rPr>
          <w:rFonts w:eastAsia="Calibri" w:cs="Arial"/>
        </w:rPr>
        <w:t>substituting x = -</w:t>
      </w:r>
      <w:r w:rsidRPr="00EA1011">
        <w:rPr>
          <w:rFonts w:eastAsia="Calibri" w:cs="Arial"/>
        </w:rPr>
        <w:t>5</w:t>
      </w:r>
      <w:r>
        <w:rPr>
          <w:rFonts w:eastAsia="Calibri" w:cs="Arial"/>
        </w:rPr>
        <w:t>…0</w:t>
      </w:r>
      <w:r w:rsidRPr="003053EC">
        <w:rPr>
          <w:rFonts w:eastAsia="Calibri" w:cs="Arial"/>
        </w:rPr>
        <w:t xml:space="preserve"> into the</w:t>
      </w:r>
      <w:r w:rsidRPr="00704036">
        <w:rPr>
          <w:rFonts w:eastAsia="Calibri" w:cs="Arial"/>
        </w:rPr>
        <w:t xml:space="preserve"> equations. </w:t>
      </w:r>
    </w:p>
    <w:p w14:paraId="526AD7E8" w14:textId="6E358DEA" w:rsidR="00561E6C" w:rsidRPr="00F925FC" w:rsidRDefault="00561E6C" w:rsidP="00561E6C">
      <w:pPr>
        <w:spacing w:after="0" w:line="240" w:lineRule="auto"/>
        <w:rPr>
          <w:rFonts w:ascii="Calibri" w:eastAsia="Calibri" w:hAnsi="Calibri"/>
        </w:rPr>
      </w:pPr>
      <w:r w:rsidRPr="00704036">
        <w:rPr>
          <w:rFonts w:eastAsia="Calibri" w:cs="Arial"/>
        </w:rPr>
        <w:t xml:space="preserve">For example, substituting x = 0 into </w:t>
      </w:r>
      <w:r w:rsidRPr="00F925FC">
        <w:rPr>
          <w:rFonts w:eastAsia="Calibri" w:cs="Arial"/>
        </w:rPr>
        <w:t xml:space="preserve">the equations results in the </w:t>
      </w:r>
      <w:r w:rsidRPr="00A02C23">
        <w:rPr>
          <w:rFonts w:eastAsia="Calibri" w:cs="Arial"/>
        </w:rPr>
        <w:t>201</w:t>
      </w:r>
      <w:r w:rsidR="00A02C23">
        <w:rPr>
          <w:rFonts w:eastAsia="Calibri" w:cs="Arial"/>
        </w:rPr>
        <w:t>9</w:t>
      </w:r>
      <w:r w:rsidRPr="00A02C23">
        <w:rPr>
          <w:rFonts w:eastAsia="Calibri" w:cs="Arial"/>
        </w:rPr>
        <w:t>–</w:t>
      </w:r>
      <w:r w:rsidR="00A02C23">
        <w:rPr>
          <w:rFonts w:eastAsia="Calibri" w:cs="Arial"/>
        </w:rPr>
        <w:t>20</w:t>
      </w:r>
      <w:r w:rsidRPr="00F925FC">
        <w:rPr>
          <w:rFonts w:eastAsia="Calibri" w:cs="Arial"/>
        </w:rPr>
        <w:t xml:space="preserve"> cost ratio and cost per weighted separation:</w:t>
      </w:r>
      <w:r w:rsidRPr="00F925FC">
        <w:rPr>
          <w:rFonts w:ascii="Calibri" w:eastAsia="Calibri" w:hAnsi="Calibri"/>
        </w:rPr>
        <w:t xml:space="preserve"> </w:t>
      </w:r>
    </w:p>
    <w:p w14:paraId="67E9C974" w14:textId="23548A1F" w:rsidR="00561E6C" w:rsidRPr="00F925FC" w:rsidRDefault="00001CB6" w:rsidP="00561E6C">
      <w:pPr>
        <w:spacing w:line="240" w:lineRule="auto"/>
        <w:rPr>
          <w:rFonts w:ascii="Calibri" w:eastAsia="Calibri" w:hAnsi="Calibri"/>
        </w:rPr>
      </w:pPr>
      <m:oMathPara>
        <m:oMath>
          <m:r>
            <m:rPr>
              <m:sty m:val="p"/>
            </m:rPr>
            <w:rPr>
              <w:rFonts w:ascii="Cambria Math" w:hAnsi="Cambria Math" w:cs="Arial"/>
            </w:rPr>
            <m:t>2019-20 cost ratio</m:t>
          </m:r>
          <m:r>
            <m:rPr>
              <m:sty m:val="p"/>
              <m:aln/>
            </m:rPr>
            <w:rPr>
              <w:rFonts w:ascii="Cambria Math" w:hAnsi="Cambria Math" w:cs="Arial"/>
            </w:rPr>
            <m:t>=</m:t>
          </m:r>
          <m:r>
            <m:rPr>
              <m:sty m:val="p"/>
            </m:rPr>
            <w:rPr>
              <w:rFonts w:ascii="Cambria Math" w:hAnsi="Cambria Math" w:cs="Arial"/>
              <w:shd w:val="clear" w:color="auto" w:fill="FFFFFF" w:themeFill="background1"/>
            </w:rPr>
            <m:t>1.000</m:t>
          </m:r>
          <m:r>
            <m:rPr>
              <m:sty m:val="p"/>
            </m:rPr>
            <w:rPr>
              <w:rFonts w:ascii="Cambria Math" w:hAnsi="Cambria Math" w:cs="Arial" w:hint="eastAsia"/>
              <w:shd w:val="clear" w:color="auto" w:fill="FFFFFF" w:themeFill="background1"/>
            </w:rPr>
            <m:t>×</m:t>
          </m:r>
          <m:sSup>
            <m:sSupPr>
              <m:ctrlPr>
                <w:rPr>
                  <w:rFonts w:ascii="Cambria Math" w:hAnsi="Cambria Math" w:cs="Arial"/>
                  <w:shd w:val="clear" w:color="auto" w:fill="FFFFFF" w:themeFill="background1"/>
                </w:rPr>
              </m:ctrlPr>
            </m:sSupPr>
            <m:e>
              <m:r>
                <m:rPr>
                  <m:sty m:val="p"/>
                </m:rPr>
                <w:rPr>
                  <w:rFonts w:ascii="Cambria Math" w:hAnsi="Cambria Math" w:cs="Arial"/>
                  <w:shd w:val="clear" w:color="auto" w:fill="FFFFFF" w:themeFill="background1"/>
                </w:rPr>
                <m:t>e</m:t>
              </m:r>
            </m:e>
            <m:sup>
              <m:d>
                <m:dPr>
                  <m:ctrlPr>
                    <w:rPr>
                      <w:rFonts w:ascii="Cambria Math" w:hAnsi="Cambria Math" w:cs="Arial"/>
                      <w:i/>
                      <w:shd w:val="clear" w:color="auto" w:fill="FFFFFF" w:themeFill="background1"/>
                    </w:rPr>
                  </m:ctrlPr>
                </m:dPr>
                <m:e>
                  <m:r>
                    <w:rPr>
                      <w:rFonts w:ascii="Cambria Math" w:hAnsi="Cambria Math" w:cs="Arial"/>
                      <w:shd w:val="clear" w:color="auto" w:fill="FFFFFF" w:themeFill="background1"/>
                    </w:rPr>
                    <m:t>0.0281</m:t>
                  </m:r>
                  <m:r>
                    <w:rPr>
                      <w:rFonts w:ascii="Cambria Math" w:hAnsi="Cambria Math" w:cs="Arial" w:hint="eastAsia"/>
                      <w:shd w:val="clear" w:color="auto" w:fill="FFFFFF" w:themeFill="background1"/>
                    </w:rPr>
                    <m:t>×</m:t>
                  </m:r>
                  <m:r>
                    <w:rPr>
                      <w:rFonts w:ascii="Cambria Math" w:hAnsi="Cambria Math" w:cs="Arial"/>
                      <w:shd w:val="clear" w:color="auto" w:fill="FFFFFF" w:themeFill="background1"/>
                    </w:rPr>
                    <m:t>0</m:t>
                  </m:r>
                </m:e>
              </m:d>
            </m:sup>
          </m:sSup>
          <m:r>
            <m:rPr>
              <m:sty m:val="p"/>
            </m:rPr>
            <w:rPr>
              <w:rFonts w:ascii="Cambria Math" w:hAnsi="Cambria Math" w:cs="Arial"/>
              <w:shd w:val="clear" w:color="auto" w:fill="FFFFFF" w:themeFill="background1"/>
            </w:rPr>
            <w:br/>
          </m:r>
        </m:oMath>
        <m:oMath>
          <m:r>
            <m:rPr>
              <m:aln/>
            </m:rPr>
            <w:rPr>
              <w:rFonts w:ascii="Cambria Math" w:hAnsi="Cambria Math" w:cs="Arial"/>
              <w:shd w:val="clear" w:color="auto" w:fill="FFFFFF" w:themeFill="background1"/>
            </w:rPr>
            <m:t>=1.000</m:t>
          </m:r>
          <m:sSup>
            <m:sSupPr>
              <m:ctrlPr>
                <w:rPr>
                  <w:rFonts w:ascii="Cambria Math" w:hAnsi="Cambria Math" w:cs="Arial"/>
                  <w:i/>
                  <w:shd w:val="clear" w:color="auto" w:fill="FFFFFF" w:themeFill="background1"/>
                </w:rPr>
              </m:ctrlPr>
            </m:sSupPr>
            <m:e>
              <m:r>
                <w:rPr>
                  <w:rFonts w:ascii="Cambria Math" w:hAnsi="Cambria Math" w:cs="Arial"/>
                  <w:shd w:val="clear" w:color="auto" w:fill="FFFFFF" w:themeFill="background1"/>
                </w:rPr>
                <m:t>e</m:t>
              </m:r>
            </m:e>
            <m:sup>
              <m:r>
                <w:rPr>
                  <w:rFonts w:ascii="Cambria Math" w:hAnsi="Cambria Math" w:cs="Arial"/>
                  <w:shd w:val="clear" w:color="auto" w:fill="FFFFFF" w:themeFill="background1"/>
                </w:rPr>
                <m:t>0</m:t>
              </m:r>
            </m:sup>
          </m:sSup>
          <m:r>
            <m:rPr>
              <m:sty m:val="p"/>
            </m:rPr>
            <w:rPr>
              <w:rFonts w:ascii="Cambria Math" w:hAnsi="Cambria Math" w:cs="Arial"/>
              <w:shd w:val="clear" w:color="auto" w:fill="FFFFFF" w:themeFill="background1"/>
            </w:rPr>
            <w:br/>
          </m:r>
        </m:oMath>
        <m:oMath>
          <m:r>
            <m:rPr>
              <m:aln/>
            </m:rPr>
            <w:rPr>
              <w:rFonts w:ascii="Cambria Math" w:hAnsi="Cambria Math" w:cs="Arial"/>
              <w:shd w:val="clear" w:color="auto" w:fill="FFFFFF" w:themeFill="background1"/>
            </w:rPr>
            <m:t>=1.000</m:t>
          </m:r>
        </m:oMath>
      </m:oMathPara>
    </w:p>
    <w:p w14:paraId="0EE24FBE" w14:textId="77777777" w:rsidR="00561E6C" w:rsidRPr="00F925FC" w:rsidRDefault="00561E6C" w:rsidP="00561E6C">
      <w:pPr>
        <w:spacing w:before="100" w:beforeAutospacing="1" w:after="100" w:afterAutospacing="1" w:line="240" w:lineRule="auto"/>
        <w:rPr>
          <w:rFonts w:eastAsia="Calibri" w:cs="Arial"/>
        </w:rPr>
      </w:pPr>
      <w:r w:rsidRPr="00F925FC">
        <w:rPr>
          <w:rFonts w:eastAsia="Calibri" w:cs="Arial"/>
        </w:rPr>
        <w:t>And,</w:t>
      </w:r>
    </w:p>
    <w:p w14:paraId="1B19F561" w14:textId="32B6F459" w:rsidR="00561E6C" w:rsidRPr="00F925FC" w:rsidRDefault="00001CB6" w:rsidP="00561E6C">
      <w:pPr>
        <w:spacing w:line="240" w:lineRule="auto"/>
        <w:rPr>
          <w:rFonts w:cs="Arial"/>
        </w:rPr>
      </w:pPr>
      <m:oMathPara>
        <m:oMath>
          <m:r>
            <m:rPr>
              <m:sty m:val="p"/>
            </m:rPr>
            <w:rPr>
              <w:rFonts w:ascii="Cambria Math" w:hAnsi="Cambria Math"/>
            </w:rPr>
            <m:t>2019-20 cost per weighted separation</m:t>
          </m:r>
          <m:r>
            <m:rPr>
              <m:sty m:val="p"/>
              <m:aln/>
            </m:rPr>
            <w:rPr>
              <w:rFonts w:ascii="Cambria Math" w:hAnsi="Cambria Math"/>
            </w:rPr>
            <m:t>=$5,307</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e</m:t>
              </m:r>
            </m:e>
            <m:sup>
              <m:d>
                <m:dPr>
                  <m:ctrlPr>
                    <w:rPr>
                      <w:rFonts w:ascii="Cambria Math" w:hAnsi="Cambria Math"/>
                      <w:i/>
                    </w:rPr>
                  </m:ctrlPr>
                </m:dPr>
                <m:e>
                  <m:r>
                    <w:rPr>
                      <w:rFonts w:ascii="Cambria Math" w:hAnsi="Cambria Math"/>
                      <w:shd w:val="clear" w:color="auto" w:fill="FFFFFF" w:themeFill="background1"/>
                    </w:rPr>
                    <m:t>0.0281</m:t>
                  </m:r>
                  <m:r>
                    <w:rPr>
                      <w:rFonts w:ascii="Cambria Math" w:hAnsi="Cambria Math" w:hint="eastAsia"/>
                    </w:rPr>
                    <m:t>×</m:t>
                  </m:r>
                  <m:r>
                    <w:rPr>
                      <w:rFonts w:ascii="Cambria Math" w:hAnsi="Cambria Math"/>
                    </w:rPr>
                    <m:t>0</m:t>
                  </m:r>
                </m:e>
              </m:d>
            </m:sup>
          </m:sSup>
          <m:r>
            <m:rPr>
              <m:sty m:val="p"/>
            </m:rPr>
            <w:rPr>
              <w:rFonts w:ascii="Cambria Math" w:hAnsi="Cambria Math"/>
            </w:rPr>
            <w:br/>
          </m:r>
        </m:oMath>
        <m:oMath>
          <m:r>
            <m:rPr>
              <m:aln/>
            </m:rPr>
            <w:rPr>
              <w:rFonts w:ascii="Cambria Math" w:hAnsi="Cambria Math"/>
            </w:rPr>
            <m:t>=$</m:t>
          </m:r>
          <m:r>
            <m:rPr>
              <m:sty m:val="p"/>
            </m:rPr>
            <w:rPr>
              <w:rFonts w:ascii="Cambria Math" w:hAnsi="Cambria Math"/>
            </w:rPr>
            <m:t>5,307</m:t>
          </m:r>
          <m:sSup>
            <m:sSupPr>
              <m:ctrlPr>
                <w:rPr>
                  <w:rFonts w:ascii="Cambria Math" w:hAnsi="Cambria Math"/>
                  <w:i/>
                </w:rPr>
              </m:ctrlPr>
            </m:sSupPr>
            <m:e>
              <m:r>
                <w:rPr>
                  <w:rFonts w:ascii="Cambria Math" w:hAnsi="Cambria Math"/>
                </w:rPr>
                <m:t>e</m:t>
              </m:r>
            </m:e>
            <m:sup>
              <m:r>
                <w:rPr>
                  <w:rFonts w:ascii="Cambria Math" w:hAnsi="Cambria Math"/>
                </w:rPr>
                <m:t>0</m:t>
              </m:r>
            </m:sup>
          </m:sSup>
          <m:r>
            <m:rPr>
              <m:sty m:val="p"/>
            </m:rPr>
            <w:rPr>
              <w:rFonts w:ascii="Cambria Math" w:hAnsi="Cambria Math" w:cs="Arial"/>
            </w:rPr>
            <w:br/>
          </m:r>
        </m:oMath>
        <m:oMath>
          <m:r>
            <m:rPr>
              <m:aln/>
            </m:rPr>
            <w:rPr>
              <w:rFonts w:ascii="Cambria Math" w:hAnsi="Cambria Math" w:cs="Arial"/>
            </w:rPr>
            <m:t>=$5,307</m:t>
          </m:r>
        </m:oMath>
      </m:oMathPara>
    </w:p>
    <w:p w14:paraId="4DE75D68" w14:textId="466F2E6F" w:rsidR="00561E6C" w:rsidRDefault="00561E6C" w:rsidP="00C213C1">
      <w:pPr>
        <w:keepLines/>
        <w:spacing w:before="100" w:beforeAutospacing="1" w:after="100" w:afterAutospacing="1" w:line="240" w:lineRule="auto"/>
        <w:rPr>
          <w:rFonts w:eastAsia="Calibri" w:cs="Arial"/>
        </w:rPr>
      </w:pPr>
      <w:r w:rsidRPr="00F925FC">
        <w:rPr>
          <w:rFonts w:eastAsia="Calibri" w:cs="Arial"/>
        </w:rPr>
        <w:t xml:space="preserve">Finally, the annual scaling factor (that is, </w:t>
      </w:r>
      <w:r w:rsidRPr="00F925FC">
        <w:rPr>
          <w:rFonts w:eastAsia="Calibri" w:cs="Arial"/>
          <w:i/>
        </w:rPr>
        <w:t>s</w:t>
      </w:r>
      <w:r w:rsidRPr="00F925FC">
        <w:rPr>
          <w:rFonts w:eastAsia="Calibri" w:cs="Arial"/>
        </w:rPr>
        <w:t xml:space="preserve"> in Figure </w:t>
      </w:r>
      <w:r w:rsidR="008E2878" w:rsidRPr="00F925FC">
        <w:rPr>
          <w:rFonts w:eastAsia="Calibri" w:cs="Arial"/>
        </w:rPr>
        <w:t>8</w:t>
      </w:r>
      <w:r w:rsidRPr="00F925FC">
        <w:rPr>
          <w:rFonts w:eastAsia="Calibri" w:cs="Arial"/>
        </w:rPr>
        <w:t>) is then defined as the annual rate of change associated with the exponential line of best fit, and the indexation rate is the gr</w:t>
      </w:r>
      <w:r w:rsidRPr="00DF77B4">
        <w:rPr>
          <w:rFonts w:eastAsia="Calibri" w:cs="Arial"/>
        </w:rPr>
        <w:t>owth rate of this</w:t>
      </w:r>
      <w:r w:rsidRPr="007B0C5C">
        <w:rPr>
          <w:rFonts w:eastAsia="Calibri" w:cs="Arial"/>
        </w:rPr>
        <w:t xml:space="preserve"> a</w:t>
      </w:r>
      <w:r w:rsidRPr="00F925FC">
        <w:rPr>
          <w:rFonts w:eastAsia="Calibri" w:cs="Arial"/>
        </w:rPr>
        <w:t xml:space="preserve">nnual scaling factor. The annual rate of change of the exponential line is </w:t>
      </w:r>
      <w:r w:rsidRPr="002D4A0B">
        <w:rPr>
          <w:rFonts w:eastAsia="Calibri" w:cs="Arial"/>
          <w:i/>
        </w:rPr>
        <w:t>s</w:t>
      </w:r>
      <w:r w:rsidRPr="002D4A0B">
        <w:rPr>
          <w:rFonts w:eastAsia="Calibri" w:cs="Arial"/>
          <w:sz w:val="20"/>
        </w:rPr>
        <w:t xml:space="preserve"> </w:t>
      </w:r>
      <w:r w:rsidRPr="002D4A0B">
        <w:rPr>
          <w:rFonts w:eastAsia="Calibri" w:cs="Arial"/>
          <w:i/>
        </w:rPr>
        <w:t xml:space="preserve">= </w:t>
      </w:r>
      <w:r w:rsidRPr="002D4A0B">
        <w:rPr>
          <w:rFonts w:eastAsia="Calibri" w:cs="Arial"/>
        </w:rPr>
        <w:t>e</w:t>
      </w:r>
      <w:r w:rsidRPr="002D4A0B">
        <w:rPr>
          <w:rFonts w:eastAsia="Calibri" w:cs="Arial"/>
          <w:vertAlign w:val="superscript"/>
        </w:rPr>
        <w:t>0.</w:t>
      </w:r>
      <w:r w:rsidR="00347069" w:rsidRPr="002D4A0B">
        <w:rPr>
          <w:rFonts w:eastAsia="Calibri" w:cs="Arial"/>
          <w:vertAlign w:val="superscript"/>
        </w:rPr>
        <w:t>02</w:t>
      </w:r>
      <w:r w:rsidR="00347069">
        <w:rPr>
          <w:rFonts w:eastAsia="Calibri" w:cs="Arial"/>
          <w:vertAlign w:val="superscript"/>
        </w:rPr>
        <w:t>81</w:t>
      </w:r>
      <w:r w:rsidRPr="002D4A0B">
        <w:rPr>
          <w:rFonts w:eastAsia="Calibri" w:cs="Arial"/>
        </w:rPr>
        <w:t>,</w:t>
      </w:r>
      <w:r w:rsidRPr="00F925FC">
        <w:rPr>
          <w:rFonts w:eastAsia="Calibri" w:cs="Arial"/>
        </w:rPr>
        <w:t xml:space="preserve"> which is equal </w:t>
      </w:r>
      <w:r w:rsidRPr="002D4A0B">
        <w:rPr>
          <w:rFonts w:eastAsia="Calibri" w:cs="Arial"/>
        </w:rPr>
        <w:t>to 1.</w:t>
      </w:r>
      <w:r w:rsidR="007D35D4" w:rsidRPr="002D4A0B">
        <w:rPr>
          <w:rFonts w:eastAsia="Calibri" w:cs="Arial"/>
        </w:rPr>
        <w:t>02</w:t>
      </w:r>
      <w:r w:rsidR="00A02C23">
        <w:rPr>
          <w:rFonts w:eastAsia="Calibri" w:cs="Arial"/>
        </w:rPr>
        <w:t>8</w:t>
      </w:r>
      <w:r w:rsidRPr="002D4A0B">
        <w:rPr>
          <w:rFonts w:eastAsia="Calibri" w:cs="Arial"/>
        </w:rPr>
        <w:t xml:space="preserve">, or </w:t>
      </w:r>
      <w:r w:rsidR="00F925FC" w:rsidRPr="002D4A0B">
        <w:rPr>
          <w:rFonts w:eastAsia="Calibri" w:cs="Arial"/>
        </w:rPr>
        <w:t>10</w:t>
      </w:r>
      <w:r w:rsidRPr="002D4A0B">
        <w:rPr>
          <w:rFonts w:eastAsia="Calibri" w:cs="Arial"/>
        </w:rPr>
        <w:t>2</w:t>
      </w:r>
      <w:r w:rsidR="00F925FC" w:rsidRPr="002D4A0B">
        <w:rPr>
          <w:rFonts w:eastAsia="Calibri" w:cs="Arial"/>
        </w:rPr>
        <w:t>.</w:t>
      </w:r>
      <w:r w:rsidR="00A02C23">
        <w:rPr>
          <w:rFonts w:eastAsia="Calibri" w:cs="Arial"/>
        </w:rPr>
        <w:t>8</w:t>
      </w:r>
      <w:r w:rsidR="007D35D4" w:rsidRPr="002D4A0B">
        <w:rPr>
          <w:rFonts w:eastAsia="Calibri" w:cs="Arial"/>
        </w:rPr>
        <w:t xml:space="preserve"> </w:t>
      </w:r>
      <w:r w:rsidRPr="002D4A0B">
        <w:rPr>
          <w:rFonts w:eastAsia="Calibri" w:cs="Arial"/>
        </w:rPr>
        <w:t>per cent</w:t>
      </w:r>
      <w:r w:rsidRPr="00F925FC">
        <w:rPr>
          <w:rFonts w:eastAsia="Calibri" w:cs="Arial"/>
        </w:rPr>
        <w:t>. Therefore,</w:t>
      </w:r>
      <w:r w:rsidRPr="009602D0">
        <w:rPr>
          <w:rFonts w:eastAsia="Calibri" w:cs="Arial"/>
        </w:rPr>
        <w:t xml:space="preserve"> the indexation rate is </w:t>
      </w:r>
      <w:r w:rsidRPr="00D55148">
        <w:rPr>
          <w:rFonts w:eastAsia="Calibri" w:cs="Arial"/>
        </w:rPr>
        <w:t>2.</w:t>
      </w:r>
      <w:r w:rsidR="00DA538D">
        <w:rPr>
          <w:rFonts w:eastAsia="Calibri" w:cs="Arial"/>
        </w:rPr>
        <w:t>8</w:t>
      </w:r>
      <w:r w:rsidR="007D35D4" w:rsidRPr="00D55148">
        <w:rPr>
          <w:rFonts w:eastAsia="Calibri" w:cs="Arial"/>
        </w:rPr>
        <w:t xml:space="preserve"> </w:t>
      </w:r>
      <w:r w:rsidRPr="00D55148">
        <w:rPr>
          <w:rFonts w:eastAsia="Calibri" w:cs="Arial"/>
        </w:rPr>
        <w:t>per cent.</w:t>
      </w:r>
    </w:p>
    <w:p w14:paraId="37881461" w14:textId="0755DF3F" w:rsidR="00566989" w:rsidRPr="00704036" w:rsidRDefault="00566989" w:rsidP="00147EF1">
      <w:pPr>
        <w:pStyle w:val="Heading3"/>
        <w:rPr>
          <w:rFonts w:eastAsia="Calibri"/>
        </w:rPr>
      </w:pPr>
      <w:r>
        <w:rPr>
          <w:rFonts w:eastAsia="Calibri"/>
        </w:rPr>
        <w:lastRenderedPageBreak/>
        <w:t>Adjustment to account for superannuation guarantee increases</w:t>
      </w:r>
      <w:bookmarkStart w:id="260" w:name="_Ref98798711"/>
    </w:p>
    <w:p w14:paraId="32ACB281" w14:textId="35390F11" w:rsidR="00566989" w:rsidRDefault="009F12F1" w:rsidP="00566989">
      <w:bookmarkStart w:id="261" w:name="_Toc499221010"/>
      <w:bookmarkStart w:id="262" w:name="_Toc499290962"/>
      <w:bookmarkStart w:id="263" w:name="_Toc26278348"/>
      <w:bookmarkStart w:id="264" w:name="_Toc26370526"/>
      <w:bookmarkStart w:id="265" w:name="_Toc65145960"/>
      <w:bookmarkEnd w:id="260"/>
      <w:r>
        <w:t>The Superannuation Guarantee (Administration) Act 1992 section 19(2) legislates increases to the superannuation guarantee from 9.5 per cent to 12 per cent, introduced in 0.5 per cent increments from 2021-22 to 2025-26</w:t>
      </w:r>
      <w:r w:rsidR="002F002D">
        <w:t xml:space="preserve">. As </w:t>
      </w:r>
      <w:r w:rsidR="00D14791">
        <w:t>NEP22 is calculated using 2019-20 cost data, and is designed to price 2022-23 activity, this increase in the guarantee is not reflected in the Round 24 NHCDC</w:t>
      </w:r>
      <w:r w:rsidR="00D97985">
        <w:t xml:space="preserve">. The total increase between 2019-20 and 2022-23 is 1.0 per cent. </w:t>
      </w:r>
    </w:p>
    <w:p w14:paraId="6903E17B" w14:textId="3B38AD7D" w:rsidR="00D97985" w:rsidRDefault="00D97985" w:rsidP="00566989">
      <w:r>
        <w:t xml:space="preserve">IHPA was advised that </w:t>
      </w:r>
      <w:r w:rsidR="00D60E6E">
        <w:t xml:space="preserve">the hospital workforce is paid superannuation at the guarantee rate in all but two states and territories, </w:t>
      </w:r>
      <w:r w:rsidR="000E56FA">
        <w:t xml:space="preserve">meaning that the increase in the guarantee will result in an increase in the total salary package of the hospital workforce in most states and territories. </w:t>
      </w:r>
      <w:r w:rsidR="00926CB8">
        <w:t>IHPA therefore calculated a prospective adjustment</w:t>
      </w:r>
      <w:r w:rsidR="00301DD8">
        <w:t xml:space="preserve"> </w:t>
      </w:r>
      <w:r w:rsidR="000D1244">
        <w:t xml:space="preserve">of 0.54 per cent, </w:t>
      </w:r>
      <w:r w:rsidR="00301DD8">
        <w:t xml:space="preserve">to be applied </w:t>
      </w:r>
      <w:r w:rsidR="000D1244">
        <w:t xml:space="preserve">in addition to </w:t>
      </w:r>
      <w:r w:rsidR="00301DD8">
        <w:t>indexation in the</w:t>
      </w:r>
      <w:r w:rsidR="00106B2E">
        <w:t xml:space="preserve"> conversion of the reference cost to NEP22. </w:t>
      </w:r>
    </w:p>
    <w:p w14:paraId="79C7E8D0" w14:textId="2D9DD7D1" w:rsidR="000D1244" w:rsidRDefault="000D1244" w:rsidP="00147EF1">
      <w:r>
        <w:t xml:space="preserve">This adjustment is </w:t>
      </w:r>
      <w:r w:rsidR="00B41AAB">
        <w:t>calculated based on total state and territory labour costs as a proportion of in</w:t>
      </w:r>
      <w:r w:rsidR="00D4138C">
        <w:noBreakHyphen/>
      </w:r>
      <w:r w:rsidR="00B41AAB">
        <w:t xml:space="preserve">scope costs, identified by NHCDC line items. </w:t>
      </w:r>
      <w:r w:rsidR="001D3720">
        <w:t>The proposed adjustment is the national average of the estimated impact of the superannuation increase</w:t>
      </w:r>
      <w:r w:rsidR="00324F70">
        <w:t xml:space="preserve"> in each state or territory</w:t>
      </w:r>
      <w:r w:rsidR="001D3720">
        <w:t xml:space="preserve">, weighted by total costs. </w:t>
      </w:r>
    </w:p>
    <w:p w14:paraId="3FF75073" w14:textId="32552414" w:rsidR="00561E6C" w:rsidRPr="00C83E69" w:rsidRDefault="00561E6C" w:rsidP="00755433">
      <w:pPr>
        <w:pStyle w:val="Heading2"/>
      </w:pPr>
      <w:bookmarkStart w:id="266" w:name="_Toc98882309"/>
      <w:r w:rsidRPr="00C83E69">
        <w:t>Transformation of cost model to pricing model</w:t>
      </w:r>
      <w:bookmarkEnd w:id="261"/>
      <w:bookmarkEnd w:id="262"/>
      <w:bookmarkEnd w:id="263"/>
      <w:bookmarkEnd w:id="264"/>
      <w:bookmarkEnd w:id="265"/>
      <w:bookmarkEnd w:id="266"/>
    </w:p>
    <w:p w14:paraId="0DD61450" w14:textId="77777777" w:rsidR="00561E6C" w:rsidRPr="00704036" w:rsidRDefault="00561E6C" w:rsidP="00561E6C">
      <w:pPr>
        <w:spacing w:after="100" w:afterAutospacing="1" w:line="240" w:lineRule="auto"/>
        <w:rPr>
          <w:rFonts w:eastAsia="Calibri" w:cs="Arial"/>
        </w:rPr>
      </w:pPr>
      <w:r w:rsidRPr="00704036">
        <w:rPr>
          <w:rFonts w:eastAsia="Calibri" w:cs="Arial"/>
        </w:rPr>
        <w:t xml:space="preserve">The final step in the process of developing the pricing models uses the three steps detailed in </w:t>
      </w:r>
      <w:r>
        <w:rPr>
          <w:rFonts w:eastAsia="Calibri" w:cs="Arial"/>
        </w:rPr>
        <w:t>the previous sections</w:t>
      </w:r>
      <w:r w:rsidRPr="00704036">
        <w:rPr>
          <w:rFonts w:eastAsia="Calibri" w:cs="Arial"/>
        </w:rPr>
        <w:t xml:space="preserve"> to transform each cost model to the corresponding pricing model.</w:t>
      </w:r>
    </w:p>
    <w:p w14:paraId="68D5EDF1" w14:textId="26CD0F90"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Each year’s pricing model is designed to reflect estimated total in-scope costs associated </w:t>
      </w:r>
      <w:r w:rsidR="00350536">
        <w:rPr>
          <w:rFonts w:eastAsia="Calibri" w:cs="Arial"/>
        </w:rPr>
        <w:t xml:space="preserve">with </w:t>
      </w:r>
      <w:r w:rsidRPr="00704036">
        <w:rPr>
          <w:rFonts w:eastAsia="Calibri" w:cs="Arial"/>
        </w:rPr>
        <w:t xml:space="preserve">ABF activity in the year of the pricing model. The pricing model is therefore given by the inflated cost model defined </w:t>
      </w:r>
      <w:r w:rsidRPr="001D2EF6">
        <w:rPr>
          <w:rFonts w:eastAsia="Calibri" w:cs="Arial"/>
        </w:rPr>
        <w:t xml:space="preserve">in </w:t>
      </w:r>
      <w:r w:rsidRPr="001D2EF6">
        <w:rPr>
          <w:rFonts w:eastAsia="Calibri"/>
        </w:rPr>
        <w:t xml:space="preserve">Section </w:t>
      </w:r>
      <w:r w:rsidR="005F4693">
        <w:rPr>
          <w:rFonts w:eastAsia="Calibri"/>
          <w:color w:val="2B579A"/>
          <w:shd w:val="clear" w:color="auto" w:fill="E6E6E6"/>
        </w:rPr>
        <w:fldChar w:fldCharType="begin"/>
      </w:r>
      <w:r w:rsidR="005F4693">
        <w:rPr>
          <w:rFonts w:eastAsia="Calibri"/>
        </w:rPr>
        <w:instrText xml:space="preserve"> REF _Ref89169547 \r \h </w:instrText>
      </w:r>
      <w:r w:rsidR="005F4693">
        <w:rPr>
          <w:rFonts w:eastAsia="Calibri"/>
          <w:color w:val="2B579A"/>
          <w:shd w:val="clear" w:color="auto" w:fill="E6E6E6"/>
        </w:rPr>
      </w:r>
      <w:r w:rsidR="005F4693">
        <w:rPr>
          <w:rFonts w:eastAsia="Calibri"/>
          <w:color w:val="2B579A"/>
          <w:shd w:val="clear" w:color="auto" w:fill="E6E6E6"/>
        </w:rPr>
        <w:fldChar w:fldCharType="separate"/>
      </w:r>
      <w:r w:rsidR="003F234C">
        <w:rPr>
          <w:rFonts w:eastAsia="Calibri"/>
        </w:rPr>
        <w:t>7.4</w:t>
      </w:r>
      <w:r w:rsidR="005F4693">
        <w:rPr>
          <w:rFonts w:eastAsia="Calibri"/>
          <w:color w:val="2B579A"/>
          <w:shd w:val="clear" w:color="auto" w:fill="E6E6E6"/>
        </w:rPr>
        <w:fldChar w:fldCharType="end"/>
      </w:r>
      <w:r w:rsidRPr="00F601BA">
        <w:rPr>
          <w:rFonts w:eastAsia="Calibri"/>
        </w:rPr>
        <w:t xml:space="preserve"> </w:t>
      </w:r>
      <w:r w:rsidRPr="009602D0">
        <w:rPr>
          <w:rFonts w:eastAsia="Calibri" w:cs="Arial"/>
        </w:rPr>
        <w:t>with those out</w:t>
      </w:r>
      <w:r w:rsidR="00064C88">
        <w:rPr>
          <w:rFonts w:eastAsia="Calibri" w:cs="Arial"/>
        </w:rPr>
        <w:t>-</w:t>
      </w:r>
      <w:r w:rsidRPr="009602D0">
        <w:rPr>
          <w:rFonts w:eastAsia="Calibri" w:cs="Arial"/>
        </w:rPr>
        <w:t>of</w:t>
      </w:r>
      <w:r w:rsidR="00064C88">
        <w:rPr>
          <w:rFonts w:eastAsia="Calibri" w:cs="Arial"/>
        </w:rPr>
        <w:t>-</w:t>
      </w:r>
      <w:r w:rsidRPr="009602D0">
        <w:rPr>
          <w:rFonts w:eastAsia="Calibri" w:cs="Arial"/>
        </w:rPr>
        <w:t xml:space="preserve">scope costs defined in Section </w:t>
      </w:r>
      <w:r w:rsidR="00021749">
        <w:rPr>
          <w:rFonts w:eastAsia="Calibri" w:cs="Arial"/>
        </w:rPr>
        <w:t>7.</w:t>
      </w:r>
      <w:r w:rsidR="005F4693">
        <w:rPr>
          <w:rFonts w:eastAsia="Calibri" w:cs="Arial"/>
          <w:color w:val="2B579A"/>
          <w:shd w:val="clear" w:color="auto" w:fill="E6E6E6"/>
        </w:rPr>
        <w:fldChar w:fldCharType="begin"/>
      </w:r>
      <w:r w:rsidR="005F4693">
        <w:rPr>
          <w:rFonts w:eastAsia="Calibri" w:cs="Arial"/>
        </w:rPr>
        <w:instrText xml:space="preserve"> REF _Ref89169569 \r \h </w:instrText>
      </w:r>
      <w:r w:rsidR="005F4693">
        <w:rPr>
          <w:rFonts w:eastAsia="Calibri" w:cs="Arial"/>
          <w:color w:val="2B579A"/>
          <w:shd w:val="clear" w:color="auto" w:fill="E6E6E6"/>
        </w:rPr>
      </w:r>
      <w:r w:rsidR="005F4693">
        <w:rPr>
          <w:rFonts w:eastAsia="Calibri" w:cs="Arial"/>
          <w:color w:val="2B579A"/>
          <w:shd w:val="clear" w:color="auto" w:fill="E6E6E6"/>
        </w:rPr>
        <w:fldChar w:fldCharType="separate"/>
      </w:r>
      <w:r w:rsidR="003F234C">
        <w:rPr>
          <w:rFonts w:eastAsia="Calibri" w:cs="Arial"/>
        </w:rPr>
        <w:t>2</w:t>
      </w:r>
      <w:r w:rsidR="005F4693">
        <w:rPr>
          <w:rFonts w:eastAsia="Calibri" w:cs="Arial"/>
          <w:color w:val="2B579A"/>
          <w:shd w:val="clear" w:color="auto" w:fill="E6E6E6"/>
        </w:rPr>
        <w:fldChar w:fldCharType="end"/>
      </w:r>
      <w:r w:rsidRPr="009602D0">
        <w:rPr>
          <w:rFonts w:eastAsia="Calibri" w:cs="Arial"/>
        </w:rPr>
        <w:t xml:space="preserve"> removed</w:t>
      </w:r>
      <w:r w:rsidRPr="00704036">
        <w:rPr>
          <w:rFonts w:eastAsia="Calibri" w:cs="Arial"/>
        </w:rPr>
        <w:t xml:space="preserve">. However, the pricing model is represented by the NEP together with </w:t>
      </w:r>
      <w:r>
        <w:rPr>
          <w:rFonts w:eastAsia="Calibri" w:cs="Arial"/>
        </w:rPr>
        <w:t>price weight</w:t>
      </w:r>
      <w:r w:rsidRPr="00704036">
        <w:rPr>
          <w:rFonts w:eastAsia="Calibri" w:cs="Arial"/>
        </w:rPr>
        <w:t xml:space="preserve">s and </w:t>
      </w:r>
      <w:r>
        <w:rPr>
          <w:rFonts w:eastAsia="Calibri" w:cs="Arial"/>
        </w:rPr>
        <w:t>a</w:t>
      </w:r>
      <w:r w:rsidRPr="00704036">
        <w:rPr>
          <w:rFonts w:eastAsia="Calibri" w:cs="Arial"/>
        </w:rPr>
        <w:t xml:space="preserve">djustments. This splitting of prices into an NEP component and a </w:t>
      </w:r>
      <w:r>
        <w:rPr>
          <w:rFonts w:eastAsia="Calibri" w:cs="Arial"/>
        </w:rPr>
        <w:t>price weight</w:t>
      </w:r>
      <w:r w:rsidRPr="00704036">
        <w:rPr>
          <w:rFonts w:eastAsia="Calibri" w:cs="Arial"/>
        </w:rPr>
        <w:t xml:space="preserve"> component is where the reference cost defined in </w:t>
      </w:r>
      <w:r w:rsidRPr="001D2EF6">
        <w:rPr>
          <w:rFonts w:eastAsia="Calibri"/>
        </w:rPr>
        <w:t xml:space="preserve">Section </w:t>
      </w:r>
      <w:r w:rsidR="005F4693">
        <w:rPr>
          <w:rFonts w:eastAsia="Calibri"/>
          <w:color w:val="2B579A"/>
          <w:shd w:val="clear" w:color="auto" w:fill="E6E6E6"/>
        </w:rPr>
        <w:fldChar w:fldCharType="begin"/>
      </w:r>
      <w:r w:rsidR="005F4693">
        <w:rPr>
          <w:rFonts w:eastAsia="Calibri"/>
        </w:rPr>
        <w:instrText xml:space="preserve"> REF _Ref89169579 \r \h </w:instrText>
      </w:r>
      <w:r w:rsidR="005F4693">
        <w:rPr>
          <w:rFonts w:eastAsia="Calibri"/>
          <w:color w:val="2B579A"/>
          <w:shd w:val="clear" w:color="auto" w:fill="E6E6E6"/>
        </w:rPr>
      </w:r>
      <w:r w:rsidR="005F4693">
        <w:rPr>
          <w:rFonts w:eastAsia="Calibri"/>
          <w:color w:val="2B579A"/>
          <w:shd w:val="clear" w:color="auto" w:fill="E6E6E6"/>
        </w:rPr>
        <w:fldChar w:fldCharType="separate"/>
      </w:r>
      <w:r w:rsidR="003F234C">
        <w:rPr>
          <w:rFonts w:eastAsia="Calibri"/>
        </w:rPr>
        <w:t>7.3</w:t>
      </w:r>
      <w:r w:rsidR="005F4693">
        <w:rPr>
          <w:rFonts w:eastAsia="Calibri"/>
          <w:color w:val="2B579A"/>
          <w:shd w:val="clear" w:color="auto" w:fill="E6E6E6"/>
        </w:rPr>
        <w:fldChar w:fldCharType="end"/>
      </w:r>
      <w:r w:rsidRPr="001D2EF6">
        <w:rPr>
          <w:rFonts w:eastAsia="Calibri" w:cs="Arial"/>
        </w:rPr>
        <w:t xml:space="preserve"> plays</w:t>
      </w:r>
      <w:r w:rsidRPr="00704036">
        <w:rPr>
          <w:rFonts w:eastAsia="Calibri" w:cs="Arial"/>
        </w:rPr>
        <w:t xml:space="preserve"> its role.</w:t>
      </w:r>
    </w:p>
    <w:p w14:paraId="72162F2F" w14:textId="1EFC66D8"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To describe the process in the context of the </w:t>
      </w:r>
      <w:r w:rsidR="004D6A25">
        <w:rPr>
          <w:rFonts w:eastAsia="Calibri" w:cs="Arial"/>
        </w:rPr>
        <w:t>2022</w:t>
      </w:r>
      <w:r>
        <w:rPr>
          <w:rFonts w:eastAsia="Calibri" w:cs="Arial"/>
        </w:rPr>
        <w:t>–</w:t>
      </w:r>
      <w:r w:rsidR="004D6A25">
        <w:rPr>
          <w:rFonts w:eastAsia="Calibri" w:cs="Arial"/>
        </w:rPr>
        <w:t>23</w:t>
      </w:r>
      <w:r w:rsidR="004D6A25" w:rsidRPr="00704036">
        <w:rPr>
          <w:rFonts w:eastAsia="Calibri" w:cs="Arial"/>
        </w:rPr>
        <w:t xml:space="preserve"> </w:t>
      </w:r>
      <w:r>
        <w:rPr>
          <w:rFonts w:eastAsia="Calibri" w:cs="Arial"/>
        </w:rPr>
        <w:t>n</w:t>
      </w:r>
      <w:r w:rsidRPr="00704036">
        <w:rPr>
          <w:rFonts w:eastAsia="Calibri" w:cs="Arial"/>
        </w:rPr>
        <w:t xml:space="preserve">ational </w:t>
      </w:r>
      <w:r>
        <w:rPr>
          <w:rFonts w:eastAsia="Calibri" w:cs="Arial"/>
        </w:rPr>
        <w:t>p</w:t>
      </w:r>
      <w:r w:rsidRPr="00704036">
        <w:rPr>
          <w:rFonts w:eastAsia="Calibri" w:cs="Arial"/>
        </w:rPr>
        <w:t xml:space="preserve">ricing </w:t>
      </w:r>
      <w:r>
        <w:rPr>
          <w:rFonts w:eastAsia="Calibri" w:cs="Arial"/>
        </w:rPr>
        <w:t>m</w:t>
      </w:r>
      <w:r w:rsidRPr="00704036">
        <w:rPr>
          <w:rFonts w:eastAsia="Calibri" w:cs="Arial"/>
        </w:rPr>
        <w:t>odel</w:t>
      </w:r>
      <w:r>
        <w:rPr>
          <w:rFonts w:eastAsia="Calibri" w:cs="Arial"/>
        </w:rPr>
        <w:t>,</w:t>
      </w:r>
      <w:r w:rsidRPr="00704036">
        <w:rPr>
          <w:rFonts w:eastAsia="Calibri" w:cs="Arial"/>
        </w:rPr>
        <w:t xml:space="preserve"> first the </w:t>
      </w:r>
      <w:r w:rsidR="004D6A25">
        <w:rPr>
          <w:rFonts w:eastAsia="Calibri" w:cs="Arial"/>
        </w:rPr>
        <w:t>2019</w:t>
      </w:r>
      <w:r>
        <w:rPr>
          <w:rFonts w:eastAsia="Calibri" w:cs="Arial"/>
        </w:rPr>
        <w:t>–</w:t>
      </w:r>
      <w:r w:rsidR="004D6A25">
        <w:rPr>
          <w:rFonts w:eastAsia="Calibri" w:cs="Arial"/>
        </w:rPr>
        <w:t>20</w:t>
      </w:r>
      <w:r w:rsidR="004D6A25" w:rsidRPr="00704036">
        <w:rPr>
          <w:rFonts w:eastAsia="Calibri" w:cs="Arial"/>
        </w:rPr>
        <w:t xml:space="preserve"> </w:t>
      </w:r>
      <w:r w:rsidRPr="00704036">
        <w:rPr>
          <w:rFonts w:eastAsia="Calibri" w:cs="Arial"/>
        </w:rPr>
        <w:t xml:space="preserve">cost model is transformed into a cost weight model by dividing it through by the </w:t>
      </w:r>
      <w:r w:rsidR="004D6A25">
        <w:rPr>
          <w:rFonts w:eastAsia="Calibri" w:cs="Arial"/>
        </w:rPr>
        <w:t>2019</w:t>
      </w:r>
      <w:r>
        <w:rPr>
          <w:rFonts w:eastAsia="Calibri" w:cs="Arial"/>
        </w:rPr>
        <w:t>–</w:t>
      </w:r>
      <w:r w:rsidR="004D6A25">
        <w:rPr>
          <w:rFonts w:eastAsia="Calibri" w:cs="Arial"/>
        </w:rPr>
        <w:t>20</w:t>
      </w:r>
      <w:r w:rsidR="004D6A25" w:rsidRPr="00704036">
        <w:rPr>
          <w:rFonts w:eastAsia="Calibri" w:cs="Arial"/>
        </w:rPr>
        <w:t xml:space="preserve"> </w:t>
      </w:r>
      <w:r w:rsidRPr="00704036">
        <w:rPr>
          <w:rFonts w:eastAsia="Calibri" w:cs="Arial"/>
        </w:rPr>
        <w:t xml:space="preserve">reference cost of </w:t>
      </w:r>
      <w:r w:rsidRPr="009602D0">
        <w:rPr>
          <w:rFonts w:eastAsia="Calibri" w:cs="Arial"/>
        </w:rPr>
        <w:t>$</w:t>
      </w:r>
      <w:r w:rsidR="00B637AA">
        <w:rPr>
          <w:rFonts w:eastAsia="Calibri" w:cs="Arial"/>
        </w:rPr>
        <w:t>5,</w:t>
      </w:r>
      <w:r w:rsidR="00030568">
        <w:rPr>
          <w:rFonts w:eastAsia="Calibri" w:cs="Arial"/>
        </w:rPr>
        <w:t>307</w:t>
      </w:r>
      <w:r w:rsidR="00030568" w:rsidRPr="009602D0">
        <w:rPr>
          <w:rFonts w:eastAsia="Calibri" w:cs="Arial"/>
        </w:rPr>
        <w:t xml:space="preserve"> </w:t>
      </w:r>
      <w:r w:rsidRPr="009602D0">
        <w:rPr>
          <w:rFonts w:eastAsia="Calibri" w:cs="Arial"/>
        </w:rPr>
        <w:t xml:space="preserve">(see Section </w:t>
      </w:r>
      <w:r w:rsidR="005F4693">
        <w:rPr>
          <w:rFonts w:eastAsia="Calibri" w:cs="Arial"/>
          <w:color w:val="2B579A"/>
          <w:shd w:val="clear" w:color="auto" w:fill="E6E6E6"/>
        </w:rPr>
        <w:fldChar w:fldCharType="begin"/>
      </w:r>
      <w:r w:rsidR="005F4693">
        <w:rPr>
          <w:rFonts w:eastAsia="Calibri" w:cs="Arial"/>
        </w:rPr>
        <w:instrText xml:space="preserve"> REF _Ref89169599 \r \h </w:instrText>
      </w:r>
      <w:r w:rsidR="005F4693">
        <w:rPr>
          <w:rFonts w:eastAsia="Calibri" w:cs="Arial"/>
          <w:color w:val="2B579A"/>
          <w:shd w:val="clear" w:color="auto" w:fill="E6E6E6"/>
        </w:rPr>
      </w:r>
      <w:r w:rsidR="005F4693">
        <w:rPr>
          <w:rFonts w:eastAsia="Calibri" w:cs="Arial"/>
          <w:color w:val="2B579A"/>
          <w:shd w:val="clear" w:color="auto" w:fill="E6E6E6"/>
        </w:rPr>
        <w:fldChar w:fldCharType="separate"/>
      </w:r>
      <w:r w:rsidR="003F234C">
        <w:rPr>
          <w:rFonts w:eastAsia="Calibri" w:cs="Arial"/>
        </w:rPr>
        <w:t>7.3</w:t>
      </w:r>
      <w:r w:rsidR="005F4693">
        <w:rPr>
          <w:rFonts w:eastAsia="Calibri" w:cs="Arial"/>
          <w:color w:val="2B579A"/>
          <w:shd w:val="clear" w:color="auto" w:fill="E6E6E6"/>
        </w:rPr>
        <w:fldChar w:fldCharType="end"/>
      </w:r>
      <w:r w:rsidRPr="00765488">
        <w:rPr>
          <w:rFonts w:eastAsia="Calibri" w:cs="Arial"/>
        </w:rPr>
        <w:t>).</w:t>
      </w:r>
      <w:r w:rsidRPr="00704036">
        <w:rPr>
          <w:rFonts w:eastAsia="Calibri" w:cs="Arial"/>
        </w:rPr>
        <w:t xml:space="preserve"> The </w:t>
      </w:r>
      <w:r w:rsidR="004D6A25">
        <w:rPr>
          <w:rFonts w:eastAsia="Calibri" w:cs="Arial"/>
        </w:rPr>
        <w:t>2019</w:t>
      </w:r>
      <w:r>
        <w:rPr>
          <w:rFonts w:eastAsia="Calibri" w:cs="Arial"/>
        </w:rPr>
        <w:t>–</w:t>
      </w:r>
      <w:r w:rsidR="004D6A25">
        <w:rPr>
          <w:rFonts w:eastAsia="Calibri" w:cs="Arial"/>
        </w:rPr>
        <w:t>20</w:t>
      </w:r>
      <w:r w:rsidR="004D6A25" w:rsidRPr="00704036">
        <w:rPr>
          <w:rFonts w:eastAsia="Calibri" w:cs="Arial"/>
        </w:rPr>
        <w:t xml:space="preserve"> </w:t>
      </w:r>
      <w:r w:rsidRPr="00704036">
        <w:rPr>
          <w:rFonts w:eastAsia="Calibri" w:cs="Arial"/>
        </w:rPr>
        <w:t>cost model is then represented by a reference cost, cost weights and adjustments.</w:t>
      </w:r>
    </w:p>
    <w:p w14:paraId="581D08D9" w14:textId="3BD90A30"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The inflation of the </w:t>
      </w:r>
      <w:r w:rsidR="004D6A25">
        <w:rPr>
          <w:rFonts w:eastAsia="Calibri" w:cs="Arial"/>
        </w:rPr>
        <w:t>2019</w:t>
      </w:r>
      <w:r>
        <w:rPr>
          <w:rFonts w:eastAsia="Calibri" w:cs="Arial"/>
        </w:rPr>
        <w:t>–</w:t>
      </w:r>
      <w:r w:rsidR="004D6A25">
        <w:rPr>
          <w:rFonts w:eastAsia="Calibri" w:cs="Arial"/>
        </w:rPr>
        <w:t>20</w:t>
      </w:r>
      <w:r w:rsidR="004D6A25" w:rsidRPr="00704036">
        <w:rPr>
          <w:rFonts w:eastAsia="Calibri" w:cs="Arial"/>
        </w:rPr>
        <w:t xml:space="preserve"> </w:t>
      </w:r>
      <w:r w:rsidRPr="00704036">
        <w:rPr>
          <w:rFonts w:eastAsia="Calibri" w:cs="Arial"/>
        </w:rPr>
        <w:t xml:space="preserve">cost model to estimated </w:t>
      </w:r>
      <w:r w:rsidR="004D6A25">
        <w:rPr>
          <w:rFonts w:eastAsia="Calibri" w:cs="Arial"/>
        </w:rPr>
        <w:t>2022</w:t>
      </w:r>
      <w:r>
        <w:rPr>
          <w:rFonts w:eastAsia="Calibri" w:cs="Arial"/>
        </w:rPr>
        <w:t>–</w:t>
      </w:r>
      <w:r w:rsidR="004D6A25">
        <w:rPr>
          <w:rFonts w:eastAsia="Calibri" w:cs="Arial"/>
        </w:rPr>
        <w:t>23</w:t>
      </w:r>
      <w:r w:rsidR="004D6A25" w:rsidRPr="00704036">
        <w:rPr>
          <w:rFonts w:eastAsia="Calibri" w:cs="Arial"/>
        </w:rPr>
        <w:t xml:space="preserve"> </w:t>
      </w:r>
      <w:r w:rsidRPr="00704036">
        <w:rPr>
          <w:rFonts w:eastAsia="Calibri" w:cs="Arial"/>
        </w:rPr>
        <w:t xml:space="preserve">costs is then undertaken by inflating the </w:t>
      </w:r>
      <w:r w:rsidR="004D6A25">
        <w:rPr>
          <w:rFonts w:eastAsia="Calibri" w:cs="Arial"/>
        </w:rPr>
        <w:t>2019</w:t>
      </w:r>
      <w:r>
        <w:rPr>
          <w:rFonts w:eastAsia="Calibri" w:cs="Arial"/>
        </w:rPr>
        <w:t>–</w:t>
      </w:r>
      <w:r w:rsidR="004D6A25">
        <w:rPr>
          <w:rFonts w:eastAsia="Calibri" w:cs="Arial"/>
        </w:rPr>
        <w:t>20</w:t>
      </w:r>
      <w:r w:rsidR="004D6A25" w:rsidRPr="00704036">
        <w:rPr>
          <w:rFonts w:eastAsia="Calibri" w:cs="Arial"/>
        </w:rPr>
        <w:t xml:space="preserve"> </w:t>
      </w:r>
      <w:r w:rsidRPr="00704036">
        <w:rPr>
          <w:rFonts w:eastAsia="Calibri" w:cs="Arial"/>
        </w:rPr>
        <w:t xml:space="preserve">reference cost by the annual indexation rate </w:t>
      </w:r>
      <w:r>
        <w:rPr>
          <w:rFonts w:eastAsia="Calibri" w:cs="Arial"/>
        </w:rPr>
        <w:t>(</w:t>
      </w:r>
      <w:r w:rsidRPr="00704036">
        <w:rPr>
          <w:rFonts w:eastAsia="Calibri" w:cs="Arial"/>
        </w:rPr>
        <w:t xml:space="preserve">defined in </w:t>
      </w:r>
      <w:r w:rsidRPr="00F601BA">
        <w:rPr>
          <w:rFonts w:eastAsia="Calibri"/>
        </w:rPr>
        <w:t xml:space="preserve">Section </w:t>
      </w:r>
      <w:r w:rsidR="005F4693">
        <w:rPr>
          <w:rFonts w:eastAsia="Calibri"/>
          <w:color w:val="2B579A"/>
          <w:shd w:val="clear" w:color="auto" w:fill="E6E6E6"/>
        </w:rPr>
        <w:fldChar w:fldCharType="begin"/>
      </w:r>
      <w:r w:rsidR="005F4693">
        <w:rPr>
          <w:rFonts w:eastAsia="Calibri"/>
        </w:rPr>
        <w:instrText xml:space="preserve"> REF _Ref89169615 \r \h </w:instrText>
      </w:r>
      <w:r w:rsidR="005F4693">
        <w:rPr>
          <w:rFonts w:eastAsia="Calibri"/>
          <w:color w:val="2B579A"/>
          <w:shd w:val="clear" w:color="auto" w:fill="E6E6E6"/>
        </w:rPr>
      </w:r>
      <w:r w:rsidR="005F4693">
        <w:rPr>
          <w:rFonts w:eastAsia="Calibri"/>
          <w:color w:val="2B579A"/>
          <w:shd w:val="clear" w:color="auto" w:fill="E6E6E6"/>
        </w:rPr>
        <w:fldChar w:fldCharType="separate"/>
      </w:r>
      <w:r w:rsidR="003F234C">
        <w:rPr>
          <w:rFonts w:eastAsia="Calibri"/>
        </w:rPr>
        <w:t>7.4</w:t>
      </w:r>
      <w:r w:rsidR="005F4693">
        <w:rPr>
          <w:rFonts w:eastAsia="Calibri"/>
          <w:color w:val="2B579A"/>
          <w:shd w:val="clear" w:color="auto" w:fill="E6E6E6"/>
        </w:rPr>
        <w:fldChar w:fldCharType="end"/>
      </w:r>
      <w:r>
        <w:rPr>
          <w:rFonts w:eastAsia="Calibri" w:cs="Arial"/>
        </w:rPr>
        <w:t xml:space="preserve">) </w:t>
      </w:r>
      <w:r w:rsidRPr="00704036">
        <w:rPr>
          <w:rFonts w:eastAsia="Calibri" w:cs="Arial"/>
        </w:rPr>
        <w:t>and keeping the cost weights and adjustments fixed</w:t>
      </w:r>
      <w:r>
        <w:rPr>
          <w:rFonts w:eastAsia="Calibri" w:cs="Arial"/>
        </w:rPr>
        <w:t xml:space="preserve">. </w:t>
      </w:r>
      <w:r w:rsidR="0088438A">
        <w:rPr>
          <w:rFonts w:eastAsia="Calibri" w:cs="Arial"/>
        </w:rPr>
        <w:t>For th</w:t>
      </w:r>
      <w:r w:rsidR="00C00D83">
        <w:rPr>
          <w:rFonts w:eastAsia="Calibri" w:cs="Arial"/>
        </w:rPr>
        <w:t xml:space="preserve">is year, an </w:t>
      </w:r>
      <w:r w:rsidR="00097375">
        <w:rPr>
          <w:rFonts w:eastAsia="Calibri" w:cs="Arial"/>
        </w:rPr>
        <w:t xml:space="preserve">additional </w:t>
      </w:r>
      <w:r w:rsidR="00B218EC">
        <w:rPr>
          <w:rFonts w:eastAsia="Calibri" w:cs="Arial"/>
        </w:rPr>
        <w:t xml:space="preserve">superannuation guarantee adjustment </w:t>
      </w:r>
      <w:r w:rsidR="00097375">
        <w:rPr>
          <w:rFonts w:eastAsia="Calibri" w:cs="Arial"/>
        </w:rPr>
        <w:t>(0</w:t>
      </w:r>
      <w:r w:rsidR="00C1770B">
        <w:rPr>
          <w:rFonts w:eastAsia="Calibri" w:cs="Arial"/>
        </w:rPr>
        <w:t>.54</w:t>
      </w:r>
      <w:r w:rsidR="00840F4C">
        <w:rPr>
          <w:rFonts w:eastAsia="Calibri" w:cs="Arial"/>
        </w:rPr>
        <w:t xml:space="preserve"> per cent</w:t>
      </w:r>
      <w:r w:rsidR="00C1770B">
        <w:rPr>
          <w:rFonts w:eastAsia="Calibri" w:cs="Arial"/>
        </w:rPr>
        <w:t xml:space="preserve">) </w:t>
      </w:r>
      <w:r w:rsidR="00B218EC">
        <w:rPr>
          <w:rFonts w:eastAsia="Calibri" w:cs="Arial"/>
        </w:rPr>
        <w:t xml:space="preserve">was </w:t>
      </w:r>
      <w:r w:rsidR="007D010A">
        <w:rPr>
          <w:rFonts w:eastAsia="Calibri" w:cs="Arial"/>
        </w:rPr>
        <w:t>applied to account for</w:t>
      </w:r>
      <w:r w:rsidR="00097375">
        <w:rPr>
          <w:rFonts w:eastAsia="Calibri" w:cs="Arial"/>
        </w:rPr>
        <w:t xml:space="preserve"> the legislated increase in superannuation from 9.5</w:t>
      </w:r>
      <w:r w:rsidR="00840F4C">
        <w:rPr>
          <w:rFonts w:eastAsia="Calibri" w:cs="Arial"/>
        </w:rPr>
        <w:t xml:space="preserve"> per cent</w:t>
      </w:r>
      <w:r w:rsidR="00097375">
        <w:rPr>
          <w:rFonts w:eastAsia="Calibri" w:cs="Arial"/>
        </w:rPr>
        <w:t xml:space="preserve"> to 12</w:t>
      </w:r>
      <w:r w:rsidR="00840F4C">
        <w:rPr>
          <w:rFonts w:eastAsia="Calibri" w:cs="Arial"/>
        </w:rPr>
        <w:t xml:space="preserve"> per cent</w:t>
      </w:r>
      <w:r w:rsidR="00097375">
        <w:rPr>
          <w:rFonts w:eastAsia="Calibri" w:cs="Arial"/>
        </w:rPr>
        <w:t xml:space="preserve"> from 2021-22 to 2025-26.</w:t>
      </w:r>
      <w:r w:rsidR="007D010A" w:rsidRPr="00235EEA">
        <w:rPr>
          <w:rFonts w:eastAsia="Calibri" w:cs="Arial"/>
        </w:rPr>
        <w:t xml:space="preserve"> </w:t>
      </w:r>
      <w:r w:rsidRPr="00235EEA">
        <w:rPr>
          <w:rFonts w:eastAsia="Calibri" w:cs="Arial"/>
        </w:rPr>
        <w:t xml:space="preserve">The indexed </w:t>
      </w:r>
      <w:r w:rsidR="004D6A25" w:rsidRPr="00235EEA">
        <w:rPr>
          <w:rFonts w:eastAsia="Calibri" w:cs="Arial"/>
        </w:rPr>
        <w:t>2019</w:t>
      </w:r>
      <w:r w:rsidRPr="00235EEA">
        <w:rPr>
          <w:rFonts w:eastAsia="Calibri" w:cs="Arial"/>
        </w:rPr>
        <w:t>–</w:t>
      </w:r>
      <w:r w:rsidR="004D6A25" w:rsidRPr="00235EEA">
        <w:rPr>
          <w:rFonts w:eastAsia="Calibri" w:cs="Arial"/>
        </w:rPr>
        <w:t xml:space="preserve">20 </w:t>
      </w:r>
      <w:r w:rsidRPr="00235EEA">
        <w:rPr>
          <w:rFonts w:eastAsia="Calibri" w:cs="Arial"/>
        </w:rPr>
        <w:t>reference cost</w:t>
      </w:r>
      <w:r w:rsidR="00C1770B" w:rsidRPr="00235EEA">
        <w:rPr>
          <w:rFonts w:eastAsia="Calibri" w:cs="Arial"/>
        </w:rPr>
        <w:t xml:space="preserve"> </w:t>
      </w:r>
      <w:r w:rsidR="00C1770B">
        <w:rPr>
          <w:rFonts w:eastAsia="Calibri" w:cs="Arial"/>
        </w:rPr>
        <w:t>(including the superannuation guarantee adjustment)</w:t>
      </w:r>
      <w:r w:rsidRPr="00235EEA">
        <w:rPr>
          <w:rFonts w:eastAsia="Calibri" w:cs="Arial"/>
        </w:rPr>
        <w:t xml:space="preserve"> is $5,</w:t>
      </w:r>
      <w:r w:rsidR="00C43AB8" w:rsidRPr="00235EEA">
        <w:rPr>
          <w:rFonts w:eastAsia="Calibri" w:cs="Arial"/>
        </w:rPr>
        <w:t>797</w:t>
      </w:r>
      <w:r w:rsidRPr="00235EEA">
        <w:rPr>
          <w:rFonts w:eastAsia="Calibri" w:cs="Arial"/>
        </w:rPr>
        <w:t>.</w:t>
      </w:r>
      <w:r w:rsidR="00DD7EC6" w:rsidRPr="00235EEA">
        <w:rPr>
          <w:rFonts w:eastAsia="Calibri" w:cs="Arial"/>
        </w:rPr>
        <w:t xml:space="preserve"> </w:t>
      </w:r>
      <w:r w:rsidR="00DD7EC6" w:rsidRPr="00147EF1">
        <w:rPr>
          <w:rFonts w:eastAsia="Calibri" w:cs="Arial"/>
        </w:rPr>
        <w:t xml:space="preserve">This is discussed </w:t>
      </w:r>
      <w:r w:rsidR="000875F5" w:rsidRPr="00147EF1">
        <w:rPr>
          <w:rFonts w:eastAsia="Calibri" w:cs="Arial"/>
        </w:rPr>
        <w:t xml:space="preserve">further in Section </w:t>
      </w:r>
      <w:r w:rsidR="004532F9" w:rsidRPr="0050256A">
        <w:rPr>
          <w:rFonts w:eastAsia="Calibri" w:cs="Arial"/>
        </w:rPr>
        <w:fldChar w:fldCharType="begin"/>
      </w:r>
      <w:r w:rsidR="004532F9" w:rsidRPr="00147EF1">
        <w:rPr>
          <w:rFonts w:eastAsia="Calibri" w:cs="Arial"/>
        </w:rPr>
        <w:instrText xml:space="preserve"> REF _Ref98798711 \r \h </w:instrText>
      </w:r>
      <w:r w:rsidR="004532F9">
        <w:rPr>
          <w:rFonts w:eastAsia="Calibri" w:cs="Arial"/>
        </w:rPr>
        <w:instrText xml:space="preserve"> \* MERGEFORMAT </w:instrText>
      </w:r>
      <w:r w:rsidR="004532F9" w:rsidRPr="0050256A">
        <w:rPr>
          <w:rFonts w:eastAsia="Calibri" w:cs="Arial"/>
        </w:rPr>
      </w:r>
      <w:r w:rsidR="004532F9" w:rsidRPr="0050256A">
        <w:rPr>
          <w:rFonts w:eastAsia="Calibri" w:cs="Arial"/>
        </w:rPr>
        <w:fldChar w:fldCharType="separate"/>
      </w:r>
      <w:r w:rsidR="003F234C">
        <w:rPr>
          <w:rFonts w:eastAsia="Calibri" w:cs="Arial"/>
        </w:rPr>
        <w:t>7.4.1</w:t>
      </w:r>
      <w:r w:rsidR="004532F9" w:rsidRPr="0050256A">
        <w:rPr>
          <w:rFonts w:eastAsia="Calibri" w:cs="Arial"/>
        </w:rPr>
        <w:fldChar w:fldCharType="end"/>
      </w:r>
      <w:r w:rsidR="000875F5" w:rsidRPr="00147EF1">
        <w:rPr>
          <w:rFonts w:eastAsia="Calibri" w:cs="Arial"/>
        </w:rPr>
        <w:t>.</w:t>
      </w:r>
    </w:p>
    <w:p w14:paraId="6CE94086" w14:textId="4E8C5A88" w:rsidR="00561E6C" w:rsidRPr="006721BE" w:rsidRDefault="00561E6C" w:rsidP="00561E6C">
      <w:pPr>
        <w:spacing w:before="100" w:beforeAutospacing="1" w:after="100" w:afterAutospacing="1" w:line="240" w:lineRule="auto"/>
        <w:rPr>
          <w:rFonts w:asciiTheme="minorHAnsi" w:eastAsia="Calibri" w:hAnsiTheme="minorHAnsi" w:cstheme="minorHAnsi"/>
          <w:i/>
          <w:szCs w:val="22"/>
          <w:u w:val="single"/>
        </w:rPr>
      </w:pPr>
      <w:r w:rsidRPr="00704036">
        <w:rPr>
          <w:rFonts w:eastAsia="Calibri" w:cs="Arial"/>
        </w:rPr>
        <w:t xml:space="preserve">The indexed </w:t>
      </w:r>
      <w:r w:rsidR="004D6A25">
        <w:rPr>
          <w:rFonts w:eastAsia="Calibri" w:cs="Arial"/>
        </w:rPr>
        <w:t>2019</w:t>
      </w:r>
      <w:r>
        <w:rPr>
          <w:rFonts w:eastAsia="Calibri" w:cs="Arial"/>
        </w:rPr>
        <w:t>–</w:t>
      </w:r>
      <w:r w:rsidR="004D6A25">
        <w:rPr>
          <w:rFonts w:eastAsia="Calibri" w:cs="Arial"/>
        </w:rPr>
        <w:t>20</w:t>
      </w:r>
      <w:r w:rsidR="004D6A25" w:rsidRPr="00704036">
        <w:rPr>
          <w:rFonts w:eastAsia="Calibri" w:cs="Arial"/>
        </w:rPr>
        <w:t xml:space="preserve"> </w:t>
      </w:r>
      <w:r w:rsidRPr="00704036">
        <w:rPr>
          <w:rFonts w:eastAsia="Calibri" w:cs="Arial"/>
        </w:rPr>
        <w:t>reference cost</w:t>
      </w:r>
      <w:r w:rsidR="00347D87">
        <w:rPr>
          <w:rFonts w:eastAsia="Calibri" w:cs="Arial"/>
        </w:rPr>
        <w:t xml:space="preserve"> </w:t>
      </w:r>
      <w:r w:rsidR="00347D87" w:rsidRPr="00147EF1">
        <w:rPr>
          <w:rFonts w:eastAsia="Calibri" w:cs="Arial"/>
        </w:rPr>
        <w:t>(including the superannuation guarantee adjustment)</w:t>
      </w:r>
      <w:r>
        <w:rPr>
          <w:rFonts w:eastAsia="Calibri" w:cs="Arial"/>
        </w:rPr>
        <w:t>,</w:t>
      </w:r>
      <w:r w:rsidRPr="00704036">
        <w:rPr>
          <w:rFonts w:eastAsia="Calibri" w:cs="Arial"/>
        </w:rPr>
        <w:t xml:space="preserve"> together with the </w:t>
      </w:r>
      <w:r w:rsidR="004D6A25">
        <w:rPr>
          <w:rFonts w:eastAsia="Calibri" w:cs="Arial"/>
        </w:rPr>
        <w:t>2019</w:t>
      </w:r>
      <w:r>
        <w:rPr>
          <w:rFonts w:eastAsia="Calibri" w:cs="Arial"/>
        </w:rPr>
        <w:t>–</w:t>
      </w:r>
      <w:r w:rsidR="004D6A25">
        <w:rPr>
          <w:rFonts w:eastAsia="Calibri" w:cs="Arial"/>
        </w:rPr>
        <w:t>20</w:t>
      </w:r>
      <w:r w:rsidR="004D6A25" w:rsidRPr="00704036">
        <w:rPr>
          <w:rFonts w:eastAsia="Calibri" w:cs="Arial"/>
        </w:rPr>
        <w:t xml:space="preserve"> </w:t>
      </w:r>
      <w:r w:rsidRPr="00704036">
        <w:rPr>
          <w:rFonts w:eastAsia="Calibri" w:cs="Arial"/>
        </w:rPr>
        <w:t>cost weights and adjustments</w:t>
      </w:r>
      <w:r>
        <w:rPr>
          <w:rFonts w:eastAsia="Calibri" w:cs="Arial"/>
        </w:rPr>
        <w:t>,</w:t>
      </w:r>
      <w:r w:rsidRPr="00704036">
        <w:rPr>
          <w:rFonts w:eastAsia="Calibri" w:cs="Arial"/>
        </w:rPr>
        <w:t xml:space="preserve"> then represent</w:t>
      </w:r>
      <w:r>
        <w:rPr>
          <w:rFonts w:eastAsia="Calibri" w:cs="Arial"/>
        </w:rPr>
        <w:t>s</w:t>
      </w:r>
      <w:r w:rsidRPr="00704036">
        <w:rPr>
          <w:rFonts w:eastAsia="Calibri" w:cs="Arial"/>
        </w:rPr>
        <w:t xml:space="preserve"> the estimated </w:t>
      </w:r>
      <w:r w:rsidR="004D6A25">
        <w:rPr>
          <w:rFonts w:eastAsia="Calibri" w:cs="Arial"/>
        </w:rPr>
        <w:t>2022</w:t>
      </w:r>
      <w:r>
        <w:rPr>
          <w:rFonts w:eastAsia="Calibri" w:cs="Arial"/>
        </w:rPr>
        <w:t>–</w:t>
      </w:r>
      <w:r w:rsidR="004D6A25">
        <w:rPr>
          <w:rFonts w:eastAsia="Calibri" w:cs="Arial"/>
        </w:rPr>
        <w:t xml:space="preserve">23 </w:t>
      </w:r>
      <w:r>
        <w:rPr>
          <w:rFonts w:eastAsia="Calibri" w:cs="Arial"/>
        </w:rPr>
        <w:t>cost model. The following example demonstrates how the</w:t>
      </w:r>
      <w:r w:rsidRPr="00704036">
        <w:rPr>
          <w:rFonts w:eastAsia="Calibri" w:cs="Arial"/>
        </w:rPr>
        <w:t xml:space="preserve"> process of indexing the reference cost and keeping the cost weights fixed</w:t>
      </w:r>
      <w:r>
        <w:rPr>
          <w:rFonts w:eastAsia="Calibri" w:cs="Arial"/>
        </w:rPr>
        <w:t>,</w:t>
      </w:r>
      <w:r w:rsidRPr="00704036">
        <w:rPr>
          <w:rFonts w:eastAsia="Calibri" w:cs="Arial"/>
        </w:rPr>
        <w:t xml:space="preserve"> has the same effect as</w:t>
      </w:r>
      <w:r>
        <w:rPr>
          <w:rFonts w:eastAsia="Calibri" w:cs="Arial"/>
        </w:rPr>
        <w:t xml:space="preserve"> indexing the entire cost model</w:t>
      </w:r>
      <w:r w:rsidRPr="00801AF5">
        <w:rPr>
          <w:rFonts w:eastAsia="Calibri" w:cs="Arial"/>
        </w:rPr>
        <w:t>.</w:t>
      </w:r>
    </w:p>
    <w:p w14:paraId="4B5D50C3" w14:textId="085107BF" w:rsidR="00561E6C" w:rsidRPr="00F00DCB" w:rsidRDefault="006C5B90" w:rsidP="00561E6C">
      <w:pPr>
        <w:keepNext/>
        <w:spacing w:line="240" w:lineRule="auto"/>
        <w:rPr>
          <w:rFonts w:asciiTheme="minorHAnsi" w:eastAsia="Calibri" w:hAnsiTheme="minorHAnsi" w:cstheme="minorHAnsi"/>
          <w:szCs w:val="22"/>
        </w:rPr>
      </w:pPr>
      <w:r w:rsidRPr="006721BE">
        <w:rPr>
          <w:rFonts w:asciiTheme="minorHAnsi" w:eastAsia="Calibri" w:hAnsiTheme="minorHAnsi" w:cstheme="minorHAnsi"/>
          <w:szCs w:val="22"/>
        </w:rPr>
        <w:lastRenderedPageBreak/>
        <w:t>For e</w:t>
      </w:r>
      <w:r w:rsidR="00561E6C" w:rsidRPr="00AD7C13">
        <w:rPr>
          <w:rFonts w:asciiTheme="minorHAnsi" w:eastAsia="Calibri" w:hAnsiTheme="minorHAnsi" w:cstheme="minorHAnsi"/>
          <w:szCs w:val="22"/>
        </w:rPr>
        <w:t>xample</w:t>
      </w:r>
      <w:r w:rsidRPr="002C665D">
        <w:rPr>
          <w:rFonts w:asciiTheme="minorHAnsi" w:eastAsia="Calibri" w:hAnsiTheme="minorHAnsi" w:cstheme="minorHAnsi"/>
          <w:szCs w:val="22"/>
        </w:rPr>
        <w:t>, there are t</w:t>
      </w:r>
      <w:r w:rsidR="00561E6C" w:rsidRPr="0029574C">
        <w:rPr>
          <w:rFonts w:asciiTheme="minorHAnsi" w:eastAsia="Calibri" w:hAnsiTheme="minorHAnsi" w:cstheme="minorHAnsi"/>
          <w:szCs w:val="22"/>
        </w:rPr>
        <w:t>wo</w:t>
      </w:r>
      <w:r w:rsidR="00561E6C" w:rsidRPr="00D047E7">
        <w:rPr>
          <w:rFonts w:asciiTheme="minorHAnsi" w:eastAsia="Calibri" w:hAnsiTheme="minorHAnsi" w:cstheme="minorHAnsi"/>
          <w:szCs w:val="22"/>
        </w:rPr>
        <w:t xml:space="preserve"> equivalent methods to derive estimated </w:t>
      </w:r>
      <w:r w:rsidR="004D6A25" w:rsidRPr="00D047E7">
        <w:rPr>
          <w:rFonts w:asciiTheme="minorHAnsi" w:eastAsia="Calibri" w:hAnsiTheme="minorHAnsi" w:cstheme="minorHAnsi"/>
          <w:szCs w:val="22"/>
        </w:rPr>
        <w:t>202</w:t>
      </w:r>
      <w:r w:rsidR="004D6A25" w:rsidRPr="00A954D2">
        <w:rPr>
          <w:rFonts w:asciiTheme="minorHAnsi" w:eastAsia="Calibri" w:hAnsiTheme="minorHAnsi" w:cstheme="minorHAnsi"/>
          <w:szCs w:val="22"/>
        </w:rPr>
        <w:t>2</w:t>
      </w:r>
      <w:r w:rsidR="00561E6C" w:rsidRPr="00A954D2">
        <w:rPr>
          <w:rFonts w:asciiTheme="minorHAnsi" w:eastAsia="Calibri" w:hAnsiTheme="minorHAnsi" w:cstheme="minorHAnsi"/>
          <w:szCs w:val="22"/>
        </w:rPr>
        <w:t>–</w:t>
      </w:r>
      <w:r w:rsidR="004D6A25" w:rsidRPr="005B4BAF">
        <w:rPr>
          <w:rFonts w:asciiTheme="minorHAnsi" w:eastAsia="Calibri" w:hAnsiTheme="minorHAnsi" w:cstheme="minorHAnsi"/>
          <w:szCs w:val="22"/>
        </w:rPr>
        <w:t>2</w:t>
      </w:r>
      <w:r w:rsidR="004D6A25" w:rsidRPr="00793D6E">
        <w:rPr>
          <w:rFonts w:asciiTheme="minorHAnsi" w:eastAsia="Calibri" w:hAnsiTheme="minorHAnsi" w:cstheme="minorHAnsi"/>
          <w:szCs w:val="22"/>
        </w:rPr>
        <w:t xml:space="preserve">3 </w:t>
      </w:r>
      <w:r w:rsidR="00561E6C" w:rsidRPr="00793D6E">
        <w:rPr>
          <w:rFonts w:asciiTheme="minorHAnsi" w:eastAsia="Calibri" w:hAnsiTheme="minorHAnsi" w:cstheme="minorHAnsi"/>
          <w:szCs w:val="22"/>
        </w:rPr>
        <w:t xml:space="preserve">costs for same-day </w:t>
      </w:r>
      <w:r w:rsidR="00561E6C" w:rsidRPr="00D76E8E">
        <w:rPr>
          <w:rFonts w:asciiTheme="minorHAnsi" w:eastAsia="Calibri" w:hAnsiTheme="minorHAnsi" w:cstheme="minorHAnsi"/>
          <w:szCs w:val="22"/>
        </w:rPr>
        <w:t>episode</w:t>
      </w:r>
      <w:r w:rsidRPr="009837DA">
        <w:rPr>
          <w:rFonts w:asciiTheme="minorHAnsi" w:eastAsia="Calibri" w:hAnsiTheme="minorHAnsi" w:cstheme="minorHAnsi"/>
          <w:szCs w:val="22"/>
        </w:rPr>
        <w:t xml:space="preserve">s for </w:t>
      </w:r>
      <w:r w:rsidR="005256B9" w:rsidRPr="009837DA">
        <w:rPr>
          <w:rFonts w:asciiTheme="minorHAnsi" w:eastAsia="Calibri" w:hAnsiTheme="minorHAnsi" w:cstheme="minorHAnsi"/>
          <w:szCs w:val="22"/>
        </w:rPr>
        <w:t>AR-</w:t>
      </w:r>
      <w:r w:rsidR="00561E6C" w:rsidRPr="00FE0514">
        <w:rPr>
          <w:rFonts w:asciiTheme="minorHAnsi" w:eastAsia="Calibri" w:hAnsiTheme="minorHAnsi" w:cstheme="minorHAnsi"/>
          <w:szCs w:val="22"/>
        </w:rPr>
        <w:t>DRG E42B - bronchoscopy, intermediate complexity.</w:t>
      </w:r>
    </w:p>
    <w:p w14:paraId="55F01AE3" w14:textId="175D38FD" w:rsidR="00561E6C" w:rsidRPr="00235EEA" w:rsidRDefault="00561E6C" w:rsidP="00561E6C">
      <w:pPr>
        <w:spacing w:before="100" w:beforeAutospacing="1" w:after="100" w:afterAutospacing="1" w:line="240" w:lineRule="auto"/>
        <w:rPr>
          <w:rFonts w:eastAsia="Calibri" w:cs="Arial"/>
        </w:rPr>
      </w:pPr>
      <w:r w:rsidRPr="00235EEA">
        <w:rPr>
          <w:rFonts w:eastAsia="Calibri" w:cs="Arial"/>
        </w:rPr>
        <w:t xml:space="preserve">The </w:t>
      </w:r>
      <w:r w:rsidR="004D6A25" w:rsidRPr="00235EEA">
        <w:rPr>
          <w:rFonts w:eastAsia="Calibri" w:cs="Arial"/>
        </w:rPr>
        <w:t>2019</w:t>
      </w:r>
      <w:r w:rsidRPr="00235EEA">
        <w:rPr>
          <w:rFonts w:eastAsia="Calibri" w:cs="Arial"/>
        </w:rPr>
        <w:t>–</w:t>
      </w:r>
      <w:r w:rsidR="004D6A25" w:rsidRPr="00235EEA">
        <w:rPr>
          <w:rFonts w:eastAsia="Calibri" w:cs="Arial"/>
        </w:rPr>
        <w:t xml:space="preserve">20 </w:t>
      </w:r>
      <w:r w:rsidRPr="00235EEA">
        <w:rPr>
          <w:rFonts w:eastAsia="Calibri" w:cs="Arial"/>
        </w:rPr>
        <w:t>same-day cost parameter associated with E42B is $2,</w:t>
      </w:r>
      <w:r w:rsidR="009A24BF" w:rsidRPr="00235EEA">
        <w:rPr>
          <w:rFonts w:eastAsia="Calibri" w:cs="Arial"/>
        </w:rPr>
        <w:t>892.09</w:t>
      </w:r>
      <w:r w:rsidRPr="00235EEA">
        <w:rPr>
          <w:rFonts w:eastAsia="Calibri" w:cs="Arial"/>
        </w:rPr>
        <w:t>. Applying the annual indexation rate of 2.</w:t>
      </w:r>
      <w:r w:rsidR="00A2438B" w:rsidRPr="00235EEA">
        <w:rPr>
          <w:rFonts w:eastAsia="Calibri" w:cs="Arial"/>
        </w:rPr>
        <w:t>8</w:t>
      </w:r>
      <w:r w:rsidR="00B637AA" w:rsidRPr="00235EEA">
        <w:rPr>
          <w:rFonts w:eastAsia="Calibri" w:cs="Arial"/>
        </w:rPr>
        <w:t xml:space="preserve"> </w:t>
      </w:r>
      <w:r w:rsidRPr="00235EEA">
        <w:rPr>
          <w:rFonts w:eastAsia="Calibri" w:cs="Arial"/>
        </w:rPr>
        <w:t xml:space="preserve">per cent to the </w:t>
      </w:r>
      <w:r w:rsidR="004D6A25" w:rsidRPr="00235EEA">
        <w:rPr>
          <w:rFonts w:eastAsia="Calibri" w:cs="Arial"/>
        </w:rPr>
        <w:t>2019</w:t>
      </w:r>
      <w:r w:rsidRPr="00235EEA">
        <w:rPr>
          <w:rFonts w:eastAsia="Calibri" w:cs="Arial"/>
        </w:rPr>
        <w:t>–</w:t>
      </w:r>
      <w:r w:rsidR="004D6A25" w:rsidRPr="00235EEA">
        <w:rPr>
          <w:rFonts w:eastAsia="Calibri" w:cs="Arial"/>
        </w:rPr>
        <w:t xml:space="preserve">20 </w:t>
      </w:r>
      <w:r w:rsidRPr="00235EEA">
        <w:rPr>
          <w:rFonts w:eastAsia="Calibri" w:cs="Arial"/>
        </w:rPr>
        <w:t>cost</w:t>
      </w:r>
      <w:r w:rsidR="006665B8" w:rsidRPr="00235EEA">
        <w:rPr>
          <w:rFonts w:eastAsia="Calibri" w:cs="Arial"/>
        </w:rPr>
        <w:t xml:space="preserve"> </w:t>
      </w:r>
      <w:r w:rsidR="00212BF0" w:rsidRPr="00147EF1">
        <w:rPr>
          <w:rFonts w:eastAsia="Calibri" w:cs="Arial"/>
        </w:rPr>
        <w:t>with</w:t>
      </w:r>
      <w:r w:rsidR="006665B8">
        <w:rPr>
          <w:rFonts w:eastAsia="Calibri" w:cs="Arial"/>
        </w:rPr>
        <w:t xml:space="preserve"> the superannuation guarantee adjustment</w:t>
      </w:r>
      <w:r w:rsidRPr="00235EEA">
        <w:rPr>
          <w:rFonts w:eastAsia="Calibri" w:cs="Arial"/>
        </w:rPr>
        <w:t xml:space="preserve">, the estimated same-day cost of E42B in </w:t>
      </w:r>
      <w:r w:rsidR="00BE104C" w:rsidRPr="00235EEA">
        <w:rPr>
          <w:rFonts w:eastAsia="Calibri" w:cs="Arial"/>
        </w:rPr>
        <w:t>2022</w:t>
      </w:r>
      <w:r w:rsidRPr="00235EEA">
        <w:rPr>
          <w:rFonts w:eastAsia="Calibri" w:cs="Arial"/>
        </w:rPr>
        <w:t>–</w:t>
      </w:r>
      <w:r w:rsidR="00BE104C" w:rsidRPr="00235EEA">
        <w:rPr>
          <w:rFonts w:eastAsia="Calibri" w:cs="Arial"/>
        </w:rPr>
        <w:t xml:space="preserve">23 </w:t>
      </w:r>
      <w:r w:rsidRPr="00235EEA">
        <w:rPr>
          <w:rFonts w:eastAsia="Calibri" w:cs="Arial"/>
        </w:rPr>
        <w:t xml:space="preserve">is given by: </w:t>
      </w:r>
    </w:p>
    <w:p w14:paraId="6D531325" w14:textId="77777777" w:rsidR="00893529" w:rsidRPr="00235EEA" w:rsidRDefault="00BE104C" w:rsidP="00561E6C">
      <w:pPr>
        <w:spacing w:after="0" w:line="240" w:lineRule="auto"/>
        <w:rPr>
          <w:rFonts w:ascii="Cambria Math" w:hAnsi="Cambria Math"/>
        </w:rPr>
      </w:pPr>
      <w:r w:rsidRPr="00235EEA">
        <w:rPr>
          <w:rFonts w:ascii="Cambria Math" w:hAnsi="Cambria Math"/>
        </w:rPr>
        <w:t>2022</w:t>
      </w:r>
      <w:r w:rsidR="00561E6C" w:rsidRPr="00235EEA">
        <w:rPr>
          <w:rFonts w:ascii="Cambria Math" w:hAnsi="Cambria Math"/>
        </w:rPr>
        <w:t>–</w:t>
      </w:r>
      <w:r w:rsidRPr="00235EEA">
        <w:rPr>
          <w:rFonts w:ascii="Cambria Math" w:hAnsi="Cambria Math"/>
        </w:rPr>
        <w:t xml:space="preserve">23 </w:t>
      </w:r>
      <w:r w:rsidR="00561E6C" w:rsidRPr="00235EEA">
        <w:rPr>
          <w:rFonts w:ascii="Cambria Math" w:hAnsi="Cambria Math"/>
        </w:rPr>
        <w:t xml:space="preserve">estimated same-day cost of E42B </w:t>
      </w:r>
    </w:p>
    <w:p w14:paraId="77444C54" w14:textId="437FAC7B" w:rsidR="00561E6C" w:rsidRPr="00235EEA" w:rsidRDefault="00561E6C" w:rsidP="00893529">
      <w:pPr>
        <w:spacing w:after="0" w:line="240" w:lineRule="auto"/>
        <w:rPr>
          <w:rFonts w:ascii="Cambria Math" w:hAnsi="Cambria Math"/>
        </w:rPr>
      </w:pPr>
      <w:r w:rsidRPr="00235EEA">
        <w:rPr>
          <w:rFonts w:ascii="Cambria Math" w:hAnsi="Cambria Math"/>
        </w:rPr>
        <w:t>= (</w:t>
      </w:r>
      <w:r w:rsidR="00BE104C" w:rsidRPr="00235EEA">
        <w:rPr>
          <w:rFonts w:ascii="Cambria Math" w:hAnsi="Cambria Math"/>
        </w:rPr>
        <w:t>2019</w:t>
      </w:r>
      <w:r w:rsidRPr="00235EEA">
        <w:rPr>
          <w:rFonts w:ascii="Cambria Math" w:hAnsi="Cambria Math"/>
        </w:rPr>
        <w:t>–</w:t>
      </w:r>
      <w:r w:rsidR="00BE104C" w:rsidRPr="00235EEA">
        <w:rPr>
          <w:rFonts w:ascii="Cambria Math" w:hAnsi="Cambria Math"/>
        </w:rPr>
        <w:t xml:space="preserve">20 </w:t>
      </w:r>
      <w:r w:rsidRPr="00235EEA">
        <w:rPr>
          <w:rFonts w:ascii="Cambria Math" w:hAnsi="Cambria Math"/>
        </w:rPr>
        <w:t>estimated cost) × (indexation)</w:t>
      </w:r>
      <w:r w:rsidR="00893529" w:rsidRPr="00235EEA">
        <w:rPr>
          <w:rFonts w:ascii="Cambria Math" w:hAnsi="Cambria Math"/>
        </w:rPr>
        <w:t xml:space="preserve"> </w:t>
      </w:r>
      <w:r w:rsidR="00893529">
        <w:rPr>
          <w:rFonts w:ascii="Cambria Math" w:hAnsi="Cambria Math"/>
        </w:rPr>
        <w:t>× (superannuation guarantee adjustment)</w:t>
      </w:r>
    </w:p>
    <w:p w14:paraId="123138DD" w14:textId="16FF31D2" w:rsidR="00561E6C" w:rsidRPr="00235EEA" w:rsidRDefault="00561E6C" w:rsidP="00147EF1">
      <w:pPr>
        <w:spacing w:after="0" w:line="240" w:lineRule="auto"/>
        <w:rPr>
          <w:rFonts w:ascii="Cambria Math" w:hAnsi="Cambria Math"/>
        </w:rPr>
      </w:pPr>
      <w:r w:rsidRPr="00235EEA">
        <w:rPr>
          <w:rFonts w:ascii="Cambria Math" w:hAnsi="Cambria Math"/>
        </w:rPr>
        <w:t>= $</w:t>
      </w:r>
      <w:r w:rsidR="00856A37" w:rsidRPr="00235EEA">
        <w:rPr>
          <w:rFonts w:ascii="Cambria Math" w:hAnsi="Cambria Math"/>
        </w:rPr>
        <w:t>2,892.09</w:t>
      </w:r>
      <w:r w:rsidRPr="00235EEA">
        <w:rPr>
          <w:rFonts w:ascii="Cambria Math" w:hAnsi="Cambria Math"/>
        </w:rPr>
        <w:t>× (102.</w:t>
      </w:r>
      <w:r w:rsidR="00A2438B" w:rsidRPr="00235EEA">
        <w:rPr>
          <w:rFonts w:ascii="Cambria Math" w:hAnsi="Cambria Math"/>
        </w:rPr>
        <w:t>8</w:t>
      </w:r>
      <w:r w:rsidRPr="00235EEA">
        <w:rPr>
          <w:rFonts w:ascii="Cambria Math" w:hAnsi="Cambria Math"/>
        </w:rPr>
        <w:t xml:space="preserve">%) </w:t>
      </w:r>
      <w:r w:rsidRPr="00235EEA">
        <w:rPr>
          <w:rFonts w:ascii="Cambria Math" w:hAnsi="Cambria Math"/>
          <w:vertAlign w:val="superscript"/>
        </w:rPr>
        <w:t>3</w:t>
      </w:r>
      <w:r w:rsidR="00B75B79">
        <w:rPr>
          <w:rFonts w:ascii="Cambria Math" w:hAnsi="Cambria Math"/>
          <w:vertAlign w:val="superscript"/>
        </w:rPr>
        <w:t xml:space="preserve"> </w:t>
      </w:r>
      <w:r w:rsidR="00893529">
        <w:rPr>
          <w:rFonts w:ascii="Cambria Math" w:hAnsi="Cambria Math"/>
        </w:rPr>
        <w:t>× (100.54%)</w:t>
      </w:r>
    </w:p>
    <w:p w14:paraId="055F43FD" w14:textId="4E571154" w:rsidR="00561E6C" w:rsidRPr="00235EEA" w:rsidRDefault="00561E6C" w:rsidP="00147EF1">
      <w:pPr>
        <w:spacing w:after="0" w:line="240" w:lineRule="auto"/>
        <w:rPr>
          <w:rFonts w:ascii="Cambria Math" w:hAnsi="Cambria Math"/>
        </w:rPr>
      </w:pPr>
      <w:r w:rsidRPr="00235EEA">
        <w:rPr>
          <w:rFonts w:ascii="Cambria Math" w:hAnsi="Cambria Math"/>
        </w:rPr>
        <w:t>= $</w:t>
      </w:r>
      <w:r w:rsidR="00F925FC" w:rsidRPr="00235EEA">
        <w:rPr>
          <w:rFonts w:ascii="Cambria Math" w:hAnsi="Cambria Math"/>
        </w:rPr>
        <w:t>3,</w:t>
      </w:r>
      <w:r w:rsidR="00A2438B" w:rsidRPr="00235EEA">
        <w:rPr>
          <w:rFonts w:ascii="Cambria Math" w:hAnsi="Cambria Math"/>
        </w:rPr>
        <w:t>1</w:t>
      </w:r>
      <w:r w:rsidR="00306034" w:rsidRPr="00235EEA">
        <w:rPr>
          <w:rFonts w:ascii="Cambria Math" w:hAnsi="Cambria Math"/>
        </w:rPr>
        <w:t>58</w:t>
      </w:r>
      <w:r w:rsidR="00830410" w:rsidRPr="00235EEA">
        <w:rPr>
          <w:rFonts w:ascii="Cambria Math" w:hAnsi="Cambria Math"/>
        </w:rPr>
        <w:t>.86</w:t>
      </w:r>
    </w:p>
    <w:p w14:paraId="32C00240" w14:textId="5B5E7700" w:rsidR="00561E6C" w:rsidRPr="00235EEA" w:rsidRDefault="00561E6C" w:rsidP="00147EF1">
      <w:pPr>
        <w:keepNext/>
        <w:keepLines/>
        <w:spacing w:before="100" w:beforeAutospacing="1" w:after="100" w:afterAutospacing="1" w:line="240" w:lineRule="auto"/>
        <w:rPr>
          <w:rFonts w:cs="Arial"/>
        </w:rPr>
      </w:pPr>
      <w:r w:rsidRPr="00E33EAE">
        <w:rPr>
          <w:rFonts w:cs="Arial"/>
        </w:rPr>
        <w:t xml:space="preserve">On the other hand, the </w:t>
      </w:r>
      <w:r>
        <w:rPr>
          <w:rFonts w:cs="Arial"/>
        </w:rPr>
        <w:t xml:space="preserve">same-day </w:t>
      </w:r>
      <w:r w:rsidRPr="00E33EAE">
        <w:rPr>
          <w:rFonts w:cs="Arial"/>
        </w:rPr>
        <w:t xml:space="preserve">cost weight associated with </w:t>
      </w:r>
      <w:r w:rsidRPr="00801AF5">
        <w:rPr>
          <w:rFonts w:cs="Arial"/>
        </w:rPr>
        <w:t xml:space="preserve">E42B </w:t>
      </w:r>
      <w:r w:rsidRPr="009602D0">
        <w:rPr>
          <w:rFonts w:cs="Arial"/>
        </w:rPr>
        <w:t>is 0.</w:t>
      </w:r>
      <w:r w:rsidR="00012A32" w:rsidRPr="009602D0">
        <w:rPr>
          <w:rFonts w:cs="Arial"/>
        </w:rPr>
        <w:t>5</w:t>
      </w:r>
      <w:r w:rsidR="00012A32">
        <w:rPr>
          <w:rFonts w:cs="Arial"/>
        </w:rPr>
        <w:t>450</w:t>
      </w:r>
      <w:r w:rsidR="00012A32" w:rsidRPr="009602D0">
        <w:rPr>
          <w:rFonts w:cs="Arial"/>
        </w:rPr>
        <w:t xml:space="preserve"> </w:t>
      </w:r>
      <w:r w:rsidRPr="009602D0">
        <w:rPr>
          <w:rFonts w:cs="Arial"/>
        </w:rPr>
        <w:t xml:space="preserve">(= </w:t>
      </w:r>
      <w:r w:rsidRPr="009602D0">
        <w:rPr>
          <w:rFonts w:eastAsia="Calibri" w:cs="Arial"/>
        </w:rPr>
        <w:t>$</w:t>
      </w:r>
      <w:r w:rsidR="00F925FC" w:rsidRPr="00152DB7">
        <w:rPr>
          <w:rFonts w:eastAsia="Calibri" w:cs="Arial"/>
        </w:rPr>
        <w:t>2,8</w:t>
      </w:r>
      <w:r w:rsidR="00012A32">
        <w:rPr>
          <w:rFonts w:eastAsia="Calibri" w:cs="Arial"/>
        </w:rPr>
        <w:t>92.09</w:t>
      </w:r>
      <w:r w:rsidRPr="009602D0">
        <w:rPr>
          <w:rFonts w:cs="Arial"/>
        </w:rPr>
        <w:t xml:space="preserve">/ </w:t>
      </w:r>
      <w:r w:rsidRPr="00235EEA">
        <w:rPr>
          <w:rFonts w:cs="Arial"/>
        </w:rPr>
        <w:t>$</w:t>
      </w:r>
      <w:r w:rsidR="00B637AA" w:rsidRPr="00235EEA">
        <w:rPr>
          <w:rFonts w:cs="Arial"/>
        </w:rPr>
        <w:t>5,</w:t>
      </w:r>
      <w:r w:rsidR="00012A32" w:rsidRPr="00235EEA">
        <w:rPr>
          <w:rFonts w:cs="Arial"/>
        </w:rPr>
        <w:t>307</w:t>
      </w:r>
      <w:r w:rsidRPr="00235EEA">
        <w:rPr>
          <w:rFonts w:cs="Arial"/>
        </w:rPr>
        <w:t xml:space="preserve">). Applying the annual indexation rate to the </w:t>
      </w:r>
      <w:r w:rsidR="00BE104C" w:rsidRPr="00235EEA">
        <w:rPr>
          <w:rFonts w:eastAsia="Calibri" w:cs="Arial"/>
        </w:rPr>
        <w:t>2019</w:t>
      </w:r>
      <w:r w:rsidRPr="00235EEA">
        <w:rPr>
          <w:rFonts w:eastAsia="Calibri" w:cs="Arial"/>
        </w:rPr>
        <w:t>–</w:t>
      </w:r>
      <w:r w:rsidR="00BE104C" w:rsidRPr="00235EEA">
        <w:rPr>
          <w:rFonts w:eastAsia="Calibri" w:cs="Arial"/>
        </w:rPr>
        <w:t>20</w:t>
      </w:r>
      <w:r w:rsidR="00BE104C" w:rsidRPr="00235EEA">
        <w:rPr>
          <w:rFonts w:cs="Arial"/>
        </w:rPr>
        <w:t xml:space="preserve"> </w:t>
      </w:r>
      <w:r w:rsidRPr="00235EEA">
        <w:rPr>
          <w:rFonts w:cs="Arial"/>
        </w:rPr>
        <w:t>reference cost</w:t>
      </w:r>
      <w:r w:rsidR="006665B8" w:rsidRPr="00235EEA">
        <w:rPr>
          <w:rFonts w:cs="Arial"/>
        </w:rPr>
        <w:t xml:space="preserve"> </w:t>
      </w:r>
      <w:r w:rsidR="008523C1" w:rsidRPr="00147EF1">
        <w:rPr>
          <w:rFonts w:cs="Arial"/>
        </w:rPr>
        <w:t>with</w:t>
      </w:r>
      <w:r w:rsidR="006665B8">
        <w:rPr>
          <w:rFonts w:cs="Arial"/>
        </w:rPr>
        <w:t xml:space="preserve"> the superannuation guarantee adjustment</w:t>
      </w:r>
      <w:r w:rsidRPr="00235EEA">
        <w:rPr>
          <w:rFonts w:cs="Arial"/>
        </w:rPr>
        <w:t xml:space="preserve">, the resulting estimated cost of a same-day episode in E42B in </w:t>
      </w:r>
      <w:r w:rsidR="00BE104C" w:rsidRPr="00235EEA">
        <w:rPr>
          <w:rFonts w:cs="Arial"/>
        </w:rPr>
        <w:t>2022</w:t>
      </w:r>
      <w:r w:rsidRPr="00235EEA">
        <w:rPr>
          <w:rFonts w:cs="Arial"/>
        </w:rPr>
        <w:t>–</w:t>
      </w:r>
      <w:r w:rsidR="00BE104C" w:rsidRPr="00235EEA">
        <w:rPr>
          <w:rFonts w:cs="Arial"/>
        </w:rPr>
        <w:t xml:space="preserve">23 </w:t>
      </w:r>
      <w:r w:rsidRPr="00235EEA">
        <w:rPr>
          <w:rFonts w:cs="Arial"/>
        </w:rPr>
        <w:t>is given by:</w:t>
      </w:r>
    </w:p>
    <w:p w14:paraId="2BB5549E" w14:textId="77777777" w:rsidR="00893529" w:rsidRPr="00235EEA" w:rsidRDefault="00BE104C" w:rsidP="00147EF1">
      <w:pPr>
        <w:keepNext/>
        <w:keepLines/>
        <w:tabs>
          <w:tab w:val="left" w:pos="3544"/>
        </w:tabs>
        <w:spacing w:after="0" w:line="240" w:lineRule="auto"/>
        <w:rPr>
          <w:rFonts w:ascii="Cambria Math" w:hAnsi="Cambria Math"/>
        </w:rPr>
      </w:pPr>
      <w:r w:rsidRPr="00235EEA">
        <w:rPr>
          <w:rFonts w:ascii="Cambria Math" w:hAnsi="Cambria Math"/>
        </w:rPr>
        <w:t>2022</w:t>
      </w:r>
      <w:r w:rsidR="00561E6C" w:rsidRPr="00235EEA">
        <w:rPr>
          <w:rFonts w:ascii="Cambria Math" w:hAnsi="Cambria Math"/>
        </w:rPr>
        <w:t>–</w:t>
      </w:r>
      <w:r w:rsidRPr="00235EEA">
        <w:rPr>
          <w:rFonts w:ascii="Cambria Math" w:hAnsi="Cambria Math"/>
        </w:rPr>
        <w:t xml:space="preserve">23 </w:t>
      </w:r>
      <w:r w:rsidR="00561E6C" w:rsidRPr="00235EEA">
        <w:rPr>
          <w:rFonts w:ascii="Cambria Math" w:hAnsi="Cambria Math"/>
        </w:rPr>
        <w:t xml:space="preserve">estimated same-day cost of E42B </w:t>
      </w:r>
    </w:p>
    <w:p w14:paraId="0B2313B7" w14:textId="52083236" w:rsidR="00561E6C" w:rsidRPr="00235EEA" w:rsidRDefault="00561E6C" w:rsidP="00147EF1">
      <w:pPr>
        <w:keepNext/>
        <w:keepLines/>
        <w:tabs>
          <w:tab w:val="left" w:pos="3544"/>
        </w:tabs>
        <w:spacing w:after="0" w:line="240" w:lineRule="auto"/>
        <w:rPr>
          <w:rFonts w:ascii="Cambria Math" w:hAnsi="Cambria Math"/>
        </w:rPr>
      </w:pPr>
      <w:r w:rsidRPr="00235EEA">
        <w:rPr>
          <w:rFonts w:ascii="Cambria Math" w:hAnsi="Cambria Math"/>
        </w:rPr>
        <w:t>= (</w:t>
      </w:r>
      <w:r w:rsidR="00BE104C" w:rsidRPr="00235EEA">
        <w:rPr>
          <w:rFonts w:ascii="Cambria Math" w:hAnsi="Cambria Math"/>
        </w:rPr>
        <w:t>2019</w:t>
      </w:r>
      <w:r w:rsidRPr="00235EEA">
        <w:rPr>
          <w:rFonts w:ascii="Cambria Math" w:hAnsi="Cambria Math"/>
        </w:rPr>
        <w:t>–</w:t>
      </w:r>
      <w:r w:rsidR="00BE104C" w:rsidRPr="00235EEA">
        <w:rPr>
          <w:rFonts w:ascii="Cambria Math" w:hAnsi="Cambria Math"/>
        </w:rPr>
        <w:t xml:space="preserve">20 </w:t>
      </w:r>
      <w:r w:rsidRPr="00235EEA">
        <w:rPr>
          <w:rFonts w:ascii="Cambria Math" w:hAnsi="Cambria Math"/>
        </w:rPr>
        <w:t>cost weight) × (indexed reference cost</w:t>
      </w:r>
      <w:r w:rsidR="00E707F6" w:rsidRPr="00235EEA">
        <w:rPr>
          <w:rFonts w:ascii="Cambria Math" w:hAnsi="Cambria Math"/>
        </w:rPr>
        <w:t>)</w:t>
      </w:r>
      <w:r w:rsidR="00F90C35" w:rsidRPr="00235EEA">
        <w:rPr>
          <w:rFonts w:ascii="Cambria Math" w:hAnsi="Cambria Math"/>
        </w:rPr>
        <w:t xml:space="preserve"> </w:t>
      </w:r>
      <w:r w:rsidR="00E707F6">
        <w:rPr>
          <w:rFonts w:ascii="Cambria Math" w:hAnsi="Cambria Math"/>
        </w:rPr>
        <w:t>× (superannuation guarantee adjustment)</w:t>
      </w:r>
    </w:p>
    <w:p w14:paraId="5BB80B60" w14:textId="5BDD975F" w:rsidR="00561E6C" w:rsidRPr="00235EEA" w:rsidRDefault="00561E6C" w:rsidP="00147EF1">
      <w:pPr>
        <w:keepNext/>
        <w:keepLines/>
        <w:spacing w:after="0" w:line="240" w:lineRule="auto"/>
        <w:rPr>
          <w:rFonts w:ascii="Cambria Math" w:hAnsi="Cambria Math"/>
        </w:rPr>
      </w:pPr>
      <w:r w:rsidRPr="00235EEA">
        <w:rPr>
          <w:rFonts w:ascii="Cambria Math" w:hAnsi="Cambria Math"/>
        </w:rPr>
        <w:t xml:space="preserve">= </w:t>
      </w:r>
      <w:r w:rsidRPr="00235EEA">
        <w:rPr>
          <w:rFonts w:ascii="Cambria Math" w:hAnsi="Cambria Math" w:cs="Arial"/>
        </w:rPr>
        <w:t>0.</w:t>
      </w:r>
      <w:r w:rsidR="00012A32" w:rsidRPr="00235EEA">
        <w:rPr>
          <w:rFonts w:ascii="Cambria Math" w:hAnsi="Cambria Math" w:cs="Arial"/>
        </w:rPr>
        <w:t xml:space="preserve">5450 </w:t>
      </w:r>
      <w:r w:rsidRPr="00235EEA">
        <w:rPr>
          <w:rFonts w:ascii="Cambria Math" w:hAnsi="Cambria Math"/>
        </w:rPr>
        <w:t>× ($</w:t>
      </w:r>
      <w:r w:rsidR="00B637AA" w:rsidRPr="00235EEA">
        <w:rPr>
          <w:rFonts w:ascii="Cambria Math" w:hAnsi="Cambria Math"/>
        </w:rPr>
        <w:t>5,</w:t>
      </w:r>
      <w:r w:rsidR="00012A32" w:rsidRPr="00235EEA">
        <w:rPr>
          <w:rFonts w:ascii="Cambria Math" w:hAnsi="Cambria Math"/>
        </w:rPr>
        <w:t xml:space="preserve">307 </w:t>
      </w:r>
      <w:r w:rsidRPr="00235EEA">
        <w:rPr>
          <w:rFonts w:ascii="Cambria Math" w:hAnsi="Cambria Math"/>
        </w:rPr>
        <w:t>×</w:t>
      </w:r>
      <w:r w:rsidR="0059555C" w:rsidRPr="00235EEA">
        <w:rPr>
          <w:rFonts w:ascii="Cambria Math" w:hAnsi="Cambria Math"/>
        </w:rPr>
        <w:t xml:space="preserve"> </w:t>
      </w:r>
      <w:r w:rsidR="00F925FC" w:rsidRPr="00235EEA">
        <w:rPr>
          <w:rFonts w:ascii="Cambria Math" w:hAnsi="Cambria Math"/>
        </w:rPr>
        <w:t>(102.</w:t>
      </w:r>
      <w:r w:rsidR="00A2438B" w:rsidRPr="00235EEA">
        <w:rPr>
          <w:rFonts w:ascii="Cambria Math" w:hAnsi="Cambria Math"/>
        </w:rPr>
        <w:t>8</w:t>
      </w:r>
      <w:r w:rsidR="00F925FC" w:rsidRPr="00235EEA">
        <w:rPr>
          <w:rFonts w:ascii="Cambria Math" w:hAnsi="Cambria Math"/>
        </w:rPr>
        <w:t xml:space="preserve">%) </w:t>
      </w:r>
      <w:r w:rsidR="00F925FC" w:rsidRPr="00235EEA">
        <w:rPr>
          <w:rFonts w:ascii="Cambria Math" w:hAnsi="Cambria Math"/>
          <w:vertAlign w:val="superscript"/>
        </w:rPr>
        <w:t>3</w:t>
      </w:r>
      <w:r w:rsidRPr="00235EEA">
        <w:rPr>
          <w:rFonts w:ascii="Cambria Math" w:hAnsi="Cambria Math"/>
        </w:rPr>
        <w:t>)</w:t>
      </w:r>
      <w:r w:rsidR="00737F46" w:rsidRPr="00235EEA">
        <w:rPr>
          <w:rFonts w:ascii="Cambria Math" w:hAnsi="Cambria Math"/>
        </w:rPr>
        <w:t xml:space="preserve"> </w:t>
      </w:r>
      <w:r w:rsidR="00737F46">
        <w:rPr>
          <w:rFonts w:ascii="Cambria Math" w:hAnsi="Cambria Math"/>
        </w:rPr>
        <w:t>× (1</w:t>
      </w:r>
      <w:r w:rsidR="00555EA3">
        <w:rPr>
          <w:rFonts w:ascii="Cambria Math" w:hAnsi="Cambria Math"/>
        </w:rPr>
        <w:t>00.54%)</w:t>
      </w:r>
    </w:p>
    <w:p w14:paraId="3E994F0C" w14:textId="567E4404" w:rsidR="00561E6C" w:rsidRPr="00235EEA" w:rsidRDefault="00561E6C" w:rsidP="00147EF1">
      <w:pPr>
        <w:keepNext/>
        <w:keepLines/>
        <w:spacing w:after="0" w:line="240" w:lineRule="auto"/>
        <w:rPr>
          <w:rFonts w:ascii="Cambria Math" w:hAnsi="Cambria Math"/>
        </w:rPr>
      </w:pPr>
      <w:r w:rsidRPr="00235EEA">
        <w:rPr>
          <w:rFonts w:ascii="Cambria Math" w:hAnsi="Cambria Math"/>
        </w:rPr>
        <w:t xml:space="preserve">= </w:t>
      </w:r>
      <w:r w:rsidRPr="00235EEA">
        <w:rPr>
          <w:rFonts w:ascii="Cambria Math" w:hAnsi="Cambria Math" w:cs="Arial"/>
        </w:rPr>
        <w:t>0.</w:t>
      </w:r>
      <w:r w:rsidR="00D35E66" w:rsidRPr="00235EEA">
        <w:rPr>
          <w:rFonts w:ascii="Cambria Math" w:hAnsi="Cambria Math" w:cs="Arial"/>
        </w:rPr>
        <w:t xml:space="preserve">5450 </w:t>
      </w:r>
      <w:r w:rsidRPr="00235EEA">
        <w:rPr>
          <w:rFonts w:ascii="Cambria Math" w:hAnsi="Cambria Math"/>
        </w:rPr>
        <w:t>× $5,</w:t>
      </w:r>
      <w:r w:rsidR="00012A32" w:rsidRPr="00235EEA">
        <w:rPr>
          <w:rFonts w:ascii="Cambria Math" w:hAnsi="Cambria Math"/>
        </w:rPr>
        <w:t>7</w:t>
      </w:r>
      <w:r w:rsidR="0028780E" w:rsidRPr="00235EEA">
        <w:rPr>
          <w:rFonts w:ascii="Cambria Math" w:hAnsi="Cambria Math"/>
        </w:rPr>
        <w:t>9</w:t>
      </w:r>
      <w:r w:rsidR="00012A32" w:rsidRPr="00235EEA">
        <w:rPr>
          <w:rFonts w:ascii="Cambria Math" w:hAnsi="Cambria Math"/>
        </w:rPr>
        <w:t>7</w:t>
      </w:r>
    </w:p>
    <w:p w14:paraId="1A7A4BCA" w14:textId="3F2B2775" w:rsidR="00561E6C" w:rsidRPr="00235EEA" w:rsidRDefault="00561E6C" w:rsidP="00147EF1">
      <w:pPr>
        <w:keepNext/>
        <w:keepLines/>
        <w:spacing w:line="240" w:lineRule="auto"/>
        <w:rPr>
          <w:rFonts w:ascii="Cambria Math" w:hAnsi="Cambria Math"/>
        </w:rPr>
      </w:pPr>
      <w:r w:rsidRPr="00235EEA">
        <w:rPr>
          <w:rFonts w:ascii="Cambria Math" w:hAnsi="Cambria Math"/>
        </w:rPr>
        <w:t>= $</w:t>
      </w:r>
      <w:r w:rsidR="00CF0147" w:rsidRPr="00235EEA">
        <w:rPr>
          <w:rFonts w:ascii="Cambria Math" w:hAnsi="Cambria Math"/>
        </w:rPr>
        <w:t>3,</w:t>
      </w:r>
      <w:r w:rsidR="00A2438B" w:rsidRPr="00235EEA">
        <w:rPr>
          <w:rFonts w:ascii="Cambria Math" w:hAnsi="Cambria Math"/>
        </w:rPr>
        <w:t>1</w:t>
      </w:r>
      <w:r w:rsidR="006665B8" w:rsidRPr="00235EEA">
        <w:rPr>
          <w:rFonts w:ascii="Cambria Math" w:hAnsi="Cambria Math"/>
        </w:rPr>
        <w:t>59.</w:t>
      </w:r>
      <w:r w:rsidR="00813790" w:rsidRPr="00235EEA">
        <w:rPr>
          <w:rFonts w:ascii="Cambria Math" w:hAnsi="Cambria Math"/>
        </w:rPr>
        <w:t>37</w:t>
      </w:r>
    </w:p>
    <w:p w14:paraId="60BA4259" w14:textId="5304C572" w:rsidR="00561E6C" w:rsidRPr="00AC376B" w:rsidRDefault="00561E6C" w:rsidP="00147EF1">
      <w:pPr>
        <w:keepNext/>
        <w:keepLines/>
      </w:pPr>
      <w:r>
        <w:t xml:space="preserve">Note there is a minor difference in final </w:t>
      </w:r>
      <w:r w:rsidR="00F925FC">
        <w:t xml:space="preserve">result </w:t>
      </w:r>
      <w:r>
        <w:t xml:space="preserve">due to rounding of </w:t>
      </w:r>
      <w:r w:rsidR="005256B9">
        <w:t xml:space="preserve">the </w:t>
      </w:r>
      <w:r>
        <w:t>price weight.</w:t>
      </w:r>
    </w:p>
    <w:p w14:paraId="6490327C" w14:textId="77777777" w:rsidR="00561E6C" w:rsidRPr="00C83E69" w:rsidRDefault="00561E6C" w:rsidP="00755433">
      <w:pPr>
        <w:pStyle w:val="Heading2"/>
      </w:pPr>
      <w:bookmarkStart w:id="267" w:name="_Toc499221011"/>
      <w:bookmarkStart w:id="268" w:name="_Toc499290963"/>
      <w:bookmarkStart w:id="269" w:name="_Toc26278349"/>
      <w:bookmarkStart w:id="270" w:name="_Toc26370527"/>
      <w:bookmarkStart w:id="271" w:name="_Toc65145961"/>
      <w:bookmarkStart w:id="272" w:name="_Toc98882310"/>
      <w:r>
        <w:t>Back-casting for ABF</w:t>
      </w:r>
      <w:bookmarkEnd w:id="267"/>
      <w:bookmarkEnd w:id="268"/>
      <w:bookmarkEnd w:id="269"/>
      <w:bookmarkEnd w:id="270"/>
      <w:bookmarkEnd w:id="271"/>
      <w:bookmarkEnd w:id="272"/>
    </w:p>
    <w:p w14:paraId="0AEDBD4E" w14:textId="77777777" w:rsidR="00561E6C" w:rsidRPr="00801AF5" w:rsidRDefault="00561E6C" w:rsidP="00561E6C">
      <w:pPr>
        <w:spacing w:after="100" w:afterAutospacing="1" w:line="240" w:lineRule="auto"/>
        <w:rPr>
          <w:rFonts w:eastAsia="Calibri" w:cs="Arial"/>
        </w:rPr>
      </w:pPr>
      <w:r w:rsidRPr="00801AF5">
        <w:rPr>
          <w:rFonts w:eastAsia="Calibri" w:cs="Arial"/>
        </w:rPr>
        <w:t>Back</w:t>
      </w:r>
      <w:r>
        <w:rPr>
          <w:rFonts w:eastAsia="Calibri" w:cs="Arial"/>
        </w:rPr>
        <w:t>-</w:t>
      </w:r>
      <w:r w:rsidRPr="00801AF5">
        <w:rPr>
          <w:rFonts w:eastAsia="Calibri" w:cs="Arial"/>
        </w:rPr>
        <w:t>casting is the process by which the effect of significant changes to the ABF classification systems or costing methodologies are reflected in the pricing model the year prior to implementation, for the purpose of the calculation of the Commonwealth’s funding for each ABF service category.</w:t>
      </w:r>
    </w:p>
    <w:p w14:paraId="5D840F48" w14:textId="03932F35" w:rsidR="00561E6C" w:rsidRPr="00801AF5" w:rsidRDefault="00561E6C" w:rsidP="00561E6C">
      <w:pPr>
        <w:spacing w:before="100" w:beforeAutospacing="1" w:after="100" w:afterAutospacing="1" w:line="240" w:lineRule="auto"/>
        <w:rPr>
          <w:rFonts w:eastAsia="Calibri" w:cs="Arial"/>
        </w:rPr>
      </w:pPr>
      <w:r w:rsidRPr="00801AF5">
        <w:rPr>
          <w:rFonts w:eastAsia="Calibri" w:cs="Arial"/>
        </w:rPr>
        <w:t xml:space="preserve">In accordance with Clauses A34(b) and </w:t>
      </w:r>
      <w:r w:rsidR="002F278B" w:rsidRPr="00801AF5">
        <w:rPr>
          <w:rFonts w:eastAsia="Calibri" w:cs="Arial"/>
        </w:rPr>
        <w:t>A4</w:t>
      </w:r>
      <w:r w:rsidR="002F278B">
        <w:rPr>
          <w:rFonts w:eastAsia="Calibri" w:cs="Arial"/>
        </w:rPr>
        <w:t>1</w:t>
      </w:r>
      <w:r w:rsidR="002F278B" w:rsidRPr="00801AF5">
        <w:rPr>
          <w:rFonts w:eastAsia="Calibri" w:cs="Arial"/>
        </w:rPr>
        <w:t xml:space="preserve"> </w:t>
      </w:r>
      <w:r w:rsidRPr="00801AF5">
        <w:rPr>
          <w:rFonts w:eastAsia="Calibri" w:cs="Arial"/>
        </w:rPr>
        <w:t xml:space="preserve">of the NHRA, the Pricing Authority has applied the methodological changes made in </w:t>
      </w:r>
      <w:r w:rsidR="00BE104C">
        <w:rPr>
          <w:rFonts w:eastAsia="Calibri" w:cs="Arial"/>
        </w:rPr>
        <w:t>NEP22</w:t>
      </w:r>
      <w:r w:rsidR="00BE104C" w:rsidRPr="00801AF5">
        <w:rPr>
          <w:rFonts w:eastAsia="Calibri" w:cs="Arial"/>
        </w:rPr>
        <w:t xml:space="preserve"> </w:t>
      </w:r>
      <w:r w:rsidRPr="00801AF5">
        <w:rPr>
          <w:rFonts w:eastAsia="Calibri" w:cs="Arial"/>
        </w:rPr>
        <w:t xml:space="preserve">to </w:t>
      </w:r>
      <w:r w:rsidR="00BE104C" w:rsidRPr="00801AF5">
        <w:rPr>
          <w:rFonts w:eastAsia="Calibri" w:cs="Arial"/>
        </w:rPr>
        <w:t>NEP</w:t>
      </w:r>
      <w:r w:rsidR="00BE104C">
        <w:rPr>
          <w:rFonts w:eastAsia="Calibri" w:cs="Arial"/>
        </w:rPr>
        <w:t>21</w:t>
      </w:r>
      <w:r w:rsidR="00BE104C" w:rsidRPr="00801AF5">
        <w:rPr>
          <w:rFonts w:eastAsia="Calibri" w:cs="Arial"/>
        </w:rPr>
        <w:t xml:space="preserve"> </w:t>
      </w:r>
      <w:r w:rsidRPr="00801AF5">
        <w:rPr>
          <w:rFonts w:eastAsia="Calibri" w:cs="Arial"/>
        </w:rPr>
        <w:t>to determine the back</w:t>
      </w:r>
      <w:r>
        <w:rPr>
          <w:rFonts w:eastAsia="Calibri" w:cs="Arial"/>
        </w:rPr>
        <w:t>-</w:t>
      </w:r>
      <w:r w:rsidRPr="00801AF5">
        <w:rPr>
          <w:rFonts w:eastAsia="Calibri" w:cs="Arial"/>
        </w:rPr>
        <w:t xml:space="preserve">cast </w:t>
      </w:r>
      <w:r w:rsidR="00BE104C" w:rsidRPr="00801AF5">
        <w:rPr>
          <w:rFonts w:eastAsia="Calibri" w:cs="Arial"/>
        </w:rPr>
        <w:t>NEP</w:t>
      </w:r>
      <w:r w:rsidR="00BE104C">
        <w:rPr>
          <w:rFonts w:eastAsia="Calibri" w:cs="Arial"/>
        </w:rPr>
        <w:t>21</w:t>
      </w:r>
      <w:r w:rsidR="00BE104C" w:rsidRPr="00801AF5">
        <w:rPr>
          <w:rFonts w:eastAsia="Calibri" w:cs="Arial"/>
        </w:rPr>
        <w:t xml:space="preserve"> </w:t>
      </w:r>
      <w:r w:rsidRPr="00801AF5">
        <w:rPr>
          <w:rFonts w:eastAsia="Calibri" w:cs="Arial"/>
        </w:rPr>
        <w:t xml:space="preserve">for the purposes of determining Commonwealth growth funding between </w:t>
      </w:r>
      <w:r w:rsidR="00BE104C">
        <w:rPr>
          <w:rFonts w:eastAsia="Calibri" w:cs="Arial"/>
        </w:rPr>
        <w:t>2021</w:t>
      </w:r>
      <w:r w:rsidR="00AD764B" w:rsidRPr="005A1510">
        <w:rPr>
          <w:rFonts w:eastAsia="Calibri" w:cs="Arial"/>
        </w:rPr>
        <w:t>–</w:t>
      </w:r>
      <w:r w:rsidR="00BE104C">
        <w:rPr>
          <w:rFonts w:eastAsia="Calibri" w:cs="Arial"/>
        </w:rPr>
        <w:t>22</w:t>
      </w:r>
      <w:r w:rsidR="00BE104C" w:rsidRPr="00801AF5">
        <w:rPr>
          <w:rFonts w:eastAsia="Calibri" w:cs="Arial"/>
        </w:rPr>
        <w:t xml:space="preserve"> </w:t>
      </w:r>
      <w:r w:rsidRPr="00801AF5">
        <w:rPr>
          <w:rFonts w:eastAsia="Calibri" w:cs="Arial"/>
        </w:rPr>
        <w:t xml:space="preserve">and </w:t>
      </w:r>
      <w:r w:rsidR="00BE104C">
        <w:rPr>
          <w:rFonts w:eastAsia="Calibri" w:cs="Arial"/>
        </w:rPr>
        <w:t>2022</w:t>
      </w:r>
      <w:r w:rsidR="00AD764B" w:rsidRPr="005A1510">
        <w:rPr>
          <w:rFonts w:eastAsia="Calibri" w:cs="Arial"/>
        </w:rPr>
        <w:t>–</w:t>
      </w:r>
      <w:r w:rsidR="00BE104C">
        <w:rPr>
          <w:rFonts w:eastAsia="Calibri" w:cs="Arial"/>
        </w:rPr>
        <w:t>23</w:t>
      </w:r>
      <w:r w:rsidRPr="00801AF5">
        <w:rPr>
          <w:rFonts w:eastAsia="Calibri" w:cs="Arial"/>
        </w:rPr>
        <w:t>. The back</w:t>
      </w:r>
      <w:r>
        <w:rPr>
          <w:rFonts w:eastAsia="Calibri" w:cs="Arial"/>
        </w:rPr>
        <w:t>-</w:t>
      </w:r>
      <w:r w:rsidRPr="00801AF5">
        <w:rPr>
          <w:rFonts w:eastAsia="Calibri" w:cs="Arial"/>
        </w:rPr>
        <w:t xml:space="preserve">cast amount for </w:t>
      </w:r>
      <w:r w:rsidR="00BE104C" w:rsidRPr="00801AF5">
        <w:rPr>
          <w:rFonts w:eastAsia="Calibri" w:cs="Arial"/>
        </w:rPr>
        <w:t>NEP</w:t>
      </w:r>
      <w:r w:rsidR="00BE104C">
        <w:rPr>
          <w:rFonts w:eastAsia="Calibri" w:cs="Arial"/>
        </w:rPr>
        <w:t>21</w:t>
      </w:r>
      <w:r w:rsidR="00BE104C" w:rsidRPr="00801AF5">
        <w:rPr>
          <w:rFonts w:eastAsia="Calibri" w:cs="Arial"/>
        </w:rPr>
        <w:t xml:space="preserve"> </w:t>
      </w:r>
      <w:r w:rsidRPr="00801AF5">
        <w:rPr>
          <w:rFonts w:eastAsia="Calibri" w:cs="Arial"/>
        </w:rPr>
        <w:t xml:space="preserve">is provided in </w:t>
      </w:r>
      <w:r w:rsidRPr="00272A40">
        <w:rPr>
          <w:rFonts w:eastAsia="Calibri" w:cs="Arial"/>
        </w:rPr>
        <w:t xml:space="preserve">Chapter </w:t>
      </w:r>
      <w:r w:rsidR="0056654B">
        <w:rPr>
          <w:rFonts w:eastAsia="Calibri" w:cs="Arial"/>
        </w:rPr>
        <w:t>11</w:t>
      </w:r>
      <w:r w:rsidR="0056654B" w:rsidRPr="00801AF5">
        <w:rPr>
          <w:rFonts w:eastAsia="Calibri" w:cs="Arial"/>
        </w:rPr>
        <w:t xml:space="preserve"> </w:t>
      </w:r>
      <w:r w:rsidRPr="00801AF5">
        <w:rPr>
          <w:rFonts w:eastAsia="Calibri" w:cs="Arial"/>
        </w:rPr>
        <w:t xml:space="preserve">of the </w:t>
      </w:r>
      <w:r w:rsidRPr="005A1510">
        <w:rPr>
          <w:rFonts w:eastAsia="Calibri" w:cs="Arial"/>
        </w:rPr>
        <w:t>National Ef</w:t>
      </w:r>
      <w:r w:rsidR="004E0214">
        <w:rPr>
          <w:rFonts w:eastAsia="Calibri" w:cs="Arial"/>
        </w:rPr>
        <w:t xml:space="preserve">ficient Price Determination </w:t>
      </w:r>
      <w:r w:rsidR="00BE104C">
        <w:rPr>
          <w:rFonts w:eastAsia="Calibri" w:cs="Arial"/>
        </w:rPr>
        <w:t>2022</w:t>
      </w:r>
      <w:r w:rsidRPr="005A1510">
        <w:rPr>
          <w:rFonts w:eastAsia="Calibri" w:cs="Arial"/>
        </w:rPr>
        <w:t>–</w:t>
      </w:r>
      <w:r w:rsidR="00BE104C">
        <w:rPr>
          <w:rFonts w:eastAsia="Calibri" w:cs="Arial"/>
        </w:rPr>
        <w:t>23</w:t>
      </w:r>
      <w:r w:rsidRPr="00801AF5">
        <w:rPr>
          <w:rFonts w:eastAsia="Calibri" w:cs="Arial"/>
        </w:rPr>
        <w:t xml:space="preserve">. </w:t>
      </w:r>
    </w:p>
    <w:p w14:paraId="2E4B34F8" w14:textId="77777777" w:rsidR="00561E6C" w:rsidRPr="00E95D33" w:rsidRDefault="00561E6C" w:rsidP="00755433">
      <w:pPr>
        <w:pStyle w:val="Heading3"/>
      </w:pPr>
      <w:bookmarkStart w:id="273" w:name="_Toc499290964"/>
      <w:r>
        <w:t>Back-casting ABF volume</w:t>
      </w:r>
      <w:bookmarkEnd w:id="273"/>
    </w:p>
    <w:p w14:paraId="163BD295" w14:textId="55D7BFD1" w:rsidR="00561E6C" w:rsidRPr="00801AF5" w:rsidRDefault="00561E6C" w:rsidP="00561E6C">
      <w:pPr>
        <w:spacing w:before="100" w:beforeAutospacing="1" w:after="100" w:afterAutospacing="1" w:line="240" w:lineRule="auto"/>
        <w:rPr>
          <w:rFonts w:eastAsia="Calibri" w:cs="Arial"/>
        </w:rPr>
      </w:pPr>
      <w:r w:rsidRPr="00801AF5">
        <w:rPr>
          <w:rFonts w:eastAsia="Calibri" w:cs="Arial"/>
        </w:rPr>
        <w:t xml:space="preserve">IHPA has also estimated the volume impact of methodological changes between </w:t>
      </w:r>
      <w:r w:rsidR="00BE104C" w:rsidRPr="00801AF5">
        <w:rPr>
          <w:rFonts w:eastAsia="Calibri" w:cs="Arial"/>
        </w:rPr>
        <w:t>NEP</w:t>
      </w:r>
      <w:r w:rsidR="00BE104C">
        <w:rPr>
          <w:rFonts w:eastAsia="Calibri" w:cs="Arial"/>
        </w:rPr>
        <w:t>21</w:t>
      </w:r>
      <w:r w:rsidR="00BE104C" w:rsidRPr="00801AF5">
        <w:rPr>
          <w:rFonts w:eastAsia="Calibri" w:cs="Arial"/>
        </w:rPr>
        <w:t xml:space="preserve"> </w:t>
      </w:r>
      <w:r w:rsidRPr="00801AF5">
        <w:rPr>
          <w:rFonts w:eastAsia="Calibri" w:cs="Arial"/>
        </w:rPr>
        <w:t xml:space="preserve">and </w:t>
      </w:r>
      <w:r w:rsidR="00BE104C">
        <w:rPr>
          <w:rFonts w:eastAsia="Calibri" w:cs="Arial"/>
        </w:rPr>
        <w:t>NEP22</w:t>
      </w:r>
      <w:r w:rsidRPr="00801AF5">
        <w:rPr>
          <w:rFonts w:eastAsia="Calibri" w:cs="Arial"/>
        </w:rPr>
        <w:t xml:space="preserve">, which can be used for the purpose of estimating movements in volume between </w:t>
      </w:r>
      <w:r w:rsidR="00BE104C" w:rsidRPr="00801AF5">
        <w:rPr>
          <w:rFonts w:eastAsia="Calibri" w:cs="Arial"/>
        </w:rPr>
        <w:t>NEP</w:t>
      </w:r>
      <w:r w:rsidR="00BE104C">
        <w:rPr>
          <w:rFonts w:eastAsia="Calibri" w:cs="Arial"/>
        </w:rPr>
        <w:t>21</w:t>
      </w:r>
      <w:r w:rsidR="00BE104C" w:rsidRPr="00801AF5">
        <w:rPr>
          <w:rFonts w:eastAsia="Calibri" w:cs="Arial"/>
        </w:rPr>
        <w:t xml:space="preserve"> </w:t>
      </w:r>
      <w:r w:rsidRPr="00801AF5">
        <w:rPr>
          <w:rFonts w:eastAsia="Calibri" w:cs="Arial"/>
        </w:rPr>
        <w:t xml:space="preserve">and </w:t>
      </w:r>
      <w:r w:rsidR="00BE104C">
        <w:rPr>
          <w:rFonts w:eastAsia="Calibri" w:cs="Arial"/>
        </w:rPr>
        <w:t>NEP22</w:t>
      </w:r>
      <w:r w:rsidRPr="00801AF5">
        <w:rPr>
          <w:rFonts w:eastAsia="Calibri" w:cs="Arial"/>
        </w:rPr>
        <w:t xml:space="preserve">. This is useful for relating </w:t>
      </w:r>
      <w:r w:rsidR="00BE104C" w:rsidRPr="00801AF5">
        <w:rPr>
          <w:rFonts w:eastAsia="Calibri" w:cs="Arial"/>
        </w:rPr>
        <w:t>NWAU</w:t>
      </w:r>
      <w:r w:rsidR="00BE104C">
        <w:rPr>
          <w:rFonts w:eastAsia="Calibri" w:cs="Arial"/>
        </w:rPr>
        <w:t>21</w:t>
      </w:r>
      <w:r w:rsidR="00BE104C" w:rsidRPr="00801AF5">
        <w:rPr>
          <w:rFonts w:eastAsia="Calibri" w:cs="Arial"/>
        </w:rPr>
        <w:t xml:space="preserve"> </w:t>
      </w:r>
      <w:r w:rsidRPr="00801AF5">
        <w:rPr>
          <w:rFonts w:eastAsia="Calibri" w:cs="Arial"/>
        </w:rPr>
        <w:t xml:space="preserve">activity to </w:t>
      </w:r>
      <w:r w:rsidR="00BE104C" w:rsidRPr="00801AF5">
        <w:rPr>
          <w:rFonts w:eastAsia="Calibri" w:cs="Arial"/>
        </w:rPr>
        <w:t>NWAU</w:t>
      </w:r>
      <w:r w:rsidR="00BE104C">
        <w:rPr>
          <w:rFonts w:eastAsia="Calibri" w:cs="Arial"/>
        </w:rPr>
        <w:t>22</w:t>
      </w:r>
      <w:r w:rsidR="00BE104C" w:rsidRPr="00801AF5">
        <w:rPr>
          <w:rFonts w:eastAsia="Calibri" w:cs="Arial"/>
        </w:rPr>
        <w:t xml:space="preserve"> </w:t>
      </w:r>
      <w:r w:rsidRPr="00801AF5">
        <w:rPr>
          <w:rFonts w:eastAsia="Calibri" w:cs="Arial"/>
        </w:rPr>
        <w:t xml:space="preserve">targets, and for estimating Commonwealth growth funding prior to actual </w:t>
      </w:r>
      <w:r w:rsidR="00BE104C">
        <w:rPr>
          <w:rFonts w:eastAsia="Calibri" w:cs="Arial"/>
        </w:rPr>
        <w:t>2022</w:t>
      </w:r>
      <w:r w:rsidR="00AD764B" w:rsidRPr="005A1510">
        <w:rPr>
          <w:rFonts w:eastAsia="Calibri" w:cs="Arial"/>
        </w:rPr>
        <w:t>–</w:t>
      </w:r>
      <w:r w:rsidR="00BE104C">
        <w:rPr>
          <w:rFonts w:eastAsia="Calibri" w:cs="Arial"/>
        </w:rPr>
        <w:t>23</w:t>
      </w:r>
      <w:r w:rsidR="00BE104C" w:rsidRPr="00801AF5">
        <w:rPr>
          <w:rFonts w:eastAsia="Calibri" w:cs="Arial"/>
        </w:rPr>
        <w:t xml:space="preserve"> </w:t>
      </w:r>
      <w:r w:rsidRPr="00801AF5">
        <w:rPr>
          <w:rFonts w:eastAsia="Calibri" w:cs="Arial"/>
        </w:rPr>
        <w:t>activity data being available.</w:t>
      </w:r>
    </w:p>
    <w:p w14:paraId="100A525B" w14:textId="0BAACDF4" w:rsidR="00561E6C" w:rsidRPr="00801AF5" w:rsidRDefault="00561E6C" w:rsidP="00561E6C">
      <w:pPr>
        <w:spacing w:before="100" w:beforeAutospacing="1" w:after="100" w:afterAutospacing="1" w:line="240" w:lineRule="auto"/>
        <w:rPr>
          <w:rFonts w:eastAsia="Calibri" w:cs="Arial"/>
        </w:rPr>
      </w:pPr>
      <w:r w:rsidRPr="00801AF5">
        <w:rPr>
          <w:rFonts w:eastAsia="Calibri" w:cs="Arial"/>
        </w:rPr>
        <w:t xml:space="preserve">The volume multipliers (VM) are calculated for each jurisdiction for each ABF service category stream and are provided </w:t>
      </w:r>
      <w:r w:rsidRPr="00272A40">
        <w:rPr>
          <w:rFonts w:eastAsia="Calibri" w:cs="Arial"/>
        </w:rPr>
        <w:t xml:space="preserve">in Chapter </w:t>
      </w:r>
      <w:r w:rsidR="00C92F76">
        <w:rPr>
          <w:rFonts w:eastAsia="Calibri" w:cs="Arial"/>
        </w:rPr>
        <w:t>11</w:t>
      </w:r>
      <w:r w:rsidR="00C92F76" w:rsidRPr="00272A40">
        <w:rPr>
          <w:rFonts w:eastAsia="Calibri" w:cs="Arial"/>
        </w:rPr>
        <w:t xml:space="preserve"> </w:t>
      </w:r>
      <w:r w:rsidRPr="00272A40">
        <w:rPr>
          <w:rFonts w:eastAsia="Calibri" w:cs="Arial"/>
        </w:rPr>
        <w:t xml:space="preserve">of the </w:t>
      </w:r>
      <w:r w:rsidRPr="00451785">
        <w:rPr>
          <w:rFonts w:eastAsia="Calibri" w:cs="Arial"/>
        </w:rPr>
        <w:t>National Eff</w:t>
      </w:r>
      <w:r w:rsidR="004E0214">
        <w:rPr>
          <w:rFonts w:eastAsia="Calibri" w:cs="Arial"/>
        </w:rPr>
        <w:t xml:space="preserve">icient Price Determination </w:t>
      </w:r>
      <w:r w:rsidR="00BE104C">
        <w:rPr>
          <w:rFonts w:eastAsia="Calibri" w:cs="Arial"/>
        </w:rPr>
        <w:t>20</w:t>
      </w:r>
      <w:r w:rsidR="00BE104C" w:rsidRPr="00451785">
        <w:rPr>
          <w:rFonts w:eastAsia="Calibri" w:cs="Arial"/>
        </w:rPr>
        <w:t>2</w:t>
      </w:r>
      <w:r w:rsidR="00BE104C">
        <w:rPr>
          <w:rFonts w:eastAsia="Calibri" w:cs="Arial"/>
        </w:rPr>
        <w:t>2</w:t>
      </w:r>
      <w:r w:rsidR="00AD764B" w:rsidRPr="005A1510">
        <w:rPr>
          <w:rFonts w:eastAsia="Calibri" w:cs="Arial"/>
        </w:rPr>
        <w:t>–</w:t>
      </w:r>
      <w:r w:rsidR="00BE104C">
        <w:rPr>
          <w:rFonts w:eastAsia="Calibri" w:cs="Arial"/>
        </w:rPr>
        <w:t>23</w:t>
      </w:r>
      <w:r w:rsidRPr="00801AF5">
        <w:rPr>
          <w:rFonts w:eastAsia="Calibri" w:cs="Arial"/>
        </w:rPr>
        <w:t>. The back</w:t>
      </w:r>
      <w:r>
        <w:rPr>
          <w:rFonts w:eastAsia="Calibri" w:cs="Arial"/>
        </w:rPr>
        <w:t>-</w:t>
      </w:r>
      <w:r w:rsidRPr="00801AF5">
        <w:rPr>
          <w:rFonts w:eastAsia="Calibri" w:cs="Arial"/>
        </w:rPr>
        <w:t xml:space="preserve">cast volume multipliers for each jurisdiction (for each ABF product category) are calculated from the most recently reported activity data, namely </w:t>
      </w:r>
      <w:r w:rsidR="00BE104C" w:rsidRPr="002D4A0B">
        <w:rPr>
          <w:rFonts w:eastAsia="Calibri" w:cs="Arial"/>
        </w:rPr>
        <w:t>20</w:t>
      </w:r>
      <w:r w:rsidR="00BE104C">
        <w:rPr>
          <w:rFonts w:eastAsia="Calibri" w:cs="Arial"/>
        </w:rPr>
        <w:t>20</w:t>
      </w:r>
      <w:r w:rsidR="00AD764B" w:rsidRPr="002D4A0B">
        <w:rPr>
          <w:rFonts w:eastAsia="Calibri" w:cs="Arial"/>
        </w:rPr>
        <w:t>–</w:t>
      </w:r>
      <w:r w:rsidR="00BE104C" w:rsidRPr="002D4A0B">
        <w:rPr>
          <w:rFonts w:eastAsia="Calibri" w:cs="Arial"/>
        </w:rPr>
        <w:t>2</w:t>
      </w:r>
      <w:r w:rsidR="00BE104C">
        <w:rPr>
          <w:rFonts w:eastAsia="Calibri" w:cs="Arial"/>
        </w:rPr>
        <w:t>1</w:t>
      </w:r>
      <w:r w:rsidRPr="00801AF5">
        <w:rPr>
          <w:rFonts w:eastAsia="Calibri" w:cs="Arial"/>
        </w:rPr>
        <w:t>, as:</w:t>
      </w:r>
    </w:p>
    <w:p w14:paraId="770637AF" w14:textId="34E5C89A" w:rsidR="00561E6C" w:rsidRPr="00D908D4" w:rsidRDefault="000F6586" w:rsidP="00561E6C">
      <w:pPr>
        <w:spacing w:before="360" w:after="360" w:line="240" w:lineRule="auto"/>
        <w:rPr>
          <w:rFonts w:cs="Arial"/>
          <w:u w:val="single"/>
        </w:rPr>
      </w:pPr>
      <m:oMathPara>
        <m:oMath>
          <m:r>
            <m:rPr>
              <m:sty m:val="p"/>
            </m:rPr>
            <w:rPr>
              <w:rFonts w:ascii="Cambria Math" w:hAnsi="Cambria Math" w:cs="Arial"/>
            </w:rPr>
            <w:lastRenderedPageBreak/>
            <m:t>VM</m:t>
          </m:r>
          <m:r>
            <w:rPr>
              <w:rFonts w:ascii="Cambria Math" w:hAnsi="Cambria Math" w:cs="Arial"/>
            </w:rPr>
            <m:t>=</m:t>
          </m:r>
          <m:f>
            <m:fPr>
              <m:ctrlPr>
                <w:rPr>
                  <w:rFonts w:ascii="Cambria Math" w:hAnsi="Cambria Math" w:cs="Arial"/>
                  <w:u w:val="single"/>
                </w:rPr>
              </m:ctrlPr>
            </m:fPr>
            <m:num>
              <m:r>
                <m:rPr>
                  <m:sty m:val="p"/>
                </m:rPr>
                <w:rPr>
                  <w:rFonts w:ascii="Cambria Math" w:hAnsi="Cambria Math" w:cs="Arial"/>
                  <w:u w:val="single"/>
                </w:rPr>
                <m:t>NWAUs delivered by backcast model (NWAU22 calculator)</m:t>
              </m:r>
            </m:num>
            <m:den>
              <m:r>
                <m:rPr>
                  <m:sty m:val="p"/>
                </m:rPr>
                <w:rPr>
                  <w:rFonts w:ascii="Cambria Math" w:hAnsi="Cambria Math" w:cs="Arial"/>
                  <w:u w:val="single"/>
                </w:rPr>
                <m:t>NWAUs delivered by original cost model (NWAU21 calculator)</m:t>
              </m:r>
            </m:den>
          </m:f>
        </m:oMath>
      </m:oMathPara>
    </w:p>
    <w:p w14:paraId="5DDE0DBB" w14:textId="4B5E4B62" w:rsidR="00F925FC" w:rsidRDefault="00561E6C" w:rsidP="00561E6C">
      <w:pPr>
        <w:spacing w:before="100" w:beforeAutospacing="1" w:after="100" w:afterAutospacing="1" w:line="240" w:lineRule="auto"/>
        <w:rPr>
          <w:rFonts w:eastAsia="Calibri" w:cs="Arial"/>
        </w:rPr>
      </w:pPr>
      <w:r w:rsidRPr="00801AF5">
        <w:rPr>
          <w:rFonts w:eastAsia="Calibri" w:cs="Arial"/>
        </w:rPr>
        <w:t xml:space="preserve">The volume multipliers can be applied to estimates of an NWAU count for </w:t>
      </w:r>
      <w:r w:rsidR="00BE104C">
        <w:rPr>
          <w:rFonts w:eastAsia="Calibri" w:cs="Arial"/>
        </w:rPr>
        <w:t>2022</w:t>
      </w:r>
      <w:r w:rsidR="00AD764B" w:rsidRPr="005A1510">
        <w:rPr>
          <w:rFonts w:eastAsia="Calibri" w:cs="Arial"/>
        </w:rPr>
        <w:t>–</w:t>
      </w:r>
      <w:r w:rsidR="00BE104C">
        <w:rPr>
          <w:rFonts w:eastAsia="Calibri" w:cs="Arial"/>
        </w:rPr>
        <w:t>23</w:t>
      </w:r>
      <w:r w:rsidR="00BE104C" w:rsidRPr="00801AF5">
        <w:rPr>
          <w:rFonts w:eastAsia="Calibri" w:cs="Arial"/>
        </w:rPr>
        <w:t xml:space="preserve"> </w:t>
      </w:r>
      <w:r w:rsidRPr="00801AF5">
        <w:rPr>
          <w:rFonts w:eastAsia="Calibri" w:cs="Arial"/>
        </w:rPr>
        <w:t>if actual data is not available.</w:t>
      </w:r>
    </w:p>
    <w:p w14:paraId="2AC194CE" w14:textId="77777777" w:rsidR="00561E6C" w:rsidRDefault="00561E6C">
      <w:pPr>
        <w:spacing w:before="0" w:after="0" w:line="240" w:lineRule="auto"/>
        <w:rPr>
          <w:rFonts w:eastAsia="Calibri" w:cs="Arial"/>
        </w:rPr>
      </w:pPr>
      <w:r>
        <w:rPr>
          <w:rFonts w:eastAsia="Calibri" w:cs="Arial"/>
        </w:rPr>
        <w:br w:type="page"/>
      </w:r>
    </w:p>
    <w:p w14:paraId="5F765C74" w14:textId="77777777" w:rsidR="00561E6C" w:rsidRPr="003642EA" w:rsidRDefault="00561E6C" w:rsidP="00A33F7B">
      <w:pPr>
        <w:pStyle w:val="Heading1"/>
      </w:pPr>
      <w:bookmarkStart w:id="274" w:name="_Toc65145962"/>
      <w:bookmarkStart w:id="275" w:name="_Toc98882311"/>
      <w:r>
        <w:lastRenderedPageBreak/>
        <w:t>Block-funded</w:t>
      </w:r>
      <w:r w:rsidRPr="003642EA">
        <w:t xml:space="preserve"> hospitals</w:t>
      </w:r>
      <w:bookmarkEnd w:id="274"/>
      <w:bookmarkEnd w:id="275"/>
    </w:p>
    <w:p w14:paraId="5AC5C221" w14:textId="77777777" w:rsidR="00561E6C" w:rsidRDefault="00561E6C" w:rsidP="00755433">
      <w:pPr>
        <w:pStyle w:val="Heading2"/>
      </w:pPr>
      <w:bookmarkStart w:id="276" w:name="_Toc26278351"/>
      <w:bookmarkStart w:id="277" w:name="_Toc26370529"/>
      <w:bookmarkStart w:id="278" w:name="_Toc65145963"/>
      <w:bookmarkStart w:id="279" w:name="_Toc98882312"/>
      <w:bookmarkStart w:id="280" w:name="_Toc499221013"/>
      <w:bookmarkStart w:id="281" w:name="_Toc499290966"/>
      <w:bookmarkStart w:id="282" w:name="_Toc380754763"/>
      <w:bookmarkStart w:id="283" w:name="_Toc466884235"/>
      <w:bookmarkStart w:id="284" w:name="_Toc467505248"/>
      <w:bookmarkStart w:id="285" w:name="_Toc467745629"/>
      <w:bookmarkStart w:id="286" w:name="_Toc467759596"/>
      <w:bookmarkStart w:id="287" w:name="_Toc468204092"/>
      <w:r>
        <w:t>General issues</w:t>
      </w:r>
      <w:bookmarkEnd w:id="276"/>
      <w:bookmarkEnd w:id="277"/>
      <w:bookmarkEnd w:id="278"/>
      <w:bookmarkEnd w:id="279"/>
    </w:p>
    <w:p w14:paraId="6FB54CB8" w14:textId="77777777" w:rsidR="00561E6C" w:rsidRDefault="00561E6C" w:rsidP="00755433">
      <w:pPr>
        <w:pStyle w:val="Heading3"/>
      </w:pPr>
      <w:r>
        <w:t>Cost unit</w:t>
      </w:r>
    </w:p>
    <w:p w14:paraId="194D1BCB" w14:textId="77777777" w:rsidR="00561E6C" w:rsidRDefault="00561E6C" w:rsidP="00561E6C">
      <w:pPr>
        <w:tabs>
          <w:tab w:val="left" w:pos="1162"/>
        </w:tabs>
        <w:spacing w:line="240" w:lineRule="auto"/>
        <w:rPr>
          <w:rFonts w:cs="Arial"/>
          <w:szCs w:val="20"/>
        </w:rPr>
      </w:pPr>
      <w:r w:rsidRPr="00D130B9">
        <w:rPr>
          <w:rFonts w:cs="Arial"/>
          <w:szCs w:val="20"/>
        </w:rPr>
        <w:t xml:space="preserve">The </w:t>
      </w:r>
      <w:r>
        <w:rPr>
          <w:rFonts w:cs="Arial"/>
          <w:szCs w:val="20"/>
        </w:rPr>
        <w:t>cost</w:t>
      </w:r>
      <w:r w:rsidRPr="00D130B9">
        <w:rPr>
          <w:rFonts w:cs="Arial"/>
          <w:szCs w:val="20"/>
        </w:rPr>
        <w:t xml:space="preserve"> unit is a hospital.</w:t>
      </w:r>
    </w:p>
    <w:p w14:paraId="3E2FF26B" w14:textId="77777777" w:rsidR="00561E6C" w:rsidRDefault="00561E6C" w:rsidP="00755433">
      <w:pPr>
        <w:pStyle w:val="Heading3"/>
      </w:pPr>
      <w:r>
        <w:t>Scope</w:t>
      </w:r>
    </w:p>
    <w:p w14:paraId="5073CB23" w14:textId="77777777" w:rsidR="00561E6C" w:rsidRDefault="00561E6C" w:rsidP="00561E6C">
      <w:pPr>
        <w:tabs>
          <w:tab w:val="left" w:pos="1162"/>
        </w:tabs>
        <w:spacing w:line="240" w:lineRule="auto"/>
      </w:pPr>
      <w:r w:rsidRPr="00D130B9">
        <w:rPr>
          <w:rFonts w:cs="Arial"/>
          <w:szCs w:val="20"/>
        </w:rPr>
        <w:t>Hospitals are in-scope if they have been nominated by a jurisdiction</w:t>
      </w:r>
      <w:r>
        <w:rPr>
          <w:rFonts w:cs="Arial"/>
          <w:szCs w:val="20"/>
        </w:rPr>
        <w:t xml:space="preserve"> and</w:t>
      </w:r>
      <w:r w:rsidRPr="00D130B9">
        <w:rPr>
          <w:rFonts w:cs="Arial"/>
          <w:szCs w:val="20"/>
        </w:rPr>
        <w:t xml:space="preserve"> meet the criteria for </w:t>
      </w:r>
      <w:r>
        <w:rPr>
          <w:rFonts w:cs="Arial"/>
          <w:szCs w:val="20"/>
        </w:rPr>
        <w:t>block-funded</w:t>
      </w:r>
      <w:r w:rsidRPr="00D130B9">
        <w:rPr>
          <w:rFonts w:cs="Arial"/>
          <w:szCs w:val="20"/>
        </w:rPr>
        <w:t xml:space="preserve"> hospitals.</w:t>
      </w:r>
      <w:r>
        <w:t xml:space="preserve"> The criteria that defines a block-funded hospital is less than </w:t>
      </w:r>
      <w:r w:rsidR="002A3D70">
        <w:t xml:space="preserve">or equal to </w:t>
      </w:r>
      <w:r w:rsidRPr="00801AF5">
        <w:t>3,500</w:t>
      </w:r>
      <w:r>
        <w:t xml:space="preserve"> t</w:t>
      </w:r>
      <w:r w:rsidR="00DB4FCF">
        <w:t>otal NWAU</w:t>
      </w:r>
      <w:r>
        <w:t xml:space="preserve"> per annum for rural hospitals and less than </w:t>
      </w:r>
      <w:r w:rsidR="002A3D70">
        <w:t xml:space="preserve">or equal to </w:t>
      </w:r>
      <w:r w:rsidRPr="00801AF5">
        <w:t>1,800</w:t>
      </w:r>
      <w:r>
        <w:t xml:space="preserve"> admitted </w:t>
      </w:r>
      <w:r w:rsidR="00B76A39">
        <w:t xml:space="preserve">patient </w:t>
      </w:r>
      <w:r>
        <w:t>NWAU per annum for city hospitals.</w:t>
      </w:r>
    </w:p>
    <w:p w14:paraId="0544D682" w14:textId="77777777" w:rsidR="00561E6C" w:rsidRDefault="00561E6C" w:rsidP="00755433">
      <w:pPr>
        <w:pStyle w:val="Heading3"/>
      </w:pPr>
      <w:r>
        <w:t>Classification</w:t>
      </w:r>
    </w:p>
    <w:p w14:paraId="3CE5F612" w14:textId="32ABC1C3" w:rsidR="00561E6C" w:rsidRDefault="00561E6C" w:rsidP="6D61DF91">
      <w:pPr>
        <w:tabs>
          <w:tab w:val="left" w:pos="1162"/>
        </w:tabs>
        <w:spacing w:line="240" w:lineRule="auto"/>
        <w:rPr>
          <w:rFonts w:cs="Arial"/>
        </w:rPr>
      </w:pPr>
      <w:bookmarkStart w:id="288" w:name="_Toc499212563"/>
      <w:bookmarkStart w:id="289" w:name="_Toc499219960"/>
      <w:bookmarkStart w:id="290" w:name="_Toc499212564"/>
      <w:bookmarkStart w:id="291" w:name="_Toc499219961"/>
      <w:bookmarkStart w:id="292" w:name="_Toc436228477"/>
      <w:bookmarkStart w:id="293" w:name="_Toc412123656"/>
      <w:bookmarkStart w:id="294" w:name="_Toc412191164"/>
      <w:bookmarkStart w:id="295" w:name="_Toc412193599"/>
      <w:bookmarkStart w:id="296" w:name="_Toc412193701"/>
      <w:bookmarkStart w:id="297" w:name="_Toc412196595"/>
      <w:bookmarkStart w:id="298" w:name="_Toc412196698"/>
      <w:bookmarkStart w:id="299" w:name="_Toc412196801"/>
      <w:bookmarkStart w:id="300" w:name="_Toc412197101"/>
      <w:bookmarkStart w:id="301" w:name="_Toc412198125"/>
      <w:bookmarkStart w:id="302" w:name="_Toc412204654"/>
      <w:bookmarkStart w:id="303" w:name="_Toc412206046"/>
      <w:bookmarkStart w:id="304" w:name="_Toc412206632"/>
      <w:bookmarkStart w:id="305" w:name="_Toc412206757"/>
      <w:bookmarkStart w:id="306" w:name="_Toc412206859"/>
      <w:bookmarkStart w:id="307" w:name="_Toc412206959"/>
      <w:bookmarkStart w:id="308" w:name="_Toc412207168"/>
      <w:bookmarkStart w:id="309" w:name="_Toc412207431"/>
      <w:bookmarkStart w:id="310" w:name="_Toc412123657"/>
      <w:bookmarkStart w:id="311" w:name="_Toc412191165"/>
      <w:bookmarkStart w:id="312" w:name="_Toc412193600"/>
      <w:bookmarkStart w:id="313" w:name="_Toc412193702"/>
      <w:bookmarkStart w:id="314" w:name="_Toc412196596"/>
      <w:bookmarkStart w:id="315" w:name="_Toc412196699"/>
      <w:bookmarkStart w:id="316" w:name="_Toc412196802"/>
      <w:bookmarkStart w:id="317" w:name="_Toc412197102"/>
      <w:bookmarkStart w:id="318" w:name="_Toc412198126"/>
      <w:bookmarkStart w:id="319" w:name="_Toc412204655"/>
      <w:bookmarkStart w:id="320" w:name="_Toc412206047"/>
      <w:bookmarkStart w:id="321" w:name="_Toc412206633"/>
      <w:bookmarkStart w:id="322" w:name="_Toc412206758"/>
      <w:bookmarkStart w:id="323" w:name="_Toc412206860"/>
      <w:bookmarkStart w:id="324" w:name="_Toc412206960"/>
      <w:bookmarkStart w:id="325" w:name="_Toc412207169"/>
      <w:bookmarkStart w:id="326" w:name="_Toc412207432"/>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6D61DF91">
        <w:rPr>
          <w:rFonts w:cs="Arial"/>
        </w:rPr>
        <w:t>The cost model for National Ef</w:t>
      </w:r>
      <w:r w:rsidR="004E0214" w:rsidRPr="6D61DF91">
        <w:rPr>
          <w:rFonts w:cs="Arial"/>
        </w:rPr>
        <w:t xml:space="preserve">ficient Cost Determination </w:t>
      </w:r>
      <w:r w:rsidR="00C467F6" w:rsidRPr="6D61DF91">
        <w:rPr>
          <w:rFonts w:cs="Arial"/>
        </w:rPr>
        <w:t>2022</w:t>
      </w:r>
      <w:r w:rsidR="0059555C" w:rsidRPr="6D61DF91">
        <w:rPr>
          <w:rFonts w:eastAsia="Calibri" w:cs="Arial"/>
        </w:rPr>
        <w:t>–</w:t>
      </w:r>
      <w:r w:rsidR="00C467F6" w:rsidRPr="6D61DF91">
        <w:rPr>
          <w:rFonts w:cs="Arial"/>
        </w:rPr>
        <w:t xml:space="preserve">23 </w:t>
      </w:r>
      <w:r w:rsidR="004E0214" w:rsidRPr="6D61DF91">
        <w:rPr>
          <w:rFonts w:cs="Arial"/>
        </w:rPr>
        <w:t>(</w:t>
      </w:r>
      <w:r w:rsidR="00C467F6" w:rsidRPr="6D61DF91">
        <w:rPr>
          <w:rFonts w:cs="Arial"/>
        </w:rPr>
        <w:t>NEC22</w:t>
      </w:r>
      <w:r w:rsidRPr="6D61DF91">
        <w:rPr>
          <w:rFonts w:cs="Arial"/>
        </w:rPr>
        <w:t xml:space="preserve">) comprises of </w:t>
      </w:r>
      <w:r w:rsidR="0087033D" w:rsidRPr="6D61DF91">
        <w:rPr>
          <w:rFonts w:cs="Arial"/>
        </w:rPr>
        <w:t>37</w:t>
      </w:r>
      <w:r w:rsidR="00CB7A58" w:rsidRPr="6D61DF91">
        <w:rPr>
          <w:rFonts w:cs="Arial"/>
        </w:rPr>
        <w:t>0</w:t>
      </w:r>
      <w:r w:rsidR="008F523F" w:rsidRPr="6D61DF91">
        <w:rPr>
          <w:rFonts w:cs="Arial"/>
        </w:rPr>
        <w:t> </w:t>
      </w:r>
      <w:r w:rsidRPr="6D61DF91">
        <w:rPr>
          <w:rFonts w:cs="Arial"/>
        </w:rPr>
        <w:t xml:space="preserve">small rural hospitals, </w:t>
      </w:r>
      <w:r w:rsidR="006A16B9" w:rsidRPr="6D61DF91">
        <w:rPr>
          <w:rFonts w:cs="Arial"/>
        </w:rPr>
        <w:t>the same number as</w:t>
      </w:r>
      <w:r w:rsidR="004E0214" w:rsidRPr="6D61DF91">
        <w:rPr>
          <w:rFonts w:cs="Arial"/>
        </w:rPr>
        <w:t xml:space="preserve"> </w:t>
      </w:r>
      <w:r w:rsidR="00C467F6" w:rsidRPr="6D61DF91">
        <w:rPr>
          <w:rFonts w:cs="Arial"/>
        </w:rPr>
        <w:t>NEC21</w:t>
      </w:r>
      <w:r w:rsidRPr="6D61DF91">
        <w:rPr>
          <w:rFonts w:cs="Arial"/>
        </w:rPr>
        <w:t xml:space="preserve">. Of these, </w:t>
      </w:r>
      <w:r w:rsidR="006A16B9" w:rsidRPr="6D61DF91">
        <w:rPr>
          <w:rFonts w:cs="Arial"/>
        </w:rPr>
        <w:t xml:space="preserve">365 </w:t>
      </w:r>
      <w:r w:rsidRPr="6D61DF91">
        <w:rPr>
          <w:rFonts w:cs="Arial"/>
        </w:rPr>
        <w:t>were used in the</w:t>
      </w:r>
      <w:r w:rsidR="006C5B90" w:rsidRPr="6D61DF91">
        <w:rPr>
          <w:rFonts w:cs="Arial"/>
        </w:rPr>
        <w:t xml:space="preserve"> modelling</w:t>
      </w:r>
      <w:r w:rsidR="006A16B9" w:rsidRPr="6D61DF91">
        <w:rPr>
          <w:rFonts w:cs="Arial"/>
        </w:rPr>
        <w:t xml:space="preserve">. </w:t>
      </w:r>
      <w:r w:rsidR="006113C4" w:rsidRPr="6D61DF91">
        <w:rPr>
          <w:rFonts w:cs="Arial"/>
        </w:rPr>
        <w:t xml:space="preserve">Five hospitals were excluded from modelling due to incomplete data, but continue to have their efficient cost manually calculated using </w:t>
      </w:r>
      <w:r w:rsidR="002153B1" w:rsidRPr="6D61DF91">
        <w:rPr>
          <w:rFonts w:cs="Arial"/>
        </w:rPr>
        <w:t xml:space="preserve">NEC22 </w:t>
      </w:r>
      <w:r w:rsidR="006113C4" w:rsidRPr="6D61DF91">
        <w:rPr>
          <w:rFonts w:cs="Arial"/>
        </w:rPr>
        <w:t xml:space="preserve">cost model </w:t>
      </w:r>
      <w:r w:rsidR="002153B1" w:rsidRPr="6D61DF91">
        <w:rPr>
          <w:rFonts w:cs="Arial"/>
        </w:rPr>
        <w:t>parameters</w:t>
      </w:r>
      <w:r w:rsidR="006113C4" w:rsidRPr="6D61DF91">
        <w:rPr>
          <w:rFonts w:cs="Arial"/>
        </w:rPr>
        <w:t xml:space="preserve">. </w:t>
      </w:r>
      <w:r w:rsidRPr="6D61DF91">
        <w:rPr>
          <w:rFonts w:cs="Arial"/>
        </w:rPr>
        <w:t xml:space="preserve">There are </w:t>
      </w:r>
      <w:r w:rsidR="00862A3F" w:rsidRPr="6D61DF91">
        <w:rPr>
          <w:rFonts w:cs="Arial"/>
        </w:rPr>
        <w:t>nine</w:t>
      </w:r>
      <w:r w:rsidR="00CB7A58" w:rsidRPr="6D61DF91">
        <w:rPr>
          <w:rFonts w:cs="Arial"/>
        </w:rPr>
        <w:t xml:space="preserve"> </w:t>
      </w:r>
      <w:r w:rsidRPr="6D61DF91">
        <w:rPr>
          <w:rFonts w:cs="Arial"/>
        </w:rPr>
        <w:t xml:space="preserve">major city hospitals, </w:t>
      </w:r>
      <w:r w:rsidR="0087033D" w:rsidRPr="6D61DF91">
        <w:rPr>
          <w:rFonts w:cs="Arial"/>
        </w:rPr>
        <w:t>2</w:t>
      </w:r>
      <w:r w:rsidR="2D77547C" w:rsidRPr="6D61DF91">
        <w:rPr>
          <w:rFonts w:cs="Arial"/>
        </w:rPr>
        <w:t>3</w:t>
      </w:r>
      <w:r w:rsidR="0087033D" w:rsidRPr="6D61DF91">
        <w:rPr>
          <w:rFonts w:cs="Arial"/>
        </w:rPr>
        <w:t xml:space="preserve"> </w:t>
      </w:r>
      <w:r w:rsidRPr="6D61DF91">
        <w:rPr>
          <w:rFonts w:cs="Arial"/>
        </w:rPr>
        <w:t xml:space="preserve">specialist psychiatric and </w:t>
      </w:r>
      <w:r w:rsidR="006A16B9" w:rsidRPr="6D61DF91">
        <w:rPr>
          <w:rFonts w:cs="Arial"/>
        </w:rPr>
        <w:t xml:space="preserve">one </w:t>
      </w:r>
      <w:r w:rsidRPr="6D61DF91">
        <w:rPr>
          <w:rFonts w:cs="Arial"/>
        </w:rPr>
        <w:t xml:space="preserve">other hospital that are </w:t>
      </w:r>
      <w:r w:rsidR="006C5B90" w:rsidRPr="6D61DF91">
        <w:rPr>
          <w:rFonts w:cs="Arial"/>
        </w:rPr>
        <w:t xml:space="preserve">block </w:t>
      </w:r>
      <w:r w:rsidRPr="6D61DF91">
        <w:rPr>
          <w:rFonts w:cs="Arial"/>
        </w:rPr>
        <w:t xml:space="preserve">funded on a separate basis. The initial data preparation of the </w:t>
      </w:r>
      <w:r w:rsidR="00C467F6" w:rsidRPr="6D61DF91">
        <w:rPr>
          <w:rFonts w:cs="Arial"/>
        </w:rPr>
        <w:t xml:space="preserve">NEC22 </w:t>
      </w:r>
      <w:r w:rsidRPr="6D61DF91">
        <w:rPr>
          <w:rFonts w:cs="Arial"/>
        </w:rPr>
        <w:t xml:space="preserve">model remains largely unchanged from </w:t>
      </w:r>
      <w:r w:rsidR="00C467F6" w:rsidRPr="6D61DF91">
        <w:rPr>
          <w:rFonts w:cs="Arial"/>
        </w:rPr>
        <w:t>NEC21</w:t>
      </w:r>
      <w:r w:rsidRPr="6D61DF91">
        <w:rPr>
          <w:rFonts w:cs="Arial"/>
        </w:rPr>
        <w:t xml:space="preserve">, involving the estimation of in-scope activity and expenditure within the admitted, emergency and non-admitted streams. </w:t>
      </w:r>
    </w:p>
    <w:p w14:paraId="5D1DD6E5" w14:textId="35550612" w:rsidR="00561E6C" w:rsidRPr="00412FC7" w:rsidRDefault="00E67B77" w:rsidP="00F41C22">
      <w:pPr>
        <w:pStyle w:val="NoSpacing"/>
        <w:rPr>
          <w:sz w:val="22"/>
          <w:szCs w:val="22"/>
        </w:rPr>
      </w:pPr>
      <w:r w:rsidRPr="67269507">
        <w:rPr>
          <w:sz w:val="22"/>
          <w:szCs w:val="22"/>
        </w:rPr>
        <w:t>Similar to t</w:t>
      </w:r>
      <w:r w:rsidR="00561E6C" w:rsidRPr="67269507">
        <w:rPr>
          <w:sz w:val="22"/>
          <w:szCs w:val="22"/>
        </w:rPr>
        <w:t xml:space="preserve">he </w:t>
      </w:r>
      <w:r w:rsidR="00C467F6" w:rsidRPr="67269507">
        <w:rPr>
          <w:sz w:val="22"/>
          <w:szCs w:val="22"/>
        </w:rPr>
        <w:t xml:space="preserve">NEC21 </w:t>
      </w:r>
      <w:r w:rsidR="00561E6C" w:rsidRPr="67269507">
        <w:rPr>
          <w:sz w:val="22"/>
          <w:szCs w:val="22"/>
        </w:rPr>
        <w:t>cost model</w:t>
      </w:r>
      <w:r w:rsidRPr="67269507">
        <w:rPr>
          <w:sz w:val="22"/>
          <w:szCs w:val="22"/>
        </w:rPr>
        <w:t xml:space="preserve">, the </w:t>
      </w:r>
      <w:r w:rsidR="00C467F6" w:rsidRPr="67269507">
        <w:rPr>
          <w:sz w:val="22"/>
          <w:szCs w:val="22"/>
        </w:rPr>
        <w:t xml:space="preserve">NEC22 </w:t>
      </w:r>
      <w:r w:rsidR="00CE707C" w:rsidRPr="67269507">
        <w:rPr>
          <w:sz w:val="22"/>
          <w:szCs w:val="22"/>
        </w:rPr>
        <w:t xml:space="preserve">cost </w:t>
      </w:r>
      <w:r w:rsidRPr="67269507">
        <w:rPr>
          <w:sz w:val="22"/>
          <w:szCs w:val="22"/>
        </w:rPr>
        <w:t xml:space="preserve">model </w:t>
      </w:r>
      <w:r w:rsidR="00770C74" w:rsidRPr="67269507">
        <w:rPr>
          <w:sz w:val="22"/>
          <w:szCs w:val="22"/>
        </w:rPr>
        <w:t xml:space="preserve">adopts </w:t>
      </w:r>
      <w:r w:rsidR="00CE707C" w:rsidRPr="67269507">
        <w:rPr>
          <w:sz w:val="22"/>
          <w:szCs w:val="22"/>
        </w:rPr>
        <w:t>the</w:t>
      </w:r>
      <w:r w:rsidR="00770C74" w:rsidRPr="67269507">
        <w:rPr>
          <w:sz w:val="22"/>
          <w:szCs w:val="22"/>
        </w:rPr>
        <w:t xml:space="preserve"> fixed-plus-variable model with the </w:t>
      </w:r>
      <w:r w:rsidR="00CE707C" w:rsidRPr="67269507">
        <w:rPr>
          <w:sz w:val="22"/>
          <w:szCs w:val="22"/>
        </w:rPr>
        <w:t>application</w:t>
      </w:r>
      <w:r w:rsidR="00770C74" w:rsidRPr="67269507">
        <w:rPr>
          <w:sz w:val="22"/>
          <w:szCs w:val="22"/>
        </w:rPr>
        <w:t xml:space="preserve"> of a low-outlier threshold. </w:t>
      </w:r>
      <w:r w:rsidR="006A16B9" w:rsidRPr="67269507">
        <w:rPr>
          <w:sz w:val="22"/>
          <w:szCs w:val="22"/>
        </w:rPr>
        <w:t xml:space="preserve">The low-outlier threshold is </w:t>
      </w:r>
      <w:r w:rsidR="00561E6C" w:rsidRPr="67269507">
        <w:rPr>
          <w:sz w:val="22"/>
          <w:szCs w:val="22"/>
        </w:rPr>
        <w:t xml:space="preserve">used to identify low-outlier establishments which report little activity but demonstrate high cost variability. </w:t>
      </w:r>
      <w:r w:rsidR="006A16B9" w:rsidRPr="67269507">
        <w:rPr>
          <w:sz w:val="22"/>
          <w:szCs w:val="22"/>
        </w:rPr>
        <w:t xml:space="preserve">It is calculated as the activity level (NWAU) corresponding to the mean </w:t>
      </w:r>
      <w:r w:rsidR="006113C4" w:rsidRPr="67269507">
        <w:rPr>
          <w:sz w:val="22"/>
          <w:szCs w:val="22"/>
        </w:rPr>
        <w:t xml:space="preserve">of the </w:t>
      </w:r>
      <w:r w:rsidR="006A16B9" w:rsidRPr="67269507">
        <w:rPr>
          <w:sz w:val="22"/>
          <w:szCs w:val="22"/>
        </w:rPr>
        <w:t>residual (total in-scope expenditure less NEP x NWAU) divided by double the NEP.</w:t>
      </w:r>
      <w:r w:rsidR="003B0CE2">
        <w:rPr>
          <w:sz w:val="22"/>
          <w:szCs w:val="22"/>
        </w:rPr>
        <w:t xml:space="preserve"> </w:t>
      </w:r>
      <w:r w:rsidR="00272337">
        <w:rPr>
          <w:sz w:val="22"/>
          <w:szCs w:val="22"/>
        </w:rPr>
        <w:t>Of the 365 hospitals used for modelling</w:t>
      </w:r>
      <w:r w:rsidR="00794886">
        <w:rPr>
          <w:sz w:val="22"/>
          <w:szCs w:val="22"/>
        </w:rPr>
        <w:t xml:space="preserve"> i</w:t>
      </w:r>
      <w:r w:rsidR="00561E6C" w:rsidRPr="67269507">
        <w:rPr>
          <w:sz w:val="22"/>
          <w:szCs w:val="22"/>
        </w:rPr>
        <w:t xml:space="preserve">n </w:t>
      </w:r>
      <w:r w:rsidR="003D217D" w:rsidRPr="67269507">
        <w:rPr>
          <w:sz w:val="22"/>
          <w:szCs w:val="22"/>
        </w:rPr>
        <w:t>NEC22</w:t>
      </w:r>
      <w:r w:rsidR="00561E6C" w:rsidRPr="67269507">
        <w:rPr>
          <w:sz w:val="22"/>
          <w:szCs w:val="22"/>
        </w:rPr>
        <w:t xml:space="preserve">, there were </w:t>
      </w:r>
      <w:r w:rsidR="006A16B9" w:rsidRPr="67269507">
        <w:rPr>
          <w:sz w:val="22"/>
          <w:szCs w:val="22"/>
        </w:rPr>
        <w:t xml:space="preserve">71 </w:t>
      </w:r>
      <w:r w:rsidR="00561E6C" w:rsidRPr="67269507">
        <w:rPr>
          <w:sz w:val="22"/>
          <w:szCs w:val="22"/>
        </w:rPr>
        <w:t xml:space="preserve">low-outlier hospitals, with the remaining </w:t>
      </w:r>
      <w:r w:rsidR="006A16B9" w:rsidRPr="67269507">
        <w:rPr>
          <w:sz w:val="22"/>
          <w:szCs w:val="22"/>
        </w:rPr>
        <w:t>29</w:t>
      </w:r>
      <w:r w:rsidR="006A16B9" w:rsidRPr="5DE8428A">
        <w:rPr>
          <w:sz w:val="22"/>
          <w:szCs w:val="22"/>
        </w:rPr>
        <w:t>4</w:t>
      </w:r>
      <w:r w:rsidR="006A16B9" w:rsidRPr="67269507">
        <w:rPr>
          <w:sz w:val="22"/>
          <w:szCs w:val="22"/>
        </w:rPr>
        <w:t xml:space="preserve"> </w:t>
      </w:r>
      <w:r w:rsidR="00561E6C" w:rsidRPr="67269507">
        <w:rPr>
          <w:sz w:val="22"/>
          <w:szCs w:val="22"/>
        </w:rPr>
        <w:t>hospitals used to develop the cost model. The fixed-plus-variable model, includes a:</w:t>
      </w:r>
    </w:p>
    <w:p w14:paraId="5CC9FE89" w14:textId="19D6BE47" w:rsidR="00561E6C" w:rsidRPr="005632F8" w:rsidRDefault="006A6E66" w:rsidP="00FE1EA1">
      <w:pPr>
        <w:pStyle w:val="ListParagraph"/>
        <w:numPr>
          <w:ilvl w:val="0"/>
          <w:numId w:val="25"/>
        </w:numPr>
      </w:pPr>
      <w:r>
        <w:t>V</w:t>
      </w:r>
      <w:r w:rsidR="00561E6C" w:rsidRPr="005632F8">
        <w:t>ariable component, which is dependent on the hospital</w:t>
      </w:r>
      <w:r w:rsidR="006A04E0">
        <w:t>’</w:t>
      </w:r>
      <w:r w:rsidR="00561E6C" w:rsidRPr="005632F8">
        <w:t>s total activity level and calculated using a dollars-per-NWAU rate based on the corresponding year</w:t>
      </w:r>
      <w:r w:rsidR="006A04E0">
        <w:t>’</w:t>
      </w:r>
      <w:r w:rsidR="00561E6C" w:rsidRPr="005632F8">
        <w:t>s NEP.</w:t>
      </w:r>
      <w:r w:rsidR="00561E6C">
        <w:t xml:space="preserve"> For </w:t>
      </w:r>
      <w:r w:rsidR="003D217D">
        <w:t xml:space="preserve">NEC22 </w:t>
      </w:r>
      <w:r w:rsidR="00561E6C">
        <w:t>this was $</w:t>
      </w:r>
      <w:r w:rsidR="00E67B77">
        <w:t>5,</w:t>
      </w:r>
      <w:r w:rsidR="00CA7438">
        <w:t>3</w:t>
      </w:r>
      <w:r w:rsidR="3F954D37">
        <w:t>07</w:t>
      </w:r>
      <w:r w:rsidR="00411AF4">
        <w:t xml:space="preserve"> </w:t>
      </w:r>
      <w:r w:rsidR="00561E6C">
        <w:t>per-NWAU.</w:t>
      </w:r>
    </w:p>
    <w:p w14:paraId="4C36A476" w14:textId="0CC4B6A3" w:rsidR="00561E6C" w:rsidRPr="005632F8" w:rsidRDefault="006A6E66" w:rsidP="00FE1EA1">
      <w:pPr>
        <w:pStyle w:val="ListParagraph"/>
        <w:numPr>
          <w:ilvl w:val="0"/>
          <w:numId w:val="25"/>
        </w:numPr>
      </w:pPr>
      <w:r>
        <w:t>F</w:t>
      </w:r>
      <w:r w:rsidR="00561E6C" w:rsidRPr="005632F8">
        <w:t xml:space="preserve">ixed component, which represents the fixed costs of the hospital where they are not suitably covered through the variable component. </w:t>
      </w:r>
      <w:r w:rsidR="006113C4">
        <w:t xml:space="preserve">This is calculated as the mean of the residual (total in-scope expenditure less NEP x NWAU) for the hospital cohort </w:t>
      </w:r>
      <w:r w:rsidR="00CE707C">
        <w:t>of</w:t>
      </w:r>
      <w:r w:rsidR="006113C4">
        <w:t xml:space="preserve"> inner regional, outer regional and remote hospitals as well as all low-outlier hospitals with their total NWAU set to zero. </w:t>
      </w:r>
      <w:r w:rsidR="00561E6C" w:rsidRPr="005632F8">
        <w:t xml:space="preserve">The fixed component </w:t>
      </w:r>
      <w:r w:rsidR="00561E6C">
        <w:t>is dampened</w:t>
      </w:r>
      <w:r w:rsidR="00561E6C" w:rsidRPr="005632F8">
        <w:t xml:space="preserve"> based on hospital size: smaller hospitals receive a greater fixed component while the large NEC hospitals, close to the </w:t>
      </w:r>
      <w:r w:rsidR="00561E6C">
        <w:t>block-funding</w:t>
      </w:r>
      <w:r w:rsidR="00561E6C" w:rsidRPr="005632F8">
        <w:t xml:space="preserve"> eligibility threshold of 3,500 NWAU, receive a smaller fixed component.</w:t>
      </w:r>
    </w:p>
    <w:p w14:paraId="675022C6" w14:textId="77777777" w:rsidR="00561E6C" w:rsidRDefault="00561E6C" w:rsidP="00561E6C">
      <w:pPr>
        <w:tabs>
          <w:tab w:val="left" w:pos="1162"/>
        </w:tabs>
        <w:spacing w:line="240" w:lineRule="auto"/>
        <w:rPr>
          <w:rFonts w:cs="Arial"/>
          <w:szCs w:val="20"/>
        </w:rPr>
      </w:pPr>
      <w:r>
        <w:rPr>
          <w:rFonts w:cs="Arial"/>
          <w:szCs w:val="20"/>
        </w:rPr>
        <w:t>The modelled cost under the fixed-plus-variable model is the sum of the fixed and variable components. H</w:t>
      </w:r>
      <w:r w:rsidRPr="005632F8">
        <w:rPr>
          <w:rFonts w:cs="Arial"/>
          <w:szCs w:val="20"/>
        </w:rPr>
        <w:t>ospitals</w:t>
      </w:r>
      <w:r>
        <w:rPr>
          <w:rFonts w:cs="Arial"/>
          <w:szCs w:val="20"/>
        </w:rPr>
        <w:t xml:space="preserve"> identified as low-outliers have their modelled cost set at the fixed component with no dampening or remoteness adjustment applied.</w:t>
      </w:r>
    </w:p>
    <w:p w14:paraId="0852F2F4" w14:textId="77777777" w:rsidR="00561E6C" w:rsidRDefault="00561E6C" w:rsidP="00561E6C">
      <w:pPr>
        <w:tabs>
          <w:tab w:val="left" w:pos="1162"/>
        </w:tabs>
        <w:spacing w:line="240" w:lineRule="auto"/>
        <w:rPr>
          <w:rFonts w:cs="Arial"/>
          <w:szCs w:val="20"/>
        </w:rPr>
      </w:pPr>
      <w:r>
        <w:rPr>
          <w:rFonts w:cs="Arial"/>
          <w:szCs w:val="20"/>
        </w:rPr>
        <w:t>The fixed-plus-variable model continues to recognise two levels of remoteness in the form of:</w:t>
      </w:r>
    </w:p>
    <w:p w14:paraId="713F3921" w14:textId="77777777" w:rsidR="00561E6C" w:rsidRDefault="00561E6C" w:rsidP="00887853">
      <w:pPr>
        <w:pStyle w:val="ListBullet"/>
      </w:pPr>
      <w:r>
        <w:t xml:space="preserve">remoteness category </w:t>
      </w:r>
      <w:r w:rsidRPr="007C7689">
        <w:t xml:space="preserve">1: </w:t>
      </w:r>
      <w:r>
        <w:t>i</w:t>
      </w:r>
      <w:r w:rsidRPr="007C7689">
        <w:t>nner regiona</w:t>
      </w:r>
      <w:r>
        <w:t>l, outer regional, remote</w:t>
      </w:r>
    </w:p>
    <w:p w14:paraId="217F9390" w14:textId="77777777" w:rsidR="00561E6C" w:rsidRDefault="00561E6C" w:rsidP="00887853">
      <w:pPr>
        <w:pStyle w:val="ListBullet"/>
      </w:pPr>
      <w:r>
        <w:t xml:space="preserve">remoteness category 2: very remote. </w:t>
      </w:r>
    </w:p>
    <w:p w14:paraId="364CB66F" w14:textId="5E4E662F" w:rsidR="00561E6C" w:rsidRDefault="00561E6C" w:rsidP="00561E6C">
      <w:pPr>
        <w:tabs>
          <w:tab w:val="left" w:pos="1162"/>
        </w:tabs>
        <w:spacing w:before="0" w:after="200" w:line="240" w:lineRule="auto"/>
        <w:contextualSpacing/>
        <w:rPr>
          <w:rFonts w:cs="Arial"/>
        </w:rPr>
      </w:pPr>
      <w:r w:rsidRPr="017DEDC0">
        <w:rPr>
          <w:rFonts w:cs="Arial"/>
        </w:rPr>
        <w:t xml:space="preserve">A remoteness adjustment of </w:t>
      </w:r>
      <w:r w:rsidR="006113C4" w:rsidRPr="017DEDC0">
        <w:rPr>
          <w:rFonts w:cs="Arial"/>
        </w:rPr>
        <w:t>44.1</w:t>
      </w:r>
      <w:r w:rsidRPr="017DEDC0">
        <w:rPr>
          <w:rFonts w:cs="Arial"/>
        </w:rPr>
        <w:t xml:space="preserve"> per cent is applied to the fixed component of very remote hospitals.</w:t>
      </w:r>
    </w:p>
    <w:p w14:paraId="37FF7FDD" w14:textId="77777777" w:rsidR="00561E6C" w:rsidRDefault="00561E6C" w:rsidP="00755433">
      <w:pPr>
        <w:pStyle w:val="Heading2"/>
      </w:pPr>
      <w:bookmarkStart w:id="327" w:name="_Toc25750064"/>
      <w:bookmarkStart w:id="328" w:name="_Toc25750247"/>
      <w:bookmarkStart w:id="329" w:name="_Toc25750430"/>
      <w:bookmarkStart w:id="330" w:name="_Toc25750613"/>
      <w:bookmarkStart w:id="331" w:name="_Toc25750796"/>
      <w:bookmarkStart w:id="332" w:name="_Toc25750065"/>
      <w:bookmarkStart w:id="333" w:name="_Toc25750248"/>
      <w:bookmarkStart w:id="334" w:name="_Toc25750431"/>
      <w:bookmarkStart w:id="335" w:name="_Toc25750614"/>
      <w:bookmarkStart w:id="336" w:name="_Toc25750797"/>
      <w:bookmarkStart w:id="337" w:name="_Toc25750069"/>
      <w:bookmarkStart w:id="338" w:name="_Toc25750252"/>
      <w:bookmarkStart w:id="339" w:name="_Toc25750435"/>
      <w:bookmarkStart w:id="340" w:name="_Toc25750618"/>
      <w:bookmarkStart w:id="341" w:name="_Toc25750801"/>
      <w:bookmarkStart w:id="342" w:name="_Toc531698976"/>
      <w:bookmarkStart w:id="343" w:name="_Toc26278352"/>
      <w:bookmarkStart w:id="344" w:name="_Toc26370530"/>
      <w:bookmarkStart w:id="345" w:name="_Toc65145964"/>
      <w:bookmarkStart w:id="346" w:name="_Toc98882313"/>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lastRenderedPageBreak/>
        <w:t>Analysis of costs</w:t>
      </w:r>
      <w:bookmarkEnd w:id="342"/>
      <w:bookmarkEnd w:id="343"/>
      <w:bookmarkEnd w:id="344"/>
      <w:bookmarkEnd w:id="345"/>
      <w:bookmarkEnd w:id="346"/>
      <w:r>
        <w:t xml:space="preserve"> </w:t>
      </w:r>
    </w:p>
    <w:p w14:paraId="5FD91C52" w14:textId="77777777" w:rsidR="00561E6C" w:rsidRDefault="00561E6C" w:rsidP="00755433">
      <w:pPr>
        <w:pStyle w:val="Heading3"/>
      </w:pPr>
      <w:bookmarkStart w:id="347" w:name="_Toc531698977"/>
      <w:r>
        <w:t>Data preparation</w:t>
      </w:r>
      <w:bookmarkEnd w:id="347"/>
    </w:p>
    <w:p w14:paraId="27206A3B" w14:textId="54307FA9" w:rsidR="00561E6C" w:rsidRPr="006371B1" w:rsidRDefault="00561E6C" w:rsidP="00561E6C">
      <w:pPr>
        <w:tabs>
          <w:tab w:val="left" w:pos="1162"/>
        </w:tabs>
        <w:spacing w:line="240" w:lineRule="auto"/>
        <w:rPr>
          <w:rFonts w:cs="Arial"/>
          <w:szCs w:val="20"/>
        </w:rPr>
      </w:pPr>
      <w:r>
        <w:rPr>
          <w:rFonts w:cs="Arial"/>
          <w:szCs w:val="20"/>
        </w:rPr>
        <w:t xml:space="preserve">The methodology for </w:t>
      </w:r>
      <w:r w:rsidR="003D217D">
        <w:rPr>
          <w:rFonts w:cs="Arial"/>
          <w:szCs w:val="20"/>
        </w:rPr>
        <w:t xml:space="preserve">NEC22 </w:t>
      </w:r>
      <w:r>
        <w:rPr>
          <w:rFonts w:cs="Arial"/>
          <w:szCs w:val="20"/>
        </w:rPr>
        <w:t xml:space="preserve">has been maintained since the data preparation process was updated in NEC17 </w:t>
      </w:r>
      <w:r w:rsidRPr="006371B1">
        <w:rPr>
          <w:rFonts w:cs="Arial"/>
          <w:szCs w:val="20"/>
        </w:rPr>
        <w:t xml:space="preserve">in line with </w:t>
      </w:r>
      <w:r>
        <w:rPr>
          <w:rFonts w:cs="Arial"/>
          <w:szCs w:val="20"/>
        </w:rPr>
        <w:t xml:space="preserve">an update to </w:t>
      </w:r>
      <w:r w:rsidRPr="006371B1">
        <w:rPr>
          <w:rFonts w:cs="Arial"/>
          <w:szCs w:val="20"/>
        </w:rPr>
        <w:t>the</w:t>
      </w:r>
      <w:r>
        <w:rPr>
          <w:rFonts w:cs="Arial"/>
          <w:szCs w:val="20"/>
        </w:rPr>
        <w:t xml:space="preserve"> </w:t>
      </w:r>
      <w:r w:rsidRPr="00EC1F9C">
        <w:rPr>
          <w:rFonts w:cs="Arial"/>
          <w:szCs w:val="20"/>
        </w:rPr>
        <w:t>national public hospital establishment database</w:t>
      </w:r>
      <w:r w:rsidRPr="006371B1">
        <w:rPr>
          <w:rFonts w:cs="Arial"/>
          <w:szCs w:val="20"/>
        </w:rPr>
        <w:t xml:space="preserve"> </w:t>
      </w:r>
      <w:r>
        <w:rPr>
          <w:rFonts w:cs="Arial"/>
          <w:szCs w:val="20"/>
        </w:rPr>
        <w:t>(</w:t>
      </w:r>
      <w:r w:rsidRPr="006371B1">
        <w:rPr>
          <w:rFonts w:cs="Arial"/>
          <w:szCs w:val="20"/>
        </w:rPr>
        <w:t>NPHED</w:t>
      </w:r>
      <w:r>
        <w:rPr>
          <w:rFonts w:cs="Arial"/>
          <w:szCs w:val="20"/>
        </w:rPr>
        <w:t>)</w:t>
      </w:r>
      <w:r w:rsidRPr="006371B1">
        <w:rPr>
          <w:rFonts w:cs="Arial"/>
          <w:szCs w:val="20"/>
        </w:rPr>
        <w:t xml:space="preserve"> </w:t>
      </w:r>
      <w:r>
        <w:rPr>
          <w:rFonts w:cs="Arial"/>
          <w:szCs w:val="20"/>
        </w:rPr>
        <w:t>in 2014</w:t>
      </w:r>
      <w:r w:rsidR="0087033D">
        <w:rPr>
          <w:rFonts w:cs="Arial"/>
          <w:szCs w:val="20"/>
        </w:rPr>
        <w:t>–</w:t>
      </w:r>
      <w:r>
        <w:rPr>
          <w:rFonts w:cs="Arial"/>
          <w:szCs w:val="20"/>
        </w:rPr>
        <w:t>15</w:t>
      </w:r>
      <w:r w:rsidRPr="006371B1">
        <w:rPr>
          <w:rFonts w:cs="Arial"/>
          <w:szCs w:val="20"/>
        </w:rPr>
        <w:t>.</w:t>
      </w:r>
      <w:r w:rsidRPr="00EA1011">
        <w:rPr>
          <w:rFonts w:cs="Arial"/>
          <w:szCs w:val="20"/>
        </w:rPr>
        <w:t xml:space="preserve"> </w:t>
      </w:r>
      <w:r w:rsidR="00D7089C" w:rsidRPr="00247484">
        <w:rPr>
          <w:rFonts w:cs="Arial"/>
          <w:szCs w:val="20"/>
        </w:rPr>
        <w:t xml:space="preserve">There </w:t>
      </w:r>
      <w:r w:rsidR="00D7089C" w:rsidRPr="00F41C22">
        <w:rPr>
          <w:rFonts w:cs="Arial"/>
          <w:szCs w:val="20"/>
        </w:rPr>
        <w:t>was another</w:t>
      </w:r>
      <w:r w:rsidR="00D7089C" w:rsidRPr="00247484">
        <w:rPr>
          <w:rFonts w:cs="Arial"/>
          <w:szCs w:val="20"/>
        </w:rPr>
        <w:t xml:space="preserve"> update to the NPHED in </w:t>
      </w:r>
      <w:r w:rsidR="00770C74">
        <w:rPr>
          <w:rFonts w:cs="Arial"/>
          <w:szCs w:val="20"/>
        </w:rPr>
        <w:t>2018</w:t>
      </w:r>
      <w:r w:rsidR="00412FC7">
        <w:rPr>
          <w:rFonts w:cs="Arial"/>
          <w:szCs w:val="20"/>
        </w:rPr>
        <w:t>–</w:t>
      </w:r>
      <w:r w:rsidR="00770C74">
        <w:rPr>
          <w:rFonts w:cs="Arial"/>
          <w:szCs w:val="20"/>
        </w:rPr>
        <w:t>19</w:t>
      </w:r>
      <w:r w:rsidR="00D7089C" w:rsidRPr="00247484">
        <w:rPr>
          <w:rFonts w:cs="Arial"/>
          <w:szCs w:val="20"/>
        </w:rPr>
        <w:t xml:space="preserve">, which is discussed further </w:t>
      </w:r>
      <w:r w:rsidR="00BB3247" w:rsidRPr="00C213C1">
        <w:rPr>
          <w:rFonts w:cs="Arial"/>
          <w:szCs w:val="20"/>
        </w:rPr>
        <w:t xml:space="preserve">in </w:t>
      </w:r>
      <w:r w:rsidR="00BB3247" w:rsidRPr="003262FB">
        <w:rPr>
          <w:rFonts w:cs="Arial"/>
          <w:szCs w:val="20"/>
        </w:rPr>
        <w:t xml:space="preserve">Section </w:t>
      </w:r>
      <w:r w:rsidR="00616FBF" w:rsidRPr="003262FB">
        <w:rPr>
          <w:rFonts w:cs="Arial"/>
          <w:szCs w:val="20"/>
        </w:rPr>
        <w:t>8.2.3</w:t>
      </w:r>
      <w:r w:rsidR="00D7089C" w:rsidRPr="00C213C1">
        <w:rPr>
          <w:rFonts w:cs="Arial"/>
          <w:szCs w:val="20"/>
        </w:rPr>
        <w:t>.</w:t>
      </w:r>
      <w:r w:rsidR="00D7089C">
        <w:rPr>
          <w:rFonts w:cs="Arial"/>
          <w:szCs w:val="20"/>
        </w:rPr>
        <w:t xml:space="preserve"> </w:t>
      </w:r>
      <w:r>
        <w:rPr>
          <w:rFonts w:cs="Arial"/>
          <w:szCs w:val="20"/>
        </w:rPr>
        <w:t xml:space="preserve">The </w:t>
      </w:r>
      <w:r w:rsidR="006A04E0">
        <w:rPr>
          <w:rFonts w:cs="Arial"/>
          <w:szCs w:val="20"/>
        </w:rPr>
        <w:t>data preparation</w:t>
      </w:r>
      <w:r>
        <w:rPr>
          <w:rFonts w:cs="Arial"/>
          <w:szCs w:val="20"/>
        </w:rPr>
        <w:t xml:space="preserve"> process</w:t>
      </w:r>
      <w:r w:rsidRPr="00EA1011">
        <w:rPr>
          <w:rFonts w:cs="Arial"/>
          <w:szCs w:val="20"/>
        </w:rPr>
        <w:t xml:space="preserve"> </w:t>
      </w:r>
      <w:r w:rsidRPr="006371B1">
        <w:rPr>
          <w:rFonts w:cs="Arial"/>
          <w:szCs w:val="20"/>
        </w:rPr>
        <w:t>involves:</w:t>
      </w:r>
    </w:p>
    <w:p w14:paraId="21981740" w14:textId="77777777" w:rsidR="006A6E66" w:rsidRDefault="006A6E66" w:rsidP="00887853">
      <w:pPr>
        <w:pStyle w:val="ListBullet"/>
      </w:pPr>
      <w:r>
        <w:t>E</w:t>
      </w:r>
      <w:r w:rsidR="00561E6C" w:rsidRPr="003A0EE0">
        <w:t xml:space="preserve">xtraction of activity data from the IHPA ABF DSS for each </w:t>
      </w:r>
      <w:r w:rsidR="00561E6C">
        <w:t>block-funded</w:t>
      </w:r>
      <w:r w:rsidR="00561E6C" w:rsidRPr="003A0EE0">
        <w:t xml:space="preserve"> hospital and conversion of that data into in-scope NWAUs. </w:t>
      </w:r>
    </w:p>
    <w:p w14:paraId="62C0C678" w14:textId="77777777" w:rsidR="00561E6C" w:rsidRPr="00272A40" w:rsidRDefault="006A6E66" w:rsidP="00887853">
      <w:pPr>
        <w:pStyle w:val="ListBullet"/>
      </w:pPr>
      <w:r>
        <w:t>E</w:t>
      </w:r>
      <w:r w:rsidR="00561E6C" w:rsidRPr="00272A40">
        <w:t xml:space="preserve">xtraction of in-scope establishment expenditure data from the NPHED. </w:t>
      </w:r>
    </w:p>
    <w:p w14:paraId="188AC9BB" w14:textId="2801EF20" w:rsidR="00561E6C" w:rsidRPr="001F6FD3" w:rsidRDefault="00561E6C" w:rsidP="00561E6C">
      <w:pPr>
        <w:tabs>
          <w:tab w:val="left" w:pos="1162"/>
        </w:tabs>
        <w:spacing w:line="240" w:lineRule="auto"/>
        <w:rPr>
          <w:rFonts w:cs="Arial"/>
          <w:szCs w:val="20"/>
        </w:rPr>
      </w:pPr>
      <w:r w:rsidRPr="001F6FD3">
        <w:rPr>
          <w:rFonts w:cs="Arial"/>
          <w:szCs w:val="20"/>
        </w:rPr>
        <w:t xml:space="preserve">The establishment data required to populate the </w:t>
      </w:r>
      <w:r w:rsidR="003D217D">
        <w:rPr>
          <w:rFonts w:cs="Arial"/>
          <w:szCs w:val="20"/>
        </w:rPr>
        <w:t>2019</w:t>
      </w:r>
      <w:r>
        <w:rPr>
          <w:rFonts w:cs="Arial"/>
          <w:szCs w:val="20"/>
        </w:rPr>
        <w:t>–</w:t>
      </w:r>
      <w:r w:rsidR="003D217D">
        <w:rPr>
          <w:rFonts w:cs="Arial"/>
          <w:szCs w:val="20"/>
        </w:rPr>
        <w:t>20</w:t>
      </w:r>
      <w:r w:rsidR="003D217D" w:rsidRPr="001F6FD3">
        <w:rPr>
          <w:rFonts w:cs="Arial"/>
          <w:szCs w:val="20"/>
        </w:rPr>
        <w:t xml:space="preserve"> </w:t>
      </w:r>
      <w:r w:rsidRPr="001F6FD3">
        <w:rPr>
          <w:rFonts w:cs="Arial"/>
          <w:szCs w:val="20"/>
        </w:rPr>
        <w:t>cost model table are:</w:t>
      </w:r>
    </w:p>
    <w:p w14:paraId="1F69C023" w14:textId="683CF726" w:rsidR="00561E6C" w:rsidRPr="001D2EF6" w:rsidRDefault="006A6E66" w:rsidP="00887853">
      <w:pPr>
        <w:pStyle w:val="ListBullet"/>
      </w:pPr>
      <w:r w:rsidRPr="001D2EF6">
        <w:t>T</w:t>
      </w:r>
      <w:r w:rsidR="00561E6C" w:rsidRPr="001D2EF6">
        <w:t xml:space="preserve">otal in-scope NWAU per annum for </w:t>
      </w:r>
      <w:r w:rsidR="003D217D" w:rsidRPr="001D2EF6">
        <w:t>201</w:t>
      </w:r>
      <w:r w:rsidR="003D217D">
        <w:t>9</w:t>
      </w:r>
      <w:r w:rsidR="00412FC7">
        <w:t>–</w:t>
      </w:r>
      <w:r w:rsidR="003D217D">
        <w:t>20</w:t>
      </w:r>
      <w:r w:rsidR="00561E6C" w:rsidRPr="001D2EF6">
        <w:t xml:space="preserve">. </w:t>
      </w:r>
    </w:p>
    <w:p w14:paraId="36FCB0D8" w14:textId="00B3025A" w:rsidR="00561E6C" w:rsidRPr="001D2EF6" w:rsidRDefault="006A6E66" w:rsidP="00887853">
      <w:pPr>
        <w:pStyle w:val="ListBullet"/>
      </w:pPr>
      <w:r w:rsidRPr="001D2EF6">
        <w:t>T</w:t>
      </w:r>
      <w:r w:rsidR="00561E6C" w:rsidRPr="001D2EF6">
        <w:t xml:space="preserve">otal in-scope expenditure in </w:t>
      </w:r>
      <w:r w:rsidR="003D217D" w:rsidRPr="001D2EF6">
        <w:t>201</w:t>
      </w:r>
      <w:r w:rsidR="003D217D">
        <w:t>9</w:t>
      </w:r>
      <w:r w:rsidR="00412FC7">
        <w:t>–</w:t>
      </w:r>
      <w:r w:rsidR="003D217D">
        <w:t>20</w:t>
      </w:r>
      <w:r w:rsidR="00561E6C" w:rsidRPr="001D2EF6">
        <w:t>.</w:t>
      </w:r>
    </w:p>
    <w:p w14:paraId="171915CE" w14:textId="2E982E10" w:rsidR="00561E6C" w:rsidRDefault="00D7089C" w:rsidP="00561E6C">
      <w:pPr>
        <w:tabs>
          <w:tab w:val="left" w:pos="1162"/>
        </w:tabs>
        <w:spacing w:line="240" w:lineRule="auto"/>
        <w:rPr>
          <w:rFonts w:cs="Arial"/>
          <w:szCs w:val="20"/>
        </w:rPr>
      </w:pPr>
      <w:r>
        <w:rPr>
          <w:rFonts w:cs="Arial"/>
          <w:szCs w:val="20"/>
        </w:rPr>
        <w:t xml:space="preserve">In line with the </w:t>
      </w:r>
      <w:r w:rsidR="003D217D">
        <w:rPr>
          <w:rFonts w:cs="Arial"/>
          <w:szCs w:val="20"/>
        </w:rPr>
        <w:t xml:space="preserve">NEC21 </w:t>
      </w:r>
      <w:r>
        <w:rPr>
          <w:rFonts w:cs="Arial"/>
          <w:szCs w:val="20"/>
        </w:rPr>
        <w:t xml:space="preserve">model, the </w:t>
      </w:r>
      <w:r w:rsidR="003D217D">
        <w:rPr>
          <w:rFonts w:cs="Arial"/>
          <w:szCs w:val="20"/>
        </w:rPr>
        <w:t xml:space="preserve">NEC22 </w:t>
      </w:r>
      <w:r>
        <w:rPr>
          <w:rFonts w:cs="Arial"/>
          <w:szCs w:val="20"/>
        </w:rPr>
        <w:t xml:space="preserve">model uses </w:t>
      </w:r>
      <w:r w:rsidR="00561E6C">
        <w:rPr>
          <w:rFonts w:cs="Arial"/>
          <w:szCs w:val="20"/>
        </w:rPr>
        <w:t xml:space="preserve">a single year of activity data </w:t>
      </w:r>
      <w:r>
        <w:rPr>
          <w:rFonts w:cs="Arial"/>
          <w:szCs w:val="20"/>
        </w:rPr>
        <w:t>only</w:t>
      </w:r>
      <w:r w:rsidR="00561E6C">
        <w:rPr>
          <w:rFonts w:cs="Arial"/>
          <w:szCs w:val="20"/>
        </w:rPr>
        <w:t>. This has been done to provide greater model responsiveness and remove the memory effect of a rolling three-year average</w:t>
      </w:r>
      <w:r>
        <w:rPr>
          <w:rFonts w:cs="Arial"/>
          <w:szCs w:val="20"/>
        </w:rPr>
        <w:t xml:space="preserve"> used in models prior to </w:t>
      </w:r>
      <w:r w:rsidR="003D217D">
        <w:rPr>
          <w:rFonts w:cs="Arial"/>
          <w:szCs w:val="20"/>
        </w:rPr>
        <w:t>NEC2</w:t>
      </w:r>
      <w:r w:rsidR="00770C74">
        <w:rPr>
          <w:rFonts w:cs="Arial"/>
          <w:szCs w:val="20"/>
        </w:rPr>
        <w:t>0</w:t>
      </w:r>
      <w:r w:rsidR="00561E6C">
        <w:rPr>
          <w:rFonts w:cs="Arial"/>
          <w:szCs w:val="20"/>
        </w:rPr>
        <w:t>.</w:t>
      </w:r>
    </w:p>
    <w:p w14:paraId="38663051" w14:textId="77777777" w:rsidR="00561E6C" w:rsidRPr="001F6FD3" w:rsidRDefault="00561E6C" w:rsidP="00561E6C">
      <w:pPr>
        <w:tabs>
          <w:tab w:val="left" w:pos="1162"/>
        </w:tabs>
        <w:spacing w:line="240" w:lineRule="auto"/>
        <w:rPr>
          <w:rFonts w:cs="Arial"/>
          <w:szCs w:val="20"/>
        </w:rPr>
      </w:pPr>
      <w:r>
        <w:rPr>
          <w:rFonts w:cs="Arial"/>
          <w:szCs w:val="20"/>
        </w:rPr>
        <w:t>T</w:t>
      </w:r>
      <w:r w:rsidRPr="001F6FD3">
        <w:rPr>
          <w:rFonts w:cs="Arial"/>
          <w:szCs w:val="20"/>
        </w:rPr>
        <w:t xml:space="preserve">he eligibility of hospitals for </w:t>
      </w:r>
      <w:r>
        <w:rPr>
          <w:rFonts w:cs="Arial"/>
          <w:szCs w:val="20"/>
        </w:rPr>
        <w:t>block-funding</w:t>
      </w:r>
      <w:r w:rsidRPr="001F6FD3">
        <w:rPr>
          <w:rFonts w:cs="Arial"/>
          <w:szCs w:val="20"/>
        </w:rPr>
        <w:t xml:space="preserve"> </w:t>
      </w:r>
      <w:r>
        <w:rPr>
          <w:rFonts w:cs="Arial"/>
          <w:szCs w:val="20"/>
        </w:rPr>
        <w:t xml:space="preserve">is determined </w:t>
      </w:r>
      <w:r w:rsidRPr="001F6FD3">
        <w:rPr>
          <w:rFonts w:cs="Arial"/>
          <w:szCs w:val="20"/>
        </w:rPr>
        <w:t xml:space="preserve">by ensuring </w:t>
      </w:r>
      <w:r w:rsidRPr="009602D0">
        <w:rPr>
          <w:rFonts w:cs="Arial"/>
          <w:szCs w:val="20"/>
        </w:rPr>
        <w:t xml:space="preserve">that the latest </w:t>
      </w:r>
      <w:r w:rsidRPr="00765488">
        <w:rPr>
          <w:rFonts w:cs="Arial"/>
          <w:szCs w:val="20"/>
        </w:rPr>
        <w:t>year</w:t>
      </w:r>
      <w:r w:rsidR="00D7089C">
        <w:rPr>
          <w:rFonts w:cs="Arial"/>
          <w:szCs w:val="20"/>
        </w:rPr>
        <w:t>’</w:t>
      </w:r>
      <w:r w:rsidRPr="00765488">
        <w:rPr>
          <w:rFonts w:cs="Arial"/>
          <w:szCs w:val="20"/>
        </w:rPr>
        <w:t xml:space="preserve">s total NWAU is less than </w:t>
      </w:r>
      <w:r w:rsidR="00411AF4">
        <w:rPr>
          <w:rFonts w:cs="Arial"/>
          <w:szCs w:val="20"/>
        </w:rPr>
        <w:t xml:space="preserve">or equal to </w:t>
      </w:r>
      <w:r w:rsidRPr="00765488">
        <w:rPr>
          <w:rFonts w:cs="Arial"/>
          <w:szCs w:val="20"/>
        </w:rPr>
        <w:t>3,500 NWAU per annum</w:t>
      </w:r>
      <w:r w:rsidRPr="001F6FD3">
        <w:rPr>
          <w:rFonts w:cs="Arial"/>
          <w:szCs w:val="20"/>
        </w:rPr>
        <w:t xml:space="preserve"> for rural hospitals</w:t>
      </w:r>
      <w:r>
        <w:rPr>
          <w:rFonts w:cs="Arial"/>
          <w:szCs w:val="20"/>
        </w:rPr>
        <w:t>,</w:t>
      </w:r>
      <w:r w:rsidRPr="001F6FD3">
        <w:rPr>
          <w:rFonts w:cs="Arial"/>
          <w:szCs w:val="20"/>
        </w:rPr>
        <w:t xml:space="preserve"> and </w:t>
      </w:r>
      <w:r>
        <w:rPr>
          <w:rFonts w:cs="Arial"/>
          <w:szCs w:val="20"/>
        </w:rPr>
        <w:t xml:space="preserve">the admitted </w:t>
      </w:r>
      <w:r w:rsidR="00D7089C">
        <w:rPr>
          <w:rFonts w:cs="Arial"/>
          <w:szCs w:val="20"/>
        </w:rPr>
        <w:t xml:space="preserve">patient </w:t>
      </w:r>
      <w:r>
        <w:rPr>
          <w:rFonts w:cs="Arial"/>
          <w:szCs w:val="20"/>
        </w:rPr>
        <w:t>activity for city hospitals is less than</w:t>
      </w:r>
      <w:r w:rsidRPr="001F6FD3">
        <w:rPr>
          <w:rFonts w:cs="Arial"/>
          <w:szCs w:val="20"/>
        </w:rPr>
        <w:t xml:space="preserve"> </w:t>
      </w:r>
      <w:r w:rsidR="00411AF4">
        <w:rPr>
          <w:rFonts w:cs="Arial"/>
          <w:szCs w:val="20"/>
        </w:rPr>
        <w:t xml:space="preserve">or equal to </w:t>
      </w:r>
      <w:r w:rsidRPr="00801AF5">
        <w:rPr>
          <w:rFonts w:cs="Arial"/>
          <w:szCs w:val="20"/>
        </w:rPr>
        <w:t>1</w:t>
      </w:r>
      <w:r>
        <w:rPr>
          <w:rFonts w:cs="Arial"/>
          <w:szCs w:val="20"/>
        </w:rPr>
        <w:t>,</w:t>
      </w:r>
      <w:r w:rsidRPr="00801AF5">
        <w:rPr>
          <w:rFonts w:cs="Arial"/>
          <w:szCs w:val="20"/>
        </w:rPr>
        <w:t>800 NWAU</w:t>
      </w:r>
      <w:r w:rsidRPr="001F6FD3">
        <w:rPr>
          <w:rFonts w:cs="Arial"/>
          <w:szCs w:val="20"/>
        </w:rPr>
        <w:t xml:space="preserve"> per annum.</w:t>
      </w:r>
    </w:p>
    <w:p w14:paraId="43585AE8" w14:textId="24AB689F" w:rsidR="00561E6C" w:rsidRDefault="00561E6C" w:rsidP="00561E6C">
      <w:pPr>
        <w:tabs>
          <w:tab w:val="left" w:pos="1162"/>
        </w:tabs>
        <w:spacing w:after="240" w:line="240" w:lineRule="auto"/>
        <w:rPr>
          <w:rFonts w:cs="Arial"/>
          <w:szCs w:val="20"/>
        </w:rPr>
      </w:pPr>
      <w:r w:rsidRPr="001F6FD3">
        <w:rPr>
          <w:rFonts w:cs="Arial"/>
          <w:szCs w:val="20"/>
        </w:rPr>
        <w:t xml:space="preserve">The NWAU activity measure is calculated first and then the best estimate of </w:t>
      </w:r>
      <w:r w:rsidR="003D217D">
        <w:rPr>
          <w:rFonts w:cs="Arial"/>
          <w:szCs w:val="20"/>
        </w:rPr>
        <w:t>2019</w:t>
      </w:r>
      <w:r w:rsidR="00412FC7">
        <w:rPr>
          <w:rFonts w:cs="Arial"/>
          <w:szCs w:val="20"/>
        </w:rPr>
        <w:t>–</w:t>
      </w:r>
      <w:r w:rsidR="003D217D">
        <w:rPr>
          <w:rFonts w:cs="Arial"/>
          <w:szCs w:val="20"/>
        </w:rPr>
        <w:t>20</w:t>
      </w:r>
      <w:r w:rsidR="003D217D" w:rsidRPr="001F6FD3">
        <w:rPr>
          <w:rFonts w:cs="Arial"/>
          <w:szCs w:val="20"/>
        </w:rPr>
        <w:t xml:space="preserve"> </w:t>
      </w:r>
      <w:r>
        <w:rPr>
          <w:rFonts w:cs="Arial"/>
          <w:szCs w:val="20"/>
        </w:rPr>
        <w:t>in-scope</w:t>
      </w:r>
      <w:r w:rsidRPr="001F6FD3">
        <w:rPr>
          <w:rFonts w:cs="Arial"/>
          <w:szCs w:val="20"/>
        </w:rPr>
        <w:t xml:space="preserve"> expenditure is derived</w:t>
      </w:r>
      <w:r>
        <w:rPr>
          <w:rFonts w:cs="Arial"/>
          <w:szCs w:val="20"/>
        </w:rPr>
        <w:t>,</w:t>
      </w:r>
      <w:r w:rsidRPr="001F6FD3">
        <w:rPr>
          <w:rFonts w:cs="Arial"/>
          <w:szCs w:val="20"/>
        </w:rPr>
        <w:t xml:space="preserve"> as set out below.</w:t>
      </w:r>
      <w:r>
        <w:rPr>
          <w:rFonts w:cs="Arial"/>
          <w:szCs w:val="20"/>
        </w:rPr>
        <w:t xml:space="preserve"> A guide to the process used to prepare data for </w:t>
      </w:r>
      <w:r w:rsidR="003D217D">
        <w:rPr>
          <w:rFonts w:cs="Arial"/>
          <w:szCs w:val="20"/>
        </w:rPr>
        <w:t xml:space="preserve">NEC22 </w:t>
      </w:r>
      <w:r>
        <w:rPr>
          <w:rFonts w:cs="Arial"/>
          <w:szCs w:val="20"/>
        </w:rPr>
        <w:t xml:space="preserve">is set out </w:t>
      </w:r>
      <w:r w:rsidRPr="00AB73FA">
        <w:rPr>
          <w:rFonts w:cs="Arial"/>
          <w:szCs w:val="22"/>
        </w:rPr>
        <w:t>in</w:t>
      </w:r>
      <w:r>
        <w:rPr>
          <w:rFonts w:cs="Arial"/>
          <w:szCs w:val="22"/>
        </w:rPr>
        <w:t xml:space="preserve"> </w:t>
      </w:r>
      <w:r w:rsidRPr="003262FB">
        <w:rPr>
          <w:rFonts w:cs="Arial"/>
          <w:b/>
          <w:szCs w:val="22"/>
        </w:rPr>
        <w:t>Appendix E</w:t>
      </w:r>
      <w:r w:rsidRPr="00D07EF6">
        <w:rPr>
          <w:rFonts w:cs="Arial"/>
          <w:szCs w:val="22"/>
        </w:rPr>
        <w:t>.</w:t>
      </w:r>
    </w:p>
    <w:p w14:paraId="2FA45B10" w14:textId="77777777" w:rsidR="00561E6C" w:rsidRPr="00A315B0" w:rsidRDefault="00561E6C" w:rsidP="00755433">
      <w:pPr>
        <w:pStyle w:val="Heading3"/>
      </w:pPr>
      <w:r>
        <w:t>In-scope activity</w:t>
      </w:r>
    </w:p>
    <w:p w14:paraId="4F46340D" w14:textId="77777777" w:rsidR="00561E6C" w:rsidRPr="001E3213" w:rsidRDefault="00561E6C" w:rsidP="009C6266">
      <w:pPr>
        <w:pStyle w:val="Headingnonumber"/>
      </w:pPr>
      <w:r w:rsidRPr="001E3213">
        <w:t>Admitted acute and subacute NWAU</w:t>
      </w:r>
    </w:p>
    <w:p w14:paraId="5347BC40" w14:textId="6E6DF209" w:rsidR="00561E6C" w:rsidRPr="00A315B0" w:rsidRDefault="00561E6C" w:rsidP="00561E6C">
      <w:pPr>
        <w:tabs>
          <w:tab w:val="left" w:pos="1162"/>
        </w:tabs>
        <w:spacing w:line="240" w:lineRule="auto"/>
        <w:rPr>
          <w:rFonts w:cs="Arial"/>
        </w:rPr>
      </w:pPr>
      <w:r w:rsidRPr="67F8334F">
        <w:rPr>
          <w:rFonts w:cs="Arial"/>
        </w:rPr>
        <w:t xml:space="preserve">Patient-level admitted data was available from approximately </w:t>
      </w:r>
      <w:r w:rsidR="0087033D" w:rsidRPr="67F8334F">
        <w:rPr>
          <w:rFonts w:cs="Arial"/>
        </w:rPr>
        <w:t xml:space="preserve">96 </w:t>
      </w:r>
      <w:r w:rsidRPr="67F8334F">
        <w:rPr>
          <w:rFonts w:cs="Arial"/>
        </w:rPr>
        <w:t xml:space="preserve">per cent of hospitals in the APC stream. </w:t>
      </w:r>
    </w:p>
    <w:p w14:paraId="020DC1D0" w14:textId="3A887451" w:rsidR="00561E6C" w:rsidRPr="007A483F" w:rsidRDefault="00561E6C" w:rsidP="00561E6C">
      <w:pPr>
        <w:tabs>
          <w:tab w:val="left" w:pos="1162"/>
        </w:tabs>
        <w:spacing w:line="240" w:lineRule="auto"/>
        <w:rPr>
          <w:rFonts w:cs="Arial"/>
          <w:szCs w:val="20"/>
        </w:rPr>
      </w:pPr>
      <w:r w:rsidRPr="007A483F">
        <w:rPr>
          <w:rFonts w:cs="Arial"/>
          <w:szCs w:val="20"/>
        </w:rPr>
        <w:t xml:space="preserve">The patient-level admitted data has been fed through the </w:t>
      </w:r>
      <w:r w:rsidR="003D217D" w:rsidRPr="007A483F">
        <w:rPr>
          <w:rFonts w:cs="Arial"/>
          <w:szCs w:val="20"/>
        </w:rPr>
        <w:t>NEP</w:t>
      </w:r>
      <w:r w:rsidR="003D217D">
        <w:rPr>
          <w:rFonts w:cs="Arial"/>
          <w:szCs w:val="20"/>
        </w:rPr>
        <w:t>21</w:t>
      </w:r>
      <w:r w:rsidR="003D217D" w:rsidRPr="007A483F">
        <w:rPr>
          <w:rFonts w:cs="Arial"/>
          <w:szCs w:val="20"/>
        </w:rPr>
        <w:t xml:space="preserve"> </w:t>
      </w:r>
      <w:r w:rsidRPr="007A483F">
        <w:rPr>
          <w:rFonts w:cs="Arial"/>
          <w:szCs w:val="20"/>
        </w:rPr>
        <w:t>NWAU calculator to calculate the in-scope NWAU and public patient equivalent NWAU of all in-scope hospital activity. A slightly modified version of the calculator is used for episodes with an admission date prior to 1</w:t>
      </w:r>
      <w:r w:rsidR="00A53159">
        <w:rPr>
          <w:rFonts w:cs="Arial"/>
          <w:szCs w:val="20"/>
        </w:rPr>
        <w:t> </w:t>
      </w:r>
      <w:r w:rsidRPr="007A483F">
        <w:rPr>
          <w:rFonts w:cs="Arial"/>
          <w:szCs w:val="20"/>
        </w:rPr>
        <w:t xml:space="preserve">July </w:t>
      </w:r>
      <w:r w:rsidR="003D217D" w:rsidRPr="007A483F">
        <w:rPr>
          <w:rFonts w:cs="Arial"/>
          <w:szCs w:val="20"/>
        </w:rPr>
        <w:t>201</w:t>
      </w:r>
      <w:r w:rsidR="003D217D">
        <w:rPr>
          <w:rFonts w:cs="Arial"/>
          <w:szCs w:val="20"/>
        </w:rPr>
        <w:t>9</w:t>
      </w:r>
      <w:r w:rsidR="003D217D" w:rsidRPr="007A483F">
        <w:rPr>
          <w:rFonts w:cs="Arial"/>
          <w:szCs w:val="20"/>
        </w:rPr>
        <w:t xml:space="preserve"> </w:t>
      </w:r>
      <w:r w:rsidRPr="007A483F">
        <w:rPr>
          <w:rFonts w:cs="Arial"/>
          <w:szCs w:val="20"/>
        </w:rPr>
        <w:t xml:space="preserve">in order to determine the NWAU associated to the portion of the episodes occurring in </w:t>
      </w:r>
      <w:r w:rsidR="003D217D">
        <w:rPr>
          <w:rFonts w:cs="Arial"/>
          <w:szCs w:val="20"/>
        </w:rPr>
        <w:t>2019</w:t>
      </w:r>
      <w:r w:rsidR="00412FC7">
        <w:rPr>
          <w:rFonts w:cs="Arial"/>
          <w:szCs w:val="20"/>
        </w:rPr>
        <w:t>–</w:t>
      </w:r>
      <w:r w:rsidR="003D217D">
        <w:rPr>
          <w:rFonts w:cs="Arial"/>
          <w:szCs w:val="20"/>
        </w:rPr>
        <w:t>20</w:t>
      </w:r>
      <w:r w:rsidRPr="007A483F">
        <w:rPr>
          <w:rFonts w:cs="Arial"/>
          <w:szCs w:val="20"/>
        </w:rPr>
        <w:t>. This is discussed further under the ‘</w:t>
      </w:r>
      <w:r>
        <w:rPr>
          <w:rFonts w:cs="Arial"/>
          <w:szCs w:val="20"/>
        </w:rPr>
        <w:t>w</w:t>
      </w:r>
      <w:r w:rsidRPr="007A483F">
        <w:rPr>
          <w:rFonts w:cs="Arial"/>
          <w:szCs w:val="20"/>
        </w:rPr>
        <w:t>ork</w:t>
      </w:r>
      <w:r>
        <w:rPr>
          <w:rFonts w:cs="Arial"/>
          <w:szCs w:val="20"/>
        </w:rPr>
        <w:t>-</w:t>
      </w:r>
      <w:r w:rsidRPr="007A483F">
        <w:rPr>
          <w:rFonts w:cs="Arial"/>
          <w:szCs w:val="20"/>
        </w:rPr>
        <w:t>in</w:t>
      </w:r>
      <w:r>
        <w:rPr>
          <w:rFonts w:cs="Arial"/>
          <w:szCs w:val="20"/>
        </w:rPr>
        <w:t>-</w:t>
      </w:r>
      <w:r w:rsidRPr="007A483F">
        <w:rPr>
          <w:rFonts w:cs="Arial"/>
          <w:szCs w:val="20"/>
        </w:rPr>
        <w:t>progress episodes’ section below.</w:t>
      </w:r>
    </w:p>
    <w:p w14:paraId="64D104E1" w14:textId="0AEB3E15" w:rsidR="00561E6C" w:rsidRPr="007A483F" w:rsidRDefault="00561E6C" w:rsidP="00561E6C">
      <w:pPr>
        <w:tabs>
          <w:tab w:val="left" w:pos="1162"/>
        </w:tabs>
        <w:spacing w:line="240" w:lineRule="auto"/>
        <w:rPr>
          <w:rFonts w:cs="Arial"/>
          <w:szCs w:val="20"/>
        </w:rPr>
      </w:pPr>
      <w:r w:rsidRPr="003F6759">
        <w:rPr>
          <w:rFonts w:cs="Arial"/>
          <w:szCs w:val="20"/>
        </w:rPr>
        <w:t xml:space="preserve">For the few hospitals that do not supply patient level admitted data, admitted NWAU is estimated based on </w:t>
      </w:r>
      <w:r>
        <w:rPr>
          <w:rFonts w:cs="Arial"/>
          <w:szCs w:val="20"/>
        </w:rPr>
        <w:t xml:space="preserve">the </w:t>
      </w:r>
      <w:r w:rsidRPr="003F6759">
        <w:rPr>
          <w:rFonts w:cs="Arial"/>
          <w:szCs w:val="20"/>
        </w:rPr>
        <w:t>sum of the reported in-scope admitted acute</w:t>
      </w:r>
      <w:r>
        <w:rPr>
          <w:rFonts w:cs="Arial"/>
          <w:szCs w:val="20"/>
        </w:rPr>
        <w:t>,</w:t>
      </w:r>
      <w:r w:rsidRPr="003F6759">
        <w:rPr>
          <w:rFonts w:cs="Arial"/>
          <w:szCs w:val="20"/>
        </w:rPr>
        <w:t xml:space="preserve"> subacute</w:t>
      </w:r>
      <w:r>
        <w:rPr>
          <w:rFonts w:cs="Arial"/>
          <w:szCs w:val="20"/>
        </w:rPr>
        <w:t>, other admitted and mental health care</w:t>
      </w:r>
      <w:r w:rsidRPr="003F6759">
        <w:rPr>
          <w:rFonts w:cs="Arial"/>
          <w:szCs w:val="20"/>
        </w:rPr>
        <w:t xml:space="preserve"> expenditure from the NPHED. The number of admitted NWAU is calculated by multiplying the total reported </w:t>
      </w:r>
      <w:r w:rsidR="00BB3247">
        <w:rPr>
          <w:rFonts w:cs="Arial"/>
          <w:szCs w:val="20"/>
        </w:rPr>
        <w:t xml:space="preserve">in-scope </w:t>
      </w:r>
      <w:r w:rsidRPr="003F6759">
        <w:rPr>
          <w:rFonts w:cs="Arial"/>
          <w:szCs w:val="20"/>
        </w:rPr>
        <w:t xml:space="preserve">admitted expenditure by </w:t>
      </w:r>
      <w:r w:rsidR="0087033D">
        <w:rPr>
          <w:rFonts w:cs="Arial"/>
          <w:szCs w:val="20"/>
        </w:rPr>
        <w:t>0.</w:t>
      </w:r>
      <w:r w:rsidR="00770C74">
        <w:rPr>
          <w:rFonts w:cs="Arial"/>
          <w:szCs w:val="20"/>
        </w:rPr>
        <w:t>00014</w:t>
      </w:r>
      <w:r w:rsidR="00770C74" w:rsidRPr="4826A2BD">
        <w:rPr>
          <w:rFonts w:cs="Arial"/>
        </w:rPr>
        <w:t>8</w:t>
      </w:r>
      <w:r w:rsidRPr="003F6759">
        <w:rPr>
          <w:rFonts w:cs="Arial"/>
          <w:szCs w:val="20"/>
        </w:rPr>
        <w:t>.</w:t>
      </w:r>
    </w:p>
    <w:p w14:paraId="41B50E0C" w14:textId="3AAB79A0" w:rsidR="00561E6C" w:rsidRPr="007A483F" w:rsidRDefault="00561E6C" w:rsidP="00561E6C">
      <w:pPr>
        <w:tabs>
          <w:tab w:val="left" w:pos="1162"/>
        </w:tabs>
        <w:spacing w:after="200" w:line="240" w:lineRule="auto"/>
        <w:rPr>
          <w:rFonts w:cs="Arial"/>
          <w:szCs w:val="20"/>
        </w:rPr>
      </w:pPr>
      <w:r w:rsidRPr="007A483F">
        <w:rPr>
          <w:rFonts w:cs="Arial"/>
          <w:szCs w:val="20"/>
        </w:rPr>
        <w:t xml:space="preserve">The admitted multiplier is the parameter estimate from a linear regression of NWAU (using the </w:t>
      </w:r>
      <w:r w:rsidR="003D217D" w:rsidRPr="007A483F">
        <w:rPr>
          <w:rFonts w:cs="Arial"/>
          <w:szCs w:val="20"/>
        </w:rPr>
        <w:t>NEP</w:t>
      </w:r>
      <w:r w:rsidR="003D217D">
        <w:rPr>
          <w:rFonts w:cs="Arial"/>
          <w:szCs w:val="20"/>
        </w:rPr>
        <w:t>21</w:t>
      </w:r>
      <w:r w:rsidR="003D217D" w:rsidRPr="007A483F">
        <w:rPr>
          <w:rFonts w:cs="Arial"/>
          <w:szCs w:val="20"/>
        </w:rPr>
        <w:t xml:space="preserve"> </w:t>
      </w:r>
      <w:r w:rsidRPr="007A483F">
        <w:rPr>
          <w:rFonts w:cs="Arial"/>
          <w:szCs w:val="20"/>
        </w:rPr>
        <w:t xml:space="preserve">NWAU calculator) versus total </w:t>
      </w:r>
      <w:r w:rsidR="00BB3247">
        <w:rPr>
          <w:rFonts w:cs="Arial"/>
          <w:szCs w:val="20"/>
        </w:rPr>
        <w:t xml:space="preserve">reported in-scope </w:t>
      </w:r>
      <w:r w:rsidRPr="007A483F">
        <w:rPr>
          <w:rFonts w:cs="Arial"/>
          <w:szCs w:val="20"/>
        </w:rPr>
        <w:t xml:space="preserve">admitted expenditure for small hospitals (total public patient equivalent NWAU less than 5,000) that have admitted activity data. Due to </w:t>
      </w:r>
      <w:r>
        <w:rPr>
          <w:rFonts w:cs="Arial"/>
          <w:szCs w:val="20"/>
        </w:rPr>
        <w:t>known issues in separating admitted and emergency expenditure in Victorian block-funded hospital data,</w:t>
      </w:r>
      <w:r w:rsidRPr="007A483F">
        <w:rPr>
          <w:rFonts w:cs="Arial"/>
          <w:szCs w:val="20"/>
        </w:rPr>
        <w:t xml:space="preserve"> establishments from Victoria were ex</w:t>
      </w:r>
      <w:r>
        <w:rPr>
          <w:rFonts w:cs="Arial"/>
          <w:szCs w:val="20"/>
        </w:rPr>
        <w:t>cluded as reference data for this</w:t>
      </w:r>
      <w:r w:rsidRPr="007A483F">
        <w:rPr>
          <w:rFonts w:cs="Arial"/>
          <w:szCs w:val="20"/>
        </w:rPr>
        <w:t xml:space="preserve"> modelling process. </w:t>
      </w:r>
    </w:p>
    <w:p w14:paraId="59E8B8D3" w14:textId="77777777" w:rsidR="00561E6C" w:rsidRPr="00EC1F9C" w:rsidRDefault="00561E6C" w:rsidP="009C6266">
      <w:pPr>
        <w:pStyle w:val="Headingnonumber"/>
      </w:pPr>
      <w:r w:rsidRPr="00EC1F9C">
        <w:lastRenderedPageBreak/>
        <w:t>Work</w:t>
      </w:r>
      <w:r>
        <w:t>-</w:t>
      </w:r>
      <w:r w:rsidRPr="00EC1F9C">
        <w:t>in</w:t>
      </w:r>
      <w:r>
        <w:t>-</w:t>
      </w:r>
      <w:r w:rsidRPr="00EC1F9C">
        <w:t>progress episodes</w:t>
      </w:r>
    </w:p>
    <w:p w14:paraId="50076805" w14:textId="77777777" w:rsidR="00241009" w:rsidRDefault="00561E6C" w:rsidP="00561E6C">
      <w:pPr>
        <w:spacing w:line="240" w:lineRule="auto"/>
      </w:pPr>
      <w:r w:rsidRPr="007A483F">
        <w:t xml:space="preserve">The </w:t>
      </w:r>
      <w:r>
        <w:t>block-funded</w:t>
      </w:r>
      <w:r w:rsidRPr="007A483F">
        <w:t xml:space="preserve"> cost model is used to calculate the expected in-scope cost of a </w:t>
      </w:r>
      <w:r>
        <w:t>block-funded</w:t>
      </w:r>
      <w:r w:rsidRPr="007A483F">
        <w:t xml:space="preserve"> hospital for a single financial year. The patient-level admitted activity data contains episodes separated in the financial year, in some cases having been admitted up to 15 years prior. </w:t>
      </w:r>
    </w:p>
    <w:p w14:paraId="472E5AD6" w14:textId="77777777" w:rsidR="00561E6C" w:rsidRPr="007A483F" w:rsidRDefault="00561E6C" w:rsidP="00561E6C">
      <w:pPr>
        <w:spacing w:line="240" w:lineRule="auto"/>
      </w:pPr>
      <w:r w:rsidRPr="007A483F">
        <w:t xml:space="preserve">Using the NWAU calculator as it stands would assign 15 years of activity to this single patient, resulting in incomparable cost and activity calculations. On the other hand, there may be episodes admitted during the financial year that have not yet been discharged, </w:t>
      </w:r>
      <w:r>
        <w:t>and thus do</w:t>
      </w:r>
      <w:r w:rsidRPr="007A483F">
        <w:t xml:space="preserve"> not appear in the activity data. Episodes admitted before the beginning of the financial year or separated after the financial year are referred to as </w:t>
      </w:r>
      <w:r>
        <w:t>‘</w:t>
      </w:r>
      <w:r w:rsidRPr="007A483F">
        <w:t>work</w:t>
      </w:r>
      <w:r>
        <w:t>-</w:t>
      </w:r>
      <w:r w:rsidRPr="007A483F">
        <w:t>in</w:t>
      </w:r>
      <w:r>
        <w:t>-</w:t>
      </w:r>
      <w:r w:rsidRPr="007A483F">
        <w:t>progress</w:t>
      </w:r>
      <w:r>
        <w:rPr>
          <w:i/>
        </w:rPr>
        <w:t>’</w:t>
      </w:r>
      <w:r w:rsidRPr="007A483F">
        <w:rPr>
          <w:i/>
        </w:rPr>
        <w:t xml:space="preserve"> </w:t>
      </w:r>
      <w:r w:rsidRPr="007A483F">
        <w:t>(WIP) patients.</w:t>
      </w:r>
    </w:p>
    <w:p w14:paraId="585FA778" w14:textId="0F91DB74" w:rsidR="00561E6C" w:rsidRPr="001D2EF6" w:rsidRDefault="00561E6C" w:rsidP="00561E6C">
      <w:pPr>
        <w:spacing w:line="240" w:lineRule="auto"/>
      </w:pPr>
      <w:r w:rsidRPr="007A483F">
        <w:t xml:space="preserve">To address this issue, WIP patients </w:t>
      </w:r>
      <w:r w:rsidR="0087033D">
        <w:t>who</w:t>
      </w:r>
      <w:r w:rsidR="0087033D" w:rsidRPr="007A483F">
        <w:t xml:space="preserve"> </w:t>
      </w:r>
      <w:r w:rsidRPr="007A483F">
        <w:t xml:space="preserve">have been separated during the financial year have their total weighted activity reduced so that only NWAU associated to the current financial year are included. To account for WIP patients not yet discharged, each establishment’s total NWAU is scaled up based on state-level ratios calculated. The ratios used for </w:t>
      </w:r>
      <w:r w:rsidR="00A86FD9" w:rsidRPr="007A483F">
        <w:t>NEC</w:t>
      </w:r>
      <w:r w:rsidR="00A86FD9">
        <w:t>22</w:t>
      </w:r>
      <w:r w:rsidR="00A86FD9" w:rsidRPr="007A483F">
        <w:t xml:space="preserve"> </w:t>
      </w:r>
      <w:r w:rsidRPr="007A483F">
        <w:t xml:space="preserve">are shown in </w:t>
      </w:r>
      <w:r w:rsidRPr="001D2EF6">
        <w:t xml:space="preserve">Table </w:t>
      </w:r>
      <w:r w:rsidR="00176BB4" w:rsidRPr="001D2EF6">
        <w:t>2</w:t>
      </w:r>
      <w:r w:rsidR="00302145">
        <w:t>0</w:t>
      </w:r>
      <w:r w:rsidRPr="001D2EF6">
        <w:t>.</w:t>
      </w:r>
    </w:p>
    <w:p w14:paraId="68A89DBA" w14:textId="77777777" w:rsidR="00561E6C" w:rsidRPr="007A483F" w:rsidRDefault="00561E6C" w:rsidP="00836FC5">
      <w:pPr>
        <w:pStyle w:val="TableHeading"/>
      </w:pPr>
      <w:r w:rsidRPr="001D2EF6">
        <w:t xml:space="preserve">Table </w:t>
      </w:r>
      <w:r w:rsidR="00176BB4" w:rsidRPr="001D2EF6">
        <w:t>2</w:t>
      </w:r>
      <w:r w:rsidR="00302145">
        <w:t>0</w:t>
      </w:r>
      <w:r w:rsidRPr="001D2EF6">
        <w:t>:</w:t>
      </w:r>
      <w:r w:rsidRPr="007A483F">
        <w:t xml:space="preserve"> State-level admitted WIP ratios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9: State-level admitted WIP ratios."/>
      </w:tblPr>
      <w:tblGrid>
        <w:gridCol w:w="706"/>
        <w:gridCol w:w="1717"/>
      </w:tblGrid>
      <w:tr w:rsidR="00561E6C" w:rsidRPr="007A483F" w14:paraId="1ED9F50D" w14:textId="77777777" w:rsidTr="008F523F">
        <w:trPr>
          <w:trHeight w:val="454"/>
          <w:tblHeader/>
        </w:trPr>
        <w:tc>
          <w:tcPr>
            <w:tcW w:w="0" w:type="auto"/>
            <w:shd w:val="clear" w:color="auto" w:fill="288A32"/>
          </w:tcPr>
          <w:p w14:paraId="27B7E16E" w14:textId="77777777" w:rsidR="00561E6C" w:rsidRPr="001D2EF6" w:rsidRDefault="00561E6C" w:rsidP="00961168">
            <w:pPr>
              <w:spacing w:line="240" w:lineRule="auto"/>
              <w:jc w:val="center"/>
              <w:rPr>
                <w:b/>
                <w:color w:val="FFFFFF" w:themeColor="background2"/>
                <w:sz w:val="20"/>
                <w:szCs w:val="20"/>
              </w:rPr>
            </w:pPr>
            <w:r w:rsidRPr="001D2EF6">
              <w:rPr>
                <w:b/>
                <w:color w:val="FFFFFF" w:themeColor="background2"/>
                <w:sz w:val="20"/>
                <w:szCs w:val="20"/>
              </w:rPr>
              <w:t>State</w:t>
            </w:r>
          </w:p>
        </w:tc>
        <w:tc>
          <w:tcPr>
            <w:tcW w:w="0" w:type="auto"/>
            <w:shd w:val="clear" w:color="auto" w:fill="288A32"/>
          </w:tcPr>
          <w:p w14:paraId="54501246" w14:textId="77777777" w:rsidR="00561E6C" w:rsidRPr="001D2EF6" w:rsidRDefault="00561E6C" w:rsidP="00961168">
            <w:pPr>
              <w:spacing w:line="240" w:lineRule="auto"/>
              <w:jc w:val="center"/>
              <w:rPr>
                <w:b/>
                <w:color w:val="FFFFFF" w:themeColor="background2"/>
                <w:sz w:val="20"/>
                <w:szCs w:val="20"/>
              </w:rPr>
            </w:pPr>
            <w:r w:rsidRPr="001D2EF6">
              <w:rPr>
                <w:b/>
                <w:color w:val="FFFFFF" w:themeColor="background2"/>
                <w:sz w:val="20"/>
                <w:szCs w:val="20"/>
              </w:rPr>
              <w:t>WIP adjustment</w:t>
            </w:r>
          </w:p>
        </w:tc>
      </w:tr>
      <w:tr w:rsidR="00561E6C" w:rsidRPr="007A483F" w14:paraId="76FE3F7A" w14:textId="77777777" w:rsidTr="008F523F">
        <w:trPr>
          <w:trHeight w:val="397"/>
        </w:trPr>
        <w:tc>
          <w:tcPr>
            <w:tcW w:w="0" w:type="auto"/>
            <w:vAlign w:val="center"/>
          </w:tcPr>
          <w:p w14:paraId="2A9AC399" w14:textId="77777777" w:rsidR="00561E6C" w:rsidRPr="001D2EF6" w:rsidRDefault="00561E6C" w:rsidP="00961168">
            <w:pPr>
              <w:spacing w:line="240" w:lineRule="auto"/>
              <w:rPr>
                <w:sz w:val="20"/>
                <w:szCs w:val="20"/>
              </w:rPr>
            </w:pPr>
            <w:r w:rsidRPr="001D2EF6">
              <w:rPr>
                <w:sz w:val="20"/>
                <w:szCs w:val="20"/>
              </w:rPr>
              <w:t>NSW</w:t>
            </w:r>
          </w:p>
        </w:tc>
        <w:tc>
          <w:tcPr>
            <w:tcW w:w="0" w:type="auto"/>
            <w:vAlign w:val="center"/>
          </w:tcPr>
          <w:p w14:paraId="0E4E9030" w14:textId="7446EAF5" w:rsidR="00561E6C" w:rsidRPr="001D2EF6" w:rsidRDefault="00770C74" w:rsidP="00961168">
            <w:pPr>
              <w:spacing w:line="240" w:lineRule="auto"/>
              <w:jc w:val="center"/>
              <w:rPr>
                <w:sz w:val="20"/>
                <w:szCs w:val="20"/>
              </w:rPr>
            </w:pPr>
            <w:r>
              <w:rPr>
                <w:sz w:val="20"/>
                <w:szCs w:val="20"/>
              </w:rPr>
              <w:t>2.2</w:t>
            </w:r>
            <w:r w:rsidR="00561E6C" w:rsidRPr="001D2EF6">
              <w:rPr>
                <w:sz w:val="20"/>
                <w:szCs w:val="20"/>
              </w:rPr>
              <w:t>%</w:t>
            </w:r>
          </w:p>
        </w:tc>
      </w:tr>
      <w:tr w:rsidR="00561E6C" w:rsidRPr="007A483F" w14:paraId="286420A2" w14:textId="77777777" w:rsidTr="008F523F">
        <w:trPr>
          <w:trHeight w:val="397"/>
        </w:trPr>
        <w:tc>
          <w:tcPr>
            <w:tcW w:w="0" w:type="auto"/>
            <w:vAlign w:val="center"/>
          </w:tcPr>
          <w:p w14:paraId="12D61473" w14:textId="77777777" w:rsidR="00561E6C" w:rsidRPr="001D2EF6" w:rsidRDefault="00561E6C" w:rsidP="00961168">
            <w:pPr>
              <w:spacing w:line="240" w:lineRule="auto"/>
              <w:jc w:val="center"/>
              <w:rPr>
                <w:sz w:val="20"/>
                <w:szCs w:val="20"/>
              </w:rPr>
            </w:pPr>
            <w:r w:rsidRPr="001D2EF6">
              <w:rPr>
                <w:sz w:val="20"/>
                <w:szCs w:val="20"/>
              </w:rPr>
              <w:t>Vic</w:t>
            </w:r>
          </w:p>
        </w:tc>
        <w:tc>
          <w:tcPr>
            <w:tcW w:w="0" w:type="auto"/>
            <w:vAlign w:val="center"/>
          </w:tcPr>
          <w:p w14:paraId="39DB2D42" w14:textId="77777777" w:rsidR="00561E6C" w:rsidRPr="001D2EF6" w:rsidRDefault="00561E6C" w:rsidP="00961168">
            <w:pPr>
              <w:spacing w:line="240" w:lineRule="auto"/>
              <w:jc w:val="center"/>
              <w:rPr>
                <w:sz w:val="20"/>
                <w:szCs w:val="20"/>
              </w:rPr>
            </w:pPr>
            <w:r w:rsidRPr="001D2EF6">
              <w:rPr>
                <w:sz w:val="20"/>
                <w:szCs w:val="20"/>
              </w:rPr>
              <w:t>2.7%</w:t>
            </w:r>
          </w:p>
        </w:tc>
      </w:tr>
      <w:tr w:rsidR="00561E6C" w:rsidRPr="007A483F" w14:paraId="1C45003F" w14:textId="77777777" w:rsidTr="008F523F">
        <w:trPr>
          <w:trHeight w:val="397"/>
        </w:trPr>
        <w:tc>
          <w:tcPr>
            <w:tcW w:w="0" w:type="auto"/>
            <w:vAlign w:val="center"/>
          </w:tcPr>
          <w:p w14:paraId="2444B0A8" w14:textId="77777777" w:rsidR="00561E6C" w:rsidRPr="001D2EF6" w:rsidRDefault="00561E6C" w:rsidP="00961168">
            <w:pPr>
              <w:spacing w:line="240" w:lineRule="auto"/>
              <w:jc w:val="center"/>
              <w:rPr>
                <w:sz w:val="20"/>
                <w:szCs w:val="20"/>
              </w:rPr>
            </w:pPr>
            <w:r w:rsidRPr="001D2EF6">
              <w:rPr>
                <w:sz w:val="20"/>
                <w:szCs w:val="20"/>
              </w:rPr>
              <w:t>Qld</w:t>
            </w:r>
          </w:p>
        </w:tc>
        <w:tc>
          <w:tcPr>
            <w:tcW w:w="0" w:type="auto"/>
            <w:vAlign w:val="center"/>
          </w:tcPr>
          <w:p w14:paraId="7A39F3A5" w14:textId="3CAD4DA4" w:rsidR="00561E6C" w:rsidRPr="001D2EF6" w:rsidRDefault="00561E6C" w:rsidP="00FE35D5">
            <w:pPr>
              <w:spacing w:line="240" w:lineRule="auto"/>
              <w:jc w:val="center"/>
              <w:rPr>
                <w:sz w:val="20"/>
                <w:szCs w:val="20"/>
              </w:rPr>
            </w:pPr>
            <w:r w:rsidRPr="001D2EF6">
              <w:rPr>
                <w:sz w:val="20"/>
                <w:szCs w:val="20"/>
              </w:rPr>
              <w:t>1.</w:t>
            </w:r>
            <w:r w:rsidR="00770C74">
              <w:rPr>
                <w:sz w:val="20"/>
                <w:szCs w:val="20"/>
              </w:rPr>
              <w:t>6</w:t>
            </w:r>
            <w:r w:rsidRPr="001D2EF6">
              <w:rPr>
                <w:sz w:val="20"/>
                <w:szCs w:val="20"/>
              </w:rPr>
              <w:t>%</w:t>
            </w:r>
          </w:p>
        </w:tc>
      </w:tr>
      <w:tr w:rsidR="00561E6C" w:rsidRPr="007A483F" w14:paraId="409CD0C8" w14:textId="77777777" w:rsidTr="008F523F">
        <w:trPr>
          <w:trHeight w:val="397"/>
        </w:trPr>
        <w:tc>
          <w:tcPr>
            <w:tcW w:w="0" w:type="auto"/>
            <w:vAlign w:val="center"/>
          </w:tcPr>
          <w:p w14:paraId="1E273BBE" w14:textId="77777777" w:rsidR="00561E6C" w:rsidRPr="001D2EF6" w:rsidRDefault="00561E6C" w:rsidP="00961168">
            <w:pPr>
              <w:spacing w:line="240" w:lineRule="auto"/>
              <w:jc w:val="center"/>
              <w:rPr>
                <w:sz w:val="20"/>
                <w:szCs w:val="20"/>
              </w:rPr>
            </w:pPr>
            <w:r w:rsidRPr="001D2EF6">
              <w:rPr>
                <w:sz w:val="20"/>
                <w:szCs w:val="20"/>
              </w:rPr>
              <w:t>SA</w:t>
            </w:r>
          </w:p>
        </w:tc>
        <w:tc>
          <w:tcPr>
            <w:tcW w:w="0" w:type="auto"/>
            <w:vAlign w:val="center"/>
          </w:tcPr>
          <w:p w14:paraId="622BAD1B" w14:textId="54526401" w:rsidR="00561E6C" w:rsidRPr="001D2EF6" w:rsidRDefault="00561E6C" w:rsidP="00FE35D5">
            <w:pPr>
              <w:spacing w:line="240" w:lineRule="auto"/>
              <w:jc w:val="center"/>
              <w:rPr>
                <w:sz w:val="20"/>
                <w:szCs w:val="20"/>
              </w:rPr>
            </w:pPr>
            <w:r w:rsidRPr="001D2EF6">
              <w:rPr>
                <w:sz w:val="20"/>
                <w:szCs w:val="20"/>
              </w:rPr>
              <w:t>2.</w:t>
            </w:r>
            <w:r w:rsidR="00770C74">
              <w:rPr>
                <w:sz w:val="20"/>
                <w:szCs w:val="20"/>
              </w:rPr>
              <w:t>2</w:t>
            </w:r>
            <w:r w:rsidRPr="001D2EF6">
              <w:rPr>
                <w:sz w:val="20"/>
                <w:szCs w:val="20"/>
              </w:rPr>
              <w:t>%</w:t>
            </w:r>
          </w:p>
        </w:tc>
      </w:tr>
      <w:tr w:rsidR="00561E6C" w:rsidRPr="007A483F" w14:paraId="172475EA" w14:textId="77777777" w:rsidTr="008F523F">
        <w:trPr>
          <w:trHeight w:val="397"/>
        </w:trPr>
        <w:tc>
          <w:tcPr>
            <w:tcW w:w="0" w:type="auto"/>
            <w:vAlign w:val="center"/>
          </w:tcPr>
          <w:p w14:paraId="5B0258AE" w14:textId="77777777" w:rsidR="00561E6C" w:rsidRPr="001D2EF6" w:rsidRDefault="00561E6C" w:rsidP="00961168">
            <w:pPr>
              <w:spacing w:line="240" w:lineRule="auto"/>
              <w:jc w:val="center"/>
              <w:rPr>
                <w:sz w:val="20"/>
                <w:szCs w:val="20"/>
              </w:rPr>
            </w:pPr>
            <w:r w:rsidRPr="001D2EF6">
              <w:rPr>
                <w:sz w:val="20"/>
                <w:szCs w:val="20"/>
              </w:rPr>
              <w:t>WA</w:t>
            </w:r>
          </w:p>
        </w:tc>
        <w:tc>
          <w:tcPr>
            <w:tcW w:w="0" w:type="auto"/>
            <w:vAlign w:val="center"/>
          </w:tcPr>
          <w:p w14:paraId="0410E4C1" w14:textId="2775D6A8" w:rsidR="00561E6C" w:rsidRPr="001D2EF6" w:rsidRDefault="00561E6C" w:rsidP="00FE35D5">
            <w:pPr>
              <w:spacing w:line="240" w:lineRule="auto"/>
              <w:jc w:val="center"/>
              <w:rPr>
                <w:sz w:val="20"/>
                <w:szCs w:val="20"/>
              </w:rPr>
            </w:pPr>
            <w:r w:rsidRPr="001D2EF6">
              <w:rPr>
                <w:sz w:val="20"/>
                <w:szCs w:val="20"/>
              </w:rPr>
              <w:t>1.</w:t>
            </w:r>
            <w:r w:rsidR="00770C74">
              <w:rPr>
                <w:sz w:val="20"/>
                <w:szCs w:val="20"/>
              </w:rPr>
              <w:t>2</w:t>
            </w:r>
            <w:r w:rsidRPr="001D2EF6">
              <w:rPr>
                <w:sz w:val="20"/>
                <w:szCs w:val="20"/>
              </w:rPr>
              <w:t>%</w:t>
            </w:r>
          </w:p>
        </w:tc>
      </w:tr>
      <w:tr w:rsidR="00561E6C" w:rsidRPr="007A483F" w14:paraId="03E42BD7" w14:textId="77777777" w:rsidTr="008F523F">
        <w:trPr>
          <w:trHeight w:val="397"/>
        </w:trPr>
        <w:tc>
          <w:tcPr>
            <w:tcW w:w="0" w:type="auto"/>
            <w:vAlign w:val="center"/>
          </w:tcPr>
          <w:p w14:paraId="6CCC5584" w14:textId="77777777" w:rsidR="00561E6C" w:rsidRPr="001D2EF6" w:rsidRDefault="00561E6C" w:rsidP="00961168">
            <w:pPr>
              <w:spacing w:line="240" w:lineRule="auto"/>
              <w:jc w:val="center"/>
              <w:rPr>
                <w:sz w:val="20"/>
                <w:szCs w:val="20"/>
              </w:rPr>
            </w:pPr>
            <w:r w:rsidRPr="001D2EF6">
              <w:rPr>
                <w:sz w:val="20"/>
                <w:szCs w:val="20"/>
              </w:rPr>
              <w:t>Tas</w:t>
            </w:r>
          </w:p>
        </w:tc>
        <w:tc>
          <w:tcPr>
            <w:tcW w:w="0" w:type="auto"/>
            <w:vAlign w:val="center"/>
          </w:tcPr>
          <w:p w14:paraId="75F99C0A" w14:textId="60209BA9" w:rsidR="00561E6C" w:rsidRPr="001D2EF6" w:rsidRDefault="00770C74" w:rsidP="00961168">
            <w:pPr>
              <w:spacing w:line="240" w:lineRule="auto"/>
              <w:jc w:val="center"/>
              <w:rPr>
                <w:sz w:val="20"/>
                <w:szCs w:val="20"/>
              </w:rPr>
            </w:pPr>
            <w:r>
              <w:rPr>
                <w:sz w:val="20"/>
                <w:szCs w:val="20"/>
              </w:rPr>
              <w:t>3.5</w:t>
            </w:r>
            <w:r w:rsidR="00561E6C" w:rsidRPr="001D2EF6">
              <w:rPr>
                <w:sz w:val="20"/>
                <w:szCs w:val="20"/>
              </w:rPr>
              <w:t>%</w:t>
            </w:r>
          </w:p>
        </w:tc>
      </w:tr>
    </w:tbl>
    <w:p w14:paraId="6372827D" w14:textId="77777777" w:rsidR="00561E6C" w:rsidRPr="00487A26" w:rsidRDefault="00561E6C" w:rsidP="009C6266">
      <w:pPr>
        <w:pStyle w:val="Headingnonumber"/>
      </w:pPr>
      <w:r w:rsidRPr="00487A26">
        <w:t xml:space="preserve">Emergency </w:t>
      </w:r>
      <w:r>
        <w:t>care</w:t>
      </w:r>
      <w:r w:rsidRPr="00487A26">
        <w:t xml:space="preserve"> NWAU</w:t>
      </w:r>
    </w:p>
    <w:p w14:paraId="3B04D5C5" w14:textId="7DB95F8D" w:rsidR="00561E6C" w:rsidRPr="00487A26" w:rsidRDefault="00561E6C" w:rsidP="00561E6C">
      <w:pPr>
        <w:tabs>
          <w:tab w:val="left" w:pos="1162"/>
        </w:tabs>
        <w:spacing w:line="240" w:lineRule="auto"/>
        <w:rPr>
          <w:rFonts w:cs="Arial"/>
        </w:rPr>
      </w:pPr>
      <w:r w:rsidRPr="67F8334F">
        <w:rPr>
          <w:rFonts w:cs="Arial"/>
        </w:rPr>
        <w:t xml:space="preserve">Approximately </w:t>
      </w:r>
      <w:r w:rsidR="0087033D" w:rsidRPr="67F8334F">
        <w:rPr>
          <w:rFonts w:cs="Arial"/>
        </w:rPr>
        <w:t xml:space="preserve">46 </w:t>
      </w:r>
      <w:r w:rsidRPr="67F8334F">
        <w:rPr>
          <w:rFonts w:cs="Arial"/>
        </w:rPr>
        <w:t xml:space="preserve">per cent of block-funded hospitals reported emergency activity at the patient level, and </w:t>
      </w:r>
      <w:r w:rsidR="00770C74" w:rsidRPr="67F8334F">
        <w:rPr>
          <w:rFonts w:cs="Arial"/>
        </w:rPr>
        <w:t xml:space="preserve">32 </w:t>
      </w:r>
      <w:r w:rsidRPr="67F8334F">
        <w:rPr>
          <w:rFonts w:cs="Arial"/>
        </w:rPr>
        <w:t>per cent report</w:t>
      </w:r>
      <w:r w:rsidR="00BB3247" w:rsidRPr="67F8334F">
        <w:rPr>
          <w:rFonts w:cs="Arial"/>
        </w:rPr>
        <w:t>ed</w:t>
      </w:r>
      <w:r w:rsidRPr="67F8334F">
        <w:rPr>
          <w:rFonts w:cs="Arial"/>
        </w:rPr>
        <w:t xml:space="preserve"> aggregate presentation information at the UDG level. Also, </w:t>
      </w:r>
      <w:r w:rsidR="0087033D" w:rsidRPr="67F8334F">
        <w:rPr>
          <w:rFonts w:cs="Arial"/>
        </w:rPr>
        <w:t>16</w:t>
      </w:r>
      <w:r w:rsidR="00FA3FA2" w:rsidRPr="67F8334F">
        <w:rPr>
          <w:rFonts w:cs="Arial"/>
        </w:rPr>
        <w:t> </w:t>
      </w:r>
      <w:r w:rsidRPr="67F8334F">
        <w:rPr>
          <w:rFonts w:cs="Arial"/>
        </w:rPr>
        <w:t xml:space="preserve">per cent of block-funded establishments reported basic summary counts and activity estimates. Where available, these data are used to determine NWAU values utilising the </w:t>
      </w:r>
      <w:r w:rsidR="00770C74" w:rsidRPr="67F8334F">
        <w:rPr>
          <w:rFonts w:cs="Arial"/>
        </w:rPr>
        <w:t xml:space="preserve">NEP21 </w:t>
      </w:r>
      <w:r w:rsidRPr="67F8334F">
        <w:rPr>
          <w:rFonts w:cs="Arial"/>
        </w:rPr>
        <w:t>price weights.</w:t>
      </w:r>
    </w:p>
    <w:p w14:paraId="4389B0AC" w14:textId="4B939FB4" w:rsidR="00561E6C" w:rsidRPr="004A5C97" w:rsidRDefault="00561E6C" w:rsidP="00561E6C">
      <w:pPr>
        <w:tabs>
          <w:tab w:val="left" w:pos="1162"/>
        </w:tabs>
        <w:spacing w:line="240" w:lineRule="auto"/>
        <w:rPr>
          <w:rFonts w:cs="Arial"/>
        </w:rPr>
      </w:pPr>
      <w:r w:rsidRPr="2F849AAB">
        <w:rPr>
          <w:rFonts w:cs="Arial"/>
        </w:rPr>
        <w:t xml:space="preserve">For hospitals that do not supply emergency activity data, emergency NWAU is estimated based on the reported </w:t>
      </w:r>
      <w:r w:rsidR="00AA7D9F" w:rsidRPr="2F849AAB">
        <w:rPr>
          <w:rFonts w:cs="Arial"/>
        </w:rPr>
        <w:t xml:space="preserve">in-scope </w:t>
      </w:r>
      <w:r w:rsidRPr="2F849AAB">
        <w:rPr>
          <w:rFonts w:cs="Arial"/>
        </w:rPr>
        <w:t xml:space="preserve">emergency expenditure from the NPHED. The number of emergency NWAU is calculated by multiplying the total reported </w:t>
      </w:r>
      <w:r w:rsidR="00BB3247" w:rsidRPr="2F849AAB">
        <w:rPr>
          <w:rFonts w:cs="Arial"/>
        </w:rPr>
        <w:t xml:space="preserve">in-scope </w:t>
      </w:r>
      <w:r w:rsidRPr="2F849AAB">
        <w:rPr>
          <w:rFonts w:cs="Arial"/>
        </w:rPr>
        <w:t xml:space="preserve">emergency expenditure by </w:t>
      </w:r>
      <w:r w:rsidR="0087033D" w:rsidRPr="2F849AAB">
        <w:rPr>
          <w:rFonts w:cs="Arial"/>
        </w:rPr>
        <w:t>0.</w:t>
      </w:r>
      <w:r w:rsidR="00770C74" w:rsidRPr="2F849AAB">
        <w:rPr>
          <w:rFonts w:cs="Arial"/>
        </w:rPr>
        <w:t>000180</w:t>
      </w:r>
      <w:r w:rsidRPr="2F849AAB">
        <w:rPr>
          <w:rFonts w:cs="Arial"/>
        </w:rPr>
        <w:t>.</w:t>
      </w:r>
    </w:p>
    <w:p w14:paraId="144B829D" w14:textId="2EE610FB" w:rsidR="00561E6C" w:rsidRPr="004A5C97" w:rsidRDefault="00561E6C" w:rsidP="00561E6C">
      <w:pPr>
        <w:tabs>
          <w:tab w:val="left" w:pos="1162"/>
        </w:tabs>
        <w:spacing w:after="200" w:line="240" w:lineRule="auto"/>
        <w:rPr>
          <w:rFonts w:asciiTheme="minorHAnsi" w:eastAsiaTheme="minorHAnsi" w:hAnsiTheme="minorHAnsi" w:cstheme="minorBidi"/>
          <w:b/>
          <w:i/>
          <w:szCs w:val="22"/>
          <w:lang w:eastAsia="en-US"/>
        </w:rPr>
      </w:pPr>
      <w:r w:rsidRPr="004A5C97">
        <w:rPr>
          <w:rFonts w:cs="Arial"/>
          <w:szCs w:val="20"/>
        </w:rPr>
        <w:t xml:space="preserve">The emergency multiplier is the parameter estimate from a linear regression of NWAU (using the </w:t>
      </w:r>
      <w:r w:rsidR="00A86FD9" w:rsidRPr="004A5C97">
        <w:rPr>
          <w:rFonts w:cs="Arial"/>
          <w:szCs w:val="20"/>
        </w:rPr>
        <w:t>NEP</w:t>
      </w:r>
      <w:r w:rsidR="00A86FD9">
        <w:rPr>
          <w:rFonts w:cs="Arial"/>
          <w:szCs w:val="20"/>
        </w:rPr>
        <w:t>21</w:t>
      </w:r>
      <w:r w:rsidR="00A86FD9" w:rsidRPr="004A5C97">
        <w:rPr>
          <w:rFonts w:cs="Arial"/>
          <w:szCs w:val="20"/>
        </w:rPr>
        <w:t xml:space="preserve"> </w:t>
      </w:r>
      <w:r w:rsidRPr="004A5C97">
        <w:rPr>
          <w:rFonts w:cs="Arial"/>
          <w:szCs w:val="20"/>
        </w:rPr>
        <w:t xml:space="preserve">NWAU calculator) versus total </w:t>
      </w:r>
      <w:r w:rsidR="00BB3247">
        <w:rPr>
          <w:rFonts w:cs="Arial"/>
          <w:szCs w:val="20"/>
        </w:rPr>
        <w:t xml:space="preserve">reported in-scope </w:t>
      </w:r>
      <w:r w:rsidRPr="004A5C97">
        <w:rPr>
          <w:rFonts w:cs="Arial"/>
          <w:szCs w:val="20"/>
        </w:rPr>
        <w:t>emergency expenditure for small hospitals (total public patient equivalent NWAU less than 5,000) that have emergency activity data. Due to data quality issues, all establishments from Victoria were excluded as reference data for the modelling process.</w:t>
      </w:r>
    </w:p>
    <w:p w14:paraId="2FDE897E" w14:textId="77777777" w:rsidR="00561E6C" w:rsidRPr="00487A26" w:rsidRDefault="00561E6C" w:rsidP="009C6266">
      <w:pPr>
        <w:pStyle w:val="Headingnonumber"/>
      </w:pPr>
      <w:r w:rsidRPr="00487A26">
        <w:lastRenderedPageBreak/>
        <w:t>Non-admitted NWAU</w:t>
      </w:r>
    </w:p>
    <w:p w14:paraId="074D730E" w14:textId="0D0DFDBC" w:rsidR="00561E6C" w:rsidRPr="00487A26" w:rsidRDefault="00561E6C" w:rsidP="00561E6C">
      <w:pPr>
        <w:tabs>
          <w:tab w:val="left" w:pos="1162"/>
        </w:tabs>
        <w:spacing w:line="240" w:lineRule="auto"/>
        <w:rPr>
          <w:rFonts w:cs="Arial"/>
          <w:szCs w:val="20"/>
        </w:rPr>
      </w:pPr>
      <w:r w:rsidRPr="00487A26">
        <w:rPr>
          <w:rFonts w:cs="Arial"/>
          <w:szCs w:val="20"/>
        </w:rPr>
        <w:t xml:space="preserve">Approximately </w:t>
      </w:r>
      <w:r w:rsidR="00770C74">
        <w:rPr>
          <w:rFonts w:cs="Arial"/>
          <w:szCs w:val="20"/>
        </w:rPr>
        <w:t>46</w:t>
      </w:r>
      <w:r w:rsidR="00770C74" w:rsidRPr="00487A26">
        <w:rPr>
          <w:rFonts w:cs="Arial"/>
          <w:szCs w:val="20"/>
        </w:rPr>
        <w:t xml:space="preserve"> </w:t>
      </w:r>
      <w:r>
        <w:rPr>
          <w:rFonts w:cs="Arial"/>
          <w:szCs w:val="20"/>
        </w:rPr>
        <w:t>per cent</w:t>
      </w:r>
      <w:r w:rsidRPr="00487A26">
        <w:rPr>
          <w:rFonts w:cs="Arial"/>
          <w:szCs w:val="20"/>
        </w:rPr>
        <w:t xml:space="preserve"> of </w:t>
      </w:r>
      <w:r>
        <w:rPr>
          <w:rFonts w:cs="Arial"/>
          <w:szCs w:val="20"/>
        </w:rPr>
        <w:t>block-funded</w:t>
      </w:r>
      <w:r w:rsidRPr="00487A26">
        <w:rPr>
          <w:rFonts w:cs="Arial"/>
          <w:szCs w:val="20"/>
        </w:rPr>
        <w:t xml:space="preserve"> hospitals reported non-admitted activity at the patient level, and </w:t>
      </w:r>
      <w:r w:rsidR="000954D1">
        <w:rPr>
          <w:rFonts w:cs="Arial"/>
          <w:szCs w:val="20"/>
        </w:rPr>
        <w:t>59</w:t>
      </w:r>
      <w:r w:rsidR="000954D1" w:rsidRPr="00487A26">
        <w:rPr>
          <w:rFonts w:cs="Arial"/>
          <w:szCs w:val="20"/>
        </w:rPr>
        <w:t xml:space="preserve"> </w:t>
      </w:r>
      <w:r>
        <w:rPr>
          <w:rFonts w:cs="Arial"/>
          <w:szCs w:val="20"/>
        </w:rPr>
        <w:t>per cent</w:t>
      </w:r>
      <w:r w:rsidRPr="00487A26">
        <w:rPr>
          <w:rFonts w:cs="Arial"/>
          <w:szCs w:val="20"/>
        </w:rPr>
        <w:t xml:space="preserve"> reported aggregate service event information at the </w:t>
      </w:r>
      <w:r w:rsidR="006C6367">
        <w:rPr>
          <w:rFonts w:cs="Arial"/>
          <w:szCs w:val="20"/>
        </w:rPr>
        <w:t xml:space="preserve">class </w:t>
      </w:r>
      <w:r w:rsidRPr="00487A26">
        <w:rPr>
          <w:rFonts w:cs="Arial"/>
          <w:szCs w:val="20"/>
        </w:rPr>
        <w:t xml:space="preserve">level. Where available, these data are used to determine NWAU values utilising the </w:t>
      </w:r>
      <w:r w:rsidR="00A86FD9" w:rsidRPr="00487A26">
        <w:rPr>
          <w:rFonts w:cs="Arial"/>
          <w:szCs w:val="20"/>
        </w:rPr>
        <w:t>NEP</w:t>
      </w:r>
      <w:r w:rsidR="00A86FD9">
        <w:rPr>
          <w:rFonts w:cs="Arial"/>
          <w:szCs w:val="20"/>
        </w:rPr>
        <w:t>21</w:t>
      </w:r>
      <w:r w:rsidR="00A86FD9" w:rsidRPr="00487A26">
        <w:rPr>
          <w:rFonts w:cs="Arial"/>
          <w:szCs w:val="20"/>
        </w:rPr>
        <w:t xml:space="preserve"> </w:t>
      </w:r>
      <w:r>
        <w:rPr>
          <w:rFonts w:cs="Arial"/>
          <w:szCs w:val="20"/>
        </w:rPr>
        <w:t>price weight</w:t>
      </w:r>
      <w:r w:rsidRPr="00487A26">
        <w:rPr>
          <w:rFonts w:cs="Arial"/>
          <w:szCs w:val="20"/>
        </w:rPr>
        <w:t>s.</w:t>
      </w:r>
    </w:p>
    <w:p w14:paraId="4143901D" w14:textId="58241058" w:rsidR="00241009" w:rsidRDefault="00561E6C" w:rsidP="00F41C22">
      <w:pPr>
        <w:tabs>
          <w:tab w:val="left" w:pos="1162"/>
        </w:tabs>
        <w:spacing w:line="240" w:lineRule="auto"/>
        <w:rPr>
          <w:rFonts w:cs="Arial"/>
        </w:rPr>
      </w:pPr>
      <w:r w:rsidRPr="70597347">
        <w:rPr>
          <w:rFonts w:cs="Arial"/>
        </w:rPr>
        <w:t xml:space="preserve">For the hospitals that do not supply non-admitted activity, non-admitted NWAU is estimated based on reported in-scope non-admitted expenditure from the NPHED. The number of non-admitted NWAU is calculated by multiplying the total reported in-scope non-admitted expenditure by </w:t>
      </w:r>
      <w:r w:rsidR="0087033D" w:rsidRPr="70597347">
        <w:rPr>
          <w:rFonts w:cs="Arial"/>
        </w:rPr>
        <w:t>0.</w:t>
      </w:r>
      <w:r w:rsidR="000954D1" w:rsidRPr="2F0B1E56">
        <w:rPr>
          <w:rFonts w:cs="Arial"/>
        </w:rPr>
        <w:t>0000</w:t>
      </w:r>
      <w:r w:rsidR="00AE2E0B">
        <w:rPr>
          <w:rFonts w:cs="Arial"/>
        </w:rPr>
        <w:t>53</w:t>
      </w:r>
      <w:r w:rsidRPr="70597347">
        <w:rPr>
          <w:rFonts w:cs="Arial"/>
        </w:rPr>
        <w:t>.</w:t>
      </w:r>
    </w:p>
    <w:p w14:paraId="57FC92EF" w14:textId="1B7034AD" w:rsidR="00561E6C" w:rsidRPr="00BC389A" w:rsidRDefault="00561E6C" w:rsidP="00561E6C">
      <w:pPr>
        <w:tabs>
          <w:tab w:val="left" w:pos="1162"/>
        </w:tabs>
        <w:spacing w:after="200" w:line="240" w:lineRule="auto"/>
      </w:pPr>
      <w:r w:rsidRPr="004A5C97">
        <w:rPr>
          <w:rFonts w:cs="Arial"/>
          <w:szCs w:val="20"/>
        </w:rPr>
        <w:t xml:space="preserve">The non-admitted multiplier is the parameter estimate from a linear regression of NWAU (using the </w:t>
      </w:r>
      <w:r w:rsidR="008E0705" w:rsidRPr="004A5C97">
        <w:rPr>
          <w:rFonts w:cs="Arial"/>
          <w:szCs w:val="20"/>
        </w:rPr>
        <w:t>NEP</w:t>
      </w:r>
      <w:r w:rsidR="008E0705">
        <w:rPr>
          <w:rFonts w:cs="Arial"/>
          <w:szCs w:val="20"/>
        </w:rPr>
        <w:t>21</w:t>
      </w:r>
      <w:r w:rsidR="008E0705" w:rsidRPr="004A5C97">
        <w:rPr>
          <w:rFonts w:cs="Arial"/>
          <w:szCs w:val="20"/>
        </w:rPr>
        <w:t xml:space="preserve"> </w:t>
      </w:r>
      <w:r w:rsidRPr="004A5C97">
        <w:rPr>
          <w:rFonts w:cs="Arial"/>
          <w:szCs w:val="20"/>
        </w:rPr>
        <w:t>NWAU calculator) versus total in-scope non-admitted expenditure for small hospitals (total public patient equivalent NWAU less than 5,000) that have non-admitted activity data. Due to data quality issues, two establishments from Victoria were excluded as reference data for the modelling process.</w:t>
      </w:r>
    </w:p>
    <w:p w14:paraId="0F9DB1F8" w14:textId="77777777" w:rsidR="00561E6C" w:rsidRPr="000351BD" w:rsidRDefault="008F523F" w:rsidP="00755433">
      <w:pPr>
        <w:pStyle w:val="Heading3"/>
      </w:pPr>
      <w:r>
        <w:t>Out-of</w:t>
      </w:r>
      <w:r w:rsidR="00561E6C">
        <w:t>-scope expenditure</w:t>
      </w:r>
    </w:p>
    <w:p w14:paraId="2FC13416" w14:textId="34DFEA09" w:rsidR="005D2D1F" w:rsidRDefault="00BB3247" w:rsidP="00345BD9">
      <w:pPr>
        <w:tabs>
          <w:tab w:val="left" w:pos="1162"/>
        </w:tabs>
        <w:spacing w:after="200" w:line="240" w:lineRule="auto"/>
      </w:pPr>
      <w:r>
        <w:t xml:space="preserve">In </w:t>
      </w:r>
      <w:r w:rsidR="00A86FD9">
        <w:t>2019</w:t>
      </w:r>
      <w:r w:rsidR="00412FC7">
        <w:t>–</w:t>
      </w:r>
      <w:r w:rsidR="00A86FD9">
        <w:t>20</w:t>
      </w:r>
      <w:r>
        <w:t xml:space="preserve">, the NPHED was updated to introduce six </w:t>
      </w:r>
      <w:r w:rsidR="005D2D1F">
        <w:t>new product streams to capture total recurrent expenditure in areas out-of-scope for the NHRA</w:t>
      </w:r>
      <w:r w:rsidR="00AE6A2A">
        <w:t xml:space="preserve"> including</w:t>
      </w:r>
      <w:r w:rsidR="005D2D1F">
        <w:t>:</w:t>
      </w:r>
    </w:p>
    <w:p w14:paraId="21F8044A" w14:textId="77777777" w:rsidR="005D2D1F" w:rsidRPr="00E95777" w:rsidRDefault="00D07EF6" w:rsidP="00887853">
      <w:pPr>
        <w:pStyle w:val="ListBullet"/>
      </w:pPr>
      <w:r>
        <w:t>admitted acute care (excluding mental health care) (out-of-scope for the NHRA)</w:t>
      </w:r>
    </w:p>
    <w:p w14:paraId="42C94B9F" w14:textId="77777777" w:rsidR="005D2D1F" w:rsidRPr="00E95777" w:rsidRDefault="00D07EF6" w:rsidP="00887853">
      <w:pPr>
        <w:pStyle w:val="ListBullet"/>
      </w:pPr>
      <w:r>
        <w:t>admitted subacute and non-acute care (excluding mental health care) (out-of-scope for the NHRA)</w:t>
      </w:r>
    </w:p>
    <w:p w14:paraId="3F66EA34" w14:textId="77777777" w:rsidR="005D2D1F" w:rsidRPr="00E95777" w:rsidRDefault="00D07EF6" w:rsidP="00887853">
      <w:pPr>
        <w:pStyle w:val="ListBullet"/>
      </w:pPr>
      <w:r>
        <w:t>other admitted care (excluding mental health care) (out-of-scope for the NHRA)</w:t>
      </w:r>
    </w:p>
    <w:p w14:paraId="6A33A5C1" w14:textId="77777777" w:rsidR="005D2D1F" w:rsidRPr="00E95777" w:rsidRDefault="00D07EF6" w:rsidP="00887853">
      <w:pPr>
        <w:pStyle w:val="ListBullet"/>
      </w:pPr>
      <w:r>
        <w:t>admitted mental health care (out-of-scope for the NHRA)</w:t>
      </w:r>
    </w:p>
    <w:p w14:paraId="5A6AC749" w14:textId="77777777" w:rsidR="005D2D1F" w:rsidRPr="00E95777" w:rsidRDefault="00D07EF6" w:rsidP="00887853">
      <w:pPr>
        <w:pStyle w:val="ListBullet"/>
      </w:pPr>
      <w:r>
        <w:t>emergency care services (out-of-scope for the NHRA)</w:t>
      </w:r>
    </w:p>
    <w:p w14:paraId="4D6C241E" w14:textId="77777777" w:rsidR="005D2D1F" w:rsidRPr="00AE6A2A" w:rsidRDefault="00D07EF6" w:rsidP="00887853">
      <w:pPr>
        <w:pStyle w:val="ListBullet"/>
      </w:pPr>
      <w:r>
        <w:t>depreciation.</w:t>
      </w:r>
    </w:p>
    <w:p w14:paraId="48B2829E" w14:textId="01276AA5" w:rsidR="005D2D1F" w:rsidRDefault="005D2D1F" w:rsidP="00F41C22">
      <w:pPr>
        <w:tabs>
          <w:tab w:val="left" w:pos="1162"/>
        </w:tabs>
        <w:spacing w:after="200" w:line="240" w:lineRule="auto"/>
      </w:pPr>
      <w:r>
        <w:rPr>
          <w:rFonts w:cs="Arial"/>
        </w:rPr>
        <w:t>In previous years,</w:t>
      </w:r>
      <w:r w:rsidRPr="005D2D1F">
        <w:t xml:space="preserve"> </w:t>
      </w:r>
      <w:r>
        <w:t xml:space="preserve">where out-of-scope expenditure was not separately identified in the </w:t>
      </w:r>
      <w:r w:rsidR="00C00B0E">
        <w:t>NPHED</w:t>
      </w:r>
      <w:r>
        <w:t xml:space="preserve">, </w:t>
      </w:r>
      <w:r w:rsidR="00AE6A2A">
        <w:t xml:space="preserve">an establishment’s </w:t>
      </w:r>
      <w:r>
        <w:t xml:space="preserve">in-scope proportion of expenditure was estimated based on the share of in-scope activity data. This aimed to account for any expenditure against services not in-scope under the NHRA. </w:t>
      </w:r>
      <w:r w:rsidRPr="00AE6A2A">
        <w:rPr>
          <w:rFonts w:cs="Arial"/>
        </w:rPr>
        <w:t>W</w:t>
      </w:r>
      <w:r>
        <w:t xml:space="preserve">ith the introduction of out-of-scope expenditure streams, the </w:t>
      </w:r>
      <w:r w:rsidR="00A86FD9">
        <w:t xml:space="preserve">NEC22 </w:t>
      </w:r>
      <w:r>
        <w:t xml:space="preserve">data preparation process has been updated to use the </w:t>
      </w:r>
      <w:r w:rsidR="00C00B0E">
        <w:t xml:space="preserve">NPHED </w:t>
      </w:r>
      <w:r>
        <w:t>reported in</w:t>
      </w:r>
      <w:r w:rsidR="00C00B0E">
        <w:t>-</w:t>
      </w:r>
      <w:r>
        <w:t xml:space="preserve">scope expenditure at a stream level. </w:t>
      </w:r>
      <w:r w:rsidR="00C00B0E">
        <w:t>This updated in-scope expenditure calculation has been adopted for all jurisdictions except Victoria where the prior methodology of estimating the in-scope amount has been retained.</w:t>
      </w:r>
    </w:p>
    <w:p w14:paraId="0349BA93" w14:textId="307CF2EC" w:rsidR="005D2D1F" w:rsidRDefault="00C00B0E" w:rsidP="00F41C22">
      <w:pPr>
        <w:tabs>
          <w:tab w:val="left" w:pos="1162"/>
        </w:tabs>
        <w:spacing w:after="200" w:line="240" w:lineRule="auto"/>
      </w:pPr>
      <w:r>
        <w:t xml:space="preserve">In addition to the aforementioned new out-of-scope product streams, the following </w:t>
      </w:r>
      <w:r w:rsidR="00AE6A2A">
        <w:t xml:space="preserve">NPHED </w:t>
      </w:r>
      <w:r>
        <w:t xml:space="preserve">total recurrent expenditure </w:t>
      </w:r>
      <w:r w:rsidR="00AE6A2A">
        <w:t xml:space="preserve">product streams are also treated as out-of-scope in the </w:t>
      </w:r>
      <w:r w:rsidR="00A86FD9">
        <w:t xml:space="preserve">NEC22 </w:t>
      </w:r>
      <w:r w:rsidR="00AE6A2A">
        <w:t>data preparation process:</w:t>
      </w:r>
    </w:p>
    <w:p w14:paraId="3E873E58" w14:textId="77777777" w:rsidR="00AE6A2A" w:rsidRDefault="00AE6A2A" w:rsidP="0067139D">
      <w:pPr>
        <w:pStyle w:val="ListBullet"/>
        <w:numPr>
          <w:ilvl w:val="0"/>
          <w:numId w:val="28"/>
        </w:numPr>
      </w:pPr>
      <w:r>
        <w:t>direct teaching, training and research</w:t>
      </w:r>
    </w:p>
    <w:p w14:paraId="656F7E80" w14:textId="77777777" w:rsidR="00AE6A2A" w:rsidRDefault="00616FBF" w:rsidP="0067139D">
      <w:pPr>
        <w:pStyle w:val="ListBullet"/>
        <w:numPr>
          <w:ilvl w:val="0"/>
          <w:numId w:val="28"/>
        </w:numPr>
      </w:pPr>
      <w:r>
        <w:t>Commonwealth funded aged care</w:t>
      </w:r>
    </w:p>
    <w:p w14:paraId="0154DEC1" w14:textId="77777777" w:rsidR="00AE6A2A" w:rsidRDefault="00616FBF" w:rsidP="0067139D">
      <w:pPr>
        <w:pStyle w:val="ListBullet"/>
        <w:numPr>
          <w:ilvl w:val="0"/>
          <w:numId w:val="28"/>
        </w:numPr>
      </w:pPr>
      <w:r>
        <w:t>other aged care</w:t>
      </w:r>
    </w:p>
    <w:p w14:paraId="2FF234F5" w14:textId="77777777" w:rsidR="00AE6A2A" w:rsidRDefault="00AE6A2A" w:rsidP="0067139D">
      <w:pPr>
        <w:pStyle w:val="ListBullet"/>
        <w:numPr>
          <w:ilvl w:val="0"/>
          <w:numId w:val="28"/>
        </w:numPr>
      </w:pPr>
      <w:r>
        <w:t>non-admitted care (</w:t>
      </w:r>
      <w:r w:rsidR="001F2C19">
        <w:t xml:space="preserve">excluding emergency care) </w:t>
      </w:r>
      <w:r w:rsidR="00616FBF">
        <w:t>(out-of-scope for the NHRA)</w:t>
      </w:r>
    </w:p>
    <w:p w14:paraId="79E6603C" w14:textId="77777777" w:rsidR="00AE6A2A" w:rsidRDefault="00AE6A2A" w:rsidP="0067139D">
      <w:pPr>
        <w:pStyle w:val="ListBullet"/>
        <w:numPr>
          <w:ilvl w:val="0"/>
          <w:numId w:val="28"/>
        </w:numPr>
      </w:pPr>
      <w:r>
        <w:t>other expenditure (out-of-scope for the NHRA)</w:t>
      </w:r>
      <w:r w:rsidR="00345BD9">
        <w:t>.</w:t>
      </w:r>
    </w:p>
    <w:p w14:paraId="1606E336" w14:textId="3BF2CAD2" w:rsidR="00561E6C" w:rsidRDefault="00561E6C" w:rsidP="00755433">
      <w:pPr>
        <w:pStyle w:val="Heading3"/>
      </w:pPr>
      <w:bookmarkStart w:id="348" w:name="_Toc531698978"/>
      <w:r>
        <w:t>Calculation of cost parameters</w:t>
      </w:r>
      <w:bookmarkEnd w:id="348"/>
    </w:p>
    <w:p w14:paraId="21473ECC" w14:textId="77777777" w:rsidR="00561E6C" w:rsidRDefault="00561E6C" w:rsidP="00561E6C">
      <w:pPr>
        <w:tabs>
          <w:tab w:val="left" w:pos="1162"/>
        </w:tabs>
        <w:spacing w:after="0" w:line="240" w:lineRule="auto"/>
        <w:rPr>
          <w:rFonts w:cs="Arial"/>
          <w:szCs w:val="20"/>
        </w:rPr>
      </w:pPr>
      <w:r>
        <w:rPr>
          <w:rFonts w:cs="Arial"/>
          <w:szCs w:val="20"/>
        </w:rPr>
        <w:t xml:space="preserve">Application of the fixed-plus-variable model and consideration of the low outlier hospitals provided the cost parameters shown </w:t>
      </w:r>
      <w:r w:rsidRPr="00D07EF6">
        <w:rPr>
          <w:rFonts w:cs="Arial"/>
          <w:szCs w:val="20"/>
        </w:rPr>
        <w:t xml:space="preserve">in Table </w:t>
      </w:r>
      <w:r w:rsidR="00176BB4" w:rsidRPr="00D07EF6">
        <w:rPr>
          <w:rFonts w:cs="Arial"/>
          <w:szCs w:val="20"/>
        </w:rPr>
        <w:t>2</w:t>
      </w:r>
      <w:r w:rsidR="00302145">
        <w:rPr>
          <w:rFonts w:cs="Arial"/>
          <w:szCs w:val="20"/>
        </w:rPr>
        <w:t>1</w:t>
      </w:r>
      <w:r>
        <w:rPr>
          <w:rFonts w:cs="Arial"/>
          <w:szCs w:val="20"/>
        </w:rPr>
        <w:t>.</w:t>
      </w:r>
    </w:p>
    <w:p w14:paraId="4540EA15" w14:textId="77777777" w:rsidR="00561E6C" w:rsidRDefault="00561E6C" w:rsidP="00836FC5">
      <w:pPr>
        <w:pStyle w:val="TableHeading"/>
      </w:pPr>
      <w:r w:rsidRPr="00D07EF6">
        <w:lastRenderedPageBreak/>
        <w:t xml:space="preserve">Table </w:t>
      </w:r>
      <w:r w:rsidR="00176BB4" w:rsidRPr="00D07EF6">
        <w:t>2</w:t>
      </w:r>
      <w:r w:rsidR="00302145">
        <w:t>1</w:t>
      </w:r>
      <w:r w:rsidRPr="00D07EF6">
        <w:t>: Cost</w:t>
      </w:r>
      <w:r>
        <w:t xml:space="preserve"> parameters of the fixed-plus-variable model and low-outlier establishments</w:t>
      </w:r>
    </w:p>
    <w:tbl>
      <w:tblPr>
        <w:tblStyle w:val="TableGrid"/>
        <w:tblW w:w="0" w:type="auto"/>
        <w:tblLook w:val="04A0" w:firstRow="1" w:lastRow="0" w:firstColumn="1" w:lastColumn="0" w:noHBand="0" w:noVBand="1"/>
      </w:tblPr>
      <w:tblGrid>
        <w:gridCol w:w="3436"/>
        <w:gridCol w:w="3005"/>
      </w:tblGrid>
      <w:tr w:rsidR="00561E6C" w14:paraId="6273E80E" w14:textId="77777777" w:rsidTr="00CE4DFC">
        <w:trPr>
          <w:cantSplit/>
          <w:trHeight w:val="397"/>
          <w:tblHeader/>
        </w:trPr>
        <w:tc>
          <w:tcPr>
            <w:tcW w:w="3436" w:type="dxa"/>
            <w:tcBorders>
              <w:bottom w:val="single" w:sz="4" w:space="0" w:color="auto"/>
            </w:tcBorders>
            <w:shd w:val="clear" w:color="auto" w:fill="288A32"/>
            <w:vAlign w:val="center"/>
          </w:tcPr>
          <w:p w14:paraId="6660F687" w14:textId="77777777" w:rsidR="00561E6C" w:rsidRPr="00765488" w:rsidRDefault="00561E6C" w:rsidP="00961168">
            <w:pPr>
              <w:keepNext/>
              <w:spacing w:line="240" w:lineRule="auto"/>
              <w:rPr>
                <w:rFonts w:cs="Arial"/>
                <w:color w:val="FFFFFF" w:themeColor="background1"/>
                <w:sz w:val="20"/>
                <w:szCs w:val="20"/>
              </w:rPr>
            </w:pPr>
            <w:r w:rsidRPr="00765488">
              <w:rPr>
                <w:rFonts w:cs="Arial"/>
                <w:b/>
                <w:color w:val="FFFFFF" w:themeColor="background1"/>
                <w:sz w:val="20"/>
                <w:szCs w:val="20"/>
              </w:rPr>
              <w:t xml:space="preserve">Cost </w:t>
            </w:r>
            <w:r>
              <w:rPr>
                <w:rFonts w:cs="Arial"/>
                <w:b/>
                <w:color w:val="FFFFFF" w:themeColor="background1"/>
                <w:sz w:val="20"/>
                <w:szCs w:val="20"/>
              </w:rPr>
              <w:t>p</w:t>
            </w:r>
            <w:r w:rsidRPr="00765488">
              <w:rPr>
                <w:rFonts w:cs="Arial"/>
                <w:b/>
                <w:color w:val="FFFFFF" w:themeColor="background1"/>
                <w:sz w:val="20"/>
                <w:szCs w:val="20"/>
              </w:rPr>
              <w:t>arameter</w:t>
            </w:r>
          </w:p>
        </w:tc>
        <w:tc>
          <w:tcPr>
            <w:tcW w:w="3005" w:type="dxa"/>
            <w:shd w:val="clear" w:color="auto" w:fill="288A32"/>
            <w:vAlign w:val="center"/>
          </w:tcPr>
          <w:p w14:paraId="30DE7D26" w14:textId="77777777" w:rsidR="00561E6C" w:rsidRPr="00765488" w:rsidRDefault="00561E6C" w:rsidP="00961168">
            <w:pPr>
              <w:keepNext/>
              <w:spacing w:line="240" w:lineRule="auto"/>
              <w:jc w:val="center"/>
              <w:rPr>
                <w:rFonts w:cs="Arial"/>
                <w:b/>
                <w:color w:val="FFFFFF" w:themeColor="background1"/>
                <w:sz w:val="20"/>
                <w:szCs w:val="20"/>
              </w:rPr>
            </w:pPr>
            <w:r w:rsidRPr="00765488">
              <w:rPr>
                <w:rFonts w:cs="Arial"/>
                <w:b/>
                <w:color w:val="FFFFFF" w:themeColor="background1"/>
                <w:sz w:val="20"/>
                <w:szCs w:val="20"/>
              </w:rPr>
              <w:t>Value</w:t>
            </w:r>
          </w:p>
        </w:tc>
      </w:tr>
      <w:tr w:rsidR="00561E6C" w14:paraId="0F7C48C3" w14:textId="77777777" w:rsidTr="00CE4DFC">
        <w:trPr>
          <w:cantSplit/>
          <w:trHeight w:val="397"/>
        </w:trPr>
        <w:tc>
          <w:tcPr>
            <w:tcW w:w="3436" w:type="dxa"/>
            <w:shd w:val="clear" w:color="auto" w:fill="auto"/>
            <w:vAlign w:val="center"/>
          </w:tcPr>
          <w:p w14:paraId="139A4558" w14:textId="07FABD4F" w:rsidR="00561E6C" w:rsidRPr="00264809" w:rsidRDefault="00903241" w:rsidP="00FE35D5">
            <w:pPr>
              <w:keepNext/>
              <w:spacing w:line="240" w:lineRule="auto"/>
              <w:rPr>
                <w:rFonts w:cs="Arial"/>
                <w:sz w:val="20"/>
                <w:szCs w:val="20"/>
              </w:rPr>
            </w:pPr>
            <w:r>
              <w:rPr>
                <w:rFonts w:cs="Arial"/>
                <w:sz w:val="20"/>
                <w:szCs w:val="20"/>
              </w:rPr>
              <w:t>NEP22 reference cost</w:t>
            </w:r>
          </w:p>
        </w:tc>
        <w:tc>
          <w:tcPr>
            <w:tcW w:w="3005" w:type="dxa"/>
            <w:vAlign w:val="center"/>
          </w:tcPr>
          <w:p w14:paraId="2062F5CC" w14:textId="7E0EBDED" w:rsidR="00561E6C" w:rsidRPr="00765488" w:rsidRDefault="00561E6C">
            <w:pPr>
              <w:keepNext/>
              <w:spacing w:line="240" w:lineRule="auto"/>
              <w:jc w:val="center"/>
              <w:rPr>
                <w:rFonts w:cs="Arial"/>
                <w:sz w:val="20"/>
                <w:szCs w:val="20"/>
              </w:rPr>
            </w:pPr>
            <w:r>
              <w:rPr>
                <w:rFonts w:cs="Arial"/>
                <w:sz w:val="20"/>
                <w:szCs w:val="20"/>
              </w:rPr>
              <w:t>$</w:t>
            </w:r>
            <w:r w:rsidR="5426166E" w:rsidRPr="7744F3A7">
              <w:rPr>
                <w:rFonts w:cs="Arial"/>
                <w:sz w:val="20"/>
                <w:szCs w:val="20"/>
              </w:rPr>
              <w:t>5,307</w:t>
            </w:r>
            <w:r w:rsidR="00DE6B51" w:rsidRPr="00765488">
              <w:rPr>
                <w:rFonts w:cs="Arial"/>
                <w:sz w:val="20"/>
                <w:szCs w:val="20"/>
              </w:rPr>
              <w:t xml:space="preserve"> </w:t>
            </w:r>
            <w:r w:rsidR="005407E0">
              <w:rPr>
                <w:rFonts w:cs="Arial"/>
                <w:sz w:val="20"/>
                <w:szCs w:val="20"/>
              </w:rPr>
              <w:t xml:space="preserve">per </w:t>
            </w:r>
            <w:r>
              <w:rPr>
                <w:rFonts w:cs="Arial"/>
                <w:sz w:val="20"/>
                <w:szCs w:val="20"/>
              </w:rPr>
              <w:t>NWAU</w:t>
            </w:r>
          </w:p>
        </w:tc>
      </w:tr>
      <w:tr w:rsidR="00561E6C" w14:paraId="5006E269" w14:textId="77777777" w:rsidTr="00CE4DFC">
        <w:trPr>
          <w:cantSplit/>
          <w:trHeight w:val="397"/>
        </w:trPr>
        <w:tc>
          <w:tcPr>
            <w:tcW w:w="3436" w:type="dxa"/>
            <w:shd w:val="clear" w:color="auto" w:fill="auto"/>
            <w:vAlign w:val="center"/>
          </w:tcPr>
          <w:p w14:paraId="2E00166A" w14:textId="77777777" w:rsidR="00561E6C" w:rsidRPr="00264809" w:rsidRDefault="00561E6C" w:rsidP="00961168">
            <w:pPr>
              <w:keepNext/>
              <w:spacing w:line="240" w:lineRule="auto"/>
              <w:rPr>
                <w:rFonts w:cs="Arial"/>
                <w:sz w:val="20"/>
                <w:szCs w:val="20"/>
              </w:rPr>
            </w:pPr>
            <w:r>
              <w:rPr>
                <w:rFonts w:cs="Arial"/>
                <w:sz w:val="20"/>
                <w:szCs w:val="20"/>
              </w:rPr>
              <w:t>Initial intercept</w:t>
            </w:r>
          </w:p>
        </w:tc>
        <w:tc>
          <w:tcPr>
            <w:tcW w:w="3005" w:type="dxa"/>
            <w:vAlign w:val="center"/>
          </w:tcPr>
          <w:p w14:paraId="5468B57A" w14:textId="0E462AE5" w:rsidR="00561E6C" w:rsidRPr="00765488" w:rsidRDefault="0087033D" w:rsidP="00FE35D5">
            <w:pPr>
              <w:keepNext/>
              <w:spacing w:line="240" w:lineRule="auto"/>
              <w:jc w:val="center"/>
              <w:rPr>
                <w:rFonts w:cs="Arial"/>
                <w:sz w:val="20"/>
                <w:szCs w:val="20"/>
              </w:rPr>
            </w:pPr>
            <w:r>
              <w:rPr>
                <w:rFonts w:cs="Arial"/>
                <w:sz w:val="20"/>
                <w:szCs w:val="20"/>
              </w:rPr>
              <w:t>$</w:t>
            </w:r>
            <w:r w:rsidR="5426166E" w:rsidRPr="79359508">
              <w:rPr>
                <w:rFonts w:cs="Arial"/>
                <w:sz w:val="20"/>
                <w:szCs w:val="20"/>
              </w:rPr>
              <w:t>2,</w:t>
            </w:r>
            <w:r w:rsidR="5426166E" w:rsidRPr="7744F3A7">
              <w:rPr>
                <w:rFonts w:cs="Arial"/>
                <w:sz w:val="20"/>
                <w:szCs w:val="20"/>
              </w:rPr>
              <w:t>061,942</w:t>
            </w:r>
          </w:p>
        </w:tc>
      </w:tr>
      <w:tr w:rsidR="00561E6C" w14:paraId="4D97915F" w14:textId="77777777" w:rsidTr="00CE4DFC">
        <w:trPr>
          <w:cantSplit/>
          <w:trHeight w:val="397"/>
        </w:trPr>
        <w:tc>
          <w:tcPr>
            <w:tcW w:w="3436" w:type="dxa"/>
            <w:shd w:val="clear" w:color="auto" w:fill="auto"/>
            <w:vAlign w:val="center"/>
          </w:tcPr>
          <w:p w14:paraId="3328AEDC" w14:textId="77777777" w:rsidR="00561E6C" w:rsidRPr="00264809" w:rsidRDefault="00561E6C" w:rsidP="00961168">
            <w:pPr>
              <w:keepNext/>
              <w:spacing w:line="240" w:lineRule="auto"/>
              <w:rPr>
                <w:rFonts w:cs="Arial"/>
                <w:sz w:val="20"/>
                <w:szCs w:val="20"/>
              </w:rPr>
            </w:pPr>
            <w:r>
              <w:rPr>
                <w:rFonts w:cs="Arial"/>
                <w:sz w:val="20"/>
                <w:szCs w:val="20"/>
              </w:rPr>
              <w:t>Low-outlier</w:t>
            </w:r>
            <w:r w:rsidRPr="00264809">
              <w:rPr>
                <w:rFonts w:cs="Arial"/>
                <w:sz w:val="20"/>
                <w:szCs w:val="20"/>
              </w:rPr>
              <w:t xml:space="preserve"> </w:t>
            </w:r>
            <w:r>
              <w:rPr>
                <w:rFonts w:cs="Arial"/>
                <w:sz w:val="20"/>
                <w:szCs w:val="20"/>
              </w:rPr>
              <w:t>t</w:t>
            </w:r>
            <w:r w:rsidRPr="00264809">
              <w:rPr>
                <w:rFonts w:cs="Arial"/>
                <w:sz w:val="20"/>
                <w:szCs w:val="20"/>
              </w:rPr>
              <w:t>hreshold</w:t>
            </w:r>
          </w:p>
        </w:tc>
        <w:tc>
          <w:tcPr>
            <w:tcW w:w="3005" w:type="dxa"/>
            <w:vAlign w:val="center"/>
          </w:tcPr>
          <w:p w14:paraId="3AC90A29" w14:textId="34E846E5" w:rsidR="00561E6C" w:rsidRPr="00765488" w:rsidRDefault="00DE6B51" w:rsidP="00FE35D5">
            <w:pPr>
              <w:keepNext/>
              <w:spacing w:line="240" w:lineRule="auto"/>
              <w:jc w:val="center"/>
              <w:rPr>
                <w:rFonts w:cs="Arial"/>
                <w:sz w:val="20"/>
                <w:szCs w:val="20"/>
              </w:rPr>
            </w:pPr>
            <w:r w:rsidRPr="42245D7C">
              <w:rPr>
                <w:rFonts w:cs="Arial"/>
                <w:sz w:val="20"/>
                <w:szCs w:val="20"/>
              </w:rPr>
              <w:t>194</w:t>
            </w:r>
            <w:r>
              <w:rPr>
                <w:rFonts w:cs="Arial"/>
                <w:sz w:val="20"/>
                <w:szCs w:val="20"/>
              </w:rPr>
              <w:t xml:space="preserve"> </w:t>
            </w:r>
            <w:r w:rsidR="00561E6C">
              <w:rPr>
                <w:rFonts w:cs="Arial"/>
                <w:sz w:val="20"/>
                <w:szCs w:val="20"/>
              </w:rPr>
              <w:t>NWAU</w:t>
            </w:r>
          </w:p>
        </w:tc>
      </w:tr>
      <w:tr w:rsidR="00561E6C" w14:paraId="768E05B4" w14:textId="77777777" w:rsidTr="00CE4DFC">
        <w:trPr>
          <w:cantSplit/>
          <w:trHeight w:val="397"/>
        </w:trPr>
        <w:tc>
          <w:tcPr>
            <w:tcW w:w="3436" w:type="dxa"/>
            <w:shd w:val="clear" w:color="auto" w:fill="auto"/>
            <w:vAlign w:val="center"/>
          </w:tcPr>
          <w:p w14:paraId="4AB0D87B" w14:textId="77777777" w:rsidR="00561E6C" w:rsidRPr="00264809" w:rsidRDefault="00561E6C" w:rsidP="00961168">
            <w:pPr>
              <w:keepNext/>
              <w:spacing w:line="240" w:lineRule="auto"/>
              <w:rPr>
                <w:rFonts w:cs="Arial"/>
                <w:sz w:val="20"/>
                <w:szCs w:val="20"/>
              </w:rPr>
            </w:pPr>
            <w:r>
              <w:rPr>
                <w:rFonts w:cs="Arial"/>
                <w:sz w:val="20"/>
                <w:szCs w:val="20"/>
              </w:rPr>
              <w:t>Low-outlier hospitals</w:t>
            </w:r>
          </w:p>
        </w:tc>
        <w:tc>
          <w:tcPr>
            <w:tcW w:w="3005" w:type="dxa"/>
            <w:vAlign w:val="center"/>
          </w:tcPr>
          <w:p w14:paraId="7D6DC0E5" w14:textId="22C2258D" w:rsidR="00561E6C" w:rsidRPr="00765488" w:rsidRDefault="00F92C64" w:rsidP="00F32016">
            <w:pPr>
              <w:keepNext/>
              <w:spacing w:line="240" w:lineRule="auto"/>
              <w:jc w:val="center"/>
              <w:rPr>
                <w:rFonts w:cs="Arial"/>
                <w:sz w:val="20"/>
                <w:szCs w:val="20"/>
              </w:rPr>
            </w:pPr>
            <w:r>
              <w:rPr>
                <w:rFonts w:cs="Arial"/>
                <w:sz w:val="20"/>
                <w:szCs w:val="20"/>
              </w:rPr>
              <w:t>74</w:t>
            </w:r>
          </w:p>
        </w:tc>
      </w:tr>
      <w:tr w:rsidR="00561E6C" w14:paraId="51FFA1AF" w14:textId="77777777" w:rsidTr="00CE4DFC">
        <w:trPr>
          <w:cantSplit/>
          <w:trHeight w:val="397"/>
        </w:trPr>
        <w:tc>
          <w:tcPr>
            <w:tcW w:w="3436" w:type="dxa"/>
            <w:shd w:val="clear" w:color="auto" w:fill="auto"/>
            <w:vAlign w:val="center"/>
          </w:tcPr>
          <w:p w14:paraId="417DB59D" w14:textId="77777777" w:rsidR="00561E6C" w:rsidRDefault="00561E6C" w:rsidP="00961168">
            <w:pPr>
              <w:keepNext/>
              <w:spacing w:line="240" w:lineRule="auto"/>
              <w:rPr>
                <w:rFonts w:cs="Arial"/>
                <w:sz w:val="20"/>
                <w:szCs w:val="20"/>
              </w:rPr>
            </w:pPr>
            <w:r w:rsidRPr="00264809">
              <w:rPr>
                <w:rFonts w:cs="Arial"/>
                <w:sz w:val="20"/>
                <w:szCs w:val="20"/>
              </w:rPr>
              <w:t xml:space="preserve">Fixed </w:t>
            </w:r>
            <w:r>
              <w:rPr>
                <w:rFonts w:cs="Arial"/>
                <w:sz w:val="20"/>
                <w:szCs w:val="20"/>
              </w:rPr>
              <w:t>cost</w:t>
            </w:r>
            <w:r w:rsidRPr="00264809">
              <w:rPr>
                <w:rFonts w:cs="Arial"/>
                <w:sz w:val="20"/>
                <w:szCs w:val="20"/>
              </w:rPr>
              <w:t xml:space="preserve"> base</w:t>
            </w:r>
            <w:r>
              <w:rPr>
                <w:rFonts w:cs="Arial"/>
                <w:sz w:val="20"/>
                <w:szCs w:val="20"/>
              </w:rPr>
              <w:t xml:space="preserve"> </w:t>
            </w:r>
          </w:p>
          <w:p w14:paraId="0EAD1F2E" w14:textId="77777777" w:rsidR="00561E6C" w:rsidRPr="00264809" w:rsidRDefault="00561E6C" w:rsidP="00961168">
            <w:pPr>
              <w:keepNext/>
              <w:spacing w:line="240" w:lineRule="auto"/>
              <w:rPr>
                <w:rFonts w:cs="Arial"/>
                <w:sz w:val="20"/>
                <w:szCs w:val="20"/>
              </w:rPr>
            </w:pPr>
            <w:r>
              <w:rPr>
                <w:rFonts w:cs="Arial"/>
                <w:sz w:val="20"/>
                <w:szCs w:val="20"/>
              </w:rPr>
              <w:t>(inner regional, outer regional and remote)</w:t>
            </w:r>
          </w:p>
        </w:tc>
        <w:tc>
          <w:tcPr>
            <w:tcW w:w="3005" w:type="dxa"/>
            <w:vAlign w:val="center"/>
          </w:tcPr>
          <w:p w14:paraId="2291E4B4" w14:textId="0D27536A" w:rsidR="00561E6C" w:rsidRPr="00765488" w:rsidRDefault="000C50CB" w:rsidP="00FE35D5">
            <w:pPr>
              <w:keepNext/>
              <w:spacing w:line="240" w:lineRule="auto"/>
              <w:jc w:val="center"/>
              <w:rPr>
                <w:rFonts w:cs="Arial"/>
                <w:sz w:val="20"/>
                <w:szCs w:val="20"/>
              </w:rPr>
            </w:pPr>
            <w:r>
              <w:rPr>
                <w:rFonts w:cs="Arial"/>
                <w:sz w:val="20"/>
                <w:szCs w:val="20"/>
              </w:rPr>
              <w:t>$</w:t>
            </w:r>
            <w:r w:rsidR="00DE6B51" w:rsidRPr="29D75840">
              <w:rPr>
                <w:rFonts w:cs="Arial"/>
                <w:sz w:val="20"/>
                <w:szCs w:val="20"/>
              </w:rPr>
              <w:t>2,</w:t>
            </w:r>
            <w:r w:rsidR="00DE6B51" w:rsidRPr="7B8753AF">
              <w:rPr>
                <w:rFonts w:cs="Arial"/>
                <w:sz w:val="20"/>
                <w:szCs w:val="20"/>
              </w:rPr>
              <w:t>054,834</w:t>
            </w:r>
          </w:p>
        </w:tc>
      </w:tr>
      <w:tr w:rsidR="00561E6C" w14:paraId="506368BF" w14:textId="77777777" w:rsidTr="00CE4DFC">
        <w:trPr>
          <w:cantSplit/>
          <w:trHeight w:val="397"/>
        </w:trPr>
        <w:tc>
          <w:tcPr>
            <w:tcW w:w="3436" w:type="dxa"/>
            <w:shd w:val="clear" w:color="auto" w:fill="auto"/>
            <w:vAlign w:val="center"/>
          </w:tcPr>
          <w:p w14:paraId="56EA9DAD" w14:textId="77777777" w:rsidR="00561E6C" w:rsidRPr="00264809" w:rsidRDefault="00561E6C" w:rsidP="00961168">
            <w:pPr>
              <w:keepNext/>
              <w:spacing w:line="240" w:lineRule="auto"/>
              <w:rPr>
                <w:rFonts w:cs="Arial"/>
                <w:sz w:val="20"/>
                <w:szCs w:val="20"/>
              </w:rPr>
            </w:pPr>
            <w:r w:rsidRPr="00264809">
              <w:rPr>
                <w:rFonts w:cs="Arial"/>
                <w:sz w:val="20"/>
                <w:szCs w:val="20"/>
              </w:rPr>
              <w:t xml:space="preserve">Fixed </w:t>
            </w:r>
            <w:r>
              <w:rPr>
                <w:rFonts w:cs="Arial"/>
                <w:sz w:val="20"/>
                <w:szCs w:val="20"/>
              </w:rPr>
              <w:t>cost</w:t>
            </w:r>
            <w:r w:rsidRPr="00264809">
              <w:rPr>
                <w:rFonts w:cs="Arial"/>
                <w:sz w:val="20"/>
                <w:szCs w:val="20"/>
              </w:rPr>
              <w:t xml:space="preserve"> base</w:t>
            </w:r>
            <w:r>
              <w:rPr>
                <w:rFonts w:cs="Arial"/>
                <w:sz w:val="20"/>
                <w:szCs w:val="20"/>
              </w:rPr>
              <w:t xml:space="preserve"> (very remote)</w:t>
            </w:r>
          </w:p>
        </w:tc>
        <w:tc>
          <w:tcPr>
            <w:tcW w:w="3005" w:type="dxa"/>
            <w:vAlign w:val="center"/>
          </w:tcPr>
          <w:p w14:paraId="01AFCD4B" w14:textId="38B7BE09" w:rsidR="00561E6C" w:rsidRPr="00765488" w:rsidRDefault="000C50CB" w:rsidP="00FE35D5">
            <w:pPr>
              <w:keepNext/>
              <w:spacing w:line="240" w:lineRule="auto"/>
              <w:jc w:val="center"/>
              <w:rPr>
                <w:rFonts w:cs="Arial"/>
                <w:sz w:val="20"/>
                <w:szCs w:val="20"/>
              </w:rPr>
            </w:pPr>
            <w:r>
              <w:rPr>
                <w:rFonts w:cs="Arial"/>
                <w:sz w:val="20"/>
                <w:szCs w:val="20"/>
              </w:rPr>
              <w:t>$</w:t>
            </w:r>
            <w:r w:rsidR="00DE6B51" w:rsidRPr="7B8753AF">
              <w:rPr>
                <w:rFonts w:cs="Arial"/>
                <w:sz w:val="20"/>
                <w:szCs w:val="20"/>
              </w:rPr>
              <w:t>3,349,</w:t>
            </w:r>
            <w:r w:rsidR="00DE6B51" w:rsidRPr="444A4D91">
              <w:rPr>
                <w:rFonts w:cs="Arial"/>
                <w:sz w:val="20"/>
                <w:szCs w:val="20"/>
              </w:rPr>
              <w:t>549</w:t>
            </w:r>
          </w:p>
        </w:tc>
      </w:tr>
      <w:tr w:rsidR="00561E6C" w14:paraId="3AC439E0" w14:textId="77777777" w:rsidTr="00CE4DFC">
        <w:trPr>
          <w:cantSplit/>
          <w:trHeight w:val="397"/>
        </w:trPr>
        <w:tc>
          <w:tcPr>
            <w:tcW w:w="3436" w:type="dxa"/>
            <w:shd w:val="clear" w:color="auto" w:fill="auto"/>
            <w:vAlign w:val="center"/>
          </w:tcPr>
          <w:p w14:paraId="10B65191" w14:textId="77777777" w:rsidR="00561E6C" w:rsidRPr="00264809" w:rsidRDefault="00561E6C" w:rsidP="00961168">
            <w:pPr>
              <w:keepNext/>
              <w:spacing w:line="240" w:lineRule="auto"/>
              <w:rPr>
                <w:rFonts w:cs="Arial"/>
                <w:sz w:val="20"/>
                <w:szCs w:val="20"/>
              </w:rPr>
            </w:pPr>
            <w:r>
              <w:rPr>
                <w:rFonts w:cs="Arial"/>
                <w:sz w:val="20"/>
                <w:szCs w:val="20"/>
              </w:rPr>
              <w:t>Fixed cost dampening rate</w:t>
            </w:r>
          </w:p>
        </w:tc>
        <w:tc>
          <w:tcPr>
            <w:tcW w:w="3005" w:type="dxa"/>
            <w:vAlign w:val="center"/>
          </w:tcPr>
          <w:p w14:paraId="3D63DA8D" w14:textId="77777777" w:rsidR="00561E6C" w:rsidRPr="00765488" w:rsidRDefault="0087033D" w:rsidP="00961168">
            <w:pPr>
              <w:keepNext/>
              <w:spacing w:line="240" w:lineRule="auto"/>
              <w:jc w:val="center"/>
              <w:rPr>
                <w:rFonts w:cs="Arial"/>
                <w:sz w:val="20"/>
                <w:szCs w:val="20"/>
              </w:rPr>
            </w:pPr>
            <w:r>
              <w:rPr>
                <w:rFonts w:cs="Arial"/>
                <w:sz w:val="20"/>
                <w:szCs w:val="20"/>
              </w:rPr>
              <w:t>0.029%</w:t>
            </w:r>
            <w:r w:rsidR="00561E6C" w:rsidRPr="00765488">
              <w:rPr>
                <w:rFonts w:cs="Arial"/>
                <w:sz w:val="20"/>
                <w:szCs w:val="20"/>
              </w:rPr>
              <w:t xml:space="preserve"> per NWAU</w:t>
            </w:r>
          </w:p>
        </w:tc>
      </w:tr>
      <w:tr w:rsidR="00561E6C" w14:paraId="57602F96" w14:textId="77777777" w:rsidTr="00CE4DFC">
        <w:trPr>
          <w:cantSplit/>
          <w:trHeight w:val="397"/>
        </w:trPr>
        <w:tc>
          <w:tcPr>
            <w:tcW w:w="3436" w:type="dxa"/>
            <w:shd w:val="clear" w:color="auto" w:fill="auto"/>
            <w:vAlign w:val="center"/>
          </w:tcPr>
          <w:p w14:paraId="14ED1A5F" w14:textId="75ADA38A" w:rsidR="00561E6C" w:rsidRPr="00264809" w:rsidRDefault="0017733F" w:rsidP="00FE35D5">
            <w:pPr>
              <w:keepNext/>
              <w:spacing w:line="240" w:lineRule="auto"/>
              <w:rPr>
                <w:rFonts w:cs="Arial"/>
                <w:sz w:val="20"/>
                <w:szCs w:val="20"/>
              </w:rPr>
            </w:pPr>
            <w:r>
              <w:rPr>
                <w:rFonts w:cs="Arial"/>
                <w:sz w:val="20"/>
                <w:szCs w:val="20"/>
              </w:rPr>
              <w:t>NEC22</w:t>
            </w:r>
            <w:r w:rsidR="0079353E">
              <w:rPr>
                <w:rFonts w:cs="Arial"/>
                <w:sz w:val="20"/>
                <w:szCs w:val="20"/>
              </w:rPr>
              <w:t xml:space="preserve"> </w:t>
            </w:r>
            <w:r w:rsidR="00561E6C">
              <w:rPr>
                <w:rFonts w:cs="Arial"/>
                <w:sz w:val="20"/>
                <w:szCs w:val="20"/>
              </w:rPr>
              <w:t>very remote adjustment</w:t>
            </w:r>
            <w:r w:rsidR="00CE4AFB">
              <w:rPr>
                <w:rFonts w:cs="Arial"/>
                <w:sz w:val="20"/>
                <w:szCs w:val="20"/>
              </w:rPr>
              <w:t xml:space="preserve"> (stabilised)</w:t>
            </w:r>
          </w:p>
        </w:tc>
        <w:tc>
          <w:tcPr>
            <w:tcW w:w="3005" w:type="dxa"/>
            <w:vAlign w:val="center"/>
          </w:tcPr>
          <w:p w14:paraId="671979BD" w14:textId="2AF27943" w:rsidR="00561E6C" w:rsidRPr="00765488" w:rsidRDefault="444A4D91" w:rsidP="00CD7780">
            <w:pPr>
              <w:keepNext/>
              <w:spacing w:line="240" w:lineRule="auto"/>
              <w:jc w:val="center"/>
              <w:rPr>
                <w:szCs w:val="22"/>
              </w:rPr>
            </w:pPr>
            <w:r w:rsidRPr="444A4D91">
              <w:rPr>
                <w:rFonts w:cs="Arial"/>
                <w:sz w:val="20"/>
                <w:szCs w:val="20"/>
              </w:rPr>
              <w:t>44.1%</w:t>
            </w:r>
          </w:p>
        </w:tc>
      </w:tr>
    </w:tbl>
    <w:p w14:paraId="200E64DC" w14:textId="6AC06C3C" w:rsidR="00561E6C" w:rsidRDefault="00561E6C" w:rsidP="00561E6C">
      <w:pPr>
        <w:tabs>
          <w:tab w:val="left" w:pos="1162"/>
        </w:tabs>
        <w:spacing w:before="360" w:after="0" w:line="240" w:lineRule="auto"/>
        <w:rPr>
          <w:rFonts w:cs="Arial"/>
          <w:szCs w:val="20"/>
        </w:rPr>
      </w:pPr>
      <w:r>
        <w:rPr>
          <w:rFonts w:cs="Arial"/>
          <w:szCs w:val="20"/>
        </w:rPr>
        <w:t>The NEC very remote adjustment and dampening only apply to the fixed component and not the variable component or low-outlier hospitals.</w:t>
      </w:r>
    </w:p>
    <w:p w14:paraId="73052FCE" w14:textId="10EA6352" w:rsidR="003B5476" w:rsidRDefault="00CB3A21" w:rsidP="00561E6C">
      <w:pPr>
        <w:tabs>
          <w:tab w:val="left" w:pos="1162"/>
        </w:tabs>
        <w:spacing w:before="360" w:after="0" w:line="240" w:lineRule="auto"/>
        <w:rPr>
          <w:rFonts w:cs="Arial"/>
          <w:szCs w:val="20"/>
        </w:rPr>
      </w:pPr>
      <w:r>
        <w:rPr>
          <w:rFonts w:cs="Arial"/>
          <w:szCs w:val="20"/>
        </w:rPr>
        <w:t>F</w:t>
      </w:r>
      <w:r w:rsidR="00EB4076">
        <w:rPr>
          <w:rFonts w:cs="Arial"/>
          <w:szCs w:val="20"/>
        </w:rPr>
        <w:t xml:space="preserve">rom NEC22 onwards, the very remote adjustment will be stabilised using a similar method </w:t>
      </w:r>
      <w:r w:rsidR="00574CAE">
        <w:rPr>
          <w:rFonts w:cs="Arial"/>
          <w:szCs w:val="20"/>
        </w:rPr>
        <w:t>as</w:t>
      </w:r>
      <w:r w:rsidR="00EB4076">
        <w:rPr>
          <w:rFonts w:cs="Arial"/>
          <w:szCs w:val="20"/>
        </w:rPr>
        <w:t xml:space="preserve"> the NEP models. The </w:t>
      </w:r>
      <w:r w:rsidR="00CD6589">
        <w:rPr>
          <w:rFonts w:cs="Arial"/>
          <w:szCs w:val="20"/>
        </w:rPr>
        <w:t>stabilised</w:t>
      </w:r>
      <w:r w:rsidR="00EB4076">
        <w:rPr>
          <w:rFonts w:cs="Arial"/>
          <w:szCs w:val="20"/>
        </w:rPr>
        <w:t xml:space="preserve"> a</w:t>
      </w:r>
      <w:r w:rsidR="00574CAE">
        <w:rPr>
          <w:rFonts w:cs="Arial"/>
          <w:szCs w:val="20"/>
        </w:rPr>
        <w:t>djustment</w:t>
      </w:r>
      <w:r w:rsidR="00DD0D29">
        <w:rPr>
          <w:rFonts w:cs="Arial"/>
          <w:szCs w:val="20"/>
        </w:rPr>
        <w:t xml:space="preserve"> is calculated as the arithmetic mean of the </w:t>
      </w:r>
      <w:r w:rsidR="00737C93">
        <w:rPr>
          <w:rFonts w:cs="Arial"/>
          <w:szCs w:val="20"/>
        </w:rPr>
        <w:t>last</w:t>
      </w:r>
      <w:r w:rsidR="00DD0D29">
        <w:rPr>
          <w:rFonts w:cs="Arial"/>
          <w:szCs w:val="20"/>
        </w:rPr>
        <w:t xml:space="preserve"> three empirically calculated </w:t>
      </w:r>
      <w:r w:rsidR="00574CAE">
        <w:rPr>
          <w:rFonts w:cs="Arial"/>
          <w:szCs w:val="20"/>
        </w:rPr>
        <w:t>adjustment</w:t>
      </w:r>
      <w:r w:rsidR="00927237">
        <w:rPr>
          <w:rFonts w:cs="Arial"/>
          <w:szCs w:val="20"/>
        </w:rPr>
        <w:t xml:space="preserve"> values.</w:t>
      </w:r>
    </w:p>
    <w:p w14:paraId="63401DD1" w14:textId="77777777" w:rsidR="00561E6C" w:rsidRDefault="00561E6C" w:rsidP="00561E6C">
      <w:pPr>
        <w:tabs>
          <w:tab w:val="left" w:pos="1162"/>
        </w:tabs>
        <w:spacing w:after="360" w:line="240" w:lineRule="auto"/>
        <w:rPr>
          <w:rFonts w:cs="Arial"/>
          <w:szCs w:val="20"/>
        </w:rPr>
      </w:pPr>
      <w:r>
        <w:rPr>
          <w:rFonts w:cs="Arial"/>
          <w:szCs w:val="20"/>
        </w:rPr>
        <w:t>The dampening rate is calculated such that the fixed component is fully applied at zero NWAU and is completely dampened at 3,500 NWAU, which marks the</w:t>
      </w:r>
      <w:r w:rsidR="0079353E">
        <w:rPr>
          <w:rFonts w:cs="Arial"/>
          <w:szCs w:val="20"/>
        </w:rPr>
        <w:t xml:space="preserve"> transition point between block </w:t>
      </w:r>
      <w:r>
        <w:rPr>
          <w:rFonts w:cs="Arial"/>
          <w:szCs w:val="20"/>
        </w:rPr>
        <w:t>funding and ABF. The purpose of dampening is to gradually reduce the contribution of the fixed component to the overall modelled cost of individual establishments as their activity increases and their variable component, based on the NEP, increases. This is implemented via the use of a multiplier applied to the base fixed component amount:</w:t>
      </w:r>
    </w:p>
    <w:p w14:paraId="2DC4C939" w14:textId="77777777" w:rsidR="00561E6C" w:rsidRDefault="00561E6C" w:rsidP="00561E6C">
      <w:pPr>
        <w:tabs>
          <w:tab w:val="left" w:pos="1162"/>
        </w:tabs>
        <w:spacing w:line="240" w:lineRule="auto"/>
        <w:jc w:val="center"/>
        <w:rPr>
          <w:rFonts w:cs="Arial"/>
          <w:szCs w:val="20"/>
        </w:rPr>
      </w:pPr>
      <m:oMathPara>
        <m:oMath>
          <m:r>
            <m:rPr>
              <m:nor/>
            </m:rPr>
            <w:rPr>
              <w:rFonts w:ascii="Cambria Math" w:hAnsi="Cambria Math" w:cs="Arial"/>
              <w:szCs w:val="20"/>
            </w:rPr>
            <m:t>Dampening factor</m:t>
          </m:r>
          <m:r>
            <w:rPr>
              <w:rFonts w:ascii="Cambria Math" w:hAnsi="Cambria Math" w:cs="Arial"/>
              <w:szCs w:val="20"/>
            </w:rPr>
            <m:t>=</m:t>
          </m:r>
          <m:d>
            <m:dPr>
              <m:begChr m:val="{"/>
              <m:endChr m:val=""/>
              <m:ctrlPr>
                <w:rPr>
                  <w:rFonts w:ascii="Cambria Math" w:hAnsi="Cambria Math" w:cs="Arial"/>
                  <w:i/>
                  <w:szCs w:val="20"/>
                </w:rPr>
              </m:ctrlPr>
            </m:dPr>
            <m:e>
              <m:m>
                <m:mPr>
                  <m:mcs>
                    <m:mc>
                      <m:mcPr>
                        <m:count m:val="1"/>
                        <m:mcJc m:val="center"/>
                      </m:mcPr>
                    </m:mc>
                  </m:mcs>
                  <m:ctrlPr>
                    <w:rPr>
                      <w:rFonts w:ascii="Cambria Math" w:hAnsi="Cambria Math" w:cs="Arial"/>
                      <w:i/>
                      <w:szCs w:val="20"/>
                    </w:rPr>
                  </m:ctrlPr>
                </m:mPr>
                <m:mr>
                  <m:e>
                    <m:f>
                      <m:fPr>
                        <m:ctrlPr>
                          <w:rPr>
                            <w:rFonts w:ascii="Cambria Math" w:hAnsi="Cambria Math" w:cs="Arial"/>
                            <w:i/>
                            <w:szCs w:val="20"/>
                          </w:rPr>
                        </m:ctrlPr>
                      </m:fPr>
                      <m:num>
                        <m:r>
                          <w:rPr>
                            <w:rFonts w:ascii="Cambria Math" w:hAnsi="Cambria Math" w:cs="Arial"/>
                            <w:szCs w:val="20"/>
                          </w:rPr>
                          <m:t>3500-</m:t>
                        </m:r>
                        <m:r>
                          <m:rPr>
                            <m:nor/>
                          </m:rPr>
                          <w:rPr>
                            <w:rFonts w:ascii="Cambria Math" w:hAnsi="Cambria Math" w:cs="Arial"/>
                            <w:szCs w:val="20"/>
                          </w:rPr>
                          <m:t>Total NWAU</m:t>
                        </m:r>
                      </m:num>
                      <m:den>
                        <m:r>
                          <w:rPr>
                            <w:rFonts w:ascii="Cambria Math" w:hAnsi="Cambria Math" w:cs="Arial"/>
                            <w:szCs w:val="20"/>
                          </w:rPr>
                          <m:t>3500</m:t>
                        </m:r>
                      </m:den>
                    </m:f>
                    <m:r>
                      <w:rPr>
                        <w:rFonts w:ascii="Cambria Math" w:hAnsi="Cambria Math" w:cs="Arial"/>
                        <w:szCs w:val="20"/>
                      </w:rPr>
                      <m:t xml:space="preserve">,  </m:t>
                    </m:r>
                    <m:r>
                      <m:rPr>
                        <m:nor/>
                      </m:rPr>
                      <w:rPr>
                        <w:rFonts w:ascii="Cambria Math" w:hAnsi="Cambria Math" w:cs="Arial"/>
                        <w:szCs w:val="20"/>
                      </w:rPr>
                      <m:t>where Total NWAU</m:t>
                    </m:r>
                    <m:r>
                      <w:rPr>
                        <w:rFonts w:ascii="Cambria Math" w:hAnsi="Cambria Math" w:cs="Arial"/>
                        <w:szCs w:val="20"/>
                      </w:rPr>
                      <m:t xml:space="preserve">≤3,500 </m:t>
                    </m:r>
                    <m:r>
                      <m:rPr>
                        <m:nor/>
                      </m:rPr>
                      <w:rPr>
                        <w:rFonts w:ascii="Cambria Math" w:hAnsi="Cambria Math" w:cs="Arial"/>
                        <w:szCs w:val="20"/>
                      </w:rPr>
                      <m:t>NWAU</m:t>
                    </m:r>
                  </m:e>
                </m:mr>
                <m:mr>
                  <m:e>
                    <m:r>
                      <w:rPr>
                        <w:rFonts w:ascii="Cambria Math" w:hAnsi="Cambria Math" w:cs="Arial"/>
                        <w:szCs w:val="20"/>
                      </w:rPr>
                      <m:t xml:space="preserve"> </m:t>
                    </m:r>
                  </m:e>
                </m:mr>
                <m:mr>
                  <m:e>
                    <m:r>
                      <w:rPr>
                        <w:rFonts w:ascii="Cambria Math" w:hAnsi="Cambria Math" w:cs="Arial"/>
                        <w:szCs w:val="20"/>
                      </w:rPr>
                      <m:t xml:space="preserve">0,                                          </m:t>
                    </m:r>
                    <m:r>
                      <m:rPr>
                        <m:nor/>
                      </m:rPr>
                      <w:rPr>
                        <w:rFonts w:ascii="Cambria Math" w:hAnsi="Cambria Math" w:cs="Arial"/>
                        <w:szCs w:val="20"/>
                      </w:rPr>
                      <m:t xml:space="preserve">where Total NWAU </m:t>
                    </m:r>
                    <m:r>
                      <w:rPr>
                        <w:rFonts w:ascii="Cambria Math" w:hAnsi="Cambria Math" w:cs="Arial"/>
                        <w:szCs w:val="20"/>
                      </w:rPr>
                      <m:t xml:space="preserve">&gt; 3,500 </m:t>
                    </m:r>
                    <m:r>
                      <m:rPr>
                        <m:nor/>
                      </m:rPr>
                      <w:rPr>
                        <w:rFonts w:ascii="Cambria Math" w:hAnsi="Cambria Math" w:cs="Arial"/>
                        <w:szCs w:val="20"/>
                      </w:rPr>
                      <m:t>NWAU</m:t>
                    </m:r>
                  </m:e>
                </m:mr>
              </m:m>
            </m:e>
          </m:d>
        </m:oMath>
      </m:oMathPara>
    </w:p>
    <w:p w14:paraId="71685191" w14:textId="3B09E29B" w:rsidR="00561E6C" w:rsidRDefault="00561E6C" w:rsidP="00561E6C">
      <w:pPr>
        <w:tabs>
          <w:tab w:val="left" w:pos="1162"/>
        </w:tabs>
        <w:spacing w:before="360" w:after="360" w:line="240" w:lineRule="auto"/>
      </w:pPr>
      <w:r w:rsidRPr="001D52E1">
        <w:rPr>
          <w:rFonts w:cs="Arial"/>
          <w:szCs w:val="20"/>
        </w:rPr>
        <w:t xml:space="preserve">For </w:t>
      </w:r>
      <w:r w:rsidR="00A86FD9">
        <w:rPr>
          <w:rFonts w:cs="Arial"/>
          <w:szCs w:val="20"/>
        </w:rPr>
        <w:t>NEC22</w:t>
      </w:r>
      <w:r w:rsidRPr="001D52E1">
        <w:rPr>
          <w:rFonts w:cs="Arial"/>
          <w:szCs w:val="20"/>
        </w:rPr>
        <w:t xml:space="preserve">, </w:t>
      </w:r>
      <w:r w:rsidR="0087033D">
        <w:rPr>
          <w:rFonts w:cs="Arial"/>
          <w:szCs w:val="20"/>
        </w:rPr>
        <w:t>37</w:t>
      </w:r>
      <w:r w:rsidR="009A03BE">
        <w:rPr>
          <w:rFonts w:cs="Arial"/>
          <w:szCs w:val="20"/>
        </w:rPr>
        <w:t>0</w:t>
      </w:r>
      <w:r w:rsidR="0087033D" w:rsidRPr="001D52E1">
        <w:rPr>
          <w:rFonts w:cs="Arial"/>
          <w:szCs w:val="20"/>
        </w:rPr>
        <w:t xml:space="preserve"> </w:t>
      </w:r>
      <w:r>
        <w:rPr>
          <w:rFonts w:cs="Arial"/>
          <w:szCs w:val="20"/>
        </w:rPr>
        <w:t xml:space="preserve">small rural </w:t>
      </w:r>
      <w:r w:rsidRPr="001D52E1">
        <w:rPr>
          <w:rFonts w:cs="Arial"/>
          <w:szCs w:val="20"/>
        </w:rPr>
        <w:t xml:space="preserve">hospitals have been designated as </w:t>
      </w:r>
      <w:r w:rsidR="0079353E">
        <w:rPr>
          <w:rFonts w:cs="Arial"/>
          <w:szCs w:val="20"/>
        </w:rPr>
        <w:t xml:space="preserve">block </w:t>
      </w:r>
      <w:r>
        <w:rPr>
          <w:rFonts w:cs="Arial"/>
          <w:szCs w:val="20"/>
        </w:rPr>
        <w:t xml:space="preserve">funded including the low-outlier hospitals and establishments excluded from </w:t>
      </w:r>
      <w:r w:rsidR="0079353E">
        <w:rPr>
          <w:rFonts w:cs="Arial"/>
          <w:szCs w:val="20"/>
        </w:rPr>
        <w:t xml:space="preserve">the </w:t>
      </w:r>
      <w:r>
        <w:rPr>
          <w:rFonts w:cs="Arial"/>
          <w:szCs w:val="20"/>
        </w:rPr>
        <w:t xml:space="preserve">development of the model. These hospitals were categorised </w:t>
      </w:r>
      <w:r w:rsidRPr="001D52E1">
        <w:rPr>
          <w:rFonts w:cs="Arial"/>
          <w:szCs w:val="20"/>
        </w:rPr>
        <w:t xml:space="preserve">by </w:t>
      </w:r>
      <w:r w:rsidR="0087033D">
        <w:rPr>
          <w:rFonts w:cs="Arial"/>
          <w:szCs w:val="20"/>
        </w:rPr>
        <w:t>remoteness</w:t>
      </w:r>
      <w:r w:rsidR="0087033D" w:rsidRPr="001D52E1">
        <w:rPr>
          <w:rFonts w:cs="Arial"/>
          <w:szCs w:val="20"/>
        </w:rPr>
        <w:t xml:space="preserve"> </w:t>
      </w:r>
      <w:r w:rsidRPr="001D52E1">
        <w:rPr>
          <w:rFonts w:cs="Arial"/>
          <w:szCs w:val="20"/>
        </w:rPr>
        <w:t xml:space="preserve">to determine </w:t>
      </w:r>
      <w:r w:rsidR="00A86FD9">
        <w:rPr>
          <w:rFonts w:cs="Arial"/>
          <w:szCs w:val="20"/>
        </w:rPr>
        <w:t>NEC22</w:t>
      </w:r>
      <w:r w:rsidRPr="001D52E1">
        <w:rPr>
          <w:rFonts w:cs="Arial"/>
          <w:szCs w:val="20"/>
        </w:rPr>
        <w:t xml:space="preserve">. </w:t>
      </w:r>
    </w:p>
    <w:p w14:paraId="4A0E1AEA" w14:textId="77777777" w:rsidR="00561E6C" w:rsidRDefault="00561E6C" w:rsidP="00755433">
      <w:pPr>
        <w:pStyle w:val="Heading2"/>
      </w:pPr>
      <w:bookmarkStart w:id="349" w:name="_Toc25750074"/>
      <w:bookmarkStart w:id="350" w:name="_Toc25750257"/>
      <w:bookmarkStart w:id="351" w:name="_Toc25750440"/>
      <w:bookmarkStart w:id="352" w:name="_Toc25750623"/>
      <w:bookmarkStart w:id="353" w:name="_Toc25750806"/>
      <w:bookmarkStart w:id="354" w:name="_Toc25750100"/>
      <w:bookmarkStart w:id="355" w:name="_Toc25750283"/>
      <w:bookmarkStart w:id="356" w:name="_Toc25750466"/>
      <w:bookmarkStart w:id="357" w:name="_Toc25750649"/>
      <w:bookmarkStart w:id="358" w:name="_Toc25750832"/>
      <w:bookmarkStart w:id="359" w:name="_Toc25750111"/>
      <w:bookmarkStart w:id="360" w:name="_Toc25750294"/>
      <w:bookmarkStart w:id="361" w:name="_Toc25750477"/>
      <w:bookmarkStart w:id="362" w:name="_Toc25750660"/>
      <w:bookmarkStart w:id="363" w:name="_Toc25750843"/>
      <w:bookmarkStart w:id="364" w:name="_Toc531698979"/>
      <w:bookmarkStart w:id="365" w:name="_Toc26278353"/>
      <w:bookmarkStart w:id="366" w:name="_Toc26370531"/>
      <w:bookmarkStart w:id="367" w:name="_Toc65145965"/>
      <w:bookmarkStart w:id="368" w:name="_Toc98882314"/>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t>Calculation of national efficient cost</w:t>
      </w:r>
      <w:bookmarkEnd w:id="364"/>
      <w:bookmarkEnd w:id="365"/>
      <w:bookmarkEnd w:id="366"/>
      <w:bookmarkEnd w:id="367"/>
      <w:bookmarkEnd w:id="368"/>
    </w:p>
    <w:p w14:paraId="1A2B6AF0" w14:textId="77777777" w:rsidR="00561E6C" w:rsidRDefault="00561E6C" w:rsidP="00561E6C">
      <w:pPr>
        <w:tabs>
          <w:tab w:val="left" w:pos="1162"/>
        </w:tabs>
        <w:spacing w:line="240" w:lineRule="auto"/>
      </w:pPr>
      <w:r w:rsidRPr="00B12DFB">
        <w:rPr>
          <w:rFonts w:cs="Arial"/>
          <w:szCs w:val="20"/>
        </w:rPr>
        <w:t>T</w:t>
      </w:r>
      <w:r>
        <w:rPr>
          <w:rFonts w:cs="Arial"/>
          <w:szCs w:val="20"/>
        </w:rPr>
        <w:t xml:space="preserve">he efficient cost of a small rural hospital is the sum of the fixed cost component and variable cost component. </w:t>
      </w:r>
    </w:p>
    <w:p w14:paraId="0EB22A32" w14:textId="3322CE51" w:rsidR="00561E6C" w:rsidRPr="00811CD9" w:rsidRDefault="00561E6C" w:rsidP="00755433">
      <w:pPr>
        <w:pStyle w:val="Heading3"/>
      </w:pPr>
      <w:bookmarkStart w:id="369" w:name="_Toc25750134"/>
      <w:bookmarkStart w:id="370" w:name="_Toc25750317"/>
      <w:bookmarkStart w:id="371" w:name="_Toc25750500"/>
      <w:bookmarkStart w:id="372" w:name="_Toc25750683"/>
      <w:bookmarkStart w:id="373" w:name="_Toc25750866"/>
      <w:bookmarkStart w:id="374" w:name="_Toc25750135"/>
      <w:bookmarkStart w:id="375" w:name="_Toc25750318"/>
      <w:bookmarkStart w:id="376" w:name="_Toc25750501"/>
      <w:bookmarkStart w:id="377" w:name="_Toc25750684"/>
      <w:bookmarkStart w:id="378" w:name="_Toc25750867"/>
      <w:bookmarkStart w:id="379" w:name="_Toc531698980"/>
      <w:bookmarkEnd w:id="369"/>
      <w:bookmarkEnd w:id="370"/>
      <w:bookmarkEnd w:id="371"/>
      <w:bookmarkEnd w:id="372"/>
      <w:bookmarkEnd w:id="373"/>
      <w:bookmarkEnd w:id="374"/>
      <w:bookmarkEnd w:id="375"/>
      <w:bookmarkEnd w:id="376"/>
      <w:bookmarkEnd w:id="377"/>
      <w:bookmarkEnd w:id="378"/>
      <w:r>
        <w:t xml:space="preserve">Calculation of the efficient cost for </w:t>
      </w:r>
      <w:r w:rsidR="00191E08">
        <w:t xml:space="preserve">small rural </w:t>
      </w:r>
      <w:r>
        <w:t>hospital</w:t>
      </w:r>
      <w:bookmarkEnd w:id="379"/>
      <w:r w:rsidR="00191E08">
        <w:t>s</w:t>
      </w:r>
      <w:r>
        <w:t xml:space="preserve"> </w:t>
      </w:r>
    </w:p>
    <w:p w14:paraId="64096BB2" w14:textId="5951BE22" w:rsidR="00561E6C" w:rsidRDefault="00561E6C" w:rsidP="00561E6C">
      <w:pPr>
        <w:tabs>
          <w:tab w:val="left" w:pos="1162"/>
        </w:tabs>
        <w:spacing w:line="240" w:lineRule="auto"/>
        <w:rPr>
          <w:rFonts w:cs="Arial"/>
          <w:szCs w:val="20"/>
        </w:rPr>
      </w:pPr>
      <w:r>
        <w:rPr>
          <w:rFonts w:cs="Arial"/>
          <w:szCs w:val="20"/>
        </w:rPr>
        <w:t xml:space="preserve">The </w:t>
      </w:r>
      <w:r w:rsidR="0095348E">
        <w:rPr>
          <w:rFonts w:cs="Arial"/>
          <w:szCs w:val="20"/>
        </w:rPr>
        <w:t xml:space="preserve">modelled </w:t>
      </w:r>
      <w:r>
        <w:rPr>
          <w:rFonts w:cs="Arial"/>
          <w:szCs w:val="20"/>
        </w:rPr>
        <w:t xml:space="preserve">cost of an in-scope block-funded hospital is given according to: </w:t>
      </w:r>
    </w:p>
    <w:p w14:paraId="587579F5" w14:textId="0E5E6343" w:rsidR="00561E6C" w:rsidRPr="00584BA6" w:rsidRDefault="000F6586" w:rsidP="00561E6C">
      <w:pPr>
        <w:tabs>
          <w:tab w:val="left" w:pos="1162"/>
        </w:tabs>
        <w:spacing w:line="240" w:lineRule="auto"/>
        <w:jc w:val="center"/>
        <w:rPr>
          <w:rFonts w:cs="Arial"/>
          <w:szCs w:val="20"/>
        </w:rPr>
      </w:pPr>
      <m:oMathPara>
        <m:oMath>
          <m:r>
            <m:rPr>
              <m:nor/>
            </m:rPr>
            <w:rPr>
              <w:rFonts w:ascii="Cambria Math" w:hAnsi="Cambria Math" w:cs="Arial"/>
              <w:szCs w:val="20"/>
            </w:rPr>
            <w:lastRenderedPageBreak/>
            <m:t>Modelled cos</m:t>
          </m:r>
          <m:r>
            <m:rPr>
              <m:sty m:val="p"/>
            </m:rPr>
            <w:rPr>
              <w:rFonts w:ascii="Cambria Math" w:hAnsi="Cambria Math" w:cs="Arial"/>
              <w:szCs w:val="20"/>
            </w:rPr>
            <m:t>t=</m:t>
          </m:r>
          <m:r>
            <m:rPr>
              <m:nor/>
            </m:rPr>
            <w:rPr>
              <w:rFonts w:ascii="Cambria Math" w:hAnsi="Cambria Math" w:cs="Arial"/>
              <w:szCs w:val="20"/>
            </w:rPr>
            <m:t>Base fixed component</m:t>
          </m:r>
          <m:r>
            <m:rPr>
              <m:sty m:val="p"/>
            </m:rPr>
            <w:rPr>
              <w:rFonts w:ascii="Cambria Math" w:hAnsi="Cambria Math" w:cs="Arial"/>
              <w:szCs w:val="20"/>
            </w:rPr>
            <m:t xml:space="preserve">× </m:t>
          </m:r>
          <m:r>
            <m:rPr>
              <m:nor/>
            </m:rPr>
            <w:rPr>
              <w:rFonts w:ascii="Cambria Math" w:hAnsi="Cambria Math" w:cs="Arial"/>
              <w:szCs w:val="20"/>
            </w:rPr>
            <m:t>Dampening factor</m:t>
          </m:r>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r>
                <m:rPr>
                  <m:nor/>
                </m:rPr>
                <w:rPr>
                  <w:rFonts w:ascii="Cambria Math" w:hAnsi="Cambria Math" w:cs="Arial"/>
                  <w:szCs w:val="20"/>
                </w:rPr>
                <m:t>Very remote adjustment</m:t>
              </m:r>
            </m:e>
          </m:d>
          <m:r>
            <m:rPr>
              <m:sty m:val="p"/>
            </m:rPr>
            <w:rPr>
              <w:rFonts w:ascii="Cambria Math" w:hAnsi="Cambria Math" w:cs="Arial"/>
              <w:szCs w:val="20"/>
            </w:rPr>
            <m:t>+</m:t>
          </m:r>
          <m:r>
            <m:rPr>
              <m:nor/>
            </m:rPr>
            <w:rPr>
              <w:rFonts w:ascii="Cambria Math" w:hAnsi="Cambria Math" w:cs="Arial"/>
              <w:szCs w:val="20"/>
            </w:rPr>
            <m:t>NEP22 reference cost</m:t>
          </m:r>
          <m:r>
            <m:rPr>
              <m:sty m:val="p"/>
            </m:rPr>
            <w:rPr>
              <w:rFonts w:ascii="Cambria Math" w:hAnsi="Cambria Math" w:cs="Arial"/>
              <w:szCs w:val="20"/>
            </w:rPr>
            <m:t>×</m:t>
          </m:r>
          <m:r>
            <m:rPr>
              <m:nor/>
            </m:rPr>
            <w:rPr>
              <w:rFonts w:ascii="Cambria Math" w:hAnsi="Cambria Math" w:cs="Arial"/>
              <w:szCs w:val="20"/>
            </w:rPr>
            <m:t>Total NWAU</m:t>
          </m:r>
        </m:oMath>
      </m:oMathPara>
    </w:p>
    <w:p w14:paraId="2DD4943B" w14:textId="4CCDF674" w:rsidR="00561E6C" w:rsidRDefault="0079353E" w:rsidP="00561E6C">
      <w:pPr>
        <w:tabs>
          <w:tab w:val="left" w:pos="1162"/>
        </w:tabs>
        <w:spacing w:line="240" w:lineRule="auto"/>
        <w:rPr>
          <w:rFonts w:cs="Arial"/>
          <w:szCs w:val="20"/>
        </w:rPr>
      </w:pPr>
      <w:r>
        <w:rPr>
          <w:rFonts w:cs="Arial"/>
          <w:szCs w:val="20"/>
        </w:rPr>
        <w:t>W</w:t>
      </w:r>
      <w:r w:rsidR="00561E6C">
        <w:rPr>
          <w:rFonts w:cs="Arial"/>
          <w:szCs w:val="20"/>
        </w:rPr>
        <w:t xml:space="preserve">here “Total NWAU” is a measure of total in-scope activity by the establishment, and all other terms are as defined in </w:t>
      </w:r>
      <w:r w:rsidR="00561E6C" w:rsidRPr="003262FB">
        <w:rPr>
          <w:rFonts w:cs="Arial"/>
          <w:szCs w:val="20"/>
        </w:rPr>
        <w:t xml:space="preserve">Section </w:t>
      </w:r>
      <w:r w:rsidR="00862A3F" w:rsidRPr="003262FB">
        <w:rPr>
          <w:rFonts w:cs="Arial"/>
          <w:szCs w:val="20"/>
        </w:rPr>
        <w:t>8.</w:t>
      </w:r>
      <w:r w:rsidR="003D44CB" w:rsidRPr="003262FB">
        <w:rPr>
          <w:rFonts w:cs="Arial"/>
          <w:szCs w:val="20"/>
        </w:rPr>
        <w:t>2.4</w:t>
      </w:r>
      <w:r w:rsidR="00561E6C">
        <w:rPr>
          <w:rFonts w:cs="Arial"/>
          <w:szCs w:val="20"/>
        </w:rPr>
        <w:t>. Non-routine hospitals included:</w:t>
      </w:r>
    </w:p>
    <w:p w14:paraId="4F47684F" w14:textId="77777777" w:rsidR="00561E6C" w:rsidRPr="00EC1F9C" w:rsidRDefault="00561E6C" w:rsidP="0067139D">
      <w:pPr>
        <w:pStyle w:val="Heading4"/>
        <w:numPr>
          <w:ilvl w:val="2"/>
          <w:numId w:val="26"/>
        </w:numPr>
        <w:spacing w:before="120" w:after="60" w:line="240" w:lineRule="auto"/>
        <w:rPr>
          <w:b/>
          <w:color w:val="auto"/>
        </w:rPr>
      </w:pPr>
      <w:r w:rsidRPr="00EC1F9C">
        <w:rPr>
          <w:rFonts w:cs="Arial"/>
          <w:b/>
          <w:color w:val="auto"/>
          <w:szCs w:val="20"/>
        </w:rPr>
        <w:t>Low</w:t>
      </w:r>
      <w:r>
        <w:rPr>
          <w:rFonts w:cs="Arial"/>
          <w:b/>
          <w:color w:val="auto"/>
          <w:szCs w:val="20"/>
        </w:rPr>
        <w:t xml:space="preserve"> </w:t>
      </w:r>
      <w:r w:rsidRPr="00EC1F9C">
        <w:rPr>
          <w:b/>
          <w:color w:val="auto"/>
        </w:rPr>
        <w:t>outliers</w:t>
      </w:r>
    </w:p>
    <w:p w14:paraId="0179867B" w14:textId="2FF80DD9" w:rsidR="00561E6C" w:rsidRDefault="00561E6C" w:rsidP="00887853">
      <w:pPr>
        <w:pStyle w:val="ListBullet"/>
      </w:pPr>
      <w:r>
        <w:t xml:space="preserve">The fixed-plus-variable model is not applied to low-outlier hospitals which have activity below a calculated activity threshold of </w:t>
      </w:r>
      <w:r w:rsidR="00DE6B51">
        <w:t xml:space="preserve">194 </w:t>
      </w:r>
      <w:r>
        <w:t>NWAU.</w:t>
      </w:r>
    </w:p>
    <w:p w14:paraId="2E28BFC0" w14:textId="77777777" w:rsidR="00561E6C" w:rsidRDefault="00561E6C" w:rsidP="00887853">
      <w:pPr>
        <w:pStyle w:val="ListBullet"/>
      </w:pPr>
      <w:r>
        <w:t>The efficient cost of these hospitals is determined as the fixed component with no dampening or very remote adjustment applied.</w:t>
      </w:r>
    </w:p>
    <w:p w14:paraId="78CDB663" w14:textId="77777777" w:rsidR="00561E6C" w:rsidRPr="00EC1F9C" w:rsidRDefault="00561E6C" w:rsidP="0067139D">
      <w:pPr>
        <w:pStyle w:val="Heading4"/>
        <w:numPr>
          <w:ilvl w:val="2"/>
          <w:numId w:val="26"/>
        </w:numPr>
        <w:spacing w:before="120" w:after="60" w:line="240" w:lineRule="auto"/>
        <w:rPr>
          <w:b/>
          <w:color w:val="auto"/>
        </w:rPr>
      </w:pPr>
      <w:r w:rsidRPr="00EC1F9C">
        <w:rPr>
          <w:b/>
          <w:color w:val="auto"/>
        </w:rPr>
        <w:t>Hospitals with missing data</w:t>
      </w:r>
    </w:p>
    <w:p w14:paraId="06DAFF8F" w14:textId="1CD573B8" w:rsidR="00561E6C" w:rsidRDefault="00561E6C" w:rsidP="00887853">
      <w:pPr>
        <w:pStyle w:val="ListBullet"/>
      </w:pPr>
      <w:r>
        <w:t>Jurisdictional advice was sought on hospitals with missing activity or cost data. Where appropriate, new data received from jurisdictions was incorporated into existing datasets for these hospitals. They</w:t>
      </w:r>
      <w:r w:rsidRPr="003474BA">
        <w:t xml:space="preserve"> are then treated in the same way as hospitals </w:t>
      </w:r>
      <w:r>
        <w:t xml:space="preserve">reporting adequate </w:t>
      </w:r>
      <w:r w:rsidRPr="003474BA">
        <w:t xml:space="preserve">data for the purposes of determining </w:t>
      </w:r>
      <w:r>
        <w:t xml:space="preserve">the </w:t>
      </w:r>
      <w:r w:rsidR="000E0D3C">
        <w:t>2019</w:t>
      </w:r>
      <w:r w:rsidR="00412FC7">
        <w:t>–</w:t>
      </w:r>
      <w:r w:rsidR="000E0D3C">
        <w:t>20</w:t>
      </w:r>
      <w:r w:rsidR="000E0D3C" w:rsidRPr="001F6FD3">
        <w:t xml:space="preserve"> </w:t>
      </w:r>
      <w:r w:rsidR="009A03BE">
        <w:t xml:space="preserve">total </w:t>
      </w:r>
      <w:r>
        <w:t>cost</w:t>
      </w:r>
      <w:r w:rsidRPr="003474BA">
        <w:t xml:space="preserve"> and </w:t>
      </w:r>
      <w:r w:rsidR="000E0D3C">
        <w:t>NEC22</w:t>
      </w:r>
      <w:r w:rsidRPr="003474BA">
        <w:t>.</w:t>
      </w:r>
    </w:p>
    <w:p w14:paraId="6C3EE5FE" w14:textId="1CD573B8" w:rsidR="0095348E" w:rsidRDefault="00561E6C" w:rsidP="00561E6C">
      <w:pPr>
        <w:tabs>
          <w:tab w:val="left" w:pos="1162"/>
        </w:tabs>
        <w:spacing w:line="240" w:lineRule="auto"/>
        <w:rPr>
          <w:rFonts w:cs="Arial"/>
        </w:rPr>
      </w:pPr>
      <w:r w:rsidRPr="6BBC7271">
        <w:rPr>
          <w:rFonts w:cs="Arial"/>
        </w:rPr>
        <w:t>In addition to the above, standalone hospitals including specialist psychiatric and major city hospitals are treated separately and are addressed further below.</w:t>
      </w:r>
      <w:r w:rsidR="00B5205A" w:rsidRPr="6BBC7271">
        <w:rPr>
          <w:rFonts w:cs="Arial"/>
        </w:rPr>
        <w:t xml:space="preserve"> </w:t>
      </w:r>
    </w:p>
    <w:p w14:paraId="1A8AD3B7" w14:textId="5A37FC19" w:rsidR="00561E6C" w:rsidRDefault="00B5205A" w:rsidP="00561E6C">
      <w:pPr>
        <w:tabs>
          <w:tab w:val="left" w:pos="1162"/>
        </w:tabs>
        <w:spacing w:line="240" w:lineRule="auto"/>
        <w:rPr>
          <w:rFonts w:cs="Arial"/>
          <w:szCs w:val="20"/>
        </w:rPr>
      </w:pPr>
      <w:r>
        <w:rPr>
          <w:rFonts w:cs="Arial"/>
          <w:szCs w:val="20"/>
        </w:rPr>
        <w:t>The efficient cost of an in-scope block-funded hospital</w:t>
      </w:r>
      <w:r w:rsidR="0095348E">
        <w:rPr>
          <w:rFonts w:cs="Arial"/>
          <w:szCs w:val="20"/>
        </w:rPr>
        <w:t xml:space="preserve"> </w:t>
      </w:r>
      <w:r w:rsidR="00280BCE">
        <w:rPr>
          <w:rFonts w:cs="Arial"/>
          <w:szCs w:val="20"/>
        </w:rPr>
        <w:t xml:space="preserve">is calculated using the formula as </w:t>
      </w:r>
      <w:r w:rsidR="00F47656">
        <w:rPr>
          <w:rFonts w:cs="Arial"/>
          <w:szCs w:val="20"/>
        </w:rPr>
        <w:t>above</w:t>
      </w:r>
      <w:r w:rsidR="0058328D">
        <w:rPr>
          <w:rFonts w:cs="Arial"/>
          <w:szCs w:val="20"/>
        </w:rPr>
        <w:t xml:space="preserve">, </w:t>
      </w:r>
      <w:r w:rsidR="00280BCE">
        <w:rPr>
          <w:rFonts w:cs="Arial"/>
          <w:szCs w:val="20"/>
        </w:rPr>
        <w:t xml:space="preserve">using </w:t>
      </w:r>
      <w:r w:rsidR="007F3322">
        <w:rPr>
          <w:rFonts w:cs="Arial"/>
          <w:szCs w:val="20"/>
        </w:rPr>
        <w:t>cost parameters from Table 21 indexed forward three years</w:t>
      </w:r>
      <w:r w:rsidR="007832BA">
        <w:rPr>
          <w:rFonts w:cs="Arial"/>
          <w:szCs w:val="20"/>
        </w:rPr>
        <w:t xml:space="preserve"> (r</w:t>
      </w:r>
      <w:r w:rsidR="00396AB7">
        <w:rPr>
          <w:rFonts w:cs="Arial"/>
          <w:szCs w:val="20"/>
        </w:rPr>
        <w:t xml:space="preserve">efer to </w:t>
      </w:r>
      <w:r w:rsidR="00955DE8">
        <w:rPr>
          <w:rFonts w:cs="Arial"/>
          <w:szCs w:val="20"/>
        </w:rPr>
        <w:t xml:space="preserve">Section 3 of the National Efficient Cost </w:t>
      </w:r>
      <w:r w:rsidR="007832BA">
        <w:rPr>
          <w:rFonts w:cs="Arial"/>
          <w:szCs w:val="20"/>
        </w:rPr>
        <w:t>Determination 2022-23)</w:t>
      </w:r>
      <w:r w:rsidR="00955DE8">
        <w:rPr>
          <w:rFonts w:cs="Arial"/>
          <w:szCs w:val="20"/>
        </w:rPr>
        <w:t>.</w:t>
      </w:r>
    </w:p>
    <w:p w14:paraId="52937C98" w14:textId="30CF22C0" w:rsidR="00191E08" w:rsidRDefault="00191E08" w:rsidP="00191E08">
      <w:pPr>
        <w:pStyle w:val="Heading3"/>
      </w:pPr>
      <w:r>
        <w:t>Calculation of the efficient cost of specialist psychiatric</w:t>
      </w:r>
      <w:r w:rsidR="00AC5C13">
        <w:t>,</w:t>
      </w:r>
      <w:r>
        <w:t xml:space="preserve"> major city </w:t>
      </w:r>
      <w:r w:rsidR="00AC5C13">
        <w:t>and other standalone</w:t>
      </w:r>
      <w:r w:rsidR="006C08D9">
        <w:t xml:space="preserve"> </w:t>
      </w:r>
      <w:r>
        <w:t xml:space="preserve">hospitals </w:t>
      </w:r>
    </w:p>
    <w:p w14:paraId="7F1FA2F0" w14:textId="17261880" w:rsidR="00191E08" w:rsidRDefault="00191E08" w:rsidP="00191E08">
      <w:pPr>
        <w:spacing w:line="240" w:lineRule="auto"/>
      </w:pPr>
      <w:r w:rsidRPr="00603CB8">
        <w:t xml:space="preserve">Specialist mental health hospitals are excluded from the model from the outset. These </w:t>
      </w:r>
      <w:r>
        <w:t xml:space="preserve">hospitals </w:t>
      </w:r>
      <w:r w:rsidRPr="00603CB8">
        <w:t>are assigned model costs based on advice from jurisdictions.</w:t>
      </w:r>
      <w:r>
        <w:t xml:space="preserve"> Where advice was not received from jurisdictions, reported 2019</w:t>
      </w:r>
      <w:r>
        <w:rPr>
          <w:rFonts w:cs="Arial"/>
          <w:szCs w:val="20"/>
        </w:rPr>
        <w:t>–</w:t>
      </w:r>
      <w:r>
        <w:t xml:space="preserve">20 NPHED data or the </w:t>
      </w:r>
      <w:r w:rsidR="004532FB">
        <w:t xml:space="preserve">final supplementary </w:t>
      </w:r>
      <w:r>
        <w:t xml:space="preserve">NEC21 efficient cost has been escalated by the NEC22 </w:t>
      </w:r>
      <w:r w:rsidR="00001D0C">
        <w:t xml:space="preserve">adjusted </w:t>
      </w:r>
      <w:r>
        <w:t xml:space="preserve">indexation rate to become the NEC22 efficient cost for each of these hospitals. Indexation is described in further </w:t>
      </w:r>
      <w:r w:rsidRPr="00382D5D">
        <w:t xml:space="preserve">detail in </w:t>
      </w:r>
      <w:r w:rsidRPr="003262FB">
        <w:t>Section</w:t>
      </w:r>
      <w:r>
        <w:t xml:space="preserve"> </w:t>
      </w:r>
      <w:r>
        <w:rPr>
          <w:color w:val="2B579A"/>
          <w:shd w:val="clear" w:color="auto" w:fill="E6E6E6"/>
        </w:rPr>
        <w:fldChar w:fldCharType="begin"/>
      </w:r>
      <w:r>
        <w:instrText xml:space="preserve"> REF _Ref89167944 \r \h </w:instrText>
      </w:r>
      <w:r>
        <w:rPr>
          <w:color w:val="2B579A"/>
          <w:shd w:val="clear" w:color="auto" w:fill="E6E6E6"/>
        </w:rPr>
      </w:r>
      <w:r>
        <w:rPr>
          <w:color w:val="2B579A"/>
          <w:shd w:val="clear" w:color="auto" w:fill="E6E6E6"/>
        </w:rPr>
        <w:fldChar w:fldCharType="separate"/>
      </w:r>
      <w:r w:rsidR="003F234C">
        <w:t>8.4</w:t>
      </w:r>
      <w:r>
        <w:rPr>
          <w:color w:val="2B579A"/>
          <w:shd w:val="clear" w:color="auto" w:fill="E6E6E6"/>
        </w:rPr>
        <w:fldChar w:fldCharType="end"/>
      </w:r>
      <w:r w:rsidRPr="003262FB">
        <w:t>.</w:t>
      </w:r>
    </w:p>
    <w:p w14:paraId="030CAD7B" w14:textId="57567928" w:rsidR="00191E08" w:rsidRPr="007F3EA7" w:rsidRDefault="00191E08" w:rsidP="00147EF1">
      <w:pPr>
        <w:spacing w:line="240" w:lineRule="auto"/>
      </w:pPr>
      <w:r>
        <w:t>The 2022–23 efficient cost for the nine</w:t>
      </w:r>
      <w:r w:rsidRPr="00B96360">
        <w:t xml:space="preserve"> major city</w:t>
      </w:r>
      <w:r>
        <w:t xml:space="preserve"> hospitals, as well as the one other standalone hospital, will be determined separately in a similar way, following consultation with jurisdictions.</w:t>
      </w:r>
    </w:p>
    <w:p w14:paraId="5AE8C0E3" w14:textId="1901C4B6" w:rsidR="00561E6C" w:rsidRDefault="00561E6C" w:rsidP="00755433">
      <w:pPr>
        <w:pStyle w:val="Heading2"/>
      </w:pPr>
      <w:bookmarkStart w:id="380" w:name="_Toc25750137"/>
      <w:bookmarkStart w:id="381" w:name="_Toc25750320"/>
      <w:bookmarkStart w:id="382" w:name="_Toc25750503"/>
      <w:bookmarkStart w:id="383" w:name="_Toc25750686"/>
      <w:bookmarkStart w:id="384" w:name="_Toc25750869"/>
      <w:bookmarkStart w:id="385" w:name="_Toc531698982"/>
      <w:bookmarkStart w:id="386" w:name="_Toc26278354"/>
      <w:bookmarkStart w:id="387" w:name="_Toc26370532"/>
      <w:bookmarkStart w:id="388" w:name="_Toc65145966"/>
      <w:bookmarkStart w:id="389" w:name="_Ref89167944"/>
      <w:bookmarkStart w:id="390" w:name="_Toc98882315"/>
      <w:bookmarkEnd w:id="380"/>
      <w:bookmarkEnd w:id="381"/>
      <w:bookmarkEnd w:id="382"/>
      <w:bookmarkEnd w:id="383"/>
      <w:bookmarkEnd w:id="384"/>
      <w:r>
        <w:t xml:space="preserve">Indexation of the </w:t>
      </w:r>
      <w:r w:rsidR="00066FA0">
        <w:rPr>
          <w:rFonts w:cs="Arial"/>
          <w:szCs w:val="20"/>
        </w:rPr>
        <w:t>2019</w:t>
      </w:r>
      <w:r>
        <w:rPr>
          <w:rFonts w:cs="Arial"/>
          <w:szCs w:val="20"/>
        </w:rPr>
        <w:t>–</w:t>
      </w:r>
      <w:r w:rsidR="00066FA0">
        <w:rPr>
          <w:rFonts w:cs="Arial"/>
          <w:szCs w:val="20"/>
        </w:rPr>
        <w:t>20</w:t>
      </w:r>
      <w:r w:rsidR="00066FA0" w:rsidRPr="001F6FD3">
        <w:rPr>
          <w:rFonts w:cs="Arial"/>
          <w:szCs w:val="20"/>
        </w:rPr>
        <w:t xml:space="preserve"> </w:t>
      </w:r>
      <w:r>
        <w:t>model</w:t>
      </w:r>
      <w:bookmarkEnd w:id="385"/>
      <w:bookmarkEnd w:id="386"/>
      <w:bookmarkEnd w:id="387"/>
      <w:bookmarkEnd w:id="388"/>
      <w:bookmarkEnd w:id="389"/>
      <w:bookmarkEnd w:id="390"/>
      <w:r>
        <w:t xml:space="preserve"> </w:t>
      </w:r>
    </w:p>
    <w:p w14:paraId="7A9E75FE" w14:textId="0B4905E8" w:rsidR="00CE6E96" w:rsidRDefault="00561E6C" w:rsidP="00CE6E96">
      <w:pPr>
        <w:tabs>
          <w:tab w:val="left" w:pos="1162"/>
        </w:tabs>
        <w:spacing w:line="240" w:lineRule="auto"/>
      </w:pPr>
      <w:r>
        <w:t xml:space="preserve">Due to the </w:t>
      </w:r>
      <w:r w:rsidRPr="00801AF5">
        <w:t>three</w:t>
      </w:r>
      <w:r w:rsidRPr="00C150CE">
        <w:t xml:space="preserve">-year time lag in data collection, cost model results for </w:t>
      </w:r>
      <w:r w:rsidR="00066FA0">
        <w:rPr>
          <w:rFonts w:cs="Arial"/>
          <w:szCs w:val="20"/>
        </w:rPr>
        <w:t>2019</w:t>
      </w:r>
      <w:r>
        <w:rPr>
          <w:rFonts w:cs="Arial"/>
          <w:szCs w:val="20"/>
        </w:rPr>
        <w:t>–</w:t>
      </w:r>
      <w:r w:rsidR="00066FA0">
        <w:rPr>
          <w:rFonts w:cs="Arial"/>
          <w:szCs w:val="20"/>
        </w:rPr>
        <w:t>20</w:t>
      </w:r>
      <w:r w:rsidR="00066FA0" w:rsidRPr="001F6FD3">
        <w:rPr>
          <w:rFonts w:cs="Arial"/>
          <w:szCs w:val="20"/>
        </w:rPr>
        <w:t xml:space="preserve"> </w:t>
      </w:r>
      <w:r>
        <w:t>were</w:t>
      </w:r>
      <w:r w:rsidRPr="00C150CE">
        <w:t xml:space="preserve"> indexed over three years to give a price model for </w:t>
      </w:r>
      <w:r w:rsidR="00066FA0">
        <w:t>2022</w:t>
      </w:r>
      <w:r>
        <w:t>–</w:t>
      </w:r>
      <w:r w:rsidR="00066FA0">
        <w:t>23</w:t>
      </w:r>
      <w:r w:rsidRPr="00C150CE">
        <w:t>.</w:t>
      </w:r>
      <w:r w:rsidR="00CE6E96">
        <w:t xml:space="preserve"> </w:t>
      </w:r>
      <w:r w:rsidR="008E2878" w:rsidRPr="0075022F">
        <w:t>Figure 10</w:t>
      </w:r>
      <w:r w:rsidRPr="00D07EF6">
        <w:rPr>
          <w:noProof/>
        </w:rPr>
        <w:t xml:space="preserve"> </w:t>
      </w:r>
      <w:r w:rsidR="00AE1BA5">
        <w:rPr>
          <w:noProof/>
        </w:rPr>
        <w:t>shows</w:t>
      </w:r>
      <w:r w:rsidR="00AE1BA5" w:rsidRPr="002D606E">
        <w:rPr>
          <w:noProof/>
        </w:rPr>
        <w:t xml:space="preserve"> </w:t>
      </w:r>
      <w:r>
        <w:rPr>
          <w:noProof/>
        </w:rPr>
        <w:t xml:space="preserve">that </w:t>
      </w:r>
      <w:r w:rsidRPr="00EC32C8">
        <w:t xml:space="preserve">the </w:t>
      </w:r>
      <w:r w:rsidR="00C76B38">
        <w:t xml:space="preserve">raw </w:t>
      </w:r>
      <w:r w:rsidRPr="00EC32C8">
        <w:t xml:space="preserve">indexation rate </w:t>
      </w:r>
      <w:r w:rsidR="00D66F16">
        <w:t xml:space="preserve">(3.1 per cent) </w:t>
      </w:r>
      <w:r w:rsidRPr="00EC32C8">
        <w:t>is given by the slope of the exponential line of best-fit</w:t>
      </w:r>
      <w:r w:rsidR="0079353E">
        <w:t xml:space="preserve"> </w:t>
      </w:r>
      <w:r w:rsidR="006D5855">
        <w:t xml:space="preserve">of in-scope expenditure for block-funded hospitals </w:t>
      </w:r>
      <w:r w:rsidR="0079353E">
        <w:t>across five</w:t>
      </w:r>
      <w:r>
        <w:t xml:space="preserve"> years. </w:t>
      </w:r>
    </w:p>
    <w:p w14:paraId="05FDAAE5" w14:textId="653B4416" w:rsidR="00A16B65" w:rsidRPr="00235EEA" w:rsidRDefault="00D05643" w:rsidP="00CE6E96">
      <w:pPr>
        <w:tabs>
          <w:tab w:val="left" w:pos="1162"/>
        </w:tabs>
        <w:spacing w:line="240" w:lineRule="auto"/>
      </w:pPr>
      <w:r>
        <w:t>For NEC22, th</w:t>
      </w:r>
      <w:r w:rsidR="00CD6A32">
        <w:t>is</w:t>
      </w:r>
      <w:r>
        <w:t xml:space="preserve"> </w:t>
      </w:r>
      <w:r w:rsidR="00313BD9">
        <w:t xml:space="preserve">raw </w:t>
      </w:r>
      <w:r w:rsidR="00B475EF">
        <w:t>indexation rate has been adjusted to include</w:t>
      </w:r>
      <w:r w:rsidR="00E22EF5">
        <w:t xml:space="preserve"> an additional 0.54 per </w:t>
      </w:r>
      <w:r w:rsidR="00F15157">
        <w:t xml:space="preserve">cent to </w:t>
      </w:r>
      <w:r w:rsidR="00470D8C">
        <w:t xml:space="preserve">prospectively </w:t>
      </w:r>
      <w:r w:rsidR="00F15157">
        <w:t xml:space="preserve">account </w:t>
      </w:r>
      <w:r w:rsidR="00F15157" w:rsidRPr="00235EEA">
        <w:t xml:space="preserve">for increases in the minimum superannuation guarantee </w:t>
      </w:r>
      <w:r w:rsidR="00A67829" w:rsidRPr="00235EEA">
        <w:t xml:space="preserve">(refer to </w:t>
      </w:r>
      <w:r w:rsidR="00A67829" w:rsidRPr="00BD4D64">
        <w:t xml:space="preserve">Section </w:t>
      </w:r>
      <w:r w:rsidR="00BD4D64" w:rsidRPr="0050256A">
        <w:rPr>
          <w:shd w:val="clear" w:color="auto" w:fill="E6E6E6"/>
        </w:rPr>
        <w:fldChar w:fldCharType="begin"/>
      </w:r>
      <w:r w:rsidR="00BD4D64" w:rsidRPr="00EF4493">
        <w:rPr>
          <w:shd w:val="clear" w:color="auto" w:fill="E6E6E6"/>
        </w:rPr>
        <w:instrText xml:space="preserve"> REF _Ref98798711 \r \h </w:instrText>
      </w:r>
      <w:r w:rsidR="00BD4D64">
        <w:rPr>
          <w:shd w:val="clear" w:color="auto" w:fill="E6E6E6"/>
        </w:rPr>
        <w:instrText xml:space="preserve"> \* MERGEFORMAT </w:instrText>
      </w:r>
      <w:r w:rsidR="00BD4D64" w:rsidRPr="0050256A">
        <w:rPr>
          <w:shd w:val="clear" w:color="auto" w:fill="E6E6E6"/>
        </w:rPr>
      </w:r>
      <w:r w:rsidR="00BD4D64" w:rsidRPr="0050256A">
        <w:rPr>
          <w:shd w:val="clear" w:color="auto" w:fill="E6E6E6"/>
        </w:rPr>
        <w:fldChar w:fldCharType="separate"/>
      </w:r>
      <w:r w:rsidR="003F234C">
        <w:rPr>
          <w:shd w:val="clear" w:color="auto" w:fill="E6E6E6"/>
        </w:rPr>
        <w:t>7.4.1</w:t>
      </w:r>
      <w:r w:rsidR="00BD4D64" w:rsidRPr="0050256A">
        <w:rPr>
          <w:shd w:val="clear" w:color="auto" w:fill="E6E6E6"/>
        </w:rPr>
        <w:fldChar w:fldCharType="end"/>
      </w:r>
      <w:r w:rsidR="00A67829" w:rsidRPr="00235EEA">
        <w:t xml:space="preserve"> for </w:t>
      </w:r>
      <w:r w:rsidR="00CE6E96" w:rsidRPr="00235EEA">
        <w:t>further background information</w:t>
      </w:r>
      <w:r w:rsidR="00A67829" w:rsidRPr="00235EEA">
        <w:t>).</w:t>
      </w:r>
      <w:r w:rsidR="00042413" w:rsidRPr="00235EEA">
        <w:t xml:space="preserve"> </w:t>
      </w:r>
      <w:r w:rsidR="001A0452" w:rsidRPr="00235EEA">
        <w:t>The adjusted NEC22 indexat</w:t>
      </w:r>
      <w:r w:rsidR="00553516" w:rsidRPr="00235EEA">
        <w:t>ion rate was calculated using</w:t>
      </w:r>
      <w:r w:rsidR="00F96633" w:rsidRPr="00235EEA">
        <w:t xml:space="preserve"> the formula:</w:t>
      </w:r>
    </w:p>
    <w:p w14:paraId="4098AB13" w14:textId="52399CB7" w:rsidR="00F96633" w:rsidRPr="00235EEA" w:rsidRDefault="000D589B" w:rsidP="00EF4493">
      <w:pPr>
        <w:tabs>
          <w:tab w:val="left" w:pos="1162"/>
        </w:tabs>
        <w:spacing w:line="240" w:lineRule="auto"/>
      </w:pPr>
      <m:oMathPara>
        <m:oMath>
          <m:r>
            <m:rPr>
              <m:nor/>
            </m:rPr>
            <w:rPr>
              <w:rFonts w:ascii="Cambria Math" w:hAnsi="Cambria Math"/>
            </w:rPr>
            <m:t>Adjusted NEC22 indexation rate= [</m:t>
          </m:r>
          <m:sSup>
            <m:sSupPr>
              <m:ctrlPr>
                <w:rPr>
                  <w:rFonts w:ascii="Cambria Math" w:hAnsi="Cambria Math"/>
                  <w:i/>
                </w:rPr>
              </m:ctrlPr>
            </m:sSupPr>
            <m:e>
              <m:sSup>
                <m:sSupPr>
                  <m:ctrlPr>
                    <w:rPr>
                      <w:rFonts w:ascii="Cambria Math" w:hAnsi="Cambria Math"/>
                      <w:i/>
                    </w:rPr>
                  </m:ctrlPr>
                </m:sSupPr>
                <m:e>
                  <m:d>
                    <m:dPr>
                      <m:ctrlPr>
                        <w:rPr>
                          <w:rFonts w:ascii="Cambria Math" w:hAnsi="Cambria Math"/>
                          <w:i/>
                        </w:rPr>
                      </m:ctrlPr>
                    </m:dPr>
                    <m:e>
                      <m:r>
                        <m:rPr>
                          <m:nor/>
                        </m:rPr>
                        <w:rPr>
                          <w:rFonts w:ascii="Cambria Math" w:hAnsi="Cambria Math"/>
                        </w:rPr>
                        <m:t>1+3.1%</m:t>
                      </m:r>
                    </m:e>
                  </m:d>
                </m:e>
                <m:sup>
                  <m:r>
                    <m:rPr>
                      <m:nor/>
                    </m:rPr>
                    <w:rPr>
                      <w:rFonts w:ascii="Cambria Math" w:hAnsi="Cambria Math"/>
                    </w:rPr>
                    <m:t>3</m:t>
                  </m:r>
                </m:sup>
              </m:sSup>
              <m:r>
                <m:rPr>
                  <m:nor/>
                </m:rPr>
                <w:rPr>
                  <w:rFonts w:ascii="Cambria Math" w:hAnsi="Cambria Math"/>
                </w:rPr>
                <m:t xml:space="preserve"> × </m:t>
              </m:r>
              <m:d>
                <m:dPr>
                  <m:ctrlPr>
                    <w:rPr>
                      <w:rFonts w:ascii="Cambria Math" w:hAnsi="Cambria Math"/>
                      <w:i/>
                    </w:rPr>
                  </m:ctrlPr>
                </m:dPr>
                <m:e>
                  <m:r>
                    <m:rPr>
                      <m:nor/>
                    </m:rPr>
                    <w:rPr>
                      <w:rFonts w:ascii="Cambria Math" w:hAnsi="Cambria Math"/>
                    </w:rPr>
                    <m:t>1+0.54%</m:t>
                  </m:r>
                </m:e>
              </m:d>
              <m:r>
                <m:rPr>
                  <m:nor/>
                </m:rPr>
                <w:rPr>
                  <w:rFonts w:ascii="Cambria Math" w:hAnsi="Cambria Math"/>
                </w:rPr>
                <m:t>]</m:t>
              </m:r>
            </m:e>
            <m:sup>
              <m:f>
                <m:fPr>
                  <m:ctrlPr>
                    <w:rPr>
                      <w:rFonts w:ascii="Cambria Math" w:hAnsi="Cambria Math"/>
                      <w:i/>
                    </w:rPr>
                  </m:ctrlPr>
                </m:fPr>
                <m:num>
                  <m:r>
                    <m:rPr>
                      <m:nor/>
                    </m:rPr>
                    <w:rPr>
                      <w:rFonts w:ascii="Cambria Math" w:hAnsi="Cambria Math"/>
                    </w:rPr>
                    <m:t>1</m:t>
                  </m:r>
                </m:num>
                <m:den>
                  <m:r>
                    <m:rPr>
                      <m:nor/>
                    </m:rPr>
                    <w:rPr>
                      <w:rFonts w:ascii="Cambria Math" w:hAnsi="Cambria Math"/>
                    </w:rPr>
                    <m:t>3</m:t>
                  </m:r>
                </m:den>
              </m:f>
            </m:sup>
          </m:sSup>
          <m:r>
            <w:rPr>
              <w:rFonts w:ascii="Cambria Math" w:hAnsi="Cambria Math"/>
            </w:rPr>
            <m:t xml:space="preserve"> </m:t>
          </m:r>
          <m:r>
            <m:rPr>
              <m:nor/>
            </m:rPr>
            <w:rPr>
              <w:rFonts w:ascii="Cambria Math" w:hAnsi="Cambria Math"/>
            </w:rPr>
            <m:t>- 1 = 3.3%</m:t>
          </m:r>
        </m:oMath>
      </m:oMathPara>
    </w:p>
    <w:p w14:paraId="66FF2317" w14:textId="08BE4D6C" w:rsidR="00561E6C" w:rsidRDefault="00561E6C" w:rsidP="00561E6C">
      <w:pPr>
        <w:spacing w:after="0" w:line="240" w:lineRule="auto"/>
      </w:pPr>
      <w:r w:rsidRPr="00235EEA">
        <w:t xml:space="preserve">The overall </w:t>
      </w:r>
      <w:r w:rsidR="00066FA0" w:rsidRPr="00235EEA">
        <w:rPr>
          <w:rFonts w:cs="Arial"/>
        </w:rPr>
        <w:t>2019</w:t>
      </w:r>
      <w:r w:rsidRPr="00235EEA">
        <w:rPr>
          <w:rFonts w:cs="Arial"/>
        </w:rPr>
        <w:t>–</w:t>
      </w:r>
      <w:r w:rsidR="00066FA0" w:rsidRPr="00235EEA">
        <w:rPr>
          <w:rFonts w:cs="Arial"/>
        </w:rPr>
        <w:t xml:space="preserve">20 </w:t>
      </w:r>
      <w:r w:rsidRPr="00235EEA">
        <w:t xml:space="preserve">model spend was projected to </w:t>
      </w:r>
      <w:r w:rsidR="00066FA0" w:rsidRPr="00235EEA">
        <w:rPr>
          <w:rFonts w:cs="Arial"/>
        </w:rPr>
        <w:t>2022</w:t>
      </w:r>
      <w:r w:rsidRPr="5E8A82E9">
        <w:rPr>
          <w:rFonts w:cs="Arial"/>
        </w:rPr>
        <w:t>–</w:t>
      </w:r>
      <w:r w:rsidR="00066FA0" w:rsidRPr="5E8A82E9">
        <w:rPr>
          <w:rFonts w:cs="Arial"/>
        </w:rPr>
        <w:t>23</w:t>
      </w:r>
      <w:r w:rsidR="00066FA0" w:rsidRPr="004468C1">
        <w:t xml:space="preserve"> </w:t>
      </w:r>
      <w:r w:rsidRPr="004468C1">
        <w:t xml:space="preserve">using the annual indexation factor </w:t>
      </w:r>
      <w:r>
        <w:t xml:space="preserve">of </w:t>
      </w:r>
      <w:r w:rsidR="00DE6B51">
        <w:t xml:space="preserve">3.3 </w:t>
      </w:r>
      <w:r>
        <w:t xml:space="preserve">per cent per annum, </w:t>
      </w:r>
      <w:r w:rsidRPr="00765488">
        <w:t xml:space="preserve">as specified in the </w:t>
      </w:r>
      <w:r w:rsidRPr="005A1510">
        <w:rPr>
          <w:rFonts w:eastAsia="Calibri" w:cs="Arial"/>
        </w:rPr>
        <w:t xml:space="preserve">National Efficient Cost Determination </w:t>
      </w:r>
      <w:r w:rsidR="00066FA0" w:rsidRPr="005A1510">
        <w:rPr>
          <w:rFonts w:eastAsia="Calibri" w:cs="Arial"/>
        </w:rPr>
        <w:t>202</w:t>
      </w:r>
      <w:r w:rsidR="00066FA0">
        <w:rPr>
          <w:rFonts w:eastAsia="Calibri" w:cs="Arial"/>
        </w:rPr>
        <w:t>2</w:t>
      </w:r>
      <w:r w:rsidR="0087033D" w:rsidRPr="5E8A82E9">
        <w:rPr>
          <w:rFonts w:cs="Arial"/>
        </w:rPr>
        <w:t>–</w:t>
      </w:r>
      <w:r w:rsidR="00066FA0" w:rsidRPr="005A1510">
        <w:rPr>
          <w:rFonts w:eastAsia="Calibri" w:cs="Arial"/>
        </w:rPr>
        <w:t>2</w:t>
      </w:r>
      <w:r w:rsidR="00066FA0">
        <w:rPr>
          <w:rFonts w:eastAsia="Calibri" w:cs="Arial"/>
        </w:rPr>
        <w:t>3</w:t>
      </w:r>
      <w:r>
        <w:t>.</w:t>
      </w:r>
    </w:p>
    <w:p w14:paraId="64F225F6" w14:textId="77777777" w:rsidR="00FD72E5" w:rsidRDefault="00FD72E5" w:rsidP="002D4A0B">
      <w:pPr>
        <w:spacing w:before="0" w:after="0" w:line="240" w:lineRule="auto"/>
        <w:rPr>
          <w:b/>
        </w:rPr>
      </w:pPr>
    </w:p>
    <w:p w14:paraId="38A72AD4" w14:textId="2174CFDB" w:rsidR="00561E6C" w:rsidRDefault="008E2878" w:rsidP="004A03A2">
      <w:pPr>
        <w:keepNext/>
        <w:spacing w:before="0" w:after="0" w:line="240" w:lineRule="auto"/>
        <w:rPr>
          <w:b/>
          <w:bCs/>
        </w:rPr>
      </w:pPr>
      <w:r w:rsidRPr="00D07EF6">
        <w:rPr>
          <w:b/>
        </w:rPr>
        <w:lastRenderedPageBreak/>
        <w:t>Figure 10</w:t>
      </w:r>
      <w:r w:rsidR="00561E6C" w:rsidRPr="00D07EF6">
        <w:rPr>
          <w:b/>
        </w:rPr>
        <w:t xml:space="preserve">: </w:t>
      </w:r>
      <w:r w:rsidR="008126B4">
        <w:rPr>
          <w:b/>
        </w:rPr>
        <w:t xml:space="preserve">Raw </w:t>
      </w:r>
      <w:r w:rsidR="00066FA0" w:rsidRPr="00D07EF6">
        <w:rPr>
          <w:b/>
        </w:rPr>
        <w:t>NEC2</w:t>
      </w:r>
      <w:r w:rsidR="00066FA0">
        <w:rPr>
          <w:b/>
        </w:rPr>
        <w:t>2</w:t>
      </w:r>
      <w:r w:rsidR="00066FA0" w:rsidRPr="00E10468">
        <w:rPr>
          <w:b/>
        </w:rPr>
        <w:t xml:space="preserve"> </w:t>
      </w:r>
      <w:r w:rsidR="00561E6C" w:rsidRPr="00E10468">
        <w:rPr>
          <w:b/>
        </w:rPr>
        <w:t>Indexation</w:t>
      </w:r>
    </w:p>
    <w:p w14:paraId="0022E667" w14:textId="449AE279" w:rsidR="00501C80" w:rsidRDefault="00305035" w:rsidP="00412FC7">
      <w:pPr>
        <w:spacing w:after="0" w:line="240" w:lineRule="auto"/>
        <w:rPr>
          <w:b/>
          <w:bCs/>
        </w:rPr>
      </w:pPr>
      <w:r>
        <w:rPr>
          <w:b/>
          <w:noProof/>
          <w:color w:val="2B579A"/>
          <w:shd w:val="clear" w:color="auto" w:fill="E6E6E6"/>
        </w:rPr>
        <w:drawing>
          <wp:inline distT="0" distB="0" distL="0" distR="0" wp14:anchorId="3932661D" wp14:editId="151865A3">
            <wp:extent cx="5779778" cy="3762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4582" cy="3785031"/>
                    </a:xfrm>
                    <a:prstGeom prst="rect">
                      <a:avLst/>
                    </a:prstGeom>
                    <a:noFill/>
                  </pic:spPr>
                </pic:pic>
              </a:graphicData>
            </a:graphic>
          </wp:inline>
        </w:drawing>
      </w:r>
    </w:p>
    <w:p w14:paraId="55EDB9A9" w14:textId="77777777" w:rsidR="00561E6C" w:rsidRDefault="00561E6C" w:rsidP="00755433">
      <w:pPr>
        <w:pStyle w:val="Heading2"/>
      </w:pPr>
      <w:bookmarkStart w:id="391" w:name="_Toc531698983"/>
      <w:bookmarkStart w:id="392" w:name="_Toc26278355"/>
      <w:bookmarkStart w:id="393" w:name="_Toc26370533"/>
      <w:bookmarkStart w:id="394" w:name="_Toc65145967"/>
      <w:bookmarkStart w:id="395" w:name="_Toc98882316"/>
      <w:r>
        <w:t>Back-casting for block-funded hospitals</w:t>
      </w:r>
      <w:bookmarkEnd w:id="391"/>
      <w:bookmarkEnd w:id="392"/>
      <w:bookmarkEnd w:id="393"/>
      <w:bookmarkEnd w:id="394"/>
      <w:bookmarkEnd w:id="395"/>
    </w:p>
    <w:p w14:paraId="1BF863BC" w14:textId="153E753B" w:rsidR="00561E6C" w:rsidRDefault="00561E6C" w:rsidP="00561E6C">
      <w:pPr>
        <w:tabs>
          <w:tab w:val="left" w:pos="1162"/>
        </w:tabs>
        <w:spacing w:line="240" w:lineRule="auto"/>
        <w:rPr>
          <w:rFonts w:eastAsia="Calibri" w:cs="Arial"/>
        </w:rPr>
      </w:pPr>
      <w:r w:rsidRPr="00801AF5">
        <w:rPr>
          <w:rFonts w:eastAsia="Calibri" w:cs="Arial"/>
        </w:rPr>
        <w:t xml:space="preserve">In </w:t>
      </w:r>
      <w:r w:rsidRPr="0096133E">
        <w:t>accordance</w:t>
      </w:r>
      <w:r w:rsidRPr="00801AF5">
        <w:rPr>
          <w:rFonts w:eastAsia="Calibri" w:cs="Arial"/>
        </w:rPr>
        <w:t xml:space="preserve"> with the guiding principles of the NEC cost model, the Pricing Authority has applied the methodological changes made in </w:t>
      </w:r>
      <w:r w:rsidR="00066FA0">
        <w:rPr>
          <w:rFonts w:eastAsia="Calibri" w:cs="Arial"/>
        </w:rPr>
        <w:t>NEC22</w:t>
      </w:r>
      <w:r w:rsidR="00066FA0" w:rsidRPr="00801AF5">
        <w:rPr>
          <w:rFonts w:eastAsia="Calibri" w:cs="Arial"/>
        </w:rPr>
        <w:t xml:space="preserve"> </w:t>
      </w:r>
      <w:r w:rsidRPr="00801AF5">
        <w:rPr>
          <w:rFonts w:eastAsia="Calibri" w:cs="Arial"/>
        </w:rPr>
        <w:t xml:space="preserve">to </w:t>
      </w:r>
      <w:r w:rsidR="00066FA0" w:rsidRPr="00801AF5">
        <w:rPr>
          <w:rFonts w:eastAsia="Calibri" w:cs="Arial"/>
        </w:rPr>
        <w:t>NEC</w:t>
      </w:r>
      <w:r w:rsidR="00066FA0">
        <w:rPr>
          <w:rFonts w:eastAsia="Calibri" w:cs="Arial"/>
        </w:rPr>
        <w:t>21</w:t>
      </w:r>
      <w:r w:rsidR="00066FA0" w:rsidRPr="00801AF5">
        <w:rPr>
          <w:rFonts w:eastAsia="Calibri" w:cs="Arial"/>
        </w:rPr>
        <w:t xml:space="preserve"> </w:t>
      </w:r>
      <w:r w:rsidRPr="00801AF5">
        <w:rPr>
          <w:rFonts w:eastAsia="Calibri" w:cs="Arial"/>
        </w:rPr>
        <w:t>to determine the back</w:t>
      </w:r>
      <w:r>
        <w:rPr>
          <w:rFonts w:eastAsia="Calibri" w:cs="Arial"/>
        </w:rPr>
        <w:t>-</w:t>
      </w:r>
      <w:r w:rsidRPr="00801AF5">
        <w:rPr>
          <w:rFonts w:eastAsia="Calibri" w:cs="Arial"/>
        </w:rPr>
        <w:t xml:space="preserve">cast </w:t>
      </w:r>
      <w:r w:rsidR="00066FA0" w:rsidRPr="00801AF5">
        <w:rPr>
          <w:rFonts w:eastAsia="Calibri" w:cs="Arial"/>
        </w:rPr>
        <w:t>NEC</w:t>
      </w:r>
      <w:r w:rsidR="00066FA0">
        <w:rPr>
          <w:rFonts w:eastAsia="Calibri" w:cs="Arial"/>
        </w:rPr>
        <w:t>21</w:t>
      </w:r>
      <w:r w:rsidR="00066FA0" w:rsidRPr="00801AF5">
        <w:rPr>
          <w:rFonts w:eastAsia="Calibri" w:cs="Arial"/>
        </w:rPr>
        <w:t xml:space="preserve"> </w:t>
      </w:r>
      <w:r w:rsidRPr="00801AF5">
        <w:rPr>
          <w:rFonts w:eastAsia="Calibri" w:cs="Arial"/>
        </w:rPr>
        <w:t xml:space="preserve">for the purposes of determining Commonwealth growth funding between </w:t>
      </w:r>
      <w:r w:rsidR="00066FA0">
        <w:rPr>
          <w:rFonts w:cs="Arial"/>
          <w:szCs w:val="20"/>
        </w:rPr>
        <w:t>2021</w:t>
      </w:r>
      <w:r>
        <w:rPr>
          <w:rFonts w:cs="Arial"/>
          <w:szCs w:val="20"/>
        </w:rPr>
        <w:t>–</w:t>
      </w:r>
      <w:r w:rsidR="00066FA0">
        <w:rPr>
          <w:rFonts w:cs="Arial"/>
          <w:szCs w:val="20"/>
        </w:rPr>
        <w:t>22</w:t>
      </w:r>
      <w:r w:rsidR="00066FA0" w:rsidRPr="001F6FD3">
        <w:rPr>
          <w:rFonts w:cs="Arial"/>
          <w:szCs w:val="20"/>
        </w:rPr>
        <w:t xml:space="preserve"> </w:t>
      </w:r>
      <w:r w:rsidRPr="00801AF5">
        <w:rPr>
          <w:rFonts w:eastAsia="Calibri" w:cs="Arial"/>
        </w:rPr>
        <w:t xml:space="preserve">and </w:t>
      </w:r>
      <w:r w:rsidR="00066FA0">
        <w:rPr>
          <w:rFonts w:eastAsia="Calibri" w:cs="Arial"/>
        </w:rPr>
        <w:t>2022</w:t>
      </w:r>
      <w:r w:rsidR="00412FC7">
        <w:rPr>
          <w:rFonts w:eastAsia="Calibri" w:cs="Arial"/>
        </w:rPr>
        <w:t>–</w:t>
      </w:r>
      <w:r w:rsidR="00066FA0">
        <w:rPr>
          <w:rFonts w:eastAsia="Calibri" w:cs="Arial"/>
        </w:rPr>
        <w:t>23</w:t>
      </w:r>
      <w:r w:rsidRPr="00801AF5">
        <w:rPr>
          <w:rFonts w:eastAsia="Calibri" w:cs="Arial"/>
        </w:rPr>
        <w:t>. The back</w:t>
      </w:r>
      <w:r>
        <w:rPr>
          <w:rFonts w:eastAsia="Calibri" w:cs="Arial"/>
        </w:rPr>
        <w:t>-</w:t>
      </w:r>
      <w:r w:rsidRPr="00801AF5">
        <w:rPr>
          <w:rFonts w:eastAsia="Calibri" w:cs="Arial"/>
        </w:rPr>
        <w:t xml:space="preserve">cast </w:t>
      </w:r>
      <w:r>
        <w:rPr>
          <w:rFonts w:eastAsia="Calibri" w:cs="Arial"/>
        </w:rPr>
        <w:t>multiplier</w:t>
      </w:r>
      <w:r w:rsidRPr="00801AF5">
        <w:rPr>
          <w:rFonts w:eastAsia="Calibri" w:cs="Arial"/>
        </w:rPr>
        <w:t xml:space="preserve"> for </w:t>
      </w:r>
      <w:r w:rsidR="00066FA0" w:rsidRPr="00801AF5">
        <w:rPr>
          <w:rFonts w:eastAsia="Calibri" w:cs="Arial"/>
        </w:rPr>
        <w:t>NEC</w:t>
      </w:r>
      <w:r w:rsidR="00066FA0">
        <w:rPr>
          <w:rFonts w:eastAsia="Calibri" w:cs="Arial"/>
        </w:rPr>
        <w:t>21</w:t>
      </w:r>
      <w:r w:rsidR="00066FA0" w:rsidRPr="00801AF5">
        <w:rPr>
          <w:rFonts w:eastAsia="Calibri" w:cs="Arial"/>
        </w:rPr>
        <w:t xml:space="preserve"> </w:t>
      </w:r>
      <w:r w:rsidRPr="00801AF5">
        <w:rPr>
          <w:rFonts w:eastAsia="Calibri" w:cs="Arial"/>
        </w:rPr>
        <w:t xml:space="preserve">is provided in </w:t>
      </w:r>
      <w:r w:rsidRPr="00CE4AFB">
        <w:rPr>
          <w:rFonts w:eastAsia="Calibri" w:cs="Arial"/>
        </w:rPr>
        <w:t xml:space="preserve">Chapter </w:t>
      </w:r>
      <w:r w:rsidR="00CE4AFB" w:rsidRPr="00CE4AFB">
        <w:rPr>
          <w:rFonts w:eastAsia="Calibri" w:cs="Arial"/>
        </w:rPr>
        <w:t>8</w:t>
      </w:r>
      <w:r w:rsidR="00CE4AFB" w:rsidRPr="00801AF5">
        <w:rPr>
          <w:rFonts w:eastAsia="Calibri" w:cs="Arial"/>
        </w:rPr>
        <w:t xml:space="preserve"> </w:t>
      </w:r>
      <w:r w:rsidRPr="00801AF5">
        <w:rPr>
          <w:rFonts w:eastAsia="Calibri" w:cs="Arial"/>
        </w:rPr>
        <w:t xml:space="preserve">of the </w:t>
      </w:r>
      <w:r w:rsidRPr="005A1510">
        <w:rPr>
          <w:rFonts w:eastAsia="Calibri" w:cs="Arial"/>
        </w:rPr>
        <w:t xml:space="preserve">National Efficient Cost Determination </w:t>
      </w:r>
      <w:r w:rsidR="00066FA0" w:rsidRPr="005A1510">
        <w:rPr>
          <w:rFonts w:eastAsia="Calibri" w:cs="Arial"/>
        </w:rPr>
        <w:t>202</w:t>
      </w:r>
      <w:r w:rsidR="00066FA0">
        <w:rPr>
          <w:rFonts w:eastAsia="Calibri" w:cs="Arial"/>
        </w:rPr>
        <w:t>2</w:t>
      </w:r>
      <w:r w:rsidR="00836FC5">
        <w:rPr>
          <w:rFonts w:eastAsia="Calibri" w:cs="Arial"/>
        </w:rPr>
        <w:t>–</w:t>
      </w:r>
      <w:r w:rsidR="00066FA0">
        <w:rPr>
          <w:rFonts w:eastAsia="Calibri" w:cs="Arial"/>
        </w:rPr>
        <w:t>23</w:t>
      </w:r>
      <w:r w:rsidRPr="00801AF5">
        <w:rPr>
          <w:rFonts w:eastAsia="Calibri" w:cs="Arial"/>
        </w:rPr>
        <w:t>.</w:t>
      </w:r>
    </w:p>
    <w:p w14:paraId="2316F545" w14:textId="3FF088E7" w:rsidR="00561E6C" w:rsidRDefault="006E7DE3" w:rsidP="00561E6C">
      <w:pPr>
        <w:spacing w:before="100" w:beforeAutospacing="1" w:after="100" w:afterAutospacing="1" w:line="240" w:lineRule="auto"/>
        <w:rPr>
          <w:rFonts w:eastAsia="Calibri" w:cs="Arial"/>
        </w:rPr>
      </w:pPr>
      <m:oMathPara>
        <m:oMath>
          <m:r>
            <m:rPr>
              <m:nor/>
            </m:rPr>
            <w:rPr>
              <w:rFonts w:ascii="Cambria Math" w:eastAsia="Calibri" w:hAnsi="Cambria Math" w:cs="Arial"/>
            </w:rPr>
            <m:t>Back-cast multiplier</m:t>
          </m:r>
          <m: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Predicted cost for 2021–22 based on NEC22 modelled cost</m:t>
              </m:r>
            </m:num>
            <m:den>
              <m:r>
                <m:rPr>
                  <m:nor/>
                </m:rPr>
                <w:rPr>
                  <w:rFonts w:ascii="Cambria Math" w:eastAsia="Calibri" w:hAnsi="Cambria Math" w:cs="Arial"/>
                </w:rPr>
                <m:t>Predicted cost for 2021–22 based on NEC21 modelled cost</m:t>
              </m:r>
            </m:den>
          </m:f>
        </m:oMath>
      </m:oMathPara>
    </w:p>
    <w:p w14:paraId="42CC26F7" w14:textId="0D3F0940" w:rsidR="00561E6C" w:rsidRPr="00EA1011" w:rsidRDefault="00561E6C" w:rsidP="00561E6C">
      <w:pPr>
        <w:spacing w:before="100" w:beforeAutospacing="1" w:after="100" w:afterAutospacing="1" w:line="240" w:lineRule="auto"/>
        <w:rPr>
          <w:rFonts w:eastAsia="Calibri" w:cs="Arial"/>
        </w:rPr>
      </w:pPr>
      <w:r>
        <w:rPr>
          <w:rFonts w:eastAsia="Calibri" w:cs="Arial"/>
        </w:rPr>
        <w:t>A</w:t>
      </w:r>
      <w:r w:rsidRPr="00EA1011">
        <w:rPr>
          <w:rFonts w:eastAsia="Calibri" w:cs="Arial"/>
        </w:rPr>
        <w:t xml:space="preserve"> back</w:t>
      </w:r>
      <w:r>
        <w:rPr>
          <w:rFonts w:eastAsia="Calibri" w:cs="Arial"/>
        </w:rPr>
        <w:t>-</w:t>
      </w:r>
      <w:r w:rsidRPr="00EA1011">
        <w:rPr>
          <w:rFonts w:eastAsia="Calibri" w:cs="Arial"/>
        </w:rPr>
        <w:t xml:space="preserve">cast </w:t>
      </w:r>
      <w:r w:rsidR="00066FA0" w:rsidRPr="00EA1011">
        <w:rPr>
          <w:rFonts w:eastAsia="Calibri" w:cs="Arial"/>
        </w:rPr>
        <w:t>NEC</w:t>
      </w:r>
      <w:r w:rsidR="00066FA0">
        <w:rPr>
          <w:rFonts w:eastAsia="Calibri" w:cs="Arial"/>
        </w:rPr>
        <w:t>21</w:t>
      </w:r>
      <w:r w:rsidR="00066FA0" w:rsidRPr="00EA1011">
        <w:rPr>
          <w:rFonts w:eastAsia="Calibri" w:cs="Arial"/>
        </w:rPr>
        <w:t xml:space="preserve"> </w:t>
      </w:r>
      <w:r>
        <w:rPr>
          <w:rFonts w:eastAsia="Calibri" w:cs="Arial"/>
        </w:rPr>
        <w:t>is</w:t>
      </w:r>
      <w:r w:rsidRPr="00EA1011">
        <w:rPr>
          <w:rFonts w:eastAsia="Calibri" w:cs="Arial"/>
        </w:rPr>
        <w:t xml:space="preserve"> calculated to estimate growth between </w:t>
      </w:r>
      <w:r w:rsidR="00066FA0">
        <w:rPr>
          <w:rFonts w:eastAsia="Calibri" w:cs="Arial"/>
        </w:rPr>
        <w:t>2021</w:t>
      </w:r>
      <w:r>
        <w:rPr>
          <w:rFonts w:eastAsia="Calibri" w:cs="Arial"/>
        </w:rPr>
        <w:t>–</w:t>
      </w:r>
      <w:r w:rsidR="00066FA0">
        <w:rPr>
          <w:rFonts w:eastAsia="Calibri" w:cs="Arial"/>
        </w:rPr>
        <w:t>22</w:t>
      </w:r>
      <w:r w:rsidR="00066FA0" w:rsidRPr="00EA1011">
        <w:rPr>
          <w:rFonts w:eastAsia="Calibri" w:cs="Arial"/>
        </w:rPr>
        <w:t xml:space="preserve"> </w:t>
      </w:r>
      <w:r w:rsidRPr="00EA1011">
        <w:rPr>
          <w:rFonts w:eastAsia="Calibri" w:cs="Arial"/>
        </w:rPr>
        <w:t xml:space="preserve">and </w:t>
      </w:r>
      <w:r w:rsidR="00066FA0">
        <w:rPr>
          <w:rFonts w:eastAsia="Calibri" w:cs="Arial"/>
        </w:rPr>
        <w:t>2022</w:t>
      </w:r>
      <w:r>
        <w:rPr>
          <w:rFonts w:eastAsia="Calibri" w:cs="Arial"/>
        </w:rPr>
        <w:t>–</w:t>
      </w:r>
      <w:r w:rsidR="00066FA0">
        <w:rPr>
          <w:rFonts w:eastAsia="Calibri" w:cs="Arial"/>
        </w:rPr>
        <w:t>23</w:t>
      </w:r>
      <w:r w:rsidRPr="00EA1011">
        <w:rPr>
          <w:rFonts w:eastAsia="Calibri" w:cs="Arial"/>
        </w:rPr>
        <w:t>. The back</w:t>
      </w:r>
      <w:r>
        <w:rPr>
          <w:rFonts w:eastAsia="Calibri" w:cs="Arial"/>
        </w:rPr>
        <w:noBreakHyphen/>
      </w:r>
      <w:r w:rsidRPr="00EA1011">
        <w:rPr>
          <w:rFonts w:eastAsia="Calibri" w:cs="Arial"/>
        </w:rPr>
        <w:t xml:space="preserve">cast </w:t>
      </w:r>
      <w:r w:rsidR="00066FA0" w:rsidRPr="00EA1011">
        <w:rPr>
          <w:rFonts w:eastAsia="Calibri" w:cs="Arial"/>
        </w:rPr>
        <w:t>NEC</w:t>
      </w:r>
      <w:r w:rsidR="00066FA0">
        <w:rPr>
          <w:rFonts w:eastAsia="Calibri" w:cs="Arial"/>
        </w:rPr>
        <w:t>21</w:t>
      </w:r>
      <w:r w:rsidR="00066FA0" w:rsidRPr="00EA1011">
        <w:rPr>
          <w:rFonts w:eastAsia="Calibri" w:cs="Arial"/>
        </w:rPr>
        <w:t xml:space="preserve"> </w:t>
      </w:r>
      <w:r w:rsidRPr="00EA1011">
        <w:rPr>
          <w:rFonts w:eastAsia="Calibri" w:cs="Arial"/>
        </w:rPr>
        <w:t xml:space="preserve">is calculated by taking the in-scope cost for </w:t>
      </w:r>
      <w:r w:rsidR="00A875FB">
        <w:rPr>
          <w:rFonts w:eastAsia="Calibri" w:cs="Arial"/>
        </w:rPr>
        <w:t>2019-20</w:t>
      </w:r>
      <w:r w:rsidR="00976328">
        <w:rPr>
          <w:rFonts w:eastAsia="Calibri" w:cs="Arial"/>
        </w:rPr>
        <w:t xml:space="preserve"> </w:t>
      </w:r>
      <w:r w:rsidRPr="00EA1011">
        <w:rPr>
          <w:rFonts w:eastAsia="Calibri" w:cs="Arial"/>
        </w:rPr>
        <w:t>and indexing it forward two years based on the latest indexation methodology.</w:t>
      </w:r>
    </w:p>
    <w:p w14:paraId="326A6072" w14:textId="77777777" w:rsidR="00561E6C" w:rsidRPr="00F173A6" w:rsidRDefault="00561E6C" w:rsidP="00424C8B">
      <w:pPr>
        <w:pStyle w:val="Heading1"/>
      </w:pPr>
      <w:bookmarkStart w:id="396" w:name="_Toc65145968"/>
      <w:bookmarkStart w:id="397" w:name="_Toc98882317"/>
      <w:r w:rsidRPr="00F173A6">
        <w:lastRenderedPageBreak/>
        <w:t>Appendices</w:t>
      </w:r>
      <w:bookmarkEnd w:id="396"/>
      <w:bookmarkEnd w:id="397"/>
    </w:p>
    <w:p w14:paraId="3602D15A" w14:textId="66AB4A5D" w:rsidR="00561E6C" w:rsidRPr="001A521B" w:rsidRDefault="00561E6C" w:rsidP="00DE3F2F">
      <w:pPr>
        <w:pStyle w:val="TOC2"/>
        <w:rPr>
          <w:rFonts w:eastAsiaTheme="minorEastAsia" w:cstheme="minorBidi"/>
          <w:szCs w:val="22"/>
          <w:lang w:val="en-US" w:eastAsia="en-US"/>
        </w:rPr>
      </w:pPr>
      <w:r w:rsidRPr="0078649A">
        <w:t>Appendix A</w:t>
      </w:r>
      <w:r>
        <w:t>:</w:t>
      </w:r>
      <w:r w:rsidRPr="0078649A">
        <w:t xml:space="preserve"> Reference </w:t>
      </w:r>
      <w:r>
        <w:t>t</w:t>
      </w:r>
      <w:r w:rsidRPr="0078649A">
        <w:t>ables</w:t>
      </w:r>
      <w:r>
        <w:rPr>
          <w:webHidden/>
        </w:rPr>
        <w:tab/>
      </w:r>
      <w:r w:rsidR="005F4693">
        <w:rPr>
          <w:webHidden/>
        </w:rPr>
        <w:t>64</w:t>
      </w:r>
    </w:p>
    <w:p w14:paraId="25263EAA" w14:textId="1DAC32E5" w:rsidR="00561E6C" w:rsidRPr="001A521B" w:rsidRDefault="00561E6C" w:rsidP="00DE3F2F">
      <w:pPr>
        <w:pStyle w:val="TOC2"/>
        <w:rPr>
          <w:rFonts w:eastAsiaTheme="minorEastAsia" w:cstheme="minorBidi"/>
          <w:szCs w:val="22"/>
          <w:lang w:val="en-US" w:eastAsia="en-US"/>
        </w:rPr>
      </w:pPr>
      <w:r w:rsidRPr="001A521B">
        <w:t>Appendix B: Application of NWAU variables</w:t>
      </w:r>
      <w:r w:rsidRPr="001A521B">
        <w:rPr>
          <w:webHidden/>
        </w:rPr>
        <w:tab/>
      </w:r>
      <w:r w:rsidR="005F4693">
        <w:rPr>
          <w:webHidden/>
        </w:rPr>
        <w:t>66</w:t>
      </w:r>
    </w:p>
    <w:p w14:paraId="473ED8D9" w14:textId="63CB3675" w:rsidR="00561E6C" w:rsidRPr="001A521B" w:rsidRDefault="00561E6C" w:rsidP="00DE3F2F">
      <w:pPr>
        <w:pStyle w:val="TOC2"/>
        <w:rPr>
          <w:rFonts w:eastAsiaTheme="minorEastAsia" w:cstheme="minorBidi"/>
          <w:szCs w:val="22"/>
          <w:lang w:val="en-US" w:eastAsia="en-US"/>
        </w:rPr>
      </w:pPr>
      <w:r w:rsidRPr="001A521B">
        <w:t>Appendix C: Summary of input data</w:t>
      </w:r>
      <w:r w:rsidR="006D3826" w:rsidRPr="001A521B">
        <w:rPr>
          <w:webHidden/>
        </w:rPr>
        <w:tab/>
      </w:r>
      <w:r w:rsidR="005F4693">
        <w:rPr>
          <w:webHidden/>
        </w:rPr>
        <w:t>78</w:t>
      </w:r>
    </w:p>
    <w:p w14:paraId="5111D58C" w14:textId="1261C599" w:rsidR="00561E6C" w:rsidRPr="001A521B" w:rsidRDefault="00561E6C" w:rsidP="00DE3F2F">
      <w:pPr>
        <w:pStyle w:val="TOC2"/>
        <w:rPr>
          <w:rFonts w:eastAsiaTheme="minorEastAsia" w:cstheme="minorBidi"/>
          <w:szCs w:val="22"/>
          <w:lang w:val="en-US" w:eastAsia="en-US"/>
        </w:rPr>
      </w:pPr>
      <w:r w:rsidRPr="001A521B">
        <w:t>Appendix D: List of DRGs adopting the L1.5 H1.5 methodology</w:t>
      </w:r>
      <w:r w:rsidRPr="001A521B">
        <w:rPr>
          <w:webHidden/>
        </w:rPr>
        <w:tab/>
      </w:r>
      <w:r w:rsidR="005F4693">
        <w:rPr>
          <w:webHidden/>
        </w:rPr>
        <w:t>80</w:t>
      </w:r>
    </w:p>
    <w:p w14:paraId="343A3819" w14:textId="4EEDE958" w:rsidR="00561E6C" w:rsidRDefault="002A0EFB" w:rsidP="00DE3F2F">
      <w:pPr>
        <w:pStyle w:val="TOC2"/>
        <w:rPr>
          <w:rFonts w:eastAsiaTheme="minorEastAsia" w:cstheme="minorBidi"/>
          <w:szCs w:val="22"/>
          <w:lang w:val="en-US" w:eastAsia="en-US"/>
        </w:rPr>
      </w:pPr>
      <w:r>
        <w:t>Appendix E: NEC2</w:t>
      </w:r>
      <w:r w:rsidR="005F4693">
        <w:t>2</w:t>
      </w:r>
      <w:r w:rsidR="00561E6C" w:rsidRPr="001A521B">
        <w:t xml:space="preserve"> data preparation</w:t>
      </w:r>
      <w:r w:rsidR="00561E6C" w:rsidRPr="001A521B">
        <w:rPr>
          <w:webHidden/>
        </w:rPr>
        <w:tab/>
      </w:r>
      <w:r w:rsidR="005F4693">
        <w:rPr>
          <w:webHidden/>
        </w:rPr>
        <w:t>8</w:t>
      </w:r>
      <w:r w:rsidR="008142D3">
        <w:rPr>
          <w:webHidden/>
        </w:rPr>
        <w:t>1</w:t>
      </w:r>
    </w:p>
    <w:p w14:paraId="3886E190" w14:textId="77777777" w:rsidR="00561E6C" w:rsidRDefault="00561E6C" w:rsidP="00561E6C">
      <w:pPr>
        <w:spacing w:after="0" w:line="240" w:lineRule="auto"/>
      </w:pPr>
    </w:p>
    <w:p w14:paraId="298819EB" w14:textId="77777777" w:rsidR="00561E6C" w:rsidRPr="008672C9" w:rsidRDefault="00561E6C" w:rsidP="00424C8B">
      <w:pPr>
        <w:pStyle w:val="AppendixH1"/>
      </w:pPr>
      <w:bookmarkStart w:id="398" w:name="_Toc467745642"/>
      <w:bookmarkStart w:id="399" w:name="_Toc467759602"/>
      <w:bookmarkStart w:id="400" w:name="_Ref468263688"/>
      <w:bookmarkStart w:id="401" w:name="_Toc499221018"/>
      <w:bookmarkStart w:id="402" w:name="_Toc499290978"/>
      <w:bookmarkStart w:id="403" w:name="_Toc26278356"/>
      <w:bookmarkStart w:id="404" w:name="_Toc26370534"/>
      <w:bookmarkStart w:id="405" w:name="_Toc65145969"/>
      <w:bookmarkStart w:id="406" w:name="_Toc98882318"/>
      <w:r w:rsidRPr="008672C9">
        <w:lastRenderedPageBreak/>
        <w:t>Appendix A: Reference tables</w:t>
      </w:r>
      <w:bookmarkEnd w:id="398"/>
      <w:bookmarkEnd w:id="399"/>
      <w:bookmarkEnd w:id="400"/>
      <w:bookmarkEnd w:id="401"/>
      <w:bookmarkEnd w:id="402"/>
      <w:bookmarkEnd w:id="403"/>
      <w:bookmarkEnd w:id="404"/>
      <w:bookmarkEnd w:id="405"/>
      <w:bookmarkEnd w:id="406"/>
    </w:p>
    <w:p w14:paraId="65572695" w14:textId="2A2931B2" w:rsidR="00561E6C" w:rsidRPr="00B325D8" w:rsidRDefault="00561E6C" w:rsidP="00561E6C">
      <w:pPr>
        <w:spacing w:line="240" w:lineRule="auto"/>
        <w:rPr>
          <w:b/>
        </w:rPr>
      </w:pPr>
      <w:r w:rsidRPr="00591D8C">
        <w:rPr>
          <w:b/>
        </w:rPr>
        <w:t xml:space="preserve">Table </w:t>
      </w:r>
      <w:r w:rsidR="00176BB4">
        <w:rPr>
          <w:b/>
          <w:noProof/>
        </w:rPr>
        <w:t>2</w:t>
      </w:r>
      <w:r w:rsidR="00302145">
        <w:rPr>
          <w:b/>
          <w:noProof/>
        </w:rPr>
        <w:t>2</w:t>
      </w:r>
      <w:r w:rsidR="002A0EFB">
        <w:rPr>
          <w:b/>
        </w:rPr>
        <w:t xml:space="preserve">: Sections of the </w:t>
      </w:r>
      <w:r w:rsidR="00CE4AFB">
        <w:rPr>
          <w:b/>
        </w:rPr>
        <w:t xml:space="preserve">NEP22 </w:t>
      </w:r>
      <w:r w:rsidR="002A0EFB">
        <w:rPr>
          <w:b/>
        </w:rPr>
        <w:t xml:space="preserve">and </w:t>
      </w:r>
      <w:r w:rsidR="00CE4AFB">
        <w:rPr>
          <w:b/>
        </w:rPr>
        <w:t>NEC22</w:t>
      </w:r>
      <w:r w:rsidR="00CE4AFB" w:rsidRPr="00591D8C">
        <w:rPr>
          <w:b/>
        </w:rPr>
        <w:t xml:space="preserve"> </w:t>
      </w:r>
      <w:r w:rsidRPr="00591D8C">
        <w:rPr>
          <w:b/>
        </w:rPr>
        <w:t>Determinations</w:t>
      </w:r>
    </w:p>
    <w:tbl>
      <w:tblPr>
        <w:tblW w:w="94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21: Sections of the NEP18 and NEC18 Determinations."/>
        <w:tblDescription w:val="A summary of table 21 is outlined in the text prior to this table. The table consists of two column headings: column one is a list of components and column two provides the relevant section it is found in the NEP15 and NEC15 Determinations. &#10;"/>
      </w:tblPr>
      <w:tblGrid>
        <w:gridCol w:w="7073"/>
        <w:gridCol w:w="2337"/>
      </w:tblGrid>
      <w:tr w:rsidR="00561E6C" w:rsidRPr="00D34DE3" w14:paraId="7DBABBAA" w14:textId="77777777" w:rsidTr="00E050EA">
        <w:trPr>
          <w:trHeight w:val="350"/>
          <w:tblHeader/>
        </w:trPr>
        <w:tc>
          <w:tcPr>
            <w:tcW w:w="7073" w:type="dxa"/>
            <w:shd w:val="clear" w:color="auto" w:fill="288A32"/>
            <w:vAlign w:val="center"/>
          </w:tcPr>
          <w:p w14:paraId="5B7016A4" w14:textId="77777777" w:rsidR="00561E6C" w:rsidRPr="00B325D8" w:rsidRDefault="00561E6C" w:rsidP="00E050EA">
            <w:pPr>
              <w:tabs>
                <w:tab w:val="left" w:pos="1162"/>
              </w:tabs>
              <w:spacing w:line="240" w:lineRule="auto"/>
              <w:ind w:right="-28"/>
              <w:rPr>
                <w:rFonts w:asciiTheme="majorHAnsi" w:hAnsiTheme="majorHAnsi" w:cstheme="majorHAnsi"/>
                <w:b/>
                <w:color w:val="FFFFFF" w:themeColor="background1"/>
                <w:sz w:val="16"/>
                <w:szCs w:val="16"/>
              </w:rPr>
            </w:pPr>
            <w:r w:rsidRPr="00B325D8">
              <w:rPr>
                <w:rFonts w:asciiTheme="majorHAnsi" w:hAnsiTheme="majorHAnsi" w:cstheme="majorHAnsi"/>
                <w:b/>
                <w:color w:val="FFFFFF" w:themeColor="background1"/>
                <w:sz w:val="16"/>
                <w:szCs w:val="16"/>
              </w:rPr>
              <w:t>Component</w:t>
            </w:r>
          </w:p>
        </w:tc>
        <w:tc>
          <w:tcPr>
            <w:tcW w:w="2337" w:type="dxa"/>
            <w:shd w:val="clear" w:color="auto" w:fill="288A32"/>
            <w:vAlign w:val="center"/>
          </w:tcPr>
          <w:p w14:paraId="76217CB9" w14:textId="77777777" w:rsidR="00561E6C" w:rsidRPr="00B325D8" w:rsidRDefault="00561E6C" w:rsidP="00E050EA">
            <w:pPr>
              <w:tabs>
                <w:tab w:val="left" w:pos="1162"/>
              </w:tabs>
              <w:spacing w:line="240" w:lineRule="auto"/>
              <w:ind w:right="-28"/>
              <w:rPr>
                <w:rFonts w:asciiTheme="majorHAnsi" w:hAnsiTheme="majorHAnsi" w:cstheme="majorHAnsi"/>
                <w:b/>
                <w:i/>
                <w:color w:val="FFFFFF" w:themeColor="background1"/>
                <w:sz w:val="16"/>
                <w:szCs w:val="16"/>
              </w:rPr>
            </w:pPr>
            <w:r w:rsidRPr="00B325D8">
              <w:rPr>
                <w:rFonts w:asciiTheme="majorHAnsi" w:hAnsiTheme="majorHAnsi" w:cstheme="majorHAnsi"/>
                <w:b/>
                <w:color w:val="FFFFFF" w:themeColor="background1"/>
                <w:sz w:val="16"/>
                <w:szCs w:val="16"/>
              </w:rPr>
              <w:t>Section of Determination</w:t>
            </w:r>
          </w:p>
        </w:tc>
      </w:tr>
      <w:tr w:rsidR="00561E6C" w:rsidRPr="00D34DE3" w14:paraId="1820AE21" w14:textId="77777777" w:rsidTr="00E050EA">
        <w:tc>
          <w:tcPr>
            <w:tcW w:w="7073" w:type="dxa"/>
            <w:vAlign w:val="center"/>
          </w:tcPr>
          <w:p w14:paraId="7FBE6FB3"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b/>
                <w:sz w:val="18"/>
                <w:szCs w:val="18"/>
              </w:rPr>
            </w:pPr>
            <w:r w:rsidRPr="00EC1F9C">
              <w:rPr>
                <w:rFonts w:asciiTheme="majorHAnsi" w:hAnsiTheme="majorHAnsi" w:cstheme="majorHAnsi"/>
                <w:b/>
                <w:sz w:val="18"/>
                <w:szCs w:val="18"/>
              </w:rPr>
              <w:t xml:space="preserve">National </w:t>
            </w:r>
            <w:r>
              <w:rPr>
                <w:rFonts w:asciiTheme="majorHAnsi" w:hAnsiTheme="majorHAnsi" w:cstheme="majorHAnsi"/>
                <w:b/>
                <w:sz w:val="18"/>
                <w:szCs w:val="18"/>
              </w:rPr>
              <w:t>e</w:t>
            </w:r>
            <w:r w:rsidRPr="00EC1F9C">
              <w:rPr>
                <w:rFonts w:asciiTheme="majorHAnsi" w:hAnsiTheme="majorHAnsi" w:cstheme="majorHAnsi"/>
                <w:b/>
                <w:sz w:val="18"/>
                <w:szCs w:val="18"/>
              </w:rPr>
              <w:t xml:space="preserve">fficient </w:t>
            </w:r>
            <w:r>
              <w:rPr>
                <w:rFonts w:asciiTheme="majorHAnsi" w:hAnsiTheme="majorHAnsi" w:cstheme="majorHAnsi"/>
                <w:b/>
                <w:sz w:val="18"/>
                <w:szCs w:val="18"/>
              </w:rPr>
              <w:t>p</w:t>
            </w:r>
            <w:r w:rsidRPr="00EC1F9C">
              <w:rPr>
                <w:rFonts w:asciiTheme="majorHAnsi" w:hAnsiTheme="majorHAnsi" w:cstheme="majorHAnsi"/>
                <w:b/>
                <w:sz w:val="18"/>
                <w:szCs w:val="18"/>
              </w:rPr>
              <w:t>rice</w:t>
            </w:r>
          </w:p>
        </w:tc>
        <w:tc>
          <w:tcPr>
            <w:tcW w:w="2337" w:type="dxa"/>
            <w:vAlign w:val="center"/>
          </w:tcPr>
          <w:p w14:paraId="47D02B79"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Chapter 2</w:t>
            </w:r>
          </w:p>
        </w:tc>
      </w:tr>
      <w:tr w:rsidR="00561E6C" w:rsidRPr="00D34DE3" w14:paraId="40CC75E6" w14:textId="77777777" w:rsidTr="00E050EA">
        <w:tc>
          <w:tcPr>
            <w:tcW w:w="7073" w:type="dxa"/>
            <w:vAlign w:val="center"/>
          </w:tcPr>
          <w:p w14:paraId="38C4F46A" w14:textId="133275C2" w:rsidR="00561E6C" w:rsidRPr="00EC1F9C" w:rsidRDefault="002A0EFB" w:rsidP="00E050EA">
            <w:pPr>
              <w:tabs>
                <w:tab w:val="left" w:pos="1162"/>
              </w:tabs>
              <w:spacing w:before="60" w:afterLines="60" w:after="144" w:line="240" w:lineRule="auto"/>
              <w:ind w:right="-28"/>
              <w:rPr>
                <w:rFonts w:asciiTheme="majorHAnsi" w:hAnsiTheme="majorHAnsi" w:cstheme="majorHAnsi"/>
                <w:b/>
                <w:sz w:val="18"/>
                <w:szCs w:val="18"/>
                <w:highlight w:val="yellow"/>
              </w:rPr>
            </w:pPr>
            <w:r>
              <w:rPr>
                <w:rFonts w:asciiTheme="majorHAnsi" w:hAnsiTheme="majorHAnsi" w:cstheme="majorHAnsi"/>
                <w:b/>
                <w:sz w:val="18"/>
                <w:szCs w:val="18"/>
              </w:rPr>
              <w:t xml:space="preserve">Admitted acute services </w:t>
            </w:r>
            <w:r w:rsidR="001E25EA">
              <w:rPr>
                <w:rFonts w:asciiTheme="majorHAnsi" w:hAnsiTheme="majorHAnsi" w:cstheme="majorHAnsi"/>
                <w:b/>
                <w:sz w:val="18"/>
                <w:szCs w:val="18"/>
              </w:rPr>
              <w:t>–</w:t>
            </w:r>
            <w:r>
              <w:rPr>
                <w:rFonts w:asciiTheme="majorHAnsi" w:hAnsiTheme="majorHAnsi" w:cstheme="majorHAnsi"/>
                <w:b/>
                <w:sz w:val="18"/>
                <w:szCs w:val="18"/>
              </w:rPr>
              <w:t xml:space="preserve"> </w:t>
            </w:r>
            <w:r w:rsidR="00CE4AFB">
              <w:rPr>
                <w:rFonts w:asciiTheme="majorHAnsi" w:hAnsiTheme="majorHAnsi" w:cstheme="majorHAnsi"/>
                <w:b/>
                <w:sz w:val="18"/>
                <w:szCs w:val="18"/>
              </w:rPr>
              <w:t>NEP22</w:t>
            </w:r>
          </w:p>
        </w:tc>
        <w:tc>
          <w:tcPr>
            <w:tcW w:w="2337" w:type="dxa"/>
            <w:vAlign w:val="center"/>
          </w:tcPr>
          <w:p w14:paraId="76E16AD5" w14:textId="77777777" w:rsidR="00561E6C" w:rsidRPr="00EC1F9C" w:rsidRDefault="00561E6C" w:rsidP="00E050EA">
            <w:pPr>
              <w:spacing w:line="240" w:lineRule="auto"/>
              <w:ind w:right="-28"/>
              <w:rPr>
                <w:rFonts w:asciiTheme="majorHAnsi" w:hAnsiTheme="majorHAnsi" w:cstheme="majorHAnsi"/>
                <w:b/>
                <w:sz w:val="18"/>
                <w:szCs w:val="18"/>
                <w:highlight w:val="yellow"/>
              </w:rPr>
            </w:pPr>
          </w:p>
        </w:tc>
      </w:tr>
      <w:tr w:rsidR="00561E6C" w:rsidRPr="00D34DE3" w14:paraId="683A61F2" w14:textId="77777777" w:rsidTr="00E050EA">
        <w:tc>
          <w:tcPr>
            <w:tcW w:w="7073" w:type="dxa"/>
            <w:vAlign w:val="center"/>
          </w:tcPr>
          <w:p w14:paraId="7ED3D098"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AR-DRG inlier bounds, flags for designated same-day payment AR-DRG and unbundled ICU AR-DRG, </w:t>
            </w:r>
            <w:r>
              <w:rPr>
                <w:rFonts w:asciiTheme="majorHAnsi" w:hAnsiTheme="majorHAnsi" w:cstheme="majorHAnsi"/>
                <w:sz w:val="18"/>
                <w:szCs w:val="18"/>
              </w:rPr>
              <w:t>n</w:t>
            </w:r>
            <w:r w:rsidRPr="00EC1F9C">
              <w:rPr>
                <w:rFonts w:asciiTheme="majorHAnsi" w:hAnsiTheme="majorHAnsi" w:cstheme="majorHAnsi"/>
                <w:sz w:val="18"/>
                <w:szCs w:val="18"/>
              </w:rPr>
              <w:t xml:space="preserve">ational </w:t>
            </w:r>
            <w:r>
              <w:rPr>
                <w:rFonts w:asciiTheme="majorHAnsi" w:hAnsiTheme="majorHAnsi" w:cstheme="majorHAnsi"/>
                <w:sz w:val="18"/>
                <w:szCs w:val="18"/>
              </w:rPr>
              <w:t>w</w:t>
            </w:r>
            <w:r w:rsidRPr="00EC1F9C">
              <w:rPr>
                <w:rFonts w:asciiTheme="majorHAnsi" w:hAnsiTheme="majorHAnsi" w:cstheme="majorHAnsi"/>
                <w:sz w:val="18"/>
                <w:szCs w:val="18"/>
              </w:rPr>
              <w:t xml:space="preserve">eighted </w:t>
            </w:r>
            <w:r>
              <w:rPr>
                <w:rFonts w:asciiTheme="majorHAnsi" w:hAnsiTheme="majorHAnsi" w:cstheme="majorHAnsi"/>
                <w:sz w:val="18"/>
                <w:szCs w:val="18"/>
              </w:rPr>
              <w:t>a</w:t>
            </w:r>
            <w:r w:rsidRPr="00EC1F9C">
              <w:rPr>
                <w:rFonts w:asciiTheme="majorHAnsi" w:hAnsiTheme="majorHAnsi" w:cstheme="majorHAnsi"/>
                <w:sz w:val="18"/>
                <w:szCs w:val="18"/>
              </w:rPr>
              <w:t xml:space="preserve">ctivity </w:t>
            </w:r>
            <w:r>
              <w:rPr>
                <w:rFonts w:asciiTheme="majorHAnsi" w:hAnsiTheme="majorHAnsi" w:cstheme="majorHAnsi"/>
                <w:sz w:val="18"/>
                <w:szCs w:val="18"/>
              </w:rPr>
              <w:t>u</w:t>
            </w:r>
            <w:r w:rsidRPr="00EC1F9C">
              <w:rPr>
                <w:rFonts w:asciiTheme="majorHAnsi" w:hAnsiTheme="majorHAnsi" w:cstheme="majorHAnsi"/>
                <w:sz w:val="18"/>
                <w:szCs w:val="18"/>
              </w:rPr>
              <w:t xml:space="preserve">nit weights for same-day payment AR-DRGs, short-stay outliers (base and per diem), inliers, long-stay outliers (per diem), </w:t>
            </w:r>
            <w:r>
              <w:rPr>
                <w:rFonts w:asciiTheme="majorHAnsi" w:hAnsiTheme="majorHAnsi" w:cstheme="majorHAnsi"/>
                <w:sz w:val="18"/>
                <w:szCs w:val="18"/>
              </w:rPr>
              <w:t>i</w:t>
            </w:r>
            <w:r w:rsidRPr="00EC1F9C">
              <w:rPr>
                <w:rFonts w:asciiTheme="majorHAnsi" w:hAnsiTheme="majorHAnsi" w:cstheme="majorHAnsi"/>
                <w:sz w:val="18"/>
                <w:szCs w:val="18"/>
              </w:rPr>
              <w:t xml:space="preserve">ntensive </w:t>
            </w:r>
            <w:r>
              <w:rPr>
                <w:rFonts w:asciiTheme="majorHAnsi" w:hAnsiTheme="majorHAnsi" w:cstheme="majorHAnsi"/>
                <w:sz w:val="18"/>
                <w:szCs w:val="18"/>
              </w:rPr>
              <w:t>c</w:t>
            </w:r>
            <w:r w:rsidRPr="00EC1F9C">
              <w:rPr>
                <w:rFonts w:asciiTheme="majorHAnsi" w:hAnsiTheme="majorHAnsi" w:cstheme="majorHAnsi"/>
                <w:sz w:val="18"/>
                <w:szCs w:val="18"/>
              </w:rPr>
              <w:t xml:space="preserve">are </w:t>
            </w:r>
            <w:r>
              <w:rPr>
                <w:rFonts w:asciiTheme="majorHAnsi" w:hAnsiTheme="majorHAnsi" w:cstheme="majorHAnsi"/>
                <w:sz w:val="18"/>
                <w:szCs w:val="18"/>
              </w:rPr>
              <w:t>u</w:t>
            </w:r>
            <w:r w:rsidRPr="00EC1F9C">
              <w:rPr>
                <w:rFonts w:asciiTheme="majorHAnsi" w:hAnsiTheme="majorHAnsi" w:cstheme="majorHAnsi"/>
                <w:sz w:val="18"/>
                <w:szCs w:val="18"/>
              </w:rPr>
              <w:t xml:space="preserve">nit rates per hour </w:t>
            </w:r>
          </w:p>
        </w:tc>
        <w:tc>
          <w:tcPr>
            <w:tcW w:w="2337" w:type="dxa"/>
            <w:vAlign w:val="center"/>
          </w:tcPr>
          <w:p w14:paraId="1EF64178"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H</w:t>
            </w:r>
          </w:p>
        </w:tc>
      </w:tr>
      <w:tr w:rsidR="00561E6C" w:rsidRPr="00D34DE3" w14:paraId="38A04329" w14:textId="77777777" w:rsidTr="00E050EA">
        <w:tc>
          <w:tcPr>
            <w:tcW w:w="7073" w:type="dxa"/>
            <w:vAlign w:val="center"/>
          </w:tcPr>
          <w:p w14:paraId="22CC7A73"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Adjustments to </w:t>
            </w:r>
            <w:r>
              <w:rPr>
                <w:rFonts w:asciiTheme="majorHAnsi" w:hAnsiTheme="majorHAnsi" w:cstheme="majorHAnsi"/>
                <w:sz w:val="18"/>
                <w:szCs w:val="18"/>
              </w:rPr>
              <w:t>p</w:t>
            </w:r>
            <w:r w:rsidRPr="00EC1F9C">
              <w:rPr>
                <w:rFonts w:asciiTheme="majorHAnsi" w:hAnsiTheme="majorHAnsi" w:cstheme="majorHAnsi"/>
                <w:sz w:val="18"/>
                <w:szCs w:val="18"/>
              </w:rPr>
              <w:t xml:space="preserve">rice weights </w:t>
            </w:r>
          </w:p>
        </w:tc>
        <w:tc>
          <w:tcPr>
            <w:tcW w:w="2337" w:type="dxa"/>
            <w:vAlign w:val="center"/>
          </w:tcPr>
          <w:p w14:paraId="19825915" w14:textId="4775A16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 xml:space="preserve">Chapter </w:t>
            </w:r>
            <w:r w:rsidR="00362059">
              <w:rPr>
                <w:rFonts w:asciiTheme="majorHAnsi" w:hAnsiTheme="majorHAnsi" w:cstheme="majorHAnsi"/>
                <w:b/>
                <w:sz w:val="18"/>
                <w:szCs w:val="18"/>
              </w:rPr>
              <w:t>6</w:t>
            </w:r>
          </w:p>
        </w:tc>
      </w:tr>
      <w:tr w:rsidR="00561E6C" w:rsidRPr="00D34DE3" w14:paraId="78584340" w14:textId="77777777" w:rsidTr="00E050EA">
        <w:tc>
          <w:tcPr>
            <w:tcW w:w="7073" w:type="dxa"/>
            <w:vAlign w:val="center"/>
          </w:tcPr>
          <w:p w14:paraId="773D4F23" w14:textId="77777777" w:rsidR="00561E6C" w:rsidRPr="00EC1F9C" w:rsidRDefault="00561E6C" w:rsidP="00FF6197">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List of radiotherapy codes </w:t>
            </w:r>
          </w:p>
        </w:tc>
        <w:tc>
          <w:tcPr>
            <w:tcW w:w="2337" w:type="dxa"/>
            <w:vAlign w:val="center"/>
          </w:tcPr>
          <w:p w14:paraId="0611EA5A"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Appendix B</w:t>
            </w:r>
          </w:p>
        </w:tc>
      </w:tr>
      <w:tr w:rsidR="00561E6C" w:rsidRPr="00D34DE3" w14:paraId="7159C481" w14:textId="77777777" w:rsidTr="00E050EA">
        <w:tc>
          <w:tcPr>
            <w:tcW w:w="7073" w:type="dxa"/>
            <w:vAlign w:val="center"/>
          </w:tcPr>
          <w:p w14:paraId="6D18F62B" w14:textId="77777777" w:rsidR="00561E6C" w:rsidRPr="00EC1F9C" w:rsidRDefault="00561E6C" w:rsidP="00FF6197">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List of dialysis codes</w:t>
            </w:r>
          </w:p>
        </w:tc>
        <w:tc>
          <w:tcPr>
            <w:tcW w:w="2337" w:type="dxa"/>
            <w:vAlign w:val="center"/>
          </w:tcPr>
          <w:p w14:paraId="71A8BCA4"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Appendix C</w:t>
            </w:r>
          </w:p>
        </w:tc>
      </w:tr>
      <w:tr w:rsidR="00561E6C" w:rsidRPr="00D34DE3" w14:paraId="53621A76" w14:textId="77777777" w:rsidTr="00E050EA">
        <w:tc>
          <w:tcPr>
            <w:tcW w:w="7073" w:type="dxa"/>
            <w:vAlign w:val="center"/>
          </w:tcPr>
          <w:p w14:paraId="1BD47C7B"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Specified </w:t>
            </w:r>
            <w:r>
              <w:rPr>
                <w:rFonts w:asciiTheme="majorHAnsi" w:hAnsiTheme="majorHAnsi" w:cstheme="majorHAnsi"/>
                <w:sz w:val="18"/>
                <w:szCs w:val="18"/>
              </w:rPr>
              <w:t>i</w:t>
            </w:r>
            <w:r w:rsidRPr="00EC1F9C">
              <w:rPr>
                <w:rFonts w:asciiTheme="majorHAnsi" w:hAnsiTheme="majorHAnsi" w:cstheme="majorHAnsi"/>
                <w:sz w:val="18"/>
                <w:szCs w:val="18"/>
              </w:rPr>
              <w:t xml:space="preserve">ntensive </w:t>
            </w:r>
            <w:r>
              <w:rPr>
                <w:rFonts w:asciiTheme="majorHAnsi" w:hAnsiTheme="majorHAnsi" w:cstheme="majorHAnsi"/>
                <w:sz w:val="18"/>
                <w:szCs w:val="18"/>
              </w:rPr>
              <w:t>c</w:t>
            </w:r>
            <w:r w:rsidRPr="00EC1F9C">
              <w:rPr>
                <w:rFonts w:asciiTheme="majorHAnsi" w:hAnsiTheme="majorHAnsi" w:cstheme="majorHAnsi"/>
                <w:sz w:val="18"/>
                <w:szCs w:val="18"/>
              </w:rPr>
              <w:t xml:space="preserve">are </w:t>
            </w:r>
            <w:r>
              <w:rPr>
                <w:rFonts w:asciiTheme="majorHAnsi" w:hAnsiTheme="majorHAnsi" w:cstheme="majorHAnsi"/>
                <w:sz w:val="18"/>
                <w:szCs w:val="18"/>
              </w:rPr>
              <w:t>u</w:t>
            </w:r>
            <w:r w:rsidRPr="00EC1F9C">
              <w:rPr>
                <w:rFonts w:asciiTheme="majorHAnsi" w:hAnsiTheme="majorHAnsi" w:cstheme="majorHAnsi"/>
                <w:sz w:val="18"/>
                <w:szCs w:val="18"/>
              </w:rPr>
              <w:t xml:space="preserve">nits </w:t>
            </w:r>
          </w:p>
        </w:tc>
        <w:tc>
          <w:tcPr>
            <w:tcW w:w="2337" w:type="dxa"/>
            <w:vAlign w:val="center"/>
          </w:tcPr>
          <w:p w14:paraId="41B838A6"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D</w:t>
            </w:r>
          </w:p>
        </w:tc>
      </w:tr>
      <w:tr w:rsidR="00561E6C" w:rsidRPr="00D34DE3" w14:paraId="33DA44D5" w14:textId="77777777" w:rsidTr="00E050EA">
        <w:tc>
          <w:tcPr>
            <w:tcW w:w="7073" w:type="dxa"/>
          </w:tcPr>
          <w:p w14:paraId="759DF8C1"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Specialised children's hospitals</w:t>
            </w:r>
          </w:p>
        </w:tc>
        <w:tc>
          <w:tcPr>
            <w:tcW w:w="2337" w:type="dxa"/>
          </w:tcPr>
          <w:p w14:paraId="485D06CA"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Appendix E</w:t>
            </w:r>
          </w:p>
        </w:tc>
      </w:tr>
      <w:tr w:rsidR="00561E6C" w:rsidRPr="00D34DE3" w14:paraId="465D2F01" w14:textId="77777777" w:rsidTr="00E050EA">
        <w:tc>
          <w:tcPr>
            <w:tcW w:w="7073" w:type="dxa"/>
            <w:vAlign w:val="center"/>
          </w:tcPr>
          <w:p w14:paraId="578F63DD"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Private patient adjustments</w:t>
            </w:r>
          </w:p>
        </w:tc>
        <w:tc>
          <w:tcPr>
            <w:tcW w:w="2337" w:type="dxa"/>
            <w:vAlign w:val="center"/>
          </w:tcPr>
          <w:p w14:paraId="32F6EFE0"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F</w:t>
            </w:r>
          </w:p>
        </w:tc>
      </w:tr>
      <w:tr w:rsidR="00561E6C" w:rsidRPr="00D34DE3" w14:paraId="4C6BD1AA" w14:textId="77777777" w:rsidTr="00E050EA">
        <w:tc>
          <w:tcPr>
            <w:tcW w:w="7073" w:type="dxa"/>
            <w:vAlign w:val="center"/>
          </w:tcPr>
          <w:p w14:paraId="7FE10FE7" w14:textId="0D321067" w:rsidR="00561E6C" w:rsidRPr="00EC1F9C" w:rsidRDefault="00561E6C" w:rsidP="00E050EA">
            <w:pPr>
              <w:tabs>
                <w:tab w:val="left" w:pos="1162"/>
              </w:tabs>
              <w:spacing w:before="60" w:afterLines="60" w:after="144" w:line="240" w:lineRule="auto"/>
              <w:ind w:left="737" w:right="-28"/>
              <w:rPr>
                <w:rFonts w:asciiTheme="majorHAnsi" w:hAnsiTheme="majorHAnsi" w:cstheme="majorBidi"/>
                <w:sz w:val="18"/>
                <w:szCs w:val="18"/>
              </w:rPr>
            </w:pPr>
            <w:r w:rsidRPr="76ABC984">
              <w:rPr>
                <w:rFonts w:asciiTheme="majorHAnsi" w:hAnsiTheme="majorHAnsi" w:cstheme="majorBidi"/>
                <w:sz w:val="18"/>
                <w:szCs w:val="18"/>
              </w:rPr>
              <w:t>Provisional weights for very longstay patients</w:t>
            </w:r>
          </w:p>
        </w:tc>
        <w:tc>
          <w:tcPr>
            <w:tcW w:w="2337" w:type="dxa"/>
            <w:shd w:val="clear" w:color="auto" w:fill="auto"/>
            <w:vAlign w:val="center"/>
          </w:tcPr>
          <w:p w14:paraId="782C0940"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G</w:t>
            </w:r>
          </w:p>
        </w:tc>
      </w:tr>
      <w:tr w:rsidR="00561E6C" w:rsidRPr="00D34DE3" w14:paraId="4F78768F" w14:textId="77777777" w:rsidTr="00E050EA">
        <w:tc>
          <w:tcPr>
            <w:tcW w:w="7073" w:type="dxa"/>
            <w:vAlign w:val="center"/>
          </w:tcPr>
          <w:p w14:paraId="5F573282"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Funding adjustments for hospital acquired complications</w:t>
            </w:r>
          </w:p>
        </w:tc>
        <w:tc>
          <w:tcPr>
            <w:tcW w:w="2337" w:type="dxa"/>
            <w:vAlign w:val="center"/>
          </w:tcPr>
          <w:p w14:paraId="2F399792" w14:textId="7F5A25C7" w:rsidR="00561E6C" w:rsidRPr="00EC1F9C" w:rsidRDefault="00561E6C" w:rsidP="00E050EA">
            <w:pPr>
              <w:tabs>
                <w:tab w:val="left" w:pos="1162"/>
              </w:tabs>
              <w:spacing w:before="60" w:afterLines="60" w:after="144" w:line="240" w:lineRule="auto"/>
              <w:ind w:right="-28"/>
              <w:rPr>
                <w:rFonts w:asciiTheme="majorHAnsi" w:hAnsiTheme="majorHAnsi" w:cstheme="majorHAnsi"/>
                <w:b/>
                <w:sz w:val="18"/>
                <w:szCs w:val="18"/>
              </w:rPr>
            </w:pPr>
            <w:r w:rsidRPr="00EC1F9C">
              <w:rPr>
                <w:rFonts w:asciiTheme="majorHAnsi" w:hAnsiTheme="majorHAnsi" w:cstheme="majorHAnsi"/>
                <w:b/>
                <w:sz w:val="18"/>
                <w:szCs w:val="18"/>
              </w:rPr>
              <w:t xml:space="preserve">Appendix </w:t>
            </w:r>
            <w:r w:rsidR="00CF35C6">
              <w:rPr>
                <w:rFonts w:asciiTheme="majorHAnsi" w:hAnsiTheme="majorHAnsi" w:cstheme="majorHAnsi"/>
                <w:b/>
                <w:sz w:val="18"/>
                <w:szCs w:val="18"/>
              </w:rPr>
              <w:t>N</w:t>
            </w:r>
          </w:p>
        </w:tc>
      </w:tr>
      <w:tr w:rsidR="000E2C88" w:rsidRPr="00D34DE3" w14:paraId="4A77FC3D" w14:textId="77777777" w:rsidTr="00E050EA">
        <w:tc>
          <w:tcPr>
            <w:tcW w:w="7073" w:type="dxa"/>
            <w:vAlign w:val="center"/>
          </w:tcPr>
          <w:p w14:paraId="5B692078" w14:textId="77777777" w:rsidR="000E2C88" w:rsidRPr="00EC1F9C" w:rsidRDefault="000E2C88" w:rsidP="00E050EA">
            <w:pPr>
              <w:tabs>
                <w:tab w:val="left" w:pos="1162"/>
              </w:tabs>
              <w:spacing w:before="60" w:afterLines="60" w:after="144" w:line="240" w:lineRule="auto"/>
              <w:ind w:left="737" w:right="-28"/>
              <w:rPr>
                <w:rFonts w:asciiTheme="majorHAnsi" w:hAnsiTheme="majorHAnsi" w:cstheme="majorHAnsi"/>
                <w:sz w:val="18"/>
                <w:szCs w:val="18"/>
              </w:rPr>
            </w:pPr>
            <w:r>
              <w:rPr>
                <w:rFonts w:asciiTheme="majorHAnsi" w:hAnsiTheme="majorHAnsi" w:cstheme="majorHAnsi"/>
                <w:sz w:val="18"/>
                <w:szCs w:val="18"/>
              </w:rPr>
              <w:t>Risk adjustment factors for avoidable hospital readmissions</w:t>
            </w:r>
          </w:p>
        </w:tc>
        <w:tc>
          <w:tcPr>
            <w:tcW w:w="2337" w:type="dxa"/>
            <w:vAlign w:val="center"/>
          </w:tcPr>
          <w:p w14:paraId="6B0F713C" w14:textId="36618D3C" w:rsidR="000E2C88" w:rsidRPr="00EC1F9C" w:rsidRDefault="000E2C88" w:rsidP="00E050EA">
            <w:pPr>
              <w:tabs>
                <w:tab w:val="left" w:pos="1162"/>
              </w:tabs>
              <w:spacing w:before="60" w:afterLines="60" w:after="144" w:line="240" w:lineRule="auto"/>
              <w:ind w:right="-28"/>
              <w:rPr>
                <w:rFonts w:asciiTheme="majorHAnsi" w:hAnsiTheme="majorHAnsi" w:cstheme="majorHAnsi"/>
                <w:b/>
                <w:sz w:val="18"/>
                <w:szCs w:val="18"/>
              </w:rPr>
            </w:pPr>
            <w:r>
              <w:rPr>
                <w:rFonts w:asciiTheme="majorHAnsi" w:hAnsiTheme="majorHAnsi" w:cstheme="majorHAnsi"/>
                <w:b/>
                <w:sz w:val="18"/>
                <w:szCs w:val="18"/>
              </w:rPr>
              <w:t xml:space="preserve">Appendix </w:t>
            </w:r>
            <w:r w:rsidR="00CF35C6">
              <w:rPr>
                <w:rFonts w:asciiTheme="majorHAnsi" w:hAnsiTheme="majorHAnsi" w:cstheme="majorHAnsi"/>
                <w:b/>
                <w:sz w:val="18"/>
                <w:szCs w:val="18"/>
              </w:rPr>
              <w:t>O</w:t>
            </w:r>
          </w:p>
        </w:tc>
      </w:tr>
      <w:tr w:rsidR="00561E6C" w:rsidRPr="00D34DE3" w14:paraId="76F08E95" w14:textId="77777777" w:rsidTr="00E050EA">
        <w:tc>
          <w:tcPr>
            <w:tcW w:w="7073" w:type="dxa"/>
            <w:vAlign w:val="center"/>
          </w:tcPr>
          <w:p w14:paraId="78148A4C"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Definition of an eligible ICU or paediatric ICU </w:t>
            </w:r>
          </w:p>
        </w:tc>
        <w:tc>
          <w:tcPr>
            <w:tcW w:w="2337" w:type="dxa"/>
            <w:vAlign w:val="center"/>
          </w:tcPr>
          <w:p w14:paraId="470A7328"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Glossary</w:t>
            </w:r>
          </w:p>
        </w:tc>
      </w:tr>
      <w:tr w:rsidR="00561E6C" w:rsidRPr="00D34DE3" w14:paraId="11EF22C8" w14:textId="77777777" w:rsidTr="00E050EA">
        <w:tc>
          <w:tcPr>
            <w:tcW w:w="7073" w:type="dxa"/>
            <w:vAlign w:val="center"/>
          </w:tcPr>
          <w:p w14:paraId="059AEE28" w14:textId="6A9C58AE" w:rsidR="00561E6C" w:rsidRPr="00EC1F9C" w:rsidRDefault="00561E6C" w:rsidP="00E050EA">
            <w:pPr>
              <w:tabs>
                <w:tab w:val="left" w:pos="1162"/>
              </w:tabs>
              <w:spacing w:before="60" w:afterLines="60" w:after="144" w:line="240" w:lineRule="auto"/>
              <w:ind w:right="-28"/>
              <w:rPr>
                <w:rFonts w:asciiTheme="majorHAnsi" w:hAnsiTheme="majorHAnsi" w:cstheme="majorHAnsi"/>
                <w:b/>
                <w:sz w:val="18"/>
                <w:szCs w:val="18"/>
                <w:highlight w:val="yellow"/>
              </w:rPr>
            </w:pPr>
            <w:r w:rsidRPr="00EC1F9C">
              <w:rPr>
                <w:rFonts w:asciiTheme="majorHAnsi" w:hAnsiTheme="majorHAnsi" w:cstheme="majorHAnsi"/>
                <w:b/>
                <w:sz w:val="18"/>
                <w:szCs w:val="18"/>
              </w:rPr>
              <w:t>Emerg</w:t>
            </w:r>
            <w:r w:rsidR="002A0EFB">
              <w:rPr>
                <w:rFonts w:asciiTheme="majorHAnsi" w:hAnsiTheme="majorHAnsi" w:cstheme="majorHAnsi"/>
                <w:b/>
                <w:sz w:val="18"/>
                <w:szCs w:val="18"/>
              </w:rPr>
              <w:t xml:space="preserve">ency department services </w:t>
            </w:r>
            <w:r w:rsidR="001E25EA">
              <w:rPr>
                <w:rFonts w:asciiTheme="majorHAnsi" w:hAnsiTheme="majorHAnsi" w:cstheme="majorHAnsi"/>
                <w:b/>
                <w:sz w:val="18"/>
                <w:szCs w:val="18"/>
              </w:rPr>
              <w:t>–</w:t>
            </w:r>
            <w:r w:rsidR="002A0EFB">
              <w:rPr>
                <w:rFonts w:asciiTheme="majorHAnsi" w:hAnsiTheme="majorHAnsi" w:cstheme="majorHAnsi"/>
                <w:b/>
                <w:sz w:val="18"/>
                <w:szCs w:val="18"/>
              </w:rPr>
              <w:t xml:space="preserve"> </w:t>
            </w:r>
            <w:r w:rsidR="00CE4AFB">
              <w:rPr>
                <w:rFonts w:asciiTheme="majorHAnsi" w:hAnsiTheme="majorHAnsi" w:cstheme="majorHAnsi"/>
                <w:b/>
                <w:sz w:val="18"/>
                <w:szCs w:val="18"/>
              </w:rPr>
              <w:t>NEP22</w:t>
            </w:r>
          </w:p>
        </w:tc>
        <w:tc>
          <w:tcPr>
            <w:tcW w:w="2337" w:type="dxa"/>
            <w:vAlign w:val="center"/>
          </w:tcPr>
          <w:p w14:paraId="23AF2A1B" w14:textId="77777777" w:rsidR="00561E6C" w:rsidRPr="00EC1F9C" w:rsidRDefault="00561E6C" w:rsidP="00E050EA">
            <w:pPr>
              <w:spacing w:line="240" w:lineRule="auto"/>
              <w:ind w:right="-28"/>
              <w:rPr>
                <w:rFonts w:asciiTheme="majorHAnsi" w:hAnsiTheme="majorHAnsi" w:cstheme="majorHAnsi"/>
                <w:b/>
                <w:sz w:val="18"/>
                <w:szCs w:val="18"/>
                <w:highlight w:val="yellow"/>
              </w:rPr>
            </w:pPr>
          </w:p>
        </w:tc>
      </w:tr>
      <w:tr w:rsidR="00561E6C" w:rsidRPr="00D34DE3" w14:paraId="264454AA" w14:textId="77777777" w:rsidTr="00E050EA">
        <w:tc>
          <w:tcPr>
            <w:tcW w:w="7073" w:type="dxa"/>
            <w:vAlign w:val="center"/>
          </w:tcPr>
          <w:p w14:paraId="1E160563" w14:textId="77777777" w:rsidR="00561E6C" w:rsidRPr="00EC1F9C" w:rsidRDefault="000E750A" w:rsidP="000E750A">
            <w:pPr>
              <w:tabs>
                <w:tab w:val="left" w:pos="1162"/>
              </w:tabs>
              <w:spacing w:before="60" w:afterLines="60" w:after="144" w:line="240" w:lineRule="auto"/>
              <w:ind w:left="737" w:right="-28"/>
              <w:rPr>
                <w:rFonts w:asciiTheme="majorHAnsi" w:hAnsiTheme="majorHAnsi" w:cstheme="majorHAnsi"/>
                <w:sz w:val="18"/>
                <w:szCs w:val="18"/>
              </w:rPr>
            </w:pPr>
            <w:r>
              <w:rPr>
                <w:rFonts w:asciiTheme="majorHAnsi" w:hAnsiTheme="majorHAnsi" w:cstheme="majorHAnsi"/>
                <w:sz w:val="18"/>
                <w:szCs w:val="18"/>
              </w:rPr>
              <w:t>AECC Version 1.0</w:t>
            </w:r>
            <w:r w:rsidR="00561E6C" w:rsidRPr="00EC1F9C">
              <w:rPr>
                <w:rFonts w:asciiTheme="majorHAnsi" w:hAnsiTheme="majorHAnsi" w:cstheme="majorHAnsi"/>
                <w:sz w:val="18"/>
                <w:szCs w:val="18"/>
              </w:rPr>
              <w:t xml:space="preserve"> weights</w:t>
            </w:r>
          </w:p>
        </w:tc>
        <w:tc>
          <w:tcPr>
            <w:tcW w:w="2337" w:type="dxa"/>
            <w:vAlign w:val="center"/>
          </w:tcPr>
          <w:p w14:paraId="4DD95951" w14:textId="240E4C06"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 xml:space="preserve">Appendix </w:t>
            </w:r>
            <w:r w:rsidR="00DA345D">
              <w:rPr>
                <w:rFonts w:asciiTheme="majorHAnsi" w:hAnsiTheme="majorHAnsi" w:cstheme="majorHAnsi"/>
                <w:b/>
                <w:sz w:val="18"/>
                <w:szCs w:val="18"/>
              </w:rPr>
              <w:t>L</w:t>
            </w:r>
          </w:p>
        </w:tc>
      </w:tr>
      <w:tr w:rsidR="00561E6C" w:rsidRPr="00D34DE3" w14:paraId="5D5DFD6A" w14:textId="77777777" w:rsidTr="00E050EA">
        <w:tc>
          <w:tcPr>
            <w:tcW w:w="7073" w:type="dxa"/>
            <w:vAlign w:val="center"/>
          </w:tcPr>
          <w:p w14:paraId="2670C83D" w14:textId="6F35E3F3" w:rsidR="00561E6C" w:rsidRPr="00EC1F9C" w:rsidRDefault="000E750A" w:rsidP="000E750A">
            <w:pPr>
              <w:tabs>
                <w:tab w:val="left" w:pos="1162"/>
              </w:tabs>
              <w:spacing w:before="60" w:afterLines="60" w:after="144" w:line="240" w:lineRule="auto"/>
              <w:ind w:left="737" w:right="-28"/>
              <w:rPr>
                <w:rFonts w:asciiTheme="majorHAnsi" w:hAnsiTheme="majorHAnsi" w:cstheme="majorHAnsi"/>
                <w:sz w:val="18"/>
                <w:szCs w:val="18"/>
              </w:rPr>
            </w:pPr>
            <w:r>
              <w:rPr>
                <w:rFonts w:asciiTheme="majorHAnsi" w:hAnsiTheme="majorHAnsi" w:cstheme="majorHAnsi"/>
                <w:sz w:val="18"/>
                <w:szCs w:val="18"/>
              </w:rPr>
              <w:t>UDG</w:t>
            </w:r>
            <w:r w:rsidR="00561E6C" w:rsidRPr="00EC1F9C">
              <w:rPr>
                <w:rFonts w:asciiTheme="majorHAnsi" w:hAnsiTheme="majorHAnsi" w:cstheme="majorHAnsi"/>
                <w:sz w:val="18"/>
                <w:szCs w:val="18"/>
              </w:rPr>
              <w:t xml:space="preserve"> </w:t>
            </w:r>
            <w:r w:rsidR="00561E6C">
              <w:rPr>
                <w:rFonts w:asciiTheme="majorHAnsi" w:hAnsiTheme="majorHAnsi" w:cstheme="majorHAnsi"/>
                <w:sz w:val="18"/>
                <w:szCs w:val="18"/>
              </w:rPr>
              <w:t xml:space="preserve">Version </w:t>
            </w:r>
            <w:r w:rsidR="00561E6C" w:rsidRPr="00EC1F9C">
              <w:rPr>
                <w:rFonts w:asciiTheme="majorHAnsi" w:hAnsiTheme="majorHAnsi" w:cstheme="majorHAnsi"/>
                <w:sz w:val="18"/>
                <w:szCs w:val="18"/>
              </w:rPr>
              <w:t xml:space="preserve">1.3 classification </w:t>
            </w:r>
            <w:r w:rsidR="00986592">
              <w:rPr>
                <w:rFonts w:asciiTheme="majorHAnsi" w:hAnsiTheme="majorHAnsi" w:cstheme="majorHAnsi"/>
                <w:sz w:val="18"/>
                <w:szCs w:val="18"/>
              </w:rPr>
              <w:t>w</w:t>
            </w:r>
            <w:r w:rsidR="00561E6C" w:rsidRPr="00EC1F9C">
              <w:rPr>
                <w:rFonts w:asciiTheme="majorHAnsi" w:hAnsiTheme="majorHAnsi" w:cstheme="majorHAnsi"/>
                <w:sz w:val="18"/>
                <w:szCs w:val="18"/>
              </w:rPr>
              <w:t>eights</w:t>
            </w:r>
          </w:p>
        </w:tc>
        <w:tc>
          <w:tcPr>
            <w:tcW w:w="2337" w:type="dxa"/>
            <w:vAlign w:val="center"/>
          </w:tcPr>
          <w:p w14:paraId="4FBE94C4" w14:textId="07BA3AE0"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 xml:space="preserve">Appendix </w:t>
            </w:r>
            <w:r w:rsidR="00DA345D">
              <w:rPr>
                <w:rFonts w:asciiTheme="majorHAnsi" w:hAnsiTheme="majorHAnsi" w:cstheme="majorHAnsi"/>
                <w:b/>
                <w:sz w:val="18"/>
                <w:szCs w:val="18"/>
              </w:rPr>
              <w:t>M</w:t>
            </w:r>
          </w:p>
        </w:tc>
      </w:tr>
      <w:tr w:rsidR="00561E6C" w:rsidRPr="00D34DE3" w14:paraId="3B4255FB" w14:textId="77777777" w:rsidTr="00E050EA">
        <w:tc>
          <w:tcPr>
            <w:tcW w:w="7073" w:type="dxa"/>
            <w:vAlign w:val="center"/>
          </w:tcPr>
          <w:p w14:paraId="79CFC005"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Emergency </w:t>
            </w:r>
            <w:r>
              <w:rPr>
                <w:rFonts w:asciiTheme="majorHAnsi" w:hAnsiTheme="majorHAnsi" w:cstheme="majorHAnsi"/>
                <w:sz w:val="18"/>
                <w:szCs w:val="18"/>
              </w:rPr>
              <w:t>care</w:t>
            </w:r>
            <w:r w:rsidRPr="00EC1F9C">
              <w:rPr>
                <w:rFonts w:asciiTheme="majorHAnsi" w:hAnsiTheme="majorHAnsi" w:cstheme="majorHAnsi"/>
                <w:sz w:val="18"/>
                <w:szCs w:val="18"/>
              </w:rPr>
              <w:t xml:space="preserve"> in-scope for ABF</w:t>
            </w:r>
          </w:p>
        </w:tc>
        <w:tc>
          <w:tcPr>
            <w:tcW w:w="2337" w:type="dxa"/>
            <w:vAlign w:val="center"/>
          </w:tcPr>
          <w:p w14:paraId="32066AF7"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Pr>
                <w:rFonts w:asciiTheme="majorHAnsi" w:hAnsiTheme="majorHAnsi" w:cstheme="majorHAnsi"/>
                <w:b/>
                <w:sz w:val="18"/>
                <w:szCs w:val="18"/>
              </w:rPr>
              <w:t xml:space="preserve">Online </w:t>
            </w:r>
            <w:r w:rsidRPr="00EC1F9C">
              <w:rPr>
                <w:rFonts w:asciiTheme="majorHAnsi" w:hAnsiTheme="majorHAnsi" w:cstheme="majorHAnsi"/>
                <w:b/>
                <w:sz w:val="18"/>
                <w:szCs w:val="18"/>
              </w:rPr>
              <w:t>Glossary</w:t>
            </w:r>
          </w:p>
        </w:tc>
      </w:tr>
      <w:tr w:rsidR="00561E6C" w:rsidRPr="00D34DE3" w14:paraId="50510F92" w14:textId="77777777" w:rsidTr="00E050EA">
        <w:tc>
          <w:tcPr>
            <w:tcW w:w="7073" w:type="dxa"/>
            <w:vAlign w:val="center"/>
          </w:tcPr>
          <w:p w14:paraId="7AE94643"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Definitions of emergency </w:t>
            </w:r>
            <w:r>
              <w:rPr>
                <w:rFonts w:asciiTheme="majorHAnsi" w:hAnsiTheme="majorHAnsi" w:cstheme="majorHAnsi"/>
                <w:sz w:val="18"/>
                <w:szCs w:val="18"/>
              </w:rPr>
              <w:t>care</w:t>
            </w:r>
            <w:r w:rsidRPr="00EC1F9C">
              <w:rPr>
                <w:rFonts w:asciiTheme="majorHAnsi" w:hAnsiTheme="majorHAnsi" w:cstheme="majorHAnsi"/>
                <w:sz w:val="18"/>
                <w:szCs w:val="18"/>
              </w:rPr>
              <w:t xml:space="preserve"> role levels</w:t>
            </w:r>
          </w:p>
        </w:tc>
        <w:tc>
          <w:tcPr>
            <w:tcW w:w="2337" w:type="dxa"/>
            <w:vAlign w:val="center"/>
          </w:tcPr>
          <w:p w14:paraId="62396E80"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Pr>
                <w:rFonts w:asciiTheme="majorHAnsi" w:hAnsiTheme="majorHAnsi" w:cstheme="majorHAnsi"/>
                <w:b/>
                <w:sz w:val="18"/>
                <w:szCs w:val="18"/>
              </w:rPr>
              <w:t xml:space="preserve">Online </w:t>
            </w:r>
            <w:r w:rsidRPr="00EC1F9C">
              <w:rPr>
                <w:rFonts w:asciiTheme="majorHAnsi" w:hAnsiTheme="majorHAnsi" w:cstheme="majorHAnsi"/>
                <w:b/>
                <w:sz w:val="18"/>
                <w:szCs w:val="18"/>
              </w:rPr>
              <w:t>Glossary</w:t>
            </w:r>
          </w:p>
        </w:tc>
      </w:tr>
      <w:tr w:rsidR="00561E6C" w:rsidRPr="00D34DE3" w14:paraId="5ABB39EF" w14:textId="77777777" w:rsidTr="00E050EA">
        <w:tc>
          <w:tcPr>
            <w:tcW w:w="7073" w:type="dxa"/>
            <w:vAlign w:val="center"/>
          </w:tcPr>
          <w:p w14:paraId="50CF4388" w14:textId="79B3693D" w:rsidR="00561E6C" w:rsidRPr="00EC1F9C" w:rsidRDefault="002A0EFB" w:rsidP="00E050EA">
            <w:pPr>
              <w:tabs>
                <w:tab w:val="left" w:pos="1162"/>
              </w:tabs>
              <w:spacing w:before="60" w:afterLines="60" w:after="144" w:line="240" w:lineRule="auto"/>
              <w:ind w:right="-28"/>
              <w:rPr>
                <w:rFonts w:asciiTheme="majorHAnsi" w:hAnsiTheme="majorHAnsi" w:cstheme="majorHAnsi"/>
                <w:sz w:val="18"/>
                <w:szCs w:val="18"/>
                <w:highlight w:val="yellow"/>
              </w:rPr>
            </w:pPr>
            <w:r>
              <w:rPr>
                <w:rFonts w:asciiTheme="majorHAnsi" w:hAnsiTheme="majorHAnsi" w:cstheme="majorHAnsi"/>
                <w:b/>
                <w:sz w:val="18"/>
                <w:szCs w:val="18"/>
              </w:rPr>
              <w:t xml:space="preserve">Non-admitted services </w:t>
            </w:r>
            <w:r w:rsidR="001E25EA">
              <w:rPr>
                <w:rFonts w:asciiTheme="majorHAnsi" w:hAnsiTheme="majorHAnsi" w:cstheme="majorHAnsi"/>
                <w:b/>
                <w:sz w:val="18"/>
                <w:szCs w:val="18"/>
              </w:rPr>
              <w:t>–</w:t>
            </w:r>
            <w:r>
              <w:rPr>
                <w:rFonts w:asciiTheme="majorHAnsi" w:hAnsiTheme="majorHAnsi" w:cstheme="majorHAnsi"/>
                <w:b/>
                <w:sz w:val="18"/>
                <w:szCs w:val="18"/>
              </w:rPr>
              <w:t xml:space="preserve"> </w:t>
            </w:r>
            <w:r w:rsidR="00CE4AFB">
              <w:rPr>
                <w:rFonts w:asciiTheme="majorHAnsi" w:hAnsiTheme="majorHAnsi" w:cstheme="majorHAnsi"/>
                <w:b/>
                <w:sz w:val="18"/>
                <w:szCs w:val="18"/>
              </w:rPr>
              <w:t>NEP22</w:t>
            </w:r>
          </w:p>
        </w:tc>
        <w:tc>
          <w:tcPr>
            <w:tcW w:w="2337" w:type="dxa"/>
            <w:vAlign w:val="center"/>
          </w:tcPr>
          <w:p w14:paraId="3A5E9D09" w14:textId="77777777" w:rsidR="00561E6C" w:rsidRPr="00EC1F9C" w:rsidRDefault="00561E6C" w:rsidP="00E050EA">
            <w:pPr>
              <w:spacing w:line="240" w:lineRule="auto"/>
              <w:ind w:right="-28"/>
              <w:rPr>
                <w:rFonts w:asciiTheme="majorHAnsi" w:hAnsiTheme="majorHAnsi" w:cstheme="majorHAnsi"/>
                <w:b/>
                <w:sz w:val="18"/>
                <w:szCs w:val="18"/>
                <w:highlight w:val="yellow"/>
              </w:rPr>
            </w:pPr>
          </w:p>
        </w:tc>
      </w:tr>
      <w:tr w:rsidR="00561E6C" w:rsidRPr="00D34DE3" w14:paraId="5E3A3244" w14:textId="77777777" w:rsidTr="00E050EA">
        <w:tc>
          <w:tcPr>
            <w:tcW w:w="7073" w:type="dxa"/>
            <w:vAlign w:val="center"/>
          </w:tcPr>
          <w:p w14:paraId="5BAA7398" w14:textId="492C8AB4"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Tier 2 </w:t>
            </w:r>
            <w:r>
              <w:rPr>
                <w:rFonts w:asciiTheme="majorHAnsi" w:hAnsiTheme="majorHAnsi" w:cstheme="majorHAnsi"/>
                <w:sz w:val="18"/>
                <w:szCs w:val="18"/>
              </w:rPr>
              <w:t>N</w:t>
            </w:r>
            <w:r w:rsidRPr="00EC1F9C">
              <w:rPr>
                <w:rFonts w:asciiTheme="majorHAnsi" w:hAnsiTheme="majorHAnsi" w:cstheme="majorHAnsi"/>
                <w:sz w:val="18"/>
                <w:szCs w:val="18"/>
              </w:rPr>
              <w:t>on-</w:t>
            </w:r>
            <w:r>
              <w:rPr>
                <w:rFonts w:asciiTheme="majorHAnsi" w:hAnsiTheme="majorHAnsi" w:cstheme="majorHAnsi"/>
                <w:sz w:val="18"/>
                <w:szCs w:val="18"/>
              </w:rPr>
              <w:t>A</w:t>
            </w:r>
            <w:r w:rsidRPr="00EC1F9C">
              <w:rPr>
                <w:rFonts w:asciiTheme="majorHAnsi" w:hAnsiTheme="majorHAnsi" w:cstheme="majorHAnsi"/>
                <w:sz w:val="18"/>
                <w:szCs w:val="18"/>
              </w:rPr>
              <w:t xml:space="preserve">dmitted </w:t>
            </w:r>
            <w:r>
              <w:rPr>
                <w:rFonts w:asciiTheme="majorHAnsi" w:hAnsiTheme="majorHAnsi" w:cstheme="majorHAnsi"/>
                <w:sz w:val="18"/>
                <w:szCs w:val="18"/>
              </w:rPr>
              <w:t>S</w:t>
            </w:r>
            <w:r w:rsidRPr="00EC1F9C">
              <w:rPr>
                <w:rFonts w:asciiTheme="majorHAnsi" w:hAnsiTheme="majorHAnsi" w:cstheme="majorHAnsi"/>
                <w:sz w:val="18"/>
                <w:szCs w:val="18"/>
              </w:rPr>
              <w:t xml:space="preserve">ervices </w:t>
            </w:r>
            <w:r>
              <w:rPr>
                <w:rFonts w:asciiTheme="majorHAnsi" w:hAnsiTheme="majorHAnsi" w:cstheme="majorHAnsi"/>
                <w:sz w:val="18"/>
                <w:szCs w:val="18"/>
              </w:rPr>
              <w:t>C</w:t>
            </w:r>
            <w:r w:rsidRPr="00EC1F9C">
              <w:rPr>
                <w:rFonts w:asciiTheme="majorHAnsi" w:hAnsiTheme="majorHAnsi" w:cstheme="majorHAnsi"/>
                <w:sz w:val="18"/>
                <w:szCs w:val="18"/>
              </w:rPr>
              <w:t xml:space="preserve">lassification </w:t>
            </w:r>
            <w:r>
              <w:rPr>
                <w:rFonts w:asciiTheme="majorHAnsi" w:hAnsiTheme="majorHAnsi" w:cstheme="majorHAnsi"/>
                <w:sz w:val="18"/>
                <w:szCs w:val="18"/>
              </w:rPr>
              <w:t xml:space="preserve">Version </w:t>
            </w:r>
            <w:r w:rsidR="00565FFE">
              <w:rPr>
                <w:rFonts w:asciiTheme="majorHAnsi" w:hAnsiTheme="majorHAnsi" w:cstheme="majorHAnsi"/>
                <w:sz w:val="18"/>
                <w:szCs w:val="18"/>
              </w:rPr>
              <w:t>7</w:t>
            </w:r>
            <w:r w:rsidRPr="00EC1F9C">
              <w:rPr>
                <w:rFonts w:asciiTheme="majorHAnsi" w:hAnsiTheme="majorHAnsi" w:cstheme="majorHAnsi"/>
                <w:sz w:val="18"/>
                <w:szCs w:val="18"/>
              </w:rPr>
              <w:t xml:space="preserve">.0 weights, </w:t>
            </w:r>
            <w:r w:rsidRPr="00826181">
              <w:rPr>
                <w:rFonts w:asciiTheme="majorHAnsi" w:hAnsiTheme="majorHAnsi" w:cstheme="majorHAnsi"/>
                <w:sz w:val="18"/>
                <w:szCs w:val="18"/>
              </w:rPr>
              <w:t>paediatric adjustments</w:t>
            </w:r>
            <w:r w:rsidR="000E750A">
              <w:rPr>
                <w:rFonts w:asciiTheme="majorHAnsi" w:hAnsiTheme="majorHAnsi" w:cstheme="majorHAnsi"/>
                <w:sz w:val="18"/>
                <w:szCs w:val="18"/>
              </w:rPr>
              <w:t xml:space="preserve"> </w:t>
            </w:r>
          </w:p>
        </w:tc>
        <w:tc>
          <w:tcPr>
            <w:tcW w:w="2337" w:type="dxa"/>
            <w:vAlign w:val="center"/>
          </w:tcPr>
          <w:p w14:paraId="35216C08" w14:textId="66861EAC"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 xml:space="preserve">Appendix </w:t>
            </w:r>
            <w:r w:rsidR="00DA345D">
              <w:rPr>
                <w:rFonts w:asciiTheme="majorHAnsi" w:hAnsiTheme="majorHAnsi" w:cstheme="majorHAnsi"/>
                <w:b/>
                <w:sz w:val="18"/>
                <w:szCs w:val="18"/>
              </w:rPr>
              <w:t>K</w:t>
            </w:r>
          </w:p>
        </w:tc>
      </w:tr>
      <w:tr w:rsidR="00561E6C" w:rsidRPr="00D34DE3" w14:paraId="4224E293" w14:textId="77777777" w:rsidTr="00E050EA">
        <w:tc>
          <w:tcPr>
            <w:tcW w:w="7073" w:type="dxa"/>
            <w:vAlign w:val="center"/>
          </w:tcPr>
          <w:p w14:paraId="79A73FDA"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Definition of Tier 2 list of non-admitted services classifications </w:t>
            </w:r>
            <w:r>
              <w:rPr>
                <w:rFonts w:asciiTheme="majorHAnsi" w:hAnsiTheme="majorHAnsi" w:cstheme="majorHAnsi"/>
                <w:sz w:val="18"/>
                <w:szCs w:val="18"/>
              </w:rPr>
              <w:t xml:space="preserve">Version </w:t>
            </w:r>
            <w:r w:rsidR="00565FFE">
              <w:rPr>
                <w:rFonts w:asciiTheme="majorHAnsi" w:hAnsiTheme="majorHAnsi" w:cstheme="majorHAnsi"/>
                <w:sz w:val="18"/>
                <w:szCs w:val="18"/>
              </w:rPr>
              <w:t>7</w:t>
            </w:r>
            <w:r w:rsidRPr="00EC1F9C">
              <w:rPr>
                <w:rFonts w:asciiTheme="majorHAnsi" w:hAnsiTheme="majorHAnsi" w:cstheme="majorHAnsi"/>
                <w:sz w:val="18"/>
                <w:szCs w:val="18"/>
              </w:rPr>
              <w:t>.0</w:t>
            </w:r>
          </w:p>
        </w:tc>
        <w:tc>
          <w:tcPr>
            <w:tcW w:w="2337" w:type="dxa"/>
            <w:vAlign w:val="center"/>
          </w:tcPr>
          <w:p w14:paraId="204996A4"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Pr>
                <w:rFonts w:asciiTheme="majorHAnsi" w:hAnsiTheme="majorHAnsi" w:cstheme="majorHAnsi"/>
                <w:b/>
                <w:sz w:val="18"/>
                <w:szCs w:val="18"/>
              </w:rPr>
              <w:t xml:space="preserve">Online </w:t>
            </w:r>
            <w:r w:rsidRPr="00EC1F9C">
              <w:rPr>
                <w:rFonts w:asciiTheme="majorHAnsi" w:hAnsiTheme="majorHAnsi" w:cstheme="majorHAnsi"/>
                <w:b/>
                <w:sz w:val="18"/>
                <w:szCs w:val="18"/>
              </w:rPr>
              <w:t>Glossary</w:t>
            </w:r>
          </w:p>
        </w:tc>
      </w:tr>
      <w:tr w:rsidR="00561E6C" w:rsidRPr="00D34DE3" w14:paraId="00D574C5" w14:textId="77777777" w:rsidTr="00E050EA">
        <w:tc>
          <w:tcPr>
            <w:tcW w:w="7073" w:type="dxa"/>
            <w:vAlign w:val="center"/>
          </w:tcPr>
          <w:p w14:paraId="1C1508CE" w14:textId="47232BE6" w:rsidR="00561E6C" w:rsidRPr="00EC1F9C" w:rsidRDefault="00561E6C" w:rsidP="00E050EA">
            <w:pPr>
              <w:tabs>
                <w:tab w:val="left" w:pos="1162"/>
              </w:tabs>
              <w:spacing w:before="60" w:afterLines="60" w:after="144" w:line="240" w:lineRule="auto"/>
              <w:ind w:right="-28"/>
              <w:rPr>
                <w:rFonts w:asciiTheme="majorHAnsi" w:hAnsiTheme="majorHAnsi" w:cstheme="majorHAnsi"/>
                <w:sz w:val="18"/>
                <w:szCs w:val="18"/>
              </w:rPr>
            </w:pPr>
            <w:r w:rsidRPr="00EC1F9C">
              <w:rPr>
                <w:rFonts w:asciiTheme="majorHAnsi" w:hAnsiTheme="majorHAnsi" w:cstheme="majorHAnsi"/>
                <w:b/>
                <w:sz w:val="18"/>
                <w:szCs w:val="18"/>
              </w:rPr>
              <w:t>Subacut</w:t>
            </w:r>
            <w:r w:rsidR="002A0EFB">
              <w:rPr>
                <w:rFonts w:asciiTheme="majorHAnsi" w:hAnsiTheme="majorHAnsi" w:cstheme="majorHAnsi"/>
                <w:b/>
                <w:sz w:val="18"/>
                <w:szCs w:val="18"/>
              </w:rPr>
              <w:t xml:space="preserve">e and non-acute services </w:t>
            </w:r>
            <w:r w:rsidR="001E25EA">
              <w:rPr>
                <w:rFonts w:asciiTheme="majorHAnsi" w:hAnsiTheme="majorHAnsi" w:cstheme="majorHAnsi"/>
                <w:b/>
                <w:sz w:val="18"/>
                <w:szCs w:val="18"/>
              </w:rPr>
              <w:t>–</w:t>
            </w:r>
            <w:r w:rsidR="002A0EFB">
              <w:rPr>
                <w:rFonts w:asciiTheme="majorHAnsi" w:hAnsiTheme="majorHAnsi" w:cstheme="majorHAnsi"/>
                <w:b/>
                <w:sz w:val="18"/>
                <w:szCs w:val="18"/>
              </w:rPr>
              <w:t xml:space="preserve"> </w:t>
            </w:r>
            <w:r w:rsidR="00CE4AFB">
              <w:rPr>
                <w:rFonts w:asciiTheme="majorHAnsi" w:hAnsiTheme="majorHAnsi" w:cstheme="majorHAnsi"/>
                <w:b/>
                <w:sz w:val="18"/>
                <w:szCs w:val="18"/>
              </w:rPr>
              <w:t>NEP22</w:t>
            </w:r>
          </w:p>
        </w:tc>
        <w:tc>
          <w:tcPr>
            <w:tcW w:w="2337" w:type="dxa"/>
            <w:vAlign w:val="center"/>
          </w:tcPr>
          <w:p w14:paraId="6DFF93C9"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b/>
                <w:sz w:val="18"/>
                <w:szCs w:val="18"/>
                <w:highlight w:val="yellow"/>
              </w:rPr>
            </w:pPr>
          </w:p>
        </w:tc>
      </w:tr>
      <w:tr w:rsidR="00561E6C" w:rsidRPr="00D34DE3" w14:paraId="544842C0" w14:textId="77777777" w:rsidTr="00E050EA">
        <w:tc>
          <w:tcPr>
            <w:tcW w:w="7073" w:type="dxa"/>
            <w:vAlign w:val="center"/>
          </w:tcPr>
          <w:p w14:paraId="17ED48AA"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AN-SNAP </w:t>
            </w:r>
            <w:r>
              <w:rPr>
                <w:rFonts w:asciiTheme="majorHAnsi" w:hAnsiTheme="majorHAnsi" w:cstheme="majorHAnsi"/>
                <w:sz w:val="18"/>
                <w:szCs w:val="18"/>
              </w:rPr>
              <w:t xml:space="preserve">Version </w:t>
            </w:r>
            <w:r w:rsidRPr="00EC1F9C">
              <w:rPr>
                <w:rFonts w:asciiTheme="majorHAnsi" w:hAnsiTheme="majorHAnsi" w:cstheme="majorHAnsi"/>
                <w:sz w:val="18"/>
                <w:szCs w:val="18"/>
              </w:rPr>
              <w:t>4.0 weights</w:t>
            </w:r>
          </w:p>
        </w:tc>
        <w:tc>
          <w:tcPr>
            <w:tcW w:w="2337" w:type="dxa"/>
            <w:vAlign w:val="center"/>
          </w:tcPr>
          <w:p w14:paraId="050963DA"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I</w:t>
            </w:r>
          </w:p>
        </w:tc>
      </w:tr>
      <w:tr w:rsidR="00561E6C" w:rsidRPr="00D34DE3" w14:paraId="2A82BCD4" w14:textId="77777777" w:rsidTr="00E050EA">
        <w:tc>
          <w:tcPr>
            <w:tcW w:w="7073" w:type="dxa"/>
            <w:vAlign w:val="center"/>
          </w:tcPr>
          <w:p w14:paraId="7335A9CF"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Definitions of AN-SNAP </w:t>
            </w:r>
            <w:r>
              <w:rPr>
                <w:rFonts w:asciiTheme="majorHAnsi" w:hAnsiTheme="majorHAnsi" w:cstheme="majorHAnsi"/>
                <w:sz w:val="18"/>
                <w:szCs w:val="18"/>
              </w:rPr>
              <w:t xml:space="preserve">Version </w:t>
            </w:r>
            <w:r w:rsidRPr="00EC1F9C">
              <w:rPr>
                <w:rFonts w:asciiTheme="majorHAnsi" w:hAnsiTheme="majorHAnsi" w:cstheme="majorHAnsi"/>
                <w:sz w:val="18"/>
                <w:szCs w:val="18"/>
              </w:rPr>
              <w:t>4.0</w:t>
            </w:r>
          </w:p>
        </w:tc>
        <w:tc>
          <w:tcPr>
            <w:tcW w:w="2337" w:type="dxa"/>
            <w:vAlign w:val="center"/>
          </w:tcPr>
          <w:p w14:paraId="6CC05B7D"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Pr>
                <w:rFonts w:asciiTheme="majorHAnsi" w:hAnsiTheme="majorHAnsi" w:cstheme="majorHAnsi"/>
                <w:b/>
                <w:sz w:val="18"/>
                <w:szCs w:val="18"/>
              </w:rPr>
              <w:t xml:space="preserve">Online </w:t>
            </w:r>
            <w:r w:rsidRPr="00EC1F9C">
              <w:rPr>
                <w:rFonts w:asciiTheme="majorHAnsi" w:hAnsiTheme="majorHAnsi" w:cstheme="majorHAnsi"/>
                <w:b/>
                <w:sz w:val="18"/>
                <w:szCs w:val="18"/>
              </w:rPr>
              <w:t>Glossary</w:t>
            </w:r>
          </w:p>
        </w:tc>
      </w:tr>
      <w:tr w:rsidR="00561E6C" w:rsidRPr="00D34DE3" w14:paraId="43D99D66" w14:textId="77777777" w:rsidTr="00E050EA">
        <w:tc>
          <w:tcPr>
            <w:tcW w:w="7073" w:type="dxa"/>
            <w:shd w:val="clear" w:color="auto" w:fill="auto"/>
            <w:vAlign w:val="center"/>
          </w:tcPr>
          <w:p w14:paraId="7492D293" w14:textId="508FB9DD" w:rsidR="00561E6C" w:rsidRPr="00EC1F9C" w:rsidRDefault="008544AF" w:rsidP="00E050EA">
            <w:pPr>
              <w:tabs>
                <w:tab w:val="left" w:pos="1162"/>
              </w:tabs>
              <w:spacing w:before="60" w:afterLines="60" w:after="144" w:line="240" w:lineRule="auto"/>
              <w:ind w:right="-28"/>
              <w:rPr>
                <w:rFonts w:asciiTheme="majorHAnsi" w:hAnsiTheme="majorHAnsi" w:cstheme="majorHAnsi"/>
                <w:sz w:val="18"/>
                <w:szCs w:val="18"/>
              </w:rPr>
            </w:pPr>
            <w:r>
              <w:rPr>
                <w:rFonts w:asciiTheme="majorHAnsi" w:hAnsiTheme="majorHAnsi" w:cstheme="majorHAnsi"/>
                <w:b/>
                <w:sz w:val="18"/>
                <w:szCs w:val="18"/>
              </w:rPr>
              <w:t>Admitted mental health care</w:t>
            </w:r>
            <w:r w:rsidR="002A0EFB">
              <w:rPr>
                <w:rFonts w:asciiTheme="majorHAnsi" w:hAnsiTheme="majorHAnsi" w:cstheme="majorHAnsi"/>
                <w:b/>
                <w:sz w:val="18"/>
                <w:szCs w:val="18"/>
              </w:rPr>
              <w:t xml:space="preserve"> services </w:t>
            </w:r>
            <w:r w:rsidR="001E25EA">
              <w:rPr>
                <w:rFonts w:asciiTheme="majorHAnsi" w:hAnsiTheme="majorHAnsi" w:cstheme="majorHAnsi"/>
                <w:b/>
                <w:sz w:val="18"/>
                <w:szCs w:val="18"/>
              </w:rPr>
              <w:t>–</w:t>
            </w:r>
            <w:r w:rsidR="002A0EFB">
              <w:rPr>
                <w:rFonts w:asciiTheme="majorHAnsi" w:hAnsiTheme="majorHAnsi" w:cstheme="majorHAnsi"/>
                <w:b/>
                <w:sz w:val="18"/>
                <w:szCs w:val="18"/>
              </w:rPr>
              <w:t xml:space="preserve"> </w:t>
            </w:r>
            <w:r w:rsidR="00CE4AFB">
              <w:rPr>
                <w:rFonts w:asciiTheme="majorHAnsi" w:hAnsiTheme="majorHAnsi" w:cstheme="majorHAnsi"/>
                <w:b/>
                <w:sz w:val="18"/>
                <w:szCs w:val="18"/>
              </w:rPr>
              <w:t>NEP22</w:t>
            </w:r>
          </w:p>
        </w:tc>
        <w:tc>
          <w:tcPr>
            <w:tcW w:w="2337" w:type="dxa"/>
            <w:shd w:val="clear" w:color="auto" w:fill="auto"/>
            <w:vAlign w:val="center"/>
          </w:tcPr>
          <w:p w14:paraId="3FA54F22" w14:textId="77777777" w:rsidR="00561E6C" w:rsidRPr="00EC1F9C" w:rsidRDefault="00561E6C" w:rsidP="00E050EA">
            <w:pPr>
              <w:spacing w:line="240" w:lineRule="auto"/>
              <w:ind w:right="-28"/>
              <w:rPr>
                <w:rFonts w:asciiTheme="majorHAnsi" w:hAnsiTheme="majorHAnsi" w:cstheme="majorHAnsi"/>
                <w:b/>
                <w:sz w:val="18"/>
                <w:szCs w:val="18"/>
              </w:rPr>
            </w:pPr>
          </w:p>
        </w:tc>
      </w:tr>
      <w:tr w:rsidR="00561E6C" w:rsidRPr="00D34DE3" w14:paraId="4EDE2878" w14:textId="77777777" w:rsidTr="00E050EA">
        <w:tc>
          <w:tcPr>
            <w:tcW w:w="7073" w:type="dxa"/>
            <w:shd w:val="clear" w:color="auto" w:fill="auto"/>
            <w:vAlign w:val="center"/>
          </w:tcPr>
          <w:p w14:paraId="0E7827ED" w14:textId="12EFE1B2" w:rsidR="00561E6C" w:rsidRPr="00EC1F9C" w:rsidRDefault="006869D2" w:rsidP="000E750A">
            <w:pPr>
              <w:tabs>
                <w:tab w:val="left" w:pos="1162"/>
              </w:tabs>
              <w:spacing w:before="60" w:afterLines="60" w:after="144" w:line="240" w:lineRule="auto"/>
              <w:ind w:left="737" w:right="-28"/>
              <w:rPr>
                <w:rFonts w:asciiTheme="majorHAnsi" w:hAnsiTheme="majorHAnsi" w:cstheme="majorHAnsi"/>
                <w:sz w:val="18"/>
                <w:szCs w:val="18"/>
              </w:rPr>
            </w:pPr>
            <w:r>
              <w:rPr>
                <w:rFonts w:asciiTheme="majorHAnsi" w:hAnsiTheme="majorHAnsi" w:cstheme="majorHAnsi"/>
                <w:sz w:val="18"/>
                <w:szCs w:val="18"/>
              </w:rPr>
              <w:t xml:space="preserve">AMHCC </w:t>
            </w:r>
            <w:r w:rsidR="00EF4C80" w:rsidRPr="00EC1F9C">
              <w:rPr>
                <w:rFonts w:asciiTheme="majorHAnsi" w:hAnsiTheme="majorHAnsi" w:cstheme="majorHAnsi"/>
                <w:sz w:val="18"/>
                <w:szCs w:val="18"/>
              </w:rPr>
              <w:t>inlier bounds</w:t>
            </w:r>
            <w:r w:rsidR="00990AF5">
              <w:rPr>
                <w:rFonts w:asciiTheme="majorHAnsi" w:hAnsiTheme="majorHAnsi" w:cstheme="majorHAnsi"/>
                <w:sz w:val="18"/>
                <w:szCs w:val="18"/>
              </w:rPr>
              <w:t xml:space="preserve"> and</w:t>
            </w:r>
            <w:r w:rsidR="00EF4C80" w:rsidRPr="00EC1F9C">
              <w:rPr>
                <w:rFonts w:asciiTheme="majorHAnsi" w:hAnsiTheme="majorHAnsi" w:cstheme="majorHAnsi"/>
                <w:sz w:val="18"/>
                <w:szCs w:val="18"/>
              </w:rPr>
              <w:t xml:space="preserve"> NWAU weights</w:t>
            </w:r>
          </w:p>
        </w:tc>
        <w:tc>
          <w:tcPr>
            <w:tcW w:w="2337" w:type="dxa"/>
            <w:shd w:val="clear" w:color="auto" w:fill="auto"/>
            <w:vAlign w:val="center"/>
          </w:tcPr>
          <w:p w14:paraId="32A068B8" w14:textId="4F3C9C6C" w:rsidR="00561E6C" w:rsidRPr="00EC1F9C" w:rsidRDefault="00561E6C">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 xml:space="preserve">Appendix </w:t>
            </w:r>
            <w:r w:rsidR="006869D2">
              <w:rPr>
                <w:rFonts w:asciiTheme="majorHAnsi" w:hAnsiTheme="majorHAnsi" w:cstheme="majorHAnsi"/>
                <w:b/>
                <w:sz w:val="18"/>
                <w:szCs w:val="18"/>
              </w:rPr>
              <w:t>J</w:t>
            </w:r>
          </w:p>
        </w:tc>
      </w:tr>
      <w:tr w:rsidR="00C968DF" w:rsidRPr="00D34DE3" w14:paraId="5CDA819B" w14:textId="77777777" w:rsidTr="00E050EA">
        <w:tc>
          <w:tcPr>
            <w:tcW w:w="7073" w:type="dxa"/>
            <w:shd w:val="clear" w:color="auto" w:fill="auto"/>
            <w:vAlign w:val="center"/>
          </w:tcPr>
          <w:p w14:paraId="6E78779E" w14:textId="417A7610" w:rsidR="00C968DF" w:rsidRPr="00EC1F9C" w:rsidDel="006869D2" w:rsidRDefault="00C968DF" w:rsidP="000E750A">
            <w:pPr>
              <w:tabs>
                <w:tab w:val="left" w:pos="1162"/>
              </w:tabs>
              <w:spacing w:before="60" w:afterLines="60" w:after="144" w:line="240" w:lineRule="auto"/>
              <w:ind w:left="737" w:right="-28"/>
              <w:rPr>
                <w:rFonts w:asciiTheme="majorHAnsi" w:hAnsiTheme="majorHAnsi" w:cstheme="majorHAnsi"/>
                <w:sz w:val="18"/>
                <w:szCs w:val="18"/>
              </w:rPr>
            </w:pPr>
            <w:r>
              <w:rPr>
                <w:rFonts w:asciiTheme="majorHAnsi" w:hAnsiTheme="majorHAnsi" w:cstheme="majorHAnsi"/>
                <w:sz w:val="18"/>
                <w:szCs w:val="18"/>
              </w:rPr>
              <w:lastRenderedPageBreak/>
              <w:t>Adjustments to price weights</w:t>
            </w:r>
          </w:p>
        </w:tc>
        <w:tc>
          <w:tcPr>
            <w:tcW w:w="2337" w:type="dxa"/>
            <w:shd w:val="clear" w:color="auto" w:fill="auto"/>
            <w:vAlign w:val="center"/>
          </w:tcPr>
          <w:p w14:paraId="1E91DD10" w14:textId="32737867" w:rsidR="00C968DF" w:rsidRPr="00EC1F9C" w:rsidRDefault="00C968DF">
            <w:pPr>
              <w:tabs>
                <w:tab w:val="left" w:pos="1162"/>
              </w:tabs>
              <w:spacing w:before="60" w:afterLines="60" w:after="144" w:line="240" w:lineRule="auto"/>
              <w:ind w:right="-28"/>
              <w:rPr>
                <w:rFonts w:asciiTheme="majorHAnsi" w:hAnsiTheme="majorHAnsi" w:cstheme="majorHAnsi"/>
                <w:b/>
                <w:sz w:val="18"/>
                <w:szCs w:val="18"/>
              </w:rPr>
            </w:pPr>
            <w:r>
              <w:rPr>
                <w:rFonts w:asciiTheme="majorHAnsi" w:hAnsiTheme="majorHAnsi" w:cstheme="majorHAnsi"/>
                <w:b/>
                <w:sz w:val="18"/>
                <w:szCs w:val="18"/>
              </w:rPr>
              <w:t>Chapter 6</w:t>
            </w:r>
          </w:p>
        </w:tc>
      </w:tr>
      <w:tr w:rsidR="00C968DF" w:rsidRPr="00D34DE3" w14:paraId="1BA1F0E7" w14:textId="77777777" w:rsidTr="00E050EA">
        <w:tc>
          <w:tcPr>
            <w:tcW w:w="7073" w:type="dxa"/>
            <w:shd w:val="clear" w:color="auto" w:fill="auto"/>
            <w:vAlign w:val="center"/>
          </w:tcPr>
          <w:p w14:paraId="6E2D55EF" w14:textId="3AC693BA" w:rsidR="00C968DF" w:rsidRPr="00EC1F9C" w:rsidDel="006869D2" w:rsidRDefault="00C968DF" w:rsidP="000E750A">
            <w:pPr>
              <w:tabs>
                <w:tab w:val="left" w:pos="1162"/>
              </w:tabs>
              <w:spacing w:before="60" w:afterLines="60" w:after="144" w:line="240" w:lineRule="auto"/>
              <w:ind w:left="737" w:right="-28"/>
              <w:rPr>
                <w:rFonts w:asciiTheme="majorHAnsi" w:hAnsiTheme="majorHAnsi" w:cstheme="majorHAnsi"/>
                <w:sz w:val="18"/>
                <w:szCs w:val="18"/>
              </w:rPr>
            </w:pPr>
            <w:r>
              <w:rPr>
                <w:rFonts w:asciiTheme="majorHAnsi" w:hAnsiTheme="majorHAnsi" w:cstheme="majorHAnsi"/>
                <w:sz w:val="18"/>
                <w:szCs w:val="18"/>
              </w:rPr>
              <w:t>Specialised children’s hospitals</w:t>
            </w:r>
          </w:p>
        </w:tc>
        <w:tc>
          <w:tcPr>
            <w:tcW w:w="2337" w:type="dxa"/>
            <w:shd w:val="clear" w:color="auto" w:fill="auto"/>
            <w:vAlign w:val="center"/>
          </w:tcPr>
          <w:p w14:paraId="5C469A7F" w14:textId="05C3920C" w:rsidR="00C968DF" w:rsidRPr="00EC1F9C" w:rsidRDefault="00C968DF">
            <w:pPr>
              <w:tabs>
                <w:tab w:val="left" w:pos="1162"/>
              </w:tabs>
              <w:spacing w:before="60" w:afterLines="60" w:after="144" w:line="240" w:lineRule="auto"/>
              <w:ind w:right="-28"/>
              <w:rPr>
                <w:rFonts w:asciiTheme="majorHAnsi" w:hAnsiTheme="majorHAnsi" w:cstheme="majorHAnsi"/>
                <w:b/>
                <w:sz w:val="18"/>
                <w:szCs w:val="18"/>
              </w:rPr>
            </w:pPr>
            <w:r>
              <w:rPr>
                <w:rFonts w:asciiTheme="majorHAnsi" w:hAnsiTheme="majorHAnsi" w:cstheme="majorHAnsi"/>
                <w:b/>
                <w:sz w:val="18"/>
                <w:szCs w:val="18"/>
              </w:rPr>
              <w:t>Appendix E</w:t>
            </w:r>
          </w:p>
        </w:tc>
      </w:tr>
      <w:tr w:rsidR="00D90EA8" w:rsidRPr="00D34DE3" w14:paraId="6F305A57" w14:textId="77777777" w:rsidTr="00E050EA">
        <w:tc>
          <w:tcPr>
            <w:tcW w:w="7073" w:type="dxa"/>
            <w:shd w:val="clear" w:color="auto" w:fill="auto"/>
            <w:vAlign w:val="center"/>
          </w:tcPr>
          <w:p w14:paraId="390C7F3B" w14:textId="77367DE5" w:rsidR="00D90EA8" w:rsidRPr="00EC1F9C" w:rsidDel="006869D2" w:rsidRDefault="00D90EA8" w:rsidP="000E750A">
            <w:pPr>
              <w:tabs>
                <w:tab w:val="left" w:pos="1162"/>
              </w:tabs>
              <w:spacing w:before="60" w:afterLines="60" w:after="144" w:line="240" w:lineRule="auto"/>
              <w:ind w:left="737" w:right="-28"/>
              <w:rPr>
                <w:rFonts w:asciiTheme="majorHAnsi" w:hAnsiTheme="majorHAnsi" w:cstheme="majorHAnsi"/>
                <w:sz w:val="18"/>
                <w:szCs w:val="18"/>
              </w:rPr>
            </w:pPr>
            <w:r>
              <w:rPr>
                <w:rFonts w:asciiTheme="majorHAnsi" w:hAnsiTheme="majorHAnsi" w:cstheme="majorHAnsi"/>
                <w:sz w:val="18"/>
                <w:szCs w:val="18"/>
              </w:rPr>
              <w:t>Private patient adjustments</w:t>
            </w:r>
          </w:p>
        </w:tc>
        <w:tc>
          <w:tcPr>
            <w:tcW w:w="2337" w:type="dxa"/>
            <w:shd w:val="clear" w:color="auto" w:fill="auto"/>
            <w:vAlign w:val="center"/>
          </w:tcPr>
          <w:p w14:paraId="2F79D014" w14:textId="6B095D6B" w:rsidR="00D90EA8" w:rsidRPr="00EC1F9C" w:rsidRDefault="00D90EA8">
            <w:pPr>
              <w:tabs>
                <w:tab w:val="left" w:pos="1162"/>
              </w:tabs>
              <w:spacing w:before="60" w:afterLines="60" w:after="144" w:line="240" w:lineRule="auto"/>
              <w:ind w:right="-28"/>
              <w:rPr>
                <w:rFonts w:asciiTheme="majorHAnsi" w:hAnsiTheme="majorHAnsi" w:cstheme="majorHAnsi"/>
                <w:b/>
                <w:sz w:val="18"/>
                <w:szCs w:val="18"/>
              </w:rPr>
            </w:pPr>
            <w:r>
              <w:rPr>
                <w:rFonts w:asciiTheme="majorHAnsi" w:hAnsiTheme="majorHAnsi" w:cstheme="majorHAnsi"/>
                <w:b/>
                <w:sz w:val="18"/>
                <w:szCs w:val="18"/>
              </w:rPr>
              <w:t>Appendix F</w:t>
            </w:r>
          </w:p>
        </w:tc>
      </w:tr>
      <w:tr w:rsidR="00561E6C" w:rsidRPr="00D34DE3" w14:paraId="5F091289" w14:textId="77777777" w:rsidTr="00E050EA">
        <w:tc>
          <w:tcPr>
            <w:tcW w:w="7073" w:type="dxa"/>
            <w:tcBorders>
              <w:right w:val="nil"/>
            </w:tcBorders>
            <w:vAlign w:val="center"/>
          </w:tcPr>
          <w:p w14:paraId="07E6996D" w14:textId="0534B080" w:rsidR="00561E6C" w:rsidRPr="00EC1F9C" w:rsidRDefault="00561E6C" w:rsidP="002A0EFB">
            <w:pPr>
              <w:tabs>
                <w:tab w:val="left" w:pos="1162"/>
              </w:tabs>
              <w:spacing w:before="60" w:afterLines="60" w:after="144" w:line="240" w:lineRule="auto"/>
              <w:ind w:right="-28"/>
              <w:rPr>
                <w:rFonts w:asciiTheme="majorHAnsi" w:hAnsiTheme="majorHAnsi" w:cstheme="majorHAnsi"/>
                <w:b/>
                <w:sz w:val="18"/>
                <w:szCs w:val="18"/>
                <w:highlight w:val="yellow"/>
              </w:rPr>
            </w:pPr>
            <w:r w:rsidRPr="00EC1F9C">
              <w:rPr>
                <w:rFonts w:asciiTheme="majorHAnsi" w:hAnsiTheme="majorHAnsi" w:cstheme="majorHAnsi"/>
                <w:b/>
                <w:sz w:val="18"/>
                <w:szCs w:val="18"/>
              </w:rPr>
              <w:t xml:space="preserve">Block-funded hospital services </w:t>
            </w:r>
            <w:r w:rsidR="001E25EA">
              <w:rPr>
                <w:rFonts w:asciiTheme="majorHAnsi" w:hAnsiTheme="majorHAnsi" w:cstheme="majorHAnsi"/>
                <w:b/>
                <w:sz w:val="18"/>
                <w:szCs w:val="18"/>
              </w:rPr>
              <w:t>–</w:t>
            </w:r>
            <w:r w:rsidRPr="00EC1F9C">
              <w:rPr>
                <w:rFonts w:asciiTheme="majorHAnsi" w:hAnsiTheme="majorHAnsi" w:cstheme="majorHAnsi"/>
                <w:b/>
                <w:sz w:val="18"/>
                <w:szCs w:val="18"/>
              </w:rPr>
              <w:t xml:space="preserve"> </w:t>
            </w:r>
            <w:r w:rsidR="00CE4AFB" w:rsidRPr="00EC1F9C">
              <w:rPr>
                <w:rFonts w:asciiTheme="majorHAnsi" w:hAnsiTheme="majorHAnsi" w:cstheme="majorHAnsi"/>
                <w:b/>
                <w:sz w:val="18"/>
                <w:szCs w:val="18"/>
              </w:rPr>
              <w:t>NEC2</w:t>
            </w:r>
            <w:r w:rsidR="00CE4AFB">
              <w:rPr>
                <w:rFonts w:asciiTheme="majorHAnsi" w:hAnsiTheme="majorHAnsi" w:cstheme="majorHAnsi"/>
                <w:b/>
                <w:sz w:val="18"/>
                <w:szCs w:val="18"/>
              </w:rPr>
              <w:t>2</w:t>
            </w:r>
          </w:p>
        </w:tc>
        <w:tc>
          <w:tcPr>
            <w:tcW w:w="2337" w:type="dxa"/>
            <w:tcBorders>
              <w:left w:val="nil"/>
            </w:tcBorders>
            <w:vAlign w:val="center"/>
          </w:tcPr>
          <w:p w14:paraId="3498A545" w14:textId="77777777" w:rsidR="00561E6C" w:rsidRPr="00EC1F9C" w:rsidRDefault="00561E6C" w:rsidP="00E050EA">
            <w:pPr>
              <w:spacing w:line="240" w:lineRule="auto"/>
              <w:ind w:right="-28"/>
              <w:rPr>
                <w:rFonts w:asciiTheme="majorHAnsi" w:hAnsiTheme="majorHAnsi" w:cstheme="majorHAnsi"/>
                <w:b/>
                <w:sz w:val="18"/>
                <w:szCs w:val="18"/>
                <w:highlight w:val="yellow"/>
              </w:rPr>
            </w:pPr>
          </w:p>
        </w:tc>
      </w:tr>
      <w:tr w:rsidR="00561E6C" w:rsidRPr="00D34DE3" w14:paraId="3F51BEFD" w14:textId="77777777" w:rsidTr="00E050EA">
        <w:tc>
          <w:tcPr>
            <w:tcW w:w="7073" w:type="dxa"/>
            <w:vAlign w:val="center"/>
          </w:tcPr>
          <w:p w14:paraId="7A18F17D" w14:textId="77777777" w:rsidR="00561E6C" w:rsidRPr="00EC1F9C" w:rsidRDefault="00BD7A28" w:rsidP="00E050EA">
            <w:pPr>
              <w:tabs>
                <w:tab w:val="left" w:pos="1162"/>
              </w:tabs>
              <w:spacing w:before="60" w:afterLines="60" w:after="144" w:line="240" w:lineRule="auto"/>
              <w:ind w:left="737" w:right="-28"/>
              <w:rPr>
                <w:rFonts w:asciiTheme="majorHAnsi" w:hAnsiTheme="majorHAnsi" w:cstheme="majorHAnsi"/>
                <w:sz w:val="18"/>
                <w:szCs w:val="18"/>
              </w:rPr>
            </w:pPr>
            <w:r>
              <w:rPr>
                <w:rFonts w:asciiTheme="majorHAnsi" w:hAnsiTheme="majorHAnsi" w:cstheme="majorHAnsi"/>
                <w:sz w:val="18"/>
                <w:szCs w:val="18"/>
              </w:rPr>
              <w:t>The</w:t>
            </w:r>
            <w:r w:rsidR="00561E6C" w:rsidRPr="00EC1F9C">
              <w:rPr>
                <w:rFonts w:asciiTheme="majorHAnsi" w:hAnsiTheme="majorHAnsi" w:cstheme="majorHAnsi"/>
                <w:sz w:val="18"/>
                <w:szCs w:val="18"/>
              </w:rPr>
              <w:t xml:space="preserve"> efficient costs for each block-funded hospital</w:t>
            </w:r>
          </w:p>
        </w:tc>
        <w:tc>
          <w:tcPr>
            <w:tcW w:w="2337" w:type="dxa"/>
            <w:vAlign w:val="center"/>
          </w:tcPr>
          <w:p w14:paraId="29F53728" w14:textId="77777777" w:rsidR="00561E6C" w:rsidRPr="00836FC5" w:rsidRDefault="00561E6C" w:rsidP="00E050EA">
            <w:pPr>
              <w:tabs>
                <w:tab w:val="left" w:pos="1162"/>
              </w:tabs>
              <w:spacing w:before="60" w:afterLines="60" w:after="144" w:line="240" w:lineRule="auto"/>
              <w:ind w:right="-28"/>
              <w:rPr>
                <w:rFonts w:asciiTheme="majorHAnsi" w:eastAsiaTheme="minorHAnsi" w:hAnsiTheme="majorHAnsi" w:cstheme="majorHAnsi"/>
                <w:b/>
                <w:sz w:val="18"/>
                <w:szCs w:val="18"/>
              </w:rPr>
            </w:pPr>
            <w:r w:rsidRPr="003262FB">
              <w:rPr>
                <w:rFonts w:asciiTheme="majorHAnsi" w:hAnsiTheme="majorHAnsi" w:cstheme="majorHAnsi"/>
                <w:b/>
                <w:sz w:val="18"/>
                <w:szCs w:val="18"/>
              </w:rPr>
              <w:t>Chapter 3</w:t>
            </w:r>
          </w:p>
        </w:tc>
      </w:tr>
    </w:tbl>
    <w:p w14:paraId="3E18D85C" w14:textId="77777777" w:rsidR="00561E6C" w:rsidRPr="00B325D8" w:rsidRDefault="00561E6C" w:rsidP="00836FC5">
      <w:pPr>
        <w:pStyle w:val="TableHeading"/>
      </w:pPr>
      <w:bookmarkStart w:id="407" w:name="_Ref466622923"/>
      <w:r w:rsidRPr="00591D8C">
        <w:t xml:space="preserve">Table </w:t>
      </w:r>
      <w:bookmarkEnd w:id="407"/>
      <w:r>
        <w:rPr>
          <w:noProof/>
        </w:rPr>
        <w:t>2</w:t>
      </w:r>
      <w:r w:rsidR="00302145">
        <w:rPr>
          <w:noProof/>
        </w:rPr>
        <w:t>3</w:t>
      </w:r>
      <w:r w:rsidRPr="00591D8C">
        <w:t>: Summary of classification systems and sources of cost</w:t>
      </w:r>
    </w:p>
    <w:tbl>
      <w:tblPr>
        <w:tblW w:w="5000" w:type="pct"/>
        <w:tblInd w:w="8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Caption w:val="Table 22: Summary of classification systems and sources of cost."/>
        <w:tblDescription w:val="A summary of table 22 is outlined in the text prior to this table. The table consists of four column headings: column one is for service stream, column two is for classification, column three is for cost data, and column four is for activity data. The five rows relate to each individual service stream, Acute admitted care, Emergency Department care, Non-admitted care, Subacute and non-acute care, and Block funded services. "/>
      </w:tblPr>
      <w:tblGrid>
        <w:gridCol w:w="1637"/>
        <w:gridCol w:w="2697"/>
        <w:gridCol w:w="2844"/>
        <w:gridCol w:w="2257"/>
      </w:tblGrid>
      <w:tr w:rsidR="00561E6C" w:rsidRPr="00B7560D" w14:paraId="14DCB283" w14:textId="77777777" w:rsidTr="00E050EA">
        <w:trPr>
          <w:cantSplit/>
          <w:tblHeader/>
        </w:trPr>
        <w:tc>
          <w:tcPr>
            <w:tcW w:w="868" w:type="pct"/>
            <w:shd w:val="clear" w:color="auto" w:fill="288A32"/>
            <w:vAlign w:val="center"/>
          </w:tcPr>
          <w:p w14:paraId="5A312334" w14:textId="77777777" w:rsidR="00561E6C" w:rsidRPr="00EC1F9C" w:rsidRDefault="00561E6C" w:rsidP="00E050EA">
            <w:pPr>
              <w:tabs>
                <w:tab w:val="left" w:pos="1162"/>
              </w:tabs>
              <w:spacing w:before="80" w:after="80" w:line="240" w:lineRule="auto"/>
              <w:rPr>
                <w:rFonts w:cs="Arial"/>
                <w:b/>
                <w:color w:val="FFFFFF" w:themeColor="background1"/>
                <w:sz w:val="18"/>
                <w:szCs w:val="18"/>
              </w:rPr>
            </w:pPr>
            <w:r w:rsidRPr="00EC1F9C">
              <w:rPr>
                <w:rFonts w:cs="Arial"/>
                <w:b/>
                <w:color w:val="FFFFFF" w:themeColor="background1"/>
                <w:sz w:val="18"/>
                <w:szCs w:val="18"/>
              </w:rPr>
              <w:t>Service stream</w:t>
            </w:r>
          </w:p>
        </w:tc>
        <w:tc>
          <w:tcPr>
            <w:tcW w:w="1429" w:type="pct"/>
            <w:shd w:val="clear" w:color="auto" w:fill="288A32"/>
            <w:vAlign w:val="center"/>
          </w:tcPr>
          <w:p w14:paraId="2A205D4E" w14:textId="77777777" w:rsidR="00561E6C" w:rsidRPr="00EC1F9C" w:rsidRDefault="00561E6C" w:rsidP="00E050EA">
            <w:pPr>
              <w:tabs>
                <w:tab w:val="left" w:pos="1162"/>
              </w:tabs>
              <w:spacing w:before="80" w:after="80" w:line="240" w:lineRule="auto"/>
              <w:rPr>
                <w:rFonts w:cs="Arial"/>
                <w:b/>
                <w:color w:val="FFFFFF" w:themeColor="background1"/>
                <w:sz w:val="18"/>
                <w:szCs w:val="18"/>
              </w:rPr>
            </w:pPr>
            <w:r w:rsidRPr="00EC1F9C">
              <w:rPr>
                <w:rFonts w:cs="Arial"/>
                <w:b/>
                <w:color w:val="FFFFFF" w:themeColor="background1"/>
                <w:sz w:val="18"/>
                <w:szCs w:val="18"/>
              </w:rPr>
              <w:t>Classification</w:t>
            </w:r>
            <w:r w:rsidRPr="00EC1F9C">
              <w:rPr>
                <w:rStyle w:val="FootnoteReference"/>
                <w:rFonts w:cs="Arial"/>
                <w:b/>
                <w:color w:val="FFFFFF" w:themeColor="background1"/>
                <w:sz w:val="18"/>
                <w:szCs w:val="18"/>
              </w:rPr>
              <w:footnoteReference w:id="23"/>
            </w:r>
          </w:p>
        </w:tc>
        <w:tc>
          <w:tcPr>
            <w:tcW w:w="1507" w:type="pct"/>
            <w:shd w:val="clear" w:color="auto" w:fill="288A32"/>
            <w:vAlign w:val="center"/>
          </w:tcPr>
          <w:p w14:paraId="36A843E4" w14:textId="77777777" w:rsidR="00561E6C" w:rsidRPr="00EC1F9C" w:rsidRDefault="00561E6C" w:rsidP="00E050EA">
            <w:pPr>
              <w:tabs>
                <w:tab w:val="left" w:pos="1162"/>
              </w:tabs>
              <w:spacing w:before="80" w:after="80" w:line="240" w:lineRule="auto"/>
              <w:rPr>
                <w:rFonts w:cs="Arial"/>
                <w:b/>
                <w:color w:val="FFFFFF" w:themeColor="background1"/>
                <w:sz w:val="18"/>
                <w:szCs w:val="18"/>
              </w:rPr>
            </w:pPr>
            <w:r w:rsidRPr="00EC1F9C">
              <w:rPr>
                <w:rFonts w:cs="Arial"/>
                <w:b/>
                <w:color w:val="FFFFFF" w:themeColor="background1"/>
                <w:sz w:val="18"/>
                <w:szCs w:val="18"/>
              </w:rPr>
              <w:t>Cost data</w:t>
            </w:r>
          </w:p>
        </w:tc>
        <w:tc>
          <w:tcPr>
            <w:tcW w:w="1196" w:type="pct"/>
            <w:shd w:val="clear" w:color="auto" w:fill="288A32"/>
            <w:vAlign w:val="center"/>
          </w:tcPr>
          <w:p w14:paraId="70415166" w14:textId="77777777" w:rsidR="00561E6C" w:rsidRPr="00EC1F9C" w:rsidRDefault="00561E6C" w:rsidP="00E050EA">
            <w:pPr>
              <w:tabs>
                <w:tab w:val="left" w:pos="1162"/>
              </w:tabs>
              <w:spacing w:before="80" w:after="80" w:line="240" w:lineRule="auto"/>
              <w:rPr>
                <w:rFonts w:cs="Arial"/>
                <w:b/>
                <w:color w:val="FFFFFF" w:themeColor="background1"/>
                <w:sz w:val="18"/>
                <w:szCs w:val="18"/>
              </w:rPr>
            </w:pPr>
            <w:r w:rsidRPr="00EC1F9C">
              <w:rPr>
                <w:rFonts w:cs="Arial"/>
                <w:b/>
                <w:color w:val="FFFFFF" w:themeColor="background1"/>
                <w:sz w:val="18"/>
                <w:szCs w:val="18"/>
              </w:rPr>
              <w:t>Activity data</w:t>
            </w:r>
          </w:p>
        </w:tc>
      </w:tr>
      <w:tr w:rsidR="00561E6C" w:rsidRPr="00B7560D" w14:paraId="490CEE27" w14:textId="77777777" w:rsidTr="00E050EA">
        <w:trPr>
          <w:cantSplit/>
        </w:trPr>
        <w:tc>
          <w:tcPr>
            <w:tcW w:w="868" w:type="pct"/>
          </w:tcPr>
          <w:p w14:paraId="71B91A3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Admitted acute care</w:t>
            </w:r>
          </w:p>
        </w:tc>
        <w:tc>
          <w:tcPr>
            <w:tcW w:w="1429" w:type="pct"/>
          </w:tcPr>
          <w:p w14:paraId="652E9208"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Australian Refined Diagnosis Related Groups </w:t>
            </w:r>
            <w:r>
              <w:rPr>
                <w:rFonts w:cs="Arial"/>
                <w:sz w:val="18"/>
                <w:szCs w:val="18"/>
              </w:rPr>
              <w:t>V</w:t>
            </w:r>
            <w:r w:rsidRPr="00EC1F9C">
              <w:rPr>
                <w:rFonts w:cs="Arial"/>
                <w:sz w:val="18"/>
                <w:szCs w:val="18"/>
              </w:rPr>
              <w:t xml:space="preserve">ersion 10.0 </w:t>
            </w:r>
          </w:p>
        </w:tc>
        <w:tc>
          <w:tcPr>
            <w:tcW w:w="1507" w:type="pct"/>
          </w:tcPr>
          <w:p w14:paraId="46A51AA4" w14:textId="11B8AAAA"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National Hospital Cost Data Collection (NHCDC) Round </w:t>
            </w:r>
            <w:r w:rsidR="007114BD">
              <w:rPr>
                <w:rFonts w:cs="Arial"/>
                <w:sz w:val="18"/>
                <w:szCs w:val="18"/>
              </w:rPr>
              <w:t>24</w:t>
            </w:r>
            <w:r w:rsidR="007114BD" w:rsidRPr="00EC1F9C">
              <w:rPr>
                <w:rFonts w:cs="Arial"/>
                <w:sz w:val="18"/>
                <w:szCs w:val="18"/>
              </w:rPr>
              <w:t xml:space="preserve"> </w:t>
            </w:r>
            <w:r w:rsidRPr="00EC1F9C">
              <w:rPr>
                <w:rFonts w:cs="Arial"/>
                <w:sz w:val="18"/>
                <w:szCs w:val="18"/>
              </w:rPr>
              <w:t>(</w:t>
            </w:r>
            <w:r w:rsidR="007114BD" w:rsidRPr="00EC1F9C">
              <w:rPr>
                <w:rFonts w:cs="Arial"/>
                <w:sz w:val="18"/>
                <w:szCs w:val="18"/>
              </w:rPr>
              <w:t>201</w:t>
            </w:r>
            <w:r w:rsidR="007114BD">
              <w:rPr>
                <w:rFonts w:cs="Arial"/>
                <w:sz w:val="18"/>
                <w:szCs w:val="18"/>
              </w:rPr>
              <w:t>9</w:t>
            </w:r>
            <w:r w:rsidRPr="00EC1F9C">
              <w:rPr>
                <w:rFonts w:cs="Arial"/>
                <w:sz w:val="18"/>
                <w:szCs w:val="18"/>
              </w:rPr>
              <w:t>–</w:t>
            </w:r>
            <w:r w:rsidR="007114BD">
              <w:rPr>
                <w:rFonts w:cs="Arial"/>
                <w:sz w:val="18"/>
                <w:szCs w:val="18"/>
              </w:rPr>
              <w:t>20</w:t>
            </w:r>
            <w:r w:rsidRPr="00EC1F9C">
              <w:rPr>
                <w:rFonts w:cs="Arial"/>
                <w:sz w:val="18"/>
                <w:szCs w:val="18"/>
              </w:rPr>
              <w:t>)</w:t>
            </w:r>
          </w:p>
        </w:tc>
        <w:tc>
          <w:tcPr>
            <w:tcW w:w="1196" w:type="pct"/>
          </w:tcPr>
          <w:p w14:paraId="46FBE855"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Admitted </w:t>
            </w:r>
            <w:r>
              <w:rPr>
                <w:rFonts w:cs="Arial"/>
                <w:sz w:val="18"/>
                <w:szCs w:val="18"/>
              </w:rPr>
              <w:t>p</w:t>
            </w:r>
            <w:r w:rsidRPr="00EC1F9C">
              <w:rPr>
                <w:rFonts w:cs="Arial"/>
                <w:sz w:val="18"/>
                <w:szCs w:val="18"/>
              </w:rPr>
              <w:t xml:space="preserve">atient </w:t>
            </w:r>
            <w:r>
              <w:rPr>
                <w:rFonts w:cs="Arial"/>
                <w:sz w:val="18"/>
                <w:szCs w:val="18"/>
              </w:rPr>
              <w:t>c</w:t>
            </w:r>
            <w:r w:rsidRPr="00EC1F9C">
              <w:rPr>
                <w:rFonts w:cs="Arial"/>
                <w:sz w:val="18"/>
                <w:szCs w:val="18"/>
              </w:rPr>
              <w:t xml:space="preserve">are </w:t>
            </w:r>
            <w:r>
              <w:rPr>
                <w:rFonts w:cs="Arial"/>
                <w:sz w:val="18"/>
                <w:szCs w:val="18"/>
              </w:rPr>
              <w:t>n</w:t>
            </w:r>
            <w:r w:rsidRPr="00EC1F9C">
              <w:rPr>
                <w:rFonts w:cs="Arial"/>
                <w:sz w:val="18"/>
                <w:szCs w:val="18"/>
              </w:rPr>
              <w:t xml:space="preserve">ational </w:t>
            </w:r>
            <w:r>
              <w:rPr>
                <w:rFonts w:cs="Arial"/>
                <w:sz w:val="18"/>
                <w:szCs w:val="18"/>
              </w:rPr>
              <w:t>m</w:t>
            </w:r>
            <w:r w:rsidRPr="00EC1F9C">
              <w:rPr>
                <w:rFonts w:cs="Arial"/>
                <w:sz w:val="18"/>
                <w:szCs w:val="18"/>
              </w:rPr>
              <w:t xml:space="preserve">inimum </w:t>
            </w:r>
            <w:r>
              <w:rPr>
                <w:rFonts w:cs="Arial"/>
                <w:sz w:val="18"/>
                <w:szCs w:val="18"/>
              </w:rPr>
              <w:t>d</w:t>
            </w:r>
            <w:r w:rsidRPr="00EC1F9C">
              <w:rPr>
                <w:rFonts w:cs="Arial"/>
                <w:sz w:val="18"/>
                <w:szCs w:val="18"/>
              </w:rPr>
              <w:t xml:space="preserve">ata </w:t>
            </w:r>
            <w:r>
              <w:rPr>
                <w:rFonts w:cs="Arial"/>
                <w:sz w:val="18"/>
                <w:szCs w:val="18"/>
              </w:rPr>
              <w:t>s</w:t>
            </w:r>
            <w:r w:rsidRPr="00EC1F9C">
              <w:rPr>
                <w:rFonts w:cs="Arial"/>
                <w:sz w:val="18"/>
                <w:szCs w:val="18"/>
              </w:rPr>
              <w:t xml:space="preserve">et </w:t>
            </w:r>
            <w:r w:rsidR="004F79E5">
              <w:rPr>
                <w:rFonts w:cs="Arial"/>
                <w:sz w:val="18"/>
                <w:szCs w:val="18"/>
              </w:rPr>
              <w:t>(APC NMDS)</w:t>
            </w:r>
          </w:p>
        </w:tc>
      </w:tr>
      <w:tr w:rsidR="005034F8" w:rsidRPr="00B7560D" w14:paraId="770331CA" w14:textId="77777777" w:rsidTr="00E050EA">
        <w:trPr>
          <w:cantSplit/>
        </w:trPr>
        <w:tc>
          <w:tcPr>
            <w:tcW w:w="868" w:type="pct"/>
          </w:tcPr>
          <w:p w14:paraId="4A647CC5" w14:textId="4E820B7A" w:rsidR="005034F8" w:rsidRPr="00EC1F9C" w:rsidRDefault="005034F8" w:rsidP="00E050EA">
            <w:pPr>
              <w:tabs>
                <w:tab w:val="left" w:pos="1162"/>
              </w:tabs>
              <w:spacing w:before="60" w:after="60" w:line="240" w:lineRule="auto"/>
              <w:rPr>
                <w:rFonts w:cs="Arial"/>
                <w:sz w:val="18"/>
                <w:szCs w:val="18"/>
              </w:rPr>
            </w:pPr>
            <w:r>
              <w:rPr>
                <w:rFonts w:cs="Arial"/>
                <w:sz w:val="18"/>
                <w:szCs w:val="18"/>
              </w:rPr>
              <w:t>Admitted mental health care</w:t>
            </w:r>
          </w:p>
        </w:tc>
        <w:tc>
          <w:tcPr>
            <w:tcW w:w="1429" w:type="pct"/>
          </w:tcPr>
          <w:p w14:paraId="0C136A5C" w14:textId="1DCAAC34" w:rsidR="005034F8" w:rsidRPr="00EC1F9C" w:rsidRDefault="005034F8" w:rsidP="00E050EA">
            <w:pPr>
              <w:tabs>
                <w:tab w:val="left" w:pos="1162"/>
              </w:tabs>
              <w:spacing w:before="60" w:after="60" w:line="240" w:lineRule="auto"/>
              <w:rPr>
                <w:rFonts w:cs="Arial"/>
                <w:sz w:val="18"/>
                <w:szCs w:val="18"/>
              </w:rPr>
            </w:pPr>
            <w:r>
              <w:rPr>
                <w:rFonts w:cs="Arial"/>
                <w:sz w:val="18"/>
                <w:szCs w:val="18"/>
              </w:rPr>
              <w:t>Australian Mental Health Care Classification Version 1.0</w:t>
            </w:r>
          </w:p>
        </w:tc>
        <w:tc>
          <w:tcPr>
            <w:tcW w:w="1507" w:type="pct"/>
          </w:tcPr>
          <w:p w14:paraId="5FE40843" w14:textId="75EDF283" w:rsidR="005034F8" w:rsidRPr="00EC1F9C" w:rsidRDefault="005034F8" w:rsidP="00E050EA">
            <w:pPr>
              <w:tabs>
                <w:tab w:val="left" w:pos="1162"/>
              </w:tabs>
              <w:spacing w:before="60" w:after="60" w:line="240" w:lineRule="auto"/>
              <w:rPr>
                <w:rFonts w:cs="Arial"/>
                <w:sz w:val="18"/>
                <w:szCs w:val="18"/>
              </w:rPr>
            </w:pPr>
            <w:r>
              <w:rPr>
                <w:rFonts w:cs="Arial"/>
                <w:sz w:val="18"/>
                <w:szCs w:val="18"/>
              </w:rPr>
              <w:t>NHCDC Round 24 (2019</w:t>
            </w:r>
            <w:r w:rsidR="00836FC5">
              <w:rPr>
                <w:rFonts w:cs="Arial"/>
                <w:sz w:val="18"/>
                <w:szCs w:val="18"/>
              </w:rPr>
              <w:t>–</w:t>
            </w:r>
            <w:r>
              <w:rPr>
                <w:rFonts w:cs="Arial"/>
                <w:sz w:val="18"/>
                <w:szCs w:val="18"/>
              </w:rPr>
              <w:t>20)</w:t>
            </w:r>
          </w:p>
        </w:tc>
        <w:tc>
          <w:tcPr>
            <w:tcW w:w="1196" w:type="pct"/>
          </w:tcPr>
          <w:p w14:paraId="36EA959D" w14:textId="77777777" w:rsidR="005034F8" w:rsidRDefault="005034F8" w:rsidP="00E050EA">
            <w:pPr>
              <w:tabs>
                <w:tab w:val="left" w:pos="1162"/>
              </w:tabs>
              <w:spacing w:before="60" w:after="60" w:line="240" w:lineRule="auto"/>
              <w:rPr>
                <w:rFonts w:cs="Arial"/>
                <w:sz w:val="18"/>
                <w:szCs w:val="18"/>
              </w:rPr>
            </w:pPr>
            <w:r>
              <w:rPr>
                <w:rFonts w:cs="Arial"/>
                <w:sz w:val="18"/>
                <w:szCs w:val="18"/>
              </w:rPr>
              <w:t>Act</w:t>
            </w:r>
            <w:r w:rsidR="002F4072">
              <w:rPr>
                <w:rFonts w:cs="Arial"/>
                <w:sz w:val="18"/>
                <w:szCs w:val="18"/>
              </w:rPr>
              <w:t>ivity based funding (ABF): Mental health care National Best Endeavours Data Set (NBEDS)</w:t>
            </w:r>
          </w:p>
          <w:p w14:paraId="4A1DDF0F" w14:textId="3078B428" w:rsidR="002F4072" w:rsidRPr="00EC1F9C" w:rsidRDefault="002F4072" w:rsidP="00E050EA">
            <w:pPr>
              <w:tabs>
                <w:tab w:val="left" w:pos="1162"/>
              </w:tabs>
              <w:spacing w:before="60" w:after="60" w:line="240" w:lineRule="auto"/>
              <w:rPr>
                <w:rFonts w:cs="Arial"/>
                <w:sz w:val="18"/>
                <w:szCs w:val="18"/>
              </w:rPr>
            </w:pPr>
            <w:r>
              <w:rPr>
                <w:rFonts w:cs="Arial"/>
                <w:sz w:val="18"/>
                <w:szCs w:val="18"/>
              </w:rPr>
              <w:t>APC NMDS</w:t>
            </w:r>
          </w:p>
        </w:tc>
      </w:tr>
      <w:tr w:rsidR="00561E6C" w:rsidRPr="00B7560D" w14:paraId="0B5660AA" w14:textId="77777777" w:rsidTr="00E050EA">
        <w:trPr>
          <w:cantSplit/>
        </w:trPr>
        <w:tc>
          <w:tcPr>
            <w:tcW w:w="868" w:type="pct"/>
          </w:tcPr>
          <w:p w14:paraId="10192FE1"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Emergency care</w:t>
            </w:r>
          </w:p>
        </w:tc>
        <w:tc>
          <w:tcPr>
            <w:tcW w:w="1429" w:type="pct"/>
          </w:tcPr>
          <w:p w14:paraId="314E78D2" w14:textId="77777777" w:rsidR="00561E6C" w:rsidRPr="00EC1F9C" w:rsidRDefault="000E750A" w:rsidP="00E050EA">
            <w:pPr>
              <w:tabs>
                <w:tab w:val="left" w:pos="1162"/>
              </w:tabs>
              <w:spacing w:before="60" w:after="60" w:line="240" w:lineRule="auto"/>
              <w:rPr>
                <w:rFonts w:cs="Arial"/>
                <w:sz w:val="18"/>
                <w:szCs w:val="18"/>
              </w:rPr>
            </w:pPr>
            <w:r>
              <w:rPr>
                <w:rFonts w:cs="Arial"/>
                <w:sz w:val="18"/>
                <w:szCs w:val="18"/>
              </w:rPr>
              <w:t>AECC</w:t>
            </w:r>
            <w:r w:rsidR="00561E6C">
              <w:rPr>
                <w:rFonts w:cs="Arial"/>
                <w:sz w:val="18"/>
                <w:szCs w:val="18"/>
              </w:rPr>
              <w:t xml:space="preserve"> V</w:t>
            </w:r>
            <w:r w:rsidR="00561E6C" w:rsidRPr="00EC1F9C">
              <w:rPr>
                <w:rFonts w:cs="Arial"/>
                <w:sz w:val="18"/>
                <w:szCs w:val="18"/>
              </w:rPr>
              <w:t>ersion 1.</w:t>
            </w:r>
            <w:r w:rsidR="00194803">
              <w:rPr>
                <w:rFonts w:cs="Arial"/>
                <w:sz w:val="18"/>
                <w:szCs w:val="18"/>
              </w:rPr>
              <w:t>0</w:t>
            </w:r>
          </w:p>
          <w:p w14:paraId="2A7DDEF7"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Urgency Disposition Groups </w:t>
            </w:r>
            <w:r>
              <w:rPr>
                <w:rFonts w:cs="Arial"/>
                <w:sz w:val="18"/>
                <w:szCs w:val="18"/>
              </w:rPr>
              <w:t>V</w:t>
            </w:r>
            <w:r w:rsidRPr="00EC1F9C">
              <w:rPr>
                <w:rFonts w:cs="Arial"/>
                <w:sz w:val="18"/>
                <w:szCs w:val="18"/>
              </w:rPr>
              <w:t>ersion 1.3</w:t>
            </w:r>
          </w:p>
        </w:tc>
        <w:tc>
          <w:tcPr>
            <w:tcW w:w="1507" w:type="pct"/>
          </w:tcPr>
          <w:p w14:paraId="39DF78EE" w14:textId="264A40A1" w:rsidR="00561E6C" w:rsidRPr="00EC1F9C" w:rsidRDefault="00561E6C" w:rsidP="00BD7A28">
            <w:pPr>
              <w:tabs>
                <w:tab w:val="left" w:pos="1162"/>
              </w:tabs>
              <w:spacing w:before="60" w:after="60" w:line="240" w:lineRule="auto"/>
              <w:rPr>
                <w:rFonts w:cs="Arial"/>
                <w:sz w:val="18"/>
                <w:szCs w:val="18"/>
              </w:rPr>
            </w:pPr>
            <w:r w:rsidRPr="00EC1F9C">
              <w:rPr>
                <w:rFonts w:cs="Arial"/>
                <w:sz w:val="18"/>
                <w:szCs w:val="18"/>
              </w:rPr>
              <w:t xml:space="preserve">NHCDC Round </w:t>
            </w:r>
            <w:r w:rsidR="007114BD" w:rsidRPr="00EC1F9C">
              <w:rPr>
                <w:rFonts w:cs="Arial"/>
                <w:sz w:val="18"/>
                <w:szCs w:val="18"/>
              </w:rPr>
              <w:t>2</w:t>
            </w:r>
            <w:r w:rsidR="007114BD">
              <w:rPr>
                <w:rFonts w:cs="Arial"/>
                <w:sz w:val="18"/>
                <w:szCs w:val="18"/>
              </w:rPr>
              <w:t>4</w:t>
            </w:r>
            <w:r w:rsidR="007114BD" w:rsidRPr="00EC1F9C">
              <w:rPr>
                <w:rFonts w:cs="Arial"/>
                <w:sz w:val="18"/>
                <w:szCs w:val="18"/>
              </w:rPr>
              <w:t xml:space="preserve"> </w:t>
            </w:r>
            <w:r w:rsidRPr="00EC1F9C">
              <w:rPr>
                <w:rFonts w:cs="Arial"/>
                <w:sz w:val="18"/>
                <w:szCs w:val="18"/>
              </w:rPr>
              <w:t>(</w:t>
            </w:r>
            <w:r w:rsidR="007114BD" w:rsidRPr="00EC1F9C">
              <w:rPr>
                <w:rFonts w:cs="Arial"/>
                <w:sz w:val="18"/>
                <w:szCs w:val="18"/>
              </w:rPr>
              <w:t>201</w:t>
            </w:r>
            <w:r w:rsidR="007114BD">
              <w:rPr>
                <w:rFonts w:cs="Arial"/>
                <w:sz w:val="18"/>
                <w:szCs w:val="18"/>
              </w:rPr>
              <w:t>9</w:t>
            </w:r>
            <w:r w:rsidRPr="00EC1F9C">
              <w:rPr>
                <w:rFonts w:cs="Arial"/>
                <w:sz w:val="18"/>
                <w:szCs w:val="18"/>
              </w:rPr>
              <w:t>–</w:t>
            </w:r>
            <w:r w:rsidR="007114BD">
              <w:rPr>
                <w:rFonts w:cs="Arial"/>
                <w:sz w:val="18"/>
                <w:szCs w:val="18"/>
              </w:rPr>
              <w:t>20</w:t>
            </w:r>
            <w:r w:rsidRPr="00EC1F9C">
              <w:rPr>
                <w:rFonts w:cs="Arial"/>
                <w:sz w:val="18"/>
                <w:szCs w:val="18"/>
              </w:rPr>
              <w:t>)</w:t>
            </w:r>
          </w:p>
        </w:tc>
        <w:tc>
          <w:tcPr>
            <w:tcW w:w="1196" w:type="pct"/>
          </w:tcPr>
          <w:p w14:paraId="6C2CE83F" w14:textId="77777777" w:rsidR="00BA7276" w:rsidRDefault="002A762E" w:rsidP="00BA7276">
            <w:pPr>
              <w:tabs>
                <w:tab w:val="left" w:pos="1162"/>
              </w:tabs>
              <w:spacing w:before="60" w:after="60" w:line="240" w:lineRule="auto"/>
              <w:rPr>
                <w:rFonts w:cs="Arial"/>
                <w:sz w:val="18"/>
                <w:szCs w:val="18"/>
              </w:rPr>
            </w:pPr>
            <w:r w:rsidRPr="002A762E">
              <w:rPr>
                <w:rFonts w:cs="Arial"/>
                <w:sz w:val="18"/>
                <w:szCs w:val="18"/>
              </w:rPr>
              <w:t xml:space="preserve">Non-admitted patient emergency department care NMDS </w:t>
            </w:r>
          </w:p>
          <w:p w14:paraId="2354E809" w14:textId="648F017B" w:rsidR="00561E6C" w:rsidRPr="00EC1F9C" w:rsidRDefault="002A762E" w:rsidP="00E050EA">
            <w:pPr>
              <w:tabs>
                <w:tab w:val="left" w:pos="1162"/>
              </w:tabs>
              <w:spacing w:before="60" w:after="60" w:line="240" w:lineRule="auto"/>
              <w:rPr>
                <w:rFonts w:cs="Arial"/>
                <w:sz w:val="18"/>
                <w:szCs w:val="18"/>
              </w:rPr>
            </w:pPr>
            <w:r w:rsidRPr="002A762E">
              <w:rPr>
                <w:rFonts w:cs="Arial"/>
                <w:sz w:val="18"/>
                <w:szCs w:val="18"/>
              </w:rPr>
              <w:t>and</w:t>
            </w:r>
            <w:r w:rsidR="00BA7276">
              <w:rPr>
                <w:rFonts w:cs="Arial"/>
                <w:sz w:val="18"/>
                <w:szCs w:val="18"/>
              </w:rPr>
              <w:t xml:space="preserve"> </w:t>
            </w:r>
            <w:r w:rsidR="004F79E5">
              <w:rPr>
                <w:rFonts w:cs="Arial"/>
                <w:sz w:val="18"/>
                <w:szCs w:val="18"/>
              </w:rPr>
              <w:t>E</w:t>
            </w:r>
            <w:r w:rsidR="00561E6C" w:rsidRPr="00EC1F9C">
              <w:rPr>
                <w:rFonts w:cs="Arial"/>
                <w:sz w:val="18"/>
                <w:szCs w:val="18"/>
              </w:rPr>
              <w:t xml:space="preserve">mergency </w:t>
            </w:r>
            <w:r w:rsidR="004F79E5">
              <w:rPr>
                <w:rFonts w:cs="Arial"/>
                <w:sz w:val="18"/>
                <w:szCs w:val="18"/>
              </w:rPr>
              <w:t xml:space="preserve">service </w:t>
            </w:r>
            <w:r w:rsidR="00561E6C">
              <w:rPr>
                <w:rFonts w:cs="Arial"/>
                <w:sz w:val="18"/>
                <w:szCs w:val="18"/>
              </w:rPr>
              <w:t>care</w:t>
            </w:r>
            <w:r w:rsidR="004F79E5">
              <w:rPr>
                <w:rFonts w:cs="Arial"/>
                <w:sz w:val="18"/>
                <w:szCs w:val="18"/>
              </w:rPr>
              <w:t xml:space="preserve"> </w:t>
            </w:r>
            <w:r w:rsidR="00561E6C" w:rsidRPr="00EC1F9C">
              <w:rPr>
                <w:rFonts w:cs="Arial"/>
                <w:sz w:val="18"/>
                <w:szCs w:val="18"/>
              </w:rPr>
              <w:t>NMDS</w:t>
            </w:r>
          </w:p>
        </w:tc>
      </w:tr>
      <w:tr w:rsidR="00561E6C" w:rsidRPr="00B7560D" w14:paraId="52DD1BD3" w14:textId="77777777" w:rsidTr="00E050EA">
        <w:trPr>
          <w:cantSplit/>
        </w:trPr>
        <w:tc>
          <w:tcPr>
            <w:tcW w:w="868" w:type="pct"/>
          </w:tcPr>
          <w:p w14:paraId="0BC7008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Non-admitted care </w:t>
            </w:r>
          </w:p>
        </w:tc>
        <w:tc>
          <w:tcPr>
            <w:tcW w:w="1429" w:type="pct"/>
          </w:tcPr>
          <w:p w14:paraId="6C6ADE74" w14:textId="2273D698" w:rsidR="00561E6C" w:rsidRPr="00EC1F9C" w:rsidRDefault="00561E6C" w:rsidP="00565FFE">
            <w:pPr>
              <w:tabs>
                <w:tab w:val="left" w:pos="1162"/>
              </w:tabs>
              <w:spacing w:before="60" w:after="60" w:line="240" w:lineRule="auto"/>
              <w:rPr>
                <w:rFonts w:cs="Arial"/>
                <w:sz w:val="18"/>
                <w:szCs w:val="18"/>
              </w:rPr>
            </w:pPr>
            <w:r w:rsidRPr="00EC1F9C">
              <w:rPr>
                <w:rFonts w:cs="Arial"/>
                <w:sz w:val="18"/>
                <w:szCs w:val="18"/>
              </w:rPr>
              <w:t xml:space="preserve">Tier 2 Outpatient </w:t>
            </w:r>
            <w:r w:rsidR="006C6367">
              <w:rPr>
                <w:rFonts w:cs="Arial"/>
                <w:sz w:val="18"/>
                <w:szCs w:val="18"/>
              </w:rPr>
              <w:t xml:space="preserve">Class </w:t>
            </w:r>
            <w:r w:rsidRPr="00EC1F9C">
              <w:rPr>
                <w:rFonts w:cs="Arial"/>
                <w:sz w:val="18"/>
                <w:szCs w:val="18"/>
              </w:rPr>
              <w:t xml:space="preserve">Definitions </w:t>
            </w:r>
            <w:r>
              <w:rPr>
                <w:rFonts w:cs="Arial"/>
                <w:sz w:val="18"/>
                <w:szCs w:val="18"/>
              </w:rPr>
              <w:t>V</w:t>
            </w:r>
            <w:r w:rsidRPr="00EC1F9C">
              <w:rPr>
                <w:rFonts w:cs="Arial"/>
                <w:sz w:val="18"/>
                <w:szCs w:val="18"/>
              </w:rPr>
              <w:t>ersion </w:t>
            </w:r>
            <w:r w:rsidR="00565FFE">
              <w:rPr>
                <w:rFonts w:cs="Arial"/>
                <w:sz w:val="18"/>
                <w:szCs w:val="18"/>
              </w:rPr>
              <w:t>7</w:t>
            </w:r>
            <w:r w:rsidRPr="00EC1F9C">
              <w:rPr>
                <w:rFonts w:cs="Arial"/>
                <w:sz w:val="18"/>
                <w:szCs w:val="18"/>
              </w:rPr>
              <w:t>.0</w:t>
            </w:r>
          </w:p>
        </w:tc>
        <w:tc>
          <w:tcPr>
            <w:tcW w:w="1507" w:type="pct"/>
          </w:tcPr>
          <w:p w14:paraId="5AE4EB92" w14:textId="3DAA1C50" w:rsidR="00561E6C" w:rsidRPr="00EC1F9C" w:rsidRDefault="00561E6C" w:rsidP="00E050EA">
            <w:pPr>
              <w:tabs>
                <w:tab w:val="left" w:pos="1162"/>
              </w:tabs>
              <w:spacing w:before="60" w:after="60" w:line="240" w:lineRule="auto"/>
              <w:rPr>
                <w:rFonts w:cs="Arial"/>
                <w:sz w:val="18"/>
                <w:szCs w:val="18"/>
                <w:highlight w:val="yellow"/>
              </w:rPr>
            </w:pPr>
            <w:r w:rsidRPr="00EC1F9C">
              <w:rPr>
                <w:rFonts w:cs="Arial"/>
                <w:sz w:val="18"/>
                <w:szCs w:val="18"/>
              </w:rPr>
              <w:t xml:space="preserve">NHCDC Round </w:t>
            </w:r>
            <w:r w:rsidR="007114BD" w:rsidRPr="00EC1F9C">
              <w:rPr>
                <w:rFonts w:cs="Arial"/>
                <w:sz w:val="18"/>
                <w:szCs w:val="18"/>
              </w:rPr>
              <w:t>2</w:t>
            </w:r>
            <w:r w:rsidR="007114BD">
              <w:rPr>
                <w:rFonts w:cs="Arial"/>
                <w:sz w:val="18"/>
                <w:szCs w:val="18"/>
              </w:rPr>
              <w:t>4</w:t>
            </w:r>
            <w:r w:rsidR="007114BD" w:rsidRPr="00EC1F9C">
              <w:rPr>
                <w:rFonts w:cs="Arial"/>
                <w:sz w:val="18"/>
                <w:szCs w:val="18"/>
              </w:rPr>
              <w:t xml:space="preserve"> </w:t>
            </w:r>
            <w:r w:rsidRPr="00EC1F9C">
              <w:rPr>
                <w:rFonts w:cs="Arial"/>
                <w:sz w:val="18"/>
                <w:szCs w:val="18"/>
              </w:rPr>
              <w:t>(</w:t>
            </w:r>
            <w:r w:rsidR="007114BD" w:rsidRPr="00EC1F9C">
              <w:rPr>
                <w:rFonts w:cs="Arial"/>
                <w:sz w:val="18"/>
                <w:szCs w:val="18"/>
              </w:rPr>
              <w:t>201</w:t>
            </w:r>
            <w:r w:rsidR="007114BD">
              <w:rPr>
                <w:rFonts w:cs="Arial"/>
                <w:sz w:val="18"/>
                <w:szCs w:val="18"/>
              </w:rPr>
              <w:t>9</w:t>
            </w:r>
            <w:r w:rsidRPr="00EC1F9C">
              <w:rPr>
                <w:rFonts w:cs="Arial"/>
                <w:sz w:val="18"/>
                <w:szCs w:val="18"/>
              </w:rPr>
              <w:t>–</w:t>
            </w:r>
            <w:r w:rsidR="007114BD">
              <w:rPr>
                <w:rFonts w:cs="Arial"/>
                <w:sz w:val="18"/>
                <w:szCs w:val="18"/>
              </w:rPr>
              <w:t>20</w:t>
            </w:r>
            <w:r w:rsidRPr="00EC1F9C">
              <w:rPr>
                <w:rFonts w:cs="Arial"/>
                <w:sz w:val="18"/>
                <w:szCs w:val="18"/>
              </w:rPr>
              <w:t>)</w:t>
            </w:r>
          </w:p>
        </w:tc>
        <w:tc>
          <w:tcPr>
            <w:tcW w:w="1196" w:type="pct"/>
          </w:tcPr>
          <w:p w14:paraId="1B2E1B61" w14:textId="77777777" w:rsidR="00561E6C" w:rsidRPr="00EC1F9C" w:rsidRDefault="004F79E5" w:rsidP="004F79E5">
            <w:pPr>
              <w:tabs>
                <w:tab w:val="left" w:pos="1162"/>
              </w:tabs>
              <w:spacing w:before="60" w:after="60" w:line="240" w:lineRule="auto"/>
              <w:rPr>
                <w:rFonts w:cs="Arial"/>
                <w:sz w:val="18"/>
                <w:szCs w:val="18"/>
                <w:highlight w:val="yellow"/>
              </w:rPr>
            </w:pPr>
            <w:r>
              <w:rPr>
                <w:rFonts w:cs="Arial"/>
                <w:sz w:val="18"/>
                <w:szCs w:val="18"/>
              </w:rPr>
              <w:t xml:space="preserve">ABF </w:t>
            </w:r>
            <w:r w:rsidR="00561E6C" w:rsidRPr="00EC1F9C">
              <w:rPr>
                <w:rFonts w:cs="Arial"/>
                <w:sz w:val="18"/>
                <w:szCs w:val="18"/>
              </w:rPr>
              <w:t>Non-</w:t>
            </w:r>
            <w:r w:rsidR="00561E6C">
              <w:rPr>
                <w:rFonts w:cs="Arial"/>
                <w:sz w:val="18"/>
                <w:szCs w:val="18"/>
              </w:rPr>
              <w:t>a</w:t>
            </w:r>
            <w:r w:rsidR="00561E6C" w:rsidRPr="00EC1F9C">
              <w:rPr>
                <w:rFonts w:cs="Arial"/>
                <w:sz w:val="18"/>
                <w:szCs w:val="18"/>
              </w:rPr>
              <w:t xml:space="preserve">dmitted </w:t>
            </w:r>
            <w:r w:rsidR="00561E6C">
              <w:rPr>
                <w:rFonts w:cs="Arial"/>
                <w:sz w:val="18"/>
                <w:szCs w:val="18"/>
              </w:rPr>
              <w:t>p</w:t>
            </w:r>
            <w:r w:rsidR="00561E6C" w:rsidRPr="00EC1F9C">
              <w:rPr>
                <w:rFonts w:cs="Arial"/>
                <w:sz w:val="18"/>
                <w:szCs w:val="18"/>
              </w:rPr>
              <w:t>atient</w:t>
            </w:r>
            <w:r>
              <w:rPr>
                <w:rFonts w:cs="Arial"/>
                <w:sz w:val="18"/>
                <w:szCs w:val="18"/>
              </w:rPr>
              <w:t xml:space="preserve"> (NAP)</w:t>
            </w:r>
            <w:r w:rsidR="00561E6C" w:rsidRPr="00EC1F9C">
              <w:rPr>
                <w:rFonts w:cs="Arial"/>
                <w:sz w:val="18"/>
                <w:szCs w:val="18"/>
              </w:rPr>
              <w:t xml:space="preserve"> </w:t>
            </w:r>
            <w:r>
              <w:rPr>
                <w:rFonts w:cs="Arial"/>
                <w:sz w:val="18"/>
                <w:szCs w:val="18"/>
              </w:rPr>
              <w:t xml:space="preserve">NBEDS </w:t>
            </w:r>
            <w:r w:rsidR="00561E6C" w:rsidRPr="00EC1F9C">
              <w:rPr>
                <w:rFonts w:cs="Arial"/>
                <w:sz w:val="18"/>
                <w:szCs w:val="18"/>
              </w:rPr>
              <w:t xml:space="preserve">and </w:t>
            </w:r>
            <w:r>
              <w:rPr>
                <w:rFonts w:cs="Arial"/>
                <w:sz w:val="18"/>
                <w:szCs w:val="18"/>
              </w:rPr>
              <w:t xml:space="preserve">ABF NAP care </w:t>
            </w:r>
            <w:r w:rsidR="00561E6C" w:rsidRPr="00EC1F9C">
              <w:rPr>
                <w:rFonts w:cs="Arial"/>
                <w:sz w:val="18"/>
                <w:szCs w:val="18"/>
              </w:rPr>
              <w:t xml:space="preserve">aggregate </w:t>
            </w:r>
            <w:r>
              <w:rPr>
                <w:rFonts w:cs="Arial"/>
                <w:sz w:val="18"/>
                <w:szCs w:val="18"/>
              </w:rPr>
              <w:t>NBEDS</w:t>
            </w:r>
          </w:p>
        </w:tc>
      </w:tr>
      <w:tr w:rsidR="00561E6C" w:rsidRPr="00B7560D" w14:paraId="1159D6E3" w14:textId="77777777" w:rsidTr="00E050EA">
        <w:trPr>
          <w:cantSplit/>
        </w:trPr>
        <w:tc>
          <w:tcPr>
            <w:tcW w:w="868" w:type="pct"/>
          </w:tcPr>
          <w:p w14:paraId="0781415A"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Subacute care</w:t>
            </w:r>
          </w:p>
          <w:p w14:paraId="04B4C90E"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(and non-acute)</w:t>
            </w:r>
          </w:p>
        </w:tc>
        <w:tc>
          <w:tcPr>
            <w:tcW w:w="1429" w:type="pct"/>
          </w:tcPr>
          <w:p w14:paraId="2691C9C5"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AN-SNAP </w:t>
            </w:r>
            <w:r>
              <w:rPr>
                <w:rFonts w:cs="Arial"/>
                <w:sz w:val="18"/>
                <w:szCs w:val="18"/>
              </w:rPr>
              <w:t xml:space="preserve">Version </w:t>
            </w:r>
            <w:r w:rsidRPr="00EC1F9C">
              <w:rPr>
                <w:rFonts w:cs="Arial"/>
                <w:sz w:val="18"/>
                <w:szCs w:val="18"/>
              </w:rPr>
              <w:t>4.0</w:t>
            </w:r>
          </w:p>
          <w:p w14:paraId="41F6606F" w14:textId="77777777" w:rsidR="00561E6C" w:rsidRPr="00EC1F9C" w:rsidRDefault="00561E6C" w:rsidP="00E050EA">
            <w:pPr>
              <w:tabs>
                <w:tab w:val="left" w:pos="1162"/>
              </w:tabs>
              <w:spacing w:before="60" w:after="60" w:line="240" w:lineRule="auto"/>
              <w:rPr>
                <w:rFonts w:cs="Arial"/>
                <w:sz w:val="18"/>
                <w:szCs w:val="18"/>
              </w:rPr>
            </w:pPr>
            <w:r>
              <w:rPr>
                <w:rFonts w:cs="Arial"/>
                <w:sz w:val="18"/>
                <w:szCs w:val="18"/>
              </w:rPr>
              <w:t>c</w:t>
            </w:r>
            <w:r w:rsidRPr="00EC1F9C">
              <w:rPr>
                <w:rFonts w:cs="Arial"/>
                <w:sz w:val="18"/>
                <w:szCs w:val="18"/>
              </w:rPr>
              <w:t>are type</w:t>
            </w:r>
          </w:p>
        </w:tc>
        <w:tc>
          <w:tcPr>
            <w:tcW w:w="1507" w:type="pct"/>
          </w:tcPr>
          <w:p w14:paraId="23DE624F" w14:textId="38DDFF25"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NHCDC Round 2</w:t>
            </w:r>
            <w:r w:rsidR="007114BD">
              <w:rPr>
                <w:rFonts w:cs="Arial"/>
                <w:sz w:val="18"/>
                <w:szCs w:val="18"/>
              </w:rPr>
              <w:t>4</w:t>
            </w:r>
            <w:r w:rsidRPr="00EC1F9C">
              <w:rPr>
                <w:rFonts w:cs="Arial"/>
                <w:sz w:val="18"/>
                <w:szCs w:val="18"/>
              </w:rPr>
              <w:t xml:space="preserve"> (</w:t>
            </w:r>
            <w:r w:rsidR="007114BD" w:rsidRPr="00EC1F9C">
              <w:rPr>
                <w:rFonts w:cs="Arial"/>
                <w:sz w:val="18"/>
                <w:szCs w:val="18"/>
              </w:rPr>
              <w:t>201</w:t>
            </w:r>
            <w:r w:rsidR="007114BD">
              <w:rPr>
                <w:rFonts w:cs="Arial"/>
                <w:sz w:val="18"/>
                <w:szCs w:val="18"/>
              </w:rPr>
              <w:t>9</w:t>
            </w:r>
            <w:r w:rsidRPr="00EC1F9C">
              <w:rPr>
                <w:rFonts w:cs="Arial"/>
                <w:sz w:val="18"/>
                <w:szCs w:val="18"/>
              </w:rPr>
              <w:t>–</w:t>
            </w:r>
            <w:r w:rsidR="007114BD">
              <w:rPr>
                <w:rFonts w:cs="Arial"/>
                <w:sz w:val="18"/>
                <w:szCs w:val="18"/>
              </w:rPr>
              <w:t>20</w:t>
            </w:r>
            <w:r w:rsidRPr="00EC1F9C">
              <w:rPr>
                <w:rFonts w:cs="Arial"/>
                <w:sz w:val="18"/>
                <w:szCs w:val="18"/>
              </w:rPr>
              <w:t>)</w:t>
            </w:r>
          </w:p>
        </w:tc>
        <w:tc>
          <w:tcPr>
            <w:tcW w:w="1196" w:type="pct"/>
          </w:tcPr>
          <w:p w14:paraId="256E3E54" w14:textId="77777777" w:rsidR="00561E6C" w:rsidRPr="00EC1F9C" w:rsidRDefault="00561E6C" w:rsidP="004F79E5">
            <w:pPr>
              <w:tabs>
                <w:tab w:val="left" w:pos="1162"/>
              </w:tabs>
              <w:spacing w:before="60" w:after="60" w:line="240" w:lineRule="auto"/>
              <w:rPr>
                <w:rFonts w:cs="Arial"/>
                <w:sz w:val="18"/>
                <w:szCs w:val="18"/>
              </w:rPr>
            </w:pPr>
            <w:r w:rsidRPr="00EC1F9C">
              <w:rPr>
                <w:rFonts w:cs="Arial"/>
                <w:sz w:val="18"/>
                <w:szCs w:val="18"/>
              </w:rPr>
              <w:t xml:space="preserve">APC NMDS and </w:t>
            </w:r>
            <w:r>
              <w:rPr>
                <w:rFonts w:cs="Arial"/>
                <w:sz w:val="18"/>
                <w:szCs w:val="18"/>
              </w:rPr>
              <w:t>a</w:t>
            </w:r>
            <w:r w:rsidRPr="00EC1F9C">
              <w:rPr>
                <w:rFonts w:cs="Arial"/>
                <w:sz w:val="18"/>
                <w:szCs w:val="18"/>
              </w:rPr>
              <w:t xml:space="preserve">dmitted </w:t>
            </w:r>
            <w:r>
              <w:rPr>
                <w:rFonts w:cs="Arial"/>
                <w:sz w:val="18"/>
                <w:szCs w:val="18"/>
              </w:rPr>
              <w:t>s</w:t>
            </w:r>
            <w:r w:rsidRPr="00EC1F9C">
              <w:rPr>
                <w:rFonts w:cs="Arial"/>
                <w:sz w:val="18"/>
                <w:szCs w:val="18"/>
              </w:rPr>
              <w:t xml:space="preserve">ubacute and </w:t>
            </w:r>
            <w:r>
              <w:rPr>
                <w:rFonts w:cs="Arial"/>
                <w:sz w:val="18"/>
                <w:szCs w:val="18"/>
              </w:rPr>
              <w:t>n</w:t>
            </w:r>
            <w:r w:rsidRPr="00EC1F9C">
              <w:rPr>
                <w:rFonts w:cs="Arial"/>
                <w:sz w:val="18"/>
                <w:szCs w:val="18"/>
              </w:rPr>
              <w:t xml:space="preserve">on-acute </w:t>
            </w:r>
            <w:r>
              <w:rPr>
                <w:rFonts w:cs="Arial"/>
                <w:sz w:val="18"/>
                <w:szCs w:val="18"/>
              </w:rPr>
              <w:t>h</w:t>
            </w:r>
            <w:r w:rsidRPr="00EC1F9C">
              <w:rPr>
                <w:rFonts w:cs="Arial"/>
                <w:sz w:val="18"/>
                <w:szCs w:val="18"/>
              </w:rPr>
              <w:t xml:space="preserve">ospital </w:t>
            </w:r>
            <w:r>
              <w:rPr>
                <w:rFonts w:cs="Arial"/>
                <w:sz w:val="18"/>
                <w:szCs w:val="18"/>
              </w:rPr>
              <w:t>c</w:t>
            </w:r>
            <w:r w:rsidRPr="00EC1F9C">
              <w:rPr>
                <w:rFonts w:cs="Arial"/>
                <w:sz w:val="18"/>
                <w:szCs w:val="18"/>
              </w:rPr>
              <w:t xml:space="preserve">are </w:t>
            </w:r>
            <w:r w:rsidR="004F79E5">
              <w:rPr>
                <w:rFonts w:cs="Arial"/>
                <w:sz w:val="18"/>
                <w:szCs w:val="18"/>
              </w:rPr>
              <w:t>NBEDS</w:t>
            </w:r>
            <w:r w:rsidR="004F79E5" w:rsidRPr="00EC1F9C">
              <w:rPr>
                <w:rFonts w:cs="Arial"/>
                <w:sz w:val="18"/>
                <w:szCs w:val="18"/>
              </w:rPr>
              <w:t xml:space="preserve"> </w:t>
            </w:r>
          </w:p>
        </w:tc>
      </w:tr>
      <w:tr w:rsidR="00561E6C" w:rsidRPr="00B7560D" w14:paraId="0901C644" w14:textId="77777777" w:rsidTr="00E050EA">
        <w:trPr>
          <w:cantSplit/>
        </w:trPr>
        <w:tc>
          <w:tcPr>
            <w:tcW w:w="868" w:type="pct"/>
          </w:tcPr>
          <w:p w14:paraId="3E95890C"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Block-funded services</w:t>
            </w:r>
          </w:p>
        </w:tc>
        <w:tc>
          <w:tcPr>
            <w:tcW w:w="1429" w:type="pct"/>
          </w:tcPr>
          <w:p w14:paraId="09B76F4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IHPA-defined size and Australian Statistical Geography Standards location categorisation on total NWAU for hospital</w:t>
            </w:r>
          </w:p>
        </w:tc>
        <w:tc>
          <w:tcPr>
            <w:tcW w:w="1507" w:type="pct"/>
          </w:tcPr>
          <w:p w14:paraId="5D338E37" w14:textId="6629BF74"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Expenditure data from the </w:t>
            </w:r>
            <w:r>
              <w:rPr>
                <w:rFonts w:cs="Arial"/>
                <w:sz w:val="18"/>
                <w:szCs w:val="18"/>
              </w:rPr>
              <w:t>n</w:t>
            </w:r>
            <w:r w:rsidRPr="00EC1F9C">
              <w:rPr>
                <w:rFonts w:cs="Arial"/>
                <w:sz w:val="18"/>
                <w:szCs w:val="18"/>
              </w:rPr>
              <w:t xml:space="preserve">ational </w:t>
            </w:r>
            <w:r>
              <w:rPr>
                <w:rFonts w:cs="Arial"/>
                <w:sz w:val="18"/>
                <w:szCs w:val="18"/>
              </w:rPr>
              <w:t>p</w:t>
            </w:r>
            <w:r w:rsidRPr="00EC1F9C">
              <w:rPr>
                <w:rFonts w:cs="Arial"/>
                <w:sz w:val="18"/>
                <w:szCs w:val="18"/>
              </w:rPr>
              <w:t xml:space="preserve">ublic </w:t>
            </w:r>
            <w:r>
              <w:rPr>
                <w:rFonts w:cs="Arial"/>
                <w:sz w:val="18"/>
                <w:szCs w:val="18"/>
              </w:rPr>
              <w:t>h</w:t>
            </w:r>
            <w:r w:rsidRPr="00EC1F9C">
              <w:rPr>
                <w:rFonts w:cs="Arial"/>
                <w:sz w:val="18"/>
                <w:szCs w:val="18"/>
              </w:rPr>
              <w:t xml:space="preserve">ospital </w:t>
            </w:r>
            <w:r>
              <w:rPr>
                <w:rFonts w:cs="Arial"/>
                <w:sz w:val="18"/>
                <w:szCs w:val="18"/>
              </w:rPr>
              <w:t>e</w:t>
            </w:r>
            <w:r w:rsidRPr="00EC1F9C">
              <w:rPr>
                <w:rFonts w:cs="Arial"/>
                <w:sz w:val="18"/>
                <w:szCs w:val="18"/>
              </w:rPr>
              <w:t xml:space="preserve">stablishments </w:t>
            </w:r>
            <w:r>
              <w:rPr>
                <w:rFonts w:cs="Arial"/>
                <w:sz w:val="18"/>
                <w:szCs w:val="18"/>
              </w:rPr>
              <w:t>d</w:t>
            </w:r>
            <w:r w:rsidRPr="00EC1F9C">
              <w:rPr>
                <w:rFonts w:cs="Arial"/>
                <w:sz w:val="18"/>
                <w:szCs w:val="18"/>
              </w:rPr>
              <w:t>atabase (</w:t>
            </w:r>
            <w:r w:rsidR="007114BD" w:rsidRPr="00EC1F9C">
              <w:rPr>
                <w:rFonts w:cs="Arial"/>
                <w:sz w:val="18"/>
                <w:szCs w:val="18"/>
              </w:rPr>
              <w:t>201</w:t>
            </w:r>
            <w:r w:rsidR="007114BD">
              <w:rPr>
                <w:rFonts w:cs="Arial"/>
                <w:sz w:val="18"/>
                <w:szCs w:val="18"/>
              </w:rPr>
              <w:t>9</w:t>
            </w:r>
            <w:r w:rsidRPr="00EC1F9C">
              <w:rPr>
                <w:rFonts w:cs="Arial"/>
                <w:sz w:val="18"/>
                <w:szCs w:val="18"/>
              </w:rPr>
              <w:t>–</w:t>
            </w:r>
            <w:r w:rsidR="007114BD">
              <w:rPr>
                <w:rFonts w:cs="Arial"/>
                <w:sz w:val="18"/>
                <w:szCs w:val="18"/>
              </w:rPr>
              <w:t xml:space="preserve">20 </w:t>
            </w:r>
            <w:r>
              <w:rPr>
                <w:rFonts w:cs="Arial"/>
                <w:sz w:val="18"/>
                <w:szCs w:val="18"/>
              </w:rPr>
              <w:t>financial year</w:t>
            </w:r>
            <w:r w:rsidRPr="00EC1F9C">
              <w:rPr>
                <w:rFonts w:cs="Arial"/>
                <w:sz w:val="18"/>
                <w:szCs w:val="18"/>
              </w:rPr>
              <w:t>)</w:t>
            </w:r>
          </w:p>
          <w:p w14:paraId="1DE3B504" w14:textId="644673EA"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NHCDC Round </w:t>
            </w:r>
            <w:r w:rsidR="007114BD" w:rsidRPr="00EC1F9C">
              <w:rPr>
                <w:rFonts w:cs="Arial"/>
                <w:sz w:val="18"/>
                <w:szCs w:val="18"/>
              </w:rPr>
              <w:t>2</w:t>
            </w:r>
            <w:r w:rsidR="007114BD">
              <w:rPr>
                <w:rFonts w:cs="Arial"/>
                <w:sz w:val="18"/>
                <w:szCs w:val="18"/>
              </w:rPr>
              <w:t>4</w:t>
            </w:r>
            <w:r w:rsidR="007114BD" w:rsidRPr="00EC1F9C">
              <w:rPr>
                <w:rFonts w:cs="Arial"/>
                <w:sz w:val="18"/>
                <w:szCs w:val="18"/>
              </w:rPr>
              <w:t xml:space="preserve"> </w:t>
            </w:r>
            <w:r w:rsidRPr="00EC1F9C">
              <w:rPr>
                <w:rFonts w:cs="Arial"/>
                <w:sz w:val="18"/>
                <w:szCs w:val="18"/>
              </w:rPr>
              <w:t>(</w:t>
            </w:r>
            <w:r w:rsidR="007114BD" w:rsidRPr="00EC1F9C">
              <w:rPr>
                <w:rFonts w:cs="Arial"/>
                <w:sz w:val="18"/>
                <w:szCs w:val="18"/>
              </w:rPr>
              <w:t>201</w:t>
            </w:r>
            <w:r w:rsidR="007114BD">
              <w:rPr>
                <w:rFonts w:cs="Arial"/>
                <w:sz w:val="18"/>
                <w:szCs w:val="18"/>
              </w:rPr>
              <w:t>9</w:t>
            </w:r>
            <w:r w:rsidRPr="00EC1F9C">
              <w:rPr>
                <w:rFonts w:cs="Arial"/>
                <w:sz w:val="18"/>
                <w:szCs w:val="18"/>
              </w:rPr>
              <w:t>–</w:t>
            </w:r>
            <w:r w:rsidR="007114BD">
              <w:rPr>
                <w:rFonts w:cs="Arial"/>
                <w:sz w:val="18"/>
                <w:szCs w:val="18"/>
              </w:rPr>
              <w:t>20</w:t>
            </w:r>
            <w:r w:rsidRPr="00EC1F9C">
              <w:rPr>
                <w:rFonts w:cs="Arial"/>
                <w:sz w:val="18"/>
                <w:szCs w:val="18"/>
              </w:rPr>
              <w:t>)</w:t>
            </w:r>
          </w:p>
        </w:tc>
        <w:tc>
          <w:tcPr>
            <w:tcW w:w="1196" w:type="pct"/>
          </w:tcPr>
          <w:p w14:paraId="43A4168C"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APC NMDS, NAPEDC NMDS, ABF ES DSS, NPHED</w:t>
            </w:r>
            <w:r w:rsidR="00320FDD">
              <w:rPr>
                <w:rFonts w:cs="Arial"/>
                <w:sz w:val="18"/>
                <w:szCs w:val="18"/>
              </w:rPr>
              <w:t>, non-admitted patient</w:t>
            </w:r>
            <w:r w:rsidRPr="00EC1F9C">
              <w:rPr>
                <w:rFonts w:cs="Arial"/>
                <w:sz w:val="18"/>
                <w:szCs w:val="18"/>
              </w:rPr>
              <w:t xml:space="preserve"> and aggregate DSS. </w:t>
            </w:r>
          </w:p>
        </w:tc>
      </w:tr>
    </w:tbl>
    <w:p w14:paraId="241FC42B" w14:textId="77777777" w:rsidR="00561E6C" w:rsidRDefault="00561E6C" w:rsidP="00561E6C">
      <w:pPr>
        <w:spacing w:after="200" w:line="240" w:lineRule="auto"/>
        <w:sectPr w:rsidR="00561E6C" w:rsidSect="008C2111">
          <w:footerReference w:type="default" r:id="rId28"/>
          <w:pgSz w:w="11906" w:h="16838" w:code="9"/>
          <w:pgMar w:top="2041" w:right="1440" w:bottom="1021" w:left="1021" w:header="680" w:footer="510" w:gutter="0"/>
          <w:pgNumType w:start="1"/>
          <w:cols w:space="708"/>
          <w:docGrid w:linePitch="360"/>
        </w:sectPr>
      </w:pPr>
    </w:p>
    <w:p w14:paraId="71B57890" w14:textId="77777777" w:rsidR="00561E6C" w:rsidRPr="008672C9" w:rsidRDefault="00561E6C" w:rsidP="00424C8B">
      <w:pPr>
        <w:pStyle w:val="AppendixH1"/>
      </w:pPr>
      <w:bookmarkStart w:id="408" w:name="_Toc467759603"/>
      <w:bookmarkStart w:id="409" w:name="_Toc499221019"/>
      <w:bookmarkStart w:id="410" w:name="_Toc499290979"/>
      <w:bookmarkStart w:id="411" w:name="_Toc26278357"/>
      <w:bookmarkStart w:id="412" w:name="_Toc26370535"/>
      <w:bookmarkStart w:id="413" w:name="_Toc65145970"/>
      <w:bookmarkStart w:id="414" w:name="_Toc98882319"/>
      <w:r w:rsidRPr="008672C9">
        <w:lastRenderedPageBreak/>
        <w:t>Appendix B: Application of NWAU variables</w:t>
      </w:r>
      <w:bookmarkEnd w:id="408"/>
      <w:bookmarkEnd w:id="409"/>
      <w:bookmarkEnd w:id="410"/>
      <w:bookmarkEnd w:id="411"/>
      <w:bookmarkEnd w:id="412"/>
      <w:bookmarkEnd w:id="413"/>
      <w:bookmarkEnd w:id="414"/>
    </w:p>
    <w:p w14:paraId="59DF2F70" w14:textId="77777777" w:rsidR="00561E6C" w:rsidRDefault="00561E6C" w:rsidP="00836FC5">
      <w:pPr>
        <w:pStyle w:val="TableHeading"/>
      </w:pPr>
      <w:r w:rsidRPr="00FA1783">
        <w:t xml:space="preserve">Table </w:t>
      </w:r>
      <w:r w:rsidR="00176BB4">
        <w:rPr>
          <w:noProof/>
        </w:rPr>
        <w:t>2</w:t>
      </w:r>
      <w:r w:rsidR="00302145">
        <w:rPr>
          <w:noProof/>
        </w:rPr>
        <w:t>4</w:t>
      </w:r>
      <w:r w:rsidRPr="00FA1783">
        <w:t>: Acute admitted patients: variable definitions</w:t>
      </w:r>
    </w:p>
    <w:tbl>
      <w:tblPr>
        <w:tblW w:w="5858" w:type="pct"/>
        <w:tblInd w:w="-57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Table 23: Acute admitted patients: variable definitions."/>
      </w:tblPr>
      <w:tblGrid>
        <w:gridCol w:w="992"/>
        <w:gridCol w:w="2156"/>
        <w:gridCol w:w="3131"/>
        <w:gridCol w:w="4974"/>
      </w:tblGrid>
      <w:tr w:rsidR="002C665D" w:rsidRPr="00C525F3" w14:paraId="5036FB4C" w14:textId="77777777" w:rsidTr="11584AC8">
        <w:trPr>
          <w:cantSplit/>
          <w:trHeight w:val="225"/>
          <w:tblHeader/>
        </w:trPr>
        <w:tc>
          <w:tcPr>
            <w:tcW w:w="441" w:type="pct"/>
            <w:shd w:val="clear" w:color="auto" w:fill="288A32"/>
            <w:noWrap/>
            <w:hideMark/>
          </w:tcPr>
          <w:p w14:paraId="622BB0BB" w14:textId="77777777" w:rsidR="00561E6C" w:rsidRPr="00B325D8" w:rsidRDefault="00561E6C" w:rsidP="00E050EA">
            <w:pPr>
              <w:tabs>
                <w:tab w:val="left" w:pos="1162"/>
              </w:tabs>
              <w:spacing w:before="80" w:after="80" w:line="240" w:lineRule="auto"/>
              <w:rPr>
                <w:rFonts w:cs="Arial"/>
                <w:b/>
                <w:color w:val="FFFFFF" w:themeColor="background1"/>
                <w:sz w:val="18"/>
                <w:szCs w:val="18"/>
              </w:rPr>
            </w:pPr>
            <w:r w:rsidRPr="00B325D8">
              <w:rPr>
                <w:rFonts w:cs="Arial"/>
                <w:b/>
                <w:color w:val="FFFFFF" w:themeColor="background1"/>
                <w:sz w:val="18"/>
                <w:szCs w:val="18"/>
              </w:rPr>
              <w:t>Variable</w:t>
            </w:r>
          </w:p>
        </w:tc>
        <w:tc>
          <w:tcPr>
            <w:tcW w:w="958" w:type="pct"/>
            <w:shd w:val="clear" w:color="auto" w:fill="288A32"/>
            <w:noWrap/>
            <w:hideMark/>
          </w:tcPr>
          <w:p w14:paraId="4127D5FE" w14:textId="77777777" w:rsidR="00561E6C" w:rsidRPr="00B325D8" w:rsidRDefault="00561E6C" w:rsidP="00E050EA">
            <w:pPr>
              <w:tabs>
                <w:tab w:val="left" w:pos="1162"/>
              </w:tabs>
              <w:spacing w:before="80" w:after="80" w:line="240" w:lineRule="auto"/>
              <w:rPr>
                <w:rFonts w:cs="Arial"/>
                <w:b/>
                <w:bCs/>
                <w:color w:val="FFFFFF" w:themeColor="background1"/>
                <w:sz w:val="18"/>
                <w:szCs w:val="18"/>
              </w:rPr>
            </w:pPr>
            <w:r w:rsidRPr="00B325D8">
              <w:rPr>
                <w:rFonts w:cs="Arial"/>
                <w:b/>
                <w:bCs/>
                <w:color w:val="FFFFFF" w:themeColor="background1"/>
                <w:sz w:val="18"/>
                <w:szCs w:val="18"/>
              </w:rPr>
              <w:t>Name</w:t>
            </w:r>
          </w:p>
        </w:tc>
        <w:tc>
          <w:tcPr>
            <w:tcW w:w="1391" w:type="pct"/>
            <w:shd w:val="clear" w:color="auto" w:fill="288A32"/>
            <w:hideMark/>
          </w:tcPr>
          <w:p w14:paraId="304945DE" w14:textId="77777777" w:rsidR="00561E6C" w:rsidRPr="00B325D8" w:rsidRDefault="00561E6C" w:rsidP="00E050EA">
            <w:pPr>
              <w:tabs>
                <w:tab w:val="left" w:pos="1162"/>
              </w:tabs>
              <w:spacing w:before="80" w:after="80" w:line="240" w:lineRule="auto"/>
              <w:rPr>
                <w:rFonts w:cs="Arial"/>
                <w:b/>
                <w:bCs/>
                <w:color w:val="FFFFFF" w:themeColor="background1"/>
                <w:sz w:val="18"/>
                <w:szCs w:val="18"/>
              </w:rPr>
            </w:pPr>
            <w:r w:rsidRPr="00B325D8">
              <w:rPr>
                <w:rFonts w:cs="Arial"/>
                <w:b/>
                <w:bCs/>
                <w:color w:val="FFFFFF" w:themeColor="background1"/>
                <w:sz w:val="18"/>
                <w:szCs w:val="18"/>
              </w:rPr>
              <w:t>Description</w:t>
            </w:r>
          </w:p>
        </w:tc>
        <w:tc>
          <w:tcPr>
            <w:tcW w:w="2210" w:type="pct"/>
            <w:shd w:val="clear" w:color="auto" w:fill="288A32"/>
            <w:hideMark/>
          </w:tcPr>
          <w:p w14:paraId="060A3243" w14:textId="77777777" w:rsidR="00561E6C" w:rsidRPr="00B325D8" w:rsidRDefault="00561E6C" w:rsidP="00E050EA">
            <w:pPr>
              <w:tabs>
                <w:tab w:val="left" w:pos="1162"/>
              </w:tabs>
              <w:spacing w:before="80" w:after="80" w:line="240" w:lineRule="auto"/>
              <w:rPr>
                <w:rFonts w:cs="Arial"/>
                <w:b/>
                <w:bCs/>
                <w:color w:val="FFFFFF" w:themeColor="background1"/>
                <w:sz w:val="18"/>
                <w:szCs w:val="18"/>
              </w:rPr>
            </w:pPr>
            <w:r w:rsidRPr="00B325D8">
              <w:rPr>
                <w:rFonts w:cs="Arial"/>
                <w:b/>
                <w:bCs/>
                <w:color w:val="FFFFFF" w:themeColor="background1"/>
                <w:sz w:val="18"/>
                <w:szCs w:val="18"/>
              </w:rPr>
              <w:t>Definition</w:t>
            </w:r>
          </w:p>
        </w:tc>
      </w:tr>
      <w:tr w:rsidR="00A90801" w:rsidRPr="00C525F3" w14:paraId="1A31BAD2" w14:textId="77777777" w:rsidTr="11584AC8">
        <w:trPr>
          <w:cantSplit/>
          <w:trHeight w:val="450"/>
        </w:trPr>
        <w:tc>
          <w:tcPr>
            <w:tcW w:w="441" w:type="pct"/>
            <w:shd w:val="clear" w:color="auto" w:fill="auto"/>
            <w:noWrap/>
          </w:tcPr>
          <w:p w14:paraId="68536CF9" w14:textId="77777777" w:rsidR="007060E7" w:rsidRPr="00822178" w:rsidRDefault="007060E7" w:rsidP="00E050EA">
            <w:pPr>
              <w:tabs>
                <w:tab w:val="left" w:pos="1162"/>
              </w:tabs>
              <w:spacing w:line="240" w:lineRule="auto"/>
              <w:rPr>
                <w:rFonts w:cs="Arial"/>
                <w:color w:val="000000"/>
                <w:sz w:val="18"/>
                <w:szCs w:val="18"/>
              </w:rPr>
            </w:pPr>
            <w:r>
              <w:rPr>
                <w:rFonts w:cs="Arial"/>
                <w:color w:val="000000"/>
                <w:sz w:val="18"/>
                <w:szCs w:val="18"/>
              </w:rPr>
              <w:t>A00</w:t>
            </w:r>
          </w:p>
        </w:tc>
        <w:tc>
          <w:tcPr>
            <w:tcW w:w="958" w:type="pct"/>
            <w:shd w:val="clear" w:color="auto" w:fill="auto"/>
            <w:noWrap/>
          </w:tcPr>
          <w:p w14:paraId="6388688B" w14:textId="77777777" w:rsidR="007060E7" w:rsidRDefault="007060E7" w:rsidP="00E050EA">
            <w:pPr>
              <w:tabs>
                <w:tab w:val="left" w:pos="1162"/>
              </w:tabs>
              <w:spacing w:line="240" w:lineRule="auto"/>
              <w:rPr>
                <w:rFonts w:cs="Arial"/>
                <w:color w:val="000000"/>
                <w:sz w:val="18"/>
                <w:szCs w:val="18"/>
              </w:rPr>
            </w:pPr>
            <w:r>
              <w:rPr>
                <w:rFonts w:cs="Arial"/>
                <w:color w:val="000000"/>
                <w:sz w:val="18"/>
                <w:szCs w:val="18"/>
              </w:rPr>
              <w:t>_pat_covid_flag</w:t>
            </w:r>
          </w:p>
        </w:tc>
        <w:tc>
          <w:tcPr>
            <w:tcW w:w="1391" w:type="pct"/>
            <w:shd w:val="clear" w:color="auto" w:fill="auto"/>
          </w:tcPr>
          <w:p w14:paraId="1D7DCA78" w14:textId="77777777" w:rsidR="001C4386" w:rsidRDefault="007060E7" w:rsidP="007060E7">
            <w:pPr>
              <w:tabs>
                <w:tab w:val="left" w:pos="1162"/>
              </w:tabs>
              <w:spacing w:line="240" w:lineRule="auto"/>
              <w:rPr>
                <w:rFonts w:cs="Arial"/>
                <w:color w:val="000000"/>
                <w:sz w:val="18"/>
                <w:szCs w:val="18"/>
              </w:rPr>
            </w:pPr>
            <w:r>
              <w:rPr>
                <w:rFonts w:cs="Arial"/>
                <w:color w:val="000000"/>
                <w:sz w:val="18"/>
                <w:szCs w:val="18"/>
              </w:rPr>
              <w:t>Patient has</w:t>
            </w:r>
            <w:r w:rsidR="001C4386">
              <w:rPr>
                <w:rFonts w:cs="Arial"/>
                <w:color w:val="000000"/>
                <w:sz w:val="18"/>
                <w:szCs w:val="18"/>
              </w:rPr>
              <w:t>:</w:t>
            </w:r>
          </w:p>
          <w:p w14:paraId="1C7DB27C" w14:textId="7B6ED330" w:rsidR="00063EAE" w:rsidRDefault="001C4386" w:rsidP="007060E7">
            <w:pPr>
              <w:tabs>
                <w:tab w:val="left" w:pos="1162"/>
              </w:tabs>
              <w:spacing w:line="240" w:lineRule="auto"/>
              <w:rPr>
                <w:rFonts w:cs="Arial"/>
                <w:color w:val="000000"/>
                <w:sz w:val="18"/>
                <w:szCs w:val="18"/>
              </w:rPr>
            </w:pPr>
            <w:r>
              <w:rPr>
                <w:rFonts w:cs="Arial"/>
                <w:color w:val="000000"/>
                <w:sz w:val="18"/>
                <w:szCs w:val="18"/>
              </w:rPr>
              <w:t xml:space="preserve">ICD10AM Version 11 </w:t>
            </w:r>
            <w:r w:rsidR="007060E7">
              <w:rPr>
                <w:rFonts w:cs="Arial"/>
                <w:color w:val="000000"/>
                <w:sz w:val="18"/>
                <w:szCs w:val="18"/>
              </w:rPr>
              <w:t>diagnos</w:t>
            </w:r>
            <w:r w:rsidR="00270287">
              <w:rPr>
                <w:rFonts w:cs="Arial"/>
                <w:color w:val="000000"/>
                <w:sz w:val="18"/>
                <w:szCs w:val="18"/>
              </w:rPr>
              <w:t>e</w:t>
            </w:r>
            <w:r w:rsidR="007060E7">
              <w:rPr>
                <w:rFonts w:cs="Arial"/>
                <w:color w:val="000000"/>
                <w:sz w:val="18"/>
                <w:szCs w:val="18"/>
              </w:rPr>
              <w:t>s U071 or U072</w:t>
            </w:r>
            <w:r>
              <w:rPr>
                <w:rFonts w:cs="Arial"/>
                <w:color w:val="000000"/>
                <w:sz w:val="18"/>
                <w:szCs w:val="18"/>
              </w:rPr>
              <w:t xml:space="preserve">; or </w:t>
            </w:r>
          </w:p>
          <w:p w14:paraId="031F7F68" w14:textId="4A69CDCF" w:rsidR="007060E7" w:rsidRDefault="00063EAE" w:rsidP="007060E7">
            <w:pPr>
              <w:tabs>
                <w:tab w:val="left" w:pos="1162"/>
              </w:tabs>
              <w:spacing w:line="240" w:lineRule="auto"/>
              <w:rPr>
                <w:rFonts w:cs="Arial"/>
                <w:color w:val="000000"/>
                <w:sz w:val="18"/>
                <w:szCs w:val="18"/>
              </w:rPr>
            </w:pPr>
            <w:r>
              <w:rPr>
                <w:rFonts w:cs="Arial"/>
                <w:color w:val="000000"/>
                <w:sz w:val="18"/>
                <w:szCs w:val="18"/>
              </w:rPr>
              <w:t xml:space="preserve">ICD10AM Version 12 </w:t>
            </w:r>
            <w:r w:rsidR="00270287">
              <w:rPr>
                <w:rFonts w:cs="Arial"/>
                <w:color w:val="000000"/>
                <w:sz w:val="18"/>
                <w:szCs w:val="18"/>
              </w:rPr>
              <w:t>d</w:t>
            </w:r>
            <w:r>
              <w:rPr>
                <w:rFonts w:cs="Arial"/>
                <w:color w:val="000000"/>
                <w:sz w:val="18"/>
                <w:szCs w:val="18"/>
              </w:rPr>
              <w:t>iagnos</w:t>
            </w:r>
            <w:r w:rsidR="00270287">
              <w:rPr>
                <w:rFonts w:cs="Arial"/>
                <w:color w:val="000000"/>
                <w:sz w:val="18"/>
                <w:szCs w:val="18"/>
              </w:rPr>
              <w:t>e</w:t>
            </w:r>
            <w:r>
              <w:rPr>
                <w:rFonts w:cs="Arial"/>
                <w:color w:val="000000"/>
                <w:sz w:val="18"/>
                <w:szCs w:val="18"/>
              </w:rPr>
              <w:t xml:space="preserve">s </w:t>
            </w:r>
            <w:r w:rsidR="001C4386">
              <w:rPr>
                <w:rFonts w:cs="Arial"/>
                <w:color w:val="000000"/>
                <w:sz w:val="18"/>
                <w:szCs w:val="18"/>
              </w:rPr>
              <w:t>U0711, U0712 or U072</w:t>
            </w:r>
          </w:p>
          <w:p w14:paraId="6A676343" w14:textId="77777777" w:rsidR="007060E7" w:rsidRPr="00822178" w:rsidRDefault="007060E7" w:rsidP="007060E7">
            <w:pPr>
              <w:tabs>
                <w:tab w:val="left" w:pos="1162"/>
              </w:tabs>
              <w:spacing w:line="240" w:lineRule="auto"/>
              <w:rPr>
                <w:rFonts w:cs="Arial"/>
                <w:color w:val="000000"/>
                <w:sz w:val="18"/>
                <w:szCs w:val="18"/>
              </w:rPr>
            </w:pPr>
            <w:r w:rsidRPr="00822178">
              <w:rPr>
                <w:rFonts w:cs="Arial"/>
                <w:color w:val="000000"/>
                <w:sz w:val="18"/>
                <w:szCs w:val="18"/>
              </w:rPr>
              <w:t xml:space="preserve">Either supplied in the input dataset or derived from the list of supplied </w:t>
            </w:r>
            <w:r>
              <w:rPr>
                <w:rFonts w:cs="Arial"/>
                <w:color w:val="000000"/>
                <w:sz w:val="18"/>
                <w:szCs w:val="18"/>
              </w:rPr>
              <w:t>diagnosis</w:t>
            </w:r>
            <w:r w:rsidRPr="00822178">
              <w:rPr>
                <w:rFonts w:cs="Arial"/>
                <w:color w:val="000000"/>
                <w:sz w:val="18"/>
                <w:szCs w:val="18"/>
              </w:rPr>
              <w:t xml:space="preserve"> codes.</w:t>
            </w:r>
          </w:p>
        </w:tc>
        <w:tc>
          <w:tcPr>
            <w:tcW w:w="2210" w:type="pct"/>
            <w:shd w:val="clear" w:color="auto" w:fill="auto"/>
          </w:tcPr>
          <w:p w14:paraId="1B58012C" w14:textId="77777777" w:rsidR="007060E7" w:rsidRPr="00822178" w:rsidRDefault="007060E7" w:rsidP="007060E7">
            <w:pPr>
              <w:tabs>
                <w:tab w:val="left" w:pos="1162"/>
              </w:tabs>
              <w:spacing w:line="240" w:lineRule="auto"/>
              <w:rPr>
                <w:rFonts w:cs="Arial"/>
                <w:color w:val="000000"/>
                <w:sz w:val="18"/>
                <w:szCs w:val="18"/>
              </w:rPr>
            </w:pPr>
            <w:r w:rsidRPr="00822178">
              <w:rPr>
                <w:rFonts w:cs="Arial"/>
                <w:color w:val="000000"/>
                <w:sz w:val="18"/>
                <w:szCs w:val="18"/>
              </w:rPr>
              <w:t xml:space="preserve">1 if patient had </w:t>
            </w:r>
            <w:r>
              <w:rPr>
                <w:rFonts w:cs="Arial"/>
                <w:color w:val="000000"/>
                <w:sz w:val="18"/>
                <w:szCs w:val="18"/>
              </w:rPr>
              <w:t>a COVID19 diagnosis; else 0.</w:t>
            </w:r>
          </w:p>
        </w:tc>
      </w:tr>
      <w:tr w:rsidR="00A90801" w:rsidRPr="00C525F3" w14:paraId="56D6D679" w14:textId="77777777" w:rsidTr="11584AC8">
        <w:trPr>
          <w:cantSplit/>
          <w:trHeight w:val="450"/>
        </w:trPr>
        <w:tc>
          <w:tcPr>
            <w:tcW w:w="441" w:type="pct"/>
            <w:shd w:val="clear" w:color="auto" w:fill="auto"/>
            <w:noWrap/>
          </w:tcPr>
          <w:p w14:paraId="00D8C8DC" w14:textId="77777777" w:rsidR="00561E6C" w:rsidRPr="00822178" w:rsidRDefault="00106E80" w:rsidP="00106E80">
            <w:pPr>
              <w:tabs>
                <w:tab w:val="left" w:pos="1162"/>
              </w:tabs>
              <w:spacing w:line="240" w:lineRule="auto"/>
              <w:rPr>
                <w:rFonts w:cs="Arial"/>
                <w:color w:val="000000"/>
                <w:sz w:val="18"/>
                <w:szCs w:val="18"/>
              </w:rPr>
            </w:pPr>
            <w:r w:rsidRPr="00822178">
              <w:rPr>
                <w:rFonts w:cs="Arial"/>
                <w:color w:val="000000"/>
                <w:sz w:val="18"/>
                <w:szCs w:val="18"/>
              </w:rPr>
              <w:t>A0</w:t>
            </w:r>
            <w:r>
              <w:rPr>
                <w:rFonts w:cs="Arial"/>
                <w:color w:val="000000"/>
                <w:sz w:val="18"/>
                <w:szCs w:val="18"/>
              </w:rPr>
              <w:t>1</w:t>
            </w:r>
          </w:p>
        </w:tc>
        <w:tc>
          <w:tcPr>
            <w:tcW w:w="958" w:type="pct"/>
            <w:shd w:val="clear" w:color="auto" w:fill="auto"/>
            <w:noWrap/>
          </w:tcPr>
          <w:p w14:paraId="179E46B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pat_radiotherapy_flag</w:t>
            </w:r>
          </w:p>
        </w:tc>
        <w:tc>
          <w:tcPr>
            <w:tcW w:w="1391" w:type="pct"/>
            <w:shd w:val="clear" w:color="auto" w:fill="auto"/>
          </w:tcPr>
          <w:p w14:paraId="2E0C779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Radiotherapy eligible separation. Either supplied in the input dataset or derived from the list of supplied procedure codes.</w:t>
            </w:r>
          </w:p>
        </w:tc>
        <w:tc>
          <w:tcPr>
            <w:tcW w:w="2210" w:type="pct"/>
            <w:shd w:val="clear" w:color="auto" w:fill="auto"/>
          </w:tcPr>
          <w:p w14:paraId="2F5479F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patient had radiotherapy related treatment or planning procedure</w:t>
            </w:r>
            <w:r>
              <w:rPr>
                <w:rFonts w:cs="Arial"/>
                <w:color w:val="000000"/>
                <w:sz w:val="18"/>
                <w:szCs w:val="18"/>
              </w:rPr>
              <w:t>; else 0.</w:t>
            </w:r>
          </w:p>
        </w:tc>
      </w:tr>
      <w:tr w:rsidR="00A90801" w:rsidRPr="00C525F3" w14:paraId="2D68A380" w14:textId="77777777" w:rsidTr="11584AC8">
        <w:trPr>
          <w:cantSplit/>
          <w:trHeight w:val="450"/>
        </w:trPr>
        <w:tc>
          <w:tcPr>
            <w:tcW w:w="441" w:type="pct"/>
            <w:shd w:val="clear" w:color="auto" w:fill="auto"/>
            <w:noWrap/>
          </w:tcPr>
          <w:p w14:paraId="0AEEBFD5" w14:textId="77777777" w:rsidR="00561E6C" w:rsidRPr="00822178" w:rsidRDefault="00106E80" w:rsidP="00106E80">
            <w:pPr>
              <w:tabs>
                <w:tab w:val="left" w:pos="1162"/>
              </w:tabs>
              <w:spacing w:line="240" w:lineRule="auto"/>
              <w:rPr>
                <w:rFonts w:eastAsiaTheme="minorHAnsi" w:cs="Arial"/>
                <w:b/>
                <w:noProof/>
                <w:color w:val="000000"/>
                <w:sz w:val="18"/>
                <w:szCs w:val="18"/>
              </w:rPr>
            </w:pPr>
            <w:r>
              <w:rPr>
                <w:rFonts w:cs="Arial"/>
                <w:color w:val="000000"/>
                <w:sz w:val="18"/>
                <w:szCs w:val="18"/>
              </w:rPr>
              <w:t>A02</w:t>
            </w:r>
          </w:p>
        </w:tc>
        <w:tc>
          <w:tcPr>
            <w:tcW w:w="958" w:type="pct"/>
            <w:shd w:val="clear" w:color="auto" w:fill="auto"/>
            <w:noWrap/>
          </w:tcPr>
          <w:p w14:paraId="0441FE5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_pat_dialysis</w:t>
            </w:r>
            <w:r w:rsidRPr="00822178">
              <w:rPr>
                <w:rFonts w:cs="Arial"/>
                <w:color w:val="000000"/>
                <w:sz w:val="18"/>
                <w:szCs w:val="18"/>
              </w:rPr>
              <w:t>_flag</w:t>
            </w:r>
          </w:p>
        </w:tc>
        <w:tc>
          <w:tcPr>
            <w:tcW w:w="1391" w:type="pct"/>
            <w:shd w:val="clear" w:color="auto" w:fill="auto"/>
          </w:tcPr>
          <w:p w14:paraId="72C6E64E"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Dialysis</w:t>
            </w:r>
            <w:r w:rsidRPr="00822178">
              <w:rPr>
                <w:rFonts w:cs="Arial"/>
                <w:color w:val="000000"/>
                <w:sz w:val="18"/>
                <w:szCs w:val="18"/>
              </w:rPr>
              <w:t xml:space="preserve"> eligible separation. Either supplied in the input dataset or derived from the list of supplied procedure codes.</w:t>
            </w:r>
          </w:p>
        </w:tc>
        <w:tc>
          <w:tcPr>
            <w:tcW w:w="2210" w:type="pct"/>
            <w:shd w:val="clear" w:color="auto" w:fill="auto"/>
          </w:tcPr>
          <w:p w14:paraId="537E3FF6" w14:textId="77777777" w:rsidR="00561E6C" w:rsidRPr="00822178" w:rsidRDefault="00561E6C" w:rsidP="00E050EA">
            <w:pPr>
              <w:tabs>
                <w:tab w:val="left" w:pos="1162"/>
              </w:tabs>
              <w:spacing w:line="240" w:lineRule="auto"/>
              <w:rPr>
                <w:rFonts w:cs="Arial"/>
                <w:color w:val="000000"/>
                <w:sz w:val="18"/>
                <w:szCs w:val="18"/>
              </w:rPr>
            </w:pPr>
            <w:r w:rsidRPr="00E33EAE">
              <w:rPr>
                <w:rFonts w:cs="Arial"/>
                <w:color w:val="000000"/>
                <w:sz w:val="18"/>
                <w:szCs w:val="18"/>
              </w:rPr>
              <w:t>1 if patient had a dialysis procedure and is not in AR</w:t>
            </w:r>
            <w:r w:rsidRPr="00E33EAE">
              <w:rPr>
                <w:rFonts w:cs="Arial"/>
                <w:color w:val="000000"/>
                <w:sz w:val="18"/>
                <w:szCs w:val="18"/>
              </w:rPr>
              <w:noBreakHyphen/>
              <w:t>DRG L61Z or L68Z</w:t>
            </w:r>
            <w:r>
              <w:rPr>
                <w:rFonts w:cs="Arial"/>
                <w:color w:val="000000"/>
                <w:sz w:val="18"/>
                <w:szCs w:val="18"/>
              </w:rPr>
              <w:t>; else 0.</w:t>
            </w:r>
          </w:p>
        </w:tc>
      </w:tr>
      <w:tr w:rsidR="008C4F86" w:rsidRPr="00C525F3" w14:paraId="0F000C79" w14:textId="77777777" w:rsidTr="11584AC8">
        <w:trPr>
          <w:cantSplit/>
          <w:trHeight w:val="450"/>
        </w:trPr>
        <w:tc>
          <w:tcPr>
            <w:tcW w:w="441" w:type="pct"/>
            <w:tcBorders>
              <w:bottom w:val="single" w:sz="4" w:space="0" w:color="auto"/>
            </w:tcBorders>
            <w:shd w:val="clear" w:color="auto" w:fill="auto"/>
            <w:noWrap/>
            <w:hideMark/>
          </w:tcPr>
          <w:p w14:paraId="225524E4" w14:textId="77777777" w:rsidR="00561E6C" w:rsidRPr="00822178" w:rsidRDefault="00106E80" w:rsidP="00106E80">
            <w:pPr>
              <w:tabs>
                <w:tab w:val="left" w:pos="1162"/>
              </w:tabs>
              <w:spacing w:line="240" w:lineRule="auto"/>
              <w:rPr>
                <w:rFonts w:eastAsiaTheme="minorHAnsi" w:cs="Arial"/>
                <w:b/>
                <w:noProof/>
                <w:color w:val="000000"/>
                <w:sz w:val="18"/>
                <w:szCs w:val="18"/>
              </w:rPr>
            </w:pPr>
            <w:r>
              <w:rPr>
                <w:rFonts w:cs="Arial"/>
                <w:color w:val="000000"/>
                <w:sz w:val="18"/>
                <w:szCs w:val="18"/>
              </w:rPr>
              <w:t>A03</w:t>
            </w:r>
          </w:p>
        </w:tc>
        <w:tc>
          <w:tcPr>
            <w:tcW w:w="958" w:type="pct"/>
            <w:shd w:val="clear" w:color="auto" w:fill="auto"/>
            <w:noWrap/>
            <w:hideMark/>
          </w:tcPr>
          <w:p w14:paraId="37750BEE" w14:textId="231DEA73" w:rsidR="00561E6C" w:rsidRPr="00822178" w:rsidRDefault="64EBEF88" w:rsidP="00E050EA">
            <w:pPr>
              <w:tabs>
                <w:tab w:val="left" w:pos="1162"/>
              </w:tabs>
              <w:spacing w:line="240" w:lineRule="auto"/>
              <w:rPr>
                <w:rFonts w:cs="Arial"/>
                <w:color w:val="000000"/>
                <w:sz w:val="18"/>
                <w:szCs w:val="18"/>
              </w:rPr>
            </w:pPr>
            <w:r w:rsidRPr="05C042F0">
              <w:rPr>
                <w:rFonts w:cs="Arial"/>
                <w:color w:val="000000" w:themeColor="text1"/>
                <w:sz w:val="18"/>
                <w:szCs w:val="18"/>
              </w:rPr>
              <w:t>_est_eligible_paed_flag</w:t>
            </w:r>
          </w:p>
        </w:tc>
        <w:tc>
          <w:tcPr>
            <w:tcW w:w="1391" w:type="pct"/>
            <w:shd w:val="clear" w:color="auto" w:fill="auto"/>
            <w:hideMark/>
          </w:tcPr>
          <w:p w14:paraId="20577FC8"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Paediatric adjustment eligible establishment, derived from ICU paediatric eligibility table</w:t>
            </w:r>
          </w:p>
        </w:tc>
        <w:tc>
          <w:tcPr>
            <w:tcW w:w="2210" w:type="pct"/>
            <w:shd w:val="clear" w:color="auto" w:fill="auto"/>
            <w:hideMark/>
          </w:tcPr>
          <w:p w14:paraId="57CDD8B9"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establishment is designated as eligible for paediatric adjustment; else</w:t>
            </w:r>
            <w:r>
              <w:rPr>
                <w:rFonts w:cs="Arial"/>
                <w:color w:val="000000"/>
                <w:sz w:val="18"/>
                <w:szCs w:val="18"/>
              </w:rPr>
              <w:t xml:space="preserve"> </w:t>
            </w:r>
            <w:r w:rsidRPr="00822178">
              <w:rPr>
                <w:rFonts w:cs="Arial"/>
                <w:color w:val="000000"/>
                <w:sz w:val="18"/>
                <w:szCs w:val="18"/>
              </w:rPr>
              <w:t>0.</w:t>
            </w:r>
          </w:p>
        </w:tc>
      </w:tr>
      <w:tr w:rsidR="00A90801" w:rsidRPr="00C525F3" w14:paraId="3641F656" w14:textId="77777777" w:rsidTr="11584AC8">
        <w:trPr>
          <w:cantSplit/>
          <w:trHeight w:val="450"/>
        </w:trPr>
        <w:tc>
          <w:tcPr>
            <w:tcW w:w="441" w:type="pct"/>
            <w:shd w:val="clear" w:color="auto" w:fill="auto"/>
            <w:noWrap/>
            <w:hideMark/>
          </w:tcPr>
          <w:p w14:paraId="0FEB3A94" w14:textId="77777777" w:rsidR="00561E6C" w:rsidRPr="00822178" w:rsidRDefault="00106E80" w:rsidP="00106E80">
            <w:pPr>
              <w:tabs>
                <w:tab w:val="left" w:pos="1162"/>
              </w:tabs>
              <w:spacing w:line="240" w:lineRule="auto"/>
              <w:rPr>
                <w:rFonts w:eastAsiaTheme="minorHAnsi" w:cs="Arial"/>
                <w:b/>
                <w:noProof/>
                <w:color w:val="000000"/>
                <w:sz w:val="18"/>
                <w:szCs w:val="18"/>
              </w:rPr>
            </w:pPr>
            <w:r>
              <w:rPr>
                <w:rFonts w:cs="Arial"/>
                <w:color w:val="000000"/>
                <w:sz w:val="18"/>
                <w:szCs w:val="18"/>
              </w:rPr>
              <w:t>A04</w:t>
            </w:r>
          </w:p>
        </w:tc>
        <w:tc>
          <w:tcPr>
            <w:tcW w:w="958" w:type="pct"/>
            <w:shd w:val="clear" w:color="auto" w:fill="auto"/>
            <w:noWrap/>
            <w:hideMark/>
          </w:tcPr>
          <w:p w14:paraId="4E32F138" w14:textId="7C8DCE35" w:rsidR="00561E6C" w:rsidRPr="00822178" w:rsidRDefault="64EBEF88" w:rsidP="00E050EA">
            <w:pPr>
              <w:tabs>
                <w:tab w:val="left" w:pos="1162"/>
              </w:tabs>
              <w:spacing w:line="240" w:lineRule="auto"/>
              <w:rPr>
                <w:rFonts w:cs="Arial"/>
                <w:color w:val="000000"/>
                <w:sz w:val="18"/>
                <w:szCs w:val="18"/>
              </w:rPr>
            </w:pPr>
            <w:r w:rsidRPr="05C042F0">
              <w:rPr>
                <w:rFonts w:cs="Arial"/>
                <w:color w:val="000000" w:themeColor="text1"/>
                <w:sz w:val="18"/>
                <w:szCs w:val="18"/>
              </w:rPr>
              <w:t>_est_eligible_icu_flag</w:t>
            </w:r>
          </w:p>
        </w:tc>
        <w:tc>
          <w:tcPr>
            <w:tcW w:w="1391" w:type="pct"/>
            <w:shd w:val="clear" w:color="auto" w:fill="auto"/>
            <w:hideMark/>
          </w:tcPr>
          <w:p w14:paraId="135CC6B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ICU rate adjustment eligible establishment, derived from ICU and paediatric eligibility table</w:t>
            </w:r>
          </w:p>
        </w:tc>
        <w:tc>
          <w:tcPr>
            <w:tcW w:w="2210" w:type="pct"/>
            <w:shd w:val="clear" w:color="auto" w:fill="auto"/>
            <w:hideMark/>
          </w:tcPr>
          <w:p w14:paraId="693F238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establishment is designated as eligible for ICU rate adjustment; else</w:t>
            </w:r>
            <w:r>
              <w:rPr>
                <w:rFonts w:cs="Arial"/>
                <w:color w:val="000000"/>
                <w:sz w:val="18"/>
                <w:szCs w:val="18"/>
              </w:rPr>
              <w:t xml:space="preserve"> </w:t>
            </w:r>
            <w:r w:rsidRPr="00822178">
              <w:rPr>
                <w:rFonts w:cs="Arial"/>
                <w:color w:val="000000"/>
                <w:sz w:val="18"/>
                <w:szCs w:val="18"/>
              </w:rPr>
              <w:t>0.</w:t>
            </w:r>
          </w:p>
        </w:tc>
      </w:tr>
      <w:tr w:rsidR="008C4F86" w:rsidRPr="00C525F3" w14:paraId="5947C645" w14:textId="77777777" w:rsidTr="11584AC8">
        <w:trPr>
          <w:cantSplit/>
          <w:trHeight w:val="450"/>
        </w:trPr>
        <w:tc>
          <w:tcPr>
            <w:tcW w:w="441" w:type="pct"/>
            <w:tcBorders>
              <w:top w:val="single" w:sz="4" w:space="0" w:color="auto"/>
            </w:tcBorders>
            <w:shd w:val="clear" w:color="auto" w:fill="auto"/>
            <w:noWrap/>
            <w:hideMark/>
          </w:tcPr>
          <w:p w14:paraId="1B941F5B"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A0</w:t>
            </w:r>
            <w:r>
              <w:rPr>
                <w:rFonts w:cs="Arial"/>
                <w:color w:val="000000"/>
                <w:sz w:val="18"/>
                <w:szCs w:val="18"/>
              </w:rPr>
              <w:t>5</w:t>
            </w:r>
          </w:p>
        </w:tc>
        <w:tc>
          <w:tcPr>
            <w:tcW w:w="958" w:type="pct"/>
            <w:shd w:val="clear" w:color="auto" w:fill="auto"/>
            <w:noWrap/>
            <w:hideMark/>
          </w:tcPr>
          <w:p w14:paraId="1C839EEF"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_pat</w:t>
            </w:r>
            <w:r w:rsidRPr="00822178">
              <w:rPr>
                <w:rFonts w:cs="Arial"/>
                <w:color w:val="000000"/>
                <w:sz w:val="18"/>
                <w:szCs w:val="18"/>
              </w:rPr>
              <w:t>_remoteness</w:t>
            </w:r>
          </w:p>
        </w:tc>
        <w:tc>
          <w:tcPr>
            <w:tcW w:w="1391" w:type="pct"/>
            <w:shd w:val="clear" w:color="auto" w:fill="auto"/>
            <w:hideMark/>
          </w:tcPr>
          <w:p w14:paraId="0074E522"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w:t>
            </w:r>
            <w:r>
              <w:rPr>
                <w:rFonts w:cs="Arial"/>
                <w:color w:val="000000"/>
                <w:sz w:val="18"/>
                <w:szCs w:val="18"/>
              </w:rPr>
              <w:t>residential r</w:t>
            </w:r>
            <w:r w:rsidRPr="00822178">
              <w:rPr>
                <w:rFonts w:cs="Arial"/>
                <w:color w:val="000000"/>
                <w:sz w:val="18"/>
                <w:szCs w:val="18"/>
              </w:rPr>
              <w:t>emoteness Area</w:t>
            </w:r>
          </w:p>
        </w:tc>
        <w:tc>
          <w:tcPr>
            <w:tcW w:w="2210" w:type="pct"/>
            <w:shd w:val="clear" w:color="auto" w:fill="auto"/>
            <w:hideMark/>
          </w:tcPr>
          <w:p w14:paraId="1F870692" w14:textId="77777777" w:rsidR="00561E6C" w:rsidRDefault="00561E6C" w:rsidP="00E050EA">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location taken from</w:t>
            </w:r>
            <w:r>
              <w:rPr>
                <w:rFonts w:cs="Arial"/>
                <w:color w:val="000000"/>
                <w:sz w:val="18"/>
                <w:szCs w:val="18"/>
              </w:rPr>
              <w:t xml:space="preserve"> the episode's geographical information in ranked ord</w:t>
            </w:r>
            <w:r w:rsidR="00C36999">
              <w:rPr>
                <w:rFonts w:cs="Arial"/>
                <w:color w:val="000000"/>
                <w:sz w:val="18"/>
                <w:szCs w:val="18"/>
              </w:rPr>
              <w:t>er of preference: SA2, postcode</w:t>
            </w:r>
            <w:r>
              <w:rPr>
                <w:rFonts w:cs="Arial"/>
                <w:color w:val="000000"/>
                <w:sz w:val="18"/>
                <w:szCs w:val="18"/>
              </w:rPr>
              <w:t xml:space="preserve"> or </w:t>
            </w:r>
            <w:r w:rsidRPr="00822178">
              <w:rPr>
                <w:rFonts w:cs="Arial"/>
                <w:color w:val="000000"/>
                <w:sz w:val="18"/>
                <w:szCs w:val="18"/>
              </w:rPr>
              <w:t>the hospital geographical indicator variable</w:t>
            </w:r>
            <w:r>
              <w:rPr>
                <w:rFonts w:cs="Arial"/>
                <w:color w:val="000000"/>
                <w:sz w:val="18"/>
                <w:szCs w:val="18"/>
              </w:rPr>
              <w:t xml:space="preserve"> where: </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A13D1E1"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0567649E"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6A8BC23F"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0EA7DFF7"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A90801" w:rsidRPr="00C525F3" w14:paraId="5EF65118" w14:textId="77777777" w:rsidTr="11584AC8">
        <w:trPr>
          <w:cantSplit/>
          <w:trHeight w:val="450"/>
        </w:trPr>
        <w:tc>
          <w:tcPr>
            <w:tcW w:w="441" w:type="pct"/>
            <w:shd w:val="clear" w:color="auto" w:fill="auto"/>
            <w:noWrap/>
          </w:tcPr>
          <w:p w14:paraId="318E201B" w14:textId="437CCD51" w:rsidR="00561E6C" w:rsidRPr="00822178" w:rsidRDefault="00106E80" w:rsidP="00106E80">
            <w:pPr>
              <w:tabs>
                <w:tab w:val="left" w:pos="1162"/>
              </w:tabs>
              <w:spacing w:line="240" w:lineRule="auto"/>
              <w:rPr>
                <w:rFonts w:cs="Arial"/>
                <w:color w:val="000000"/>
                <w:sz w:val="18"/>
                <w:szCs w:val="18"/>
              </w:rPr>
            </w:pPr>
            <w:r w:rsidRPr="41EEBDA6">
              <w:rPr>
                <w:rFonts w:cs="Arial"/>
                <w:color w:val="000000" w:themeColor="text1"/>
                <w:sz w:val="18"/>
                <w:szCs w:val="18"/>
              </w:rPr>
              <w:t>A06</w:t>
            </w:r>
          </w:p>
        </w:tc>
        <w:tc>
          <w:tcPr>
            <w:tcW w:w="958" w:type="pct"/>
            <w:shd w:val="clear" w:color="auto" w:fill="auto"/>
            <w:noWrap/>
          </w:tcPr>
          <w:p w14:paraId="347279E3"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_treat_remoteness</w:t>
            </w:r>
          </w:p>
        </w:tc>
        <w:tc>
          <w:tcPr>
            <w:tcW w:w="1391" w:type="pct"/>
            <w:shd w:val="clear" w:color="auto" w:fill="auto"/>
          </w:tcPr>
          <w:p w14:paraId="26BAB748"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Patient treatment remoteness Area</w:t>
            </w:r>
          </w:p>
        </w:tc>
        <w:tc>
          <w:tcPr>
            <w:tcW w:w="2210" w:type="pct"/>
            <w:shd w:val="clear" w:color="auto" w:fill="auto"/>
          </w:tcPr>
          <w:p w14:paraId="64161960" w14:textId="77777777" w:rsidR="00561E6C" w:rsidRDefault="00561E6C" w:rsidP="00E050EA">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3ED85802"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0CB5204B"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1BA48F60"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131D1D3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A90801" w:rsidRPr="00C525F3" w14:paraId="1D7EFAF8" w14:textId="77777777" w:rsidTr="11584AC8">
        <w:trPr>
          <w:cantSplit/>
          <w:trHeight w:val="450"/>
        </w:trPr>
        <w:tc>
          <w:tcPr>
            <w:tcW w:w="441" w:type="pct"/>
            <w:shd w:val="clear" w:color="auto" w:fill="auto"/>
            <w:noWrap/>
            <w:hideMark/>
          </w:tcPr>
          <w:p w14:paraId="2A91F391"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lastRenderedPageBreak/>
              <w:t>A0</w:t>
            </w:r>
            <w:r>
              <w:rPr>
                <w:rFonts w:cs="Arial"/>
                <w:color w:val="000000"/>
                <w:sz w:val="18"/>
                <w:szCs w:val="18"/>
              </w:rPr>
              <w:t>7</w:t>
            </w:r>
          </w:p>
        </w:tc>
        <w:tc>
          <w:tcPr>
            <w:tcW w:w="958" w:type="pct"/>
            <w:shd w:val="clear" w:color="auto" w:fill="auto"/>
            <w:noWrap/>
            <w:hideMark/>
          </w:tcPr>
          <w:p w14:paraId="3C39C017"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pat_acute_flag</w:t>
            </w:r>
          </w:p>
        </w:tc>
        <w:tc>
          <w:tcPr>
            <w:tcW w:w="1391" w:type="pct"/>
            <w:shd w:val="clear" w:color="auto" w:fill="auto"/>
            <w:hideMark/>
          </w:tcPr>
          <w:p w14:paraId="0E8B17F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Acute patient flag</w:t>
            </w:r>
          </w:p>
        </w:tc>
        <w:tc>
          <w:tcPr>
            <w:tcW w:w="2210" w:type="pct"/>
            <w:shd w:val="clear" w:color="auto" w:fill="auto"/>
            <w:hideMark/>
          </w:tcPr>
          <w:p w14:paraId="0922F789" w14:textId="4A45E80F"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w:t>
            </w:r>
            <w:r>
              <w:rPr>
                <w:rFonts w:cs="Arial"/>
                <w:color w:val="000000"/>
                <w:sz w:val="18"/>
                <w:szCs w:val="18"/>
              </w:rPr>
              <w:t xml:space="preserve">if (care type = 1) or </w:t>
            </w:r>
            <w:r w:rsidRPr="00822178">
              <w:rPr>
                <w:rFonts w:cs="Arial"/>
                <w:color w:val="000000"/>
                <w:sz w:val="18"/>
                <w:szCs w:val="18"/>
              </w:rPr>
              <w:t>(</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 xml:space="preserve">ype = 7 and </w:t>
            </w:r>
            <w:r>
              <w:rPr>
                <w:rFonts w:cs="Arial"/>
                <w:color w:val="000000"/>
                <w:sz w:val="18"/>
                <w:szCs w:val="18"/>
              </w:rPr>
              <w:t>n</w:t>
            </w:r>
            <w:r w:rsidRPr="00822178">
              <w:rPr>
                <w:rFonts w:cs="Arial"/>
                <w:color w:val="000000"/>
                <w:sz w:val="18"/>
                <w:szCs w:val="18"/>
              </w:rPr>
              <w:t xml:space="preserve">umber of </w:t>
            </w:r>
            <w:r>
              <w:rPr>
                <w:rFonts w:cs="Arial"/>
                <w:color w:val="000000"/>
                <w:sz w:val="18"/>
                <w:szCs w:val="18"/>
              </w:rPr>
              <w:t>q</w:t>
            </w:r>
            <w:r w:rsidRPr="00822178">
              <w:rPr>
                <w:rFonts w:cs="Arial"/>
                <w:color w:val="000000"/>
                <w:sz w:val="18"/>
                <w:szCs w:val="18"/>
              </w:rPr>
              <w:t xml:space="preserve">ualified </w:t>
            </w:r>
            <w:r>
              <w:rPr>
                <w:rFonts w:cs="Arial"/>
                <w:color w:val="000000"/>
                <w:sz w:val="18"/>
                <w:szCs w:val="18"/>
              </w:rPr>
              <w:t>d</w:t>
            </w:r>
            <w:r w:rsidRPr="00822178">
              <w:rPr>
                <w:rFonts w:cs="Arial"/>
                <w:color w:val="000000"/>
                <w:sz w:val="18"/>
                <w:szCs w:val="18"/>
              </w:rPr>
              <w:t xml:space="preserve">ays for </w:t>
            </w:r>
            <w:r>
              <w:rPr>
                <w:rFonts w:cs="Arial"/>
                <w:color w:val="000000"/>
                <w:sz w:val="18"/>
                <w:szCs w:val="18"/>
              </w:rPr>
              <w:t>n</w:t>
            </w:r>
            <w:r w:rsidRPr="00822178">
              <w:rPr>
                <w:rFonts w:cs="Arial"/>
                <w:color w:val="000000"/>
                <w:sz w:val="18"/>
                <w:szCs w:val="18"/>
              </w:rPr>
              <w:t>ewborns &gt; 0); else</w:t>
            </w:r>
            <w:r>
              <w:rPr>
                <w:rFonts w:cs="Arial"/>
                <w:color w:val="000000"/>
                <w:sz w:val="18"/>
                <w:szCs w:val="18"/>
              </w:rPr>
              <w:t xml:space="preserve"> </w:t>
            </w:r>
            <w:r w:rsidRPr="00822178">
              <w:rPr>
                <w:rFonts w:cs="Arial"/>
                <w:color w:val="000000"/>
                <w:sz w:val="18"/>
                <w:szCs w:val="18"/>
              </w:rPr>
              <w:t>0.</w:t>
            </w:r>
          </w:p>
        </w:tc>
      </w:tr>
      <w:tr w:rsidR="00A90801" w:rsidRPr="00C525F3" w14:paraId="17B8A870" w14:textId="77777777" w:rsidTr="11584AC8">
        <w:trPr>
          <w:cantSplit/>
          <w:trHeight w:val="450"/>
        </w:trPr>
        <w:tc>
          <w:tcPr>
            <w:tcW w:w="441" w:type="pct"/>
            <w:shd w:val="clear" w:color="auto" w:fill="auto"/>
            <w:noWrap/>
          </w:tcPr>
          <w:p w14:paraId="2B6EB86A"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A0</w:t>
            </w:r>
            <w:r>
              <w:rPr>
                <w:rFonts w:cs="Arial"/>
                <w:color w:val="000000"/>
                <w:sz w:val="18"/>
                <w:szCs w:val="18"/>
              </w:rPr>
              <w:t>8</w:t>
            </w:r>
          </w:p>
        </w:tc>
        <w:tc>
          <w:tcPr>
            <w:tcW w:w="958" w:type="pct"/>
            <w:shd w:val="clear" w:color="auto" w:fill="auto"/>
            <w:noWrap/>
          </w:tcPr>
          <w:p w14:paraId="51A57673"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pat_los</w:t>
            </w:r>
          </w:p>
        </w:tc>
        <w:tc>
          <w:tcPr>
            <w:tcW w:w="1391" w:type="pct"/>
            <w:shd w:val="clear" w:color="auto" w:fill="auto"/>
          </w:tcPr>
          <w:p w14:paraId="53BDFF9B"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Length of stay</w:t>
            </w:r>
          </w:p>
        </w:tc>
        <w:tc>
          <w:tcPr>
            <w:tcW w:w="2210" w:type="pct"/>
            <w:shd w:val="clear" w:color="auto" w:fill="auto"/>
          </w:tcPr>
          <w:p w14:paraId="3B03B161"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M</w:t>
            </w:r>
            <w:r w:rsidRPr="00822178">
              <w:rPr>
                <w:rFonts w:cs="Arial"/>
                <w:color w:val="000000"/>
                <w:sz w:val="18"/>
                <w:szCs w:val="18"/>
              </w:rPr>
              <w:t>ax</w:t>
            </w:r>
            <w:r>
              <w:rPr>
                <w:rFonts w:cs="Arial"/>
                <w:color w:val="000000"/>
                <w:sz w:val="18"/>
                <w:szCs w:val="18"/>
              </w:rPr>
              <w:t xml:space="preserve"> </w:t>
            </w:r>
            <w:r w:rsidRPr="00822178">
              <w:rPr>
                <w:rFonts w:cs="Arial"/>
                <w:color w:val="000000"/>
                <w:sz w:val="18"/>
                <w:szCs w:val="18"/>
              </w:rPr>
              <w:t>(1,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s</w:t>
            </w:r>
            <w:r w:rsidRPr="00822178">
              <w:rPr>
                <w:rFonts w:cs="Arial"/>
                <w:color w:val="000000"/>
                <w:sz w:val="18"/>
                <w:szCs w:val="18"/>
              </w:rPr>
              <w:t>eparation) -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 - (</w:t>
            </w:r>
            <w:r>
              <w:rPr>
                <w:rFonts w:cs="Arial"/>
                <w:color w:val="000000"/>
                <w:sz w:val="18"/>
                <w:szCs w:val="18"/>
              </w:rPr>
              <w:t>total leave days</w:t>
            </w:r>
            <w:r w:rsidRPr="00822178">
              <w:rPr>
                <w:rFonts w:cs="Arial"/>
                <w:color w:val="000000"/>
                <w:sz w:val="18"/>
                <w:szCs w:val="18"/>
              </w:rPr>
              <w:t xml:space="preserve">)) if </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ype = 1; else</w:t>
            </w:r>
            <w:r w:rsidRPr="00822178">
              <w:rPr>
                <w:rFonts w:cs="Arial"/>
                <w:color w:val="000000"/>
                <w:sz w:val="18"/>
                <w:szCs w:val="18"/>
              </w:rPr>
              <w:br/>
            </w:r>
            <w:r>
              <w:rPr>
                <w:rFonts w:cs="Arial"/>
                <w:color w:val="000000"/>
                <w:sz w:val="18"/>
                <w:szCs w:val="18"/>
              </w:rPr>
              <w:t>t</w:t>
            </w:r>
            <w:r w:rsidRPr="00822178">
              <w:rPr>
                <w:rFonts w:cs="Arial"/>
                <w:color w:val="000000"/>
                <w:sz w:val="18"/>
                <w:szCs w:val="18"/>
              </w:rPr>
              <w:t xml:space="preserve">otal </w:t>
            </w:r>
            <w:r>
              <w:rPr>
                <w:rFonts w:cs="Arial"/>
                <w:color w:val="000000"/>
                <w:sz w:val="18"/>
                <w:szCs w:val="18"/>
              </w:rPr>
              <w:t>q</w:t>
            </w:r>
            <w:r w:rsidRPr="00822178">
              <w:rPr>
                <w:rFonts w:cs="Arial"/>
                <w:color w:val="000000"/>
                <w:sz w:val="18"/>
                <w:szCs w:val="18"/>
              </w:rPr>
              <w:t xml:space="preserve">ualified </w:t>
            </w:r>
            <w:r>
              <w:rPr>
                <w:rFonts w:cs="Arial"/>
                <w:color w:val="000000"/>
                <w:sz w:val="18"/>
                <w:szCs w:val="18"/>
              </w:rPr>
              <w:t>d</w:t>
            </w:r>
            <w:r w:rsidRPr="00822178">
              <w:rPr>
                <w:rFonts w:cs="Arial"/>
                <w:color w:val="000000"/>
                <w:sz w:val="18"/>
                <w:szCs w:val="18"/>
              </w:rPr>
              <w:t xml:space="preserve">ays if </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ype = 7.</w:t>
            </w:r>
          </w:p>
        </w:tc>
      </w:tr>
      <w:tr w:rsidR="00A90801" w:rsidRPr="00C525F3" w14:paraId="5D7EFF10" w14:textId="77777777" w:rsidTr="11584AC8">
        <w:trPr>
          <w:cantSplit/>
          <w:trHeight w:val="450"/>
        </w:trPr>
        <w:tc>
          <w:tcPr>
            <w:tcW w:w="441" w:type="pct"/>
            <w:shd w:val="clear" w:color="auto" w:fill="auto"/>
            <w:noWrap/>
            <w:hideMark/>
          </w:tcPr>
          <w:p w14:paraId="22228E21"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A0</w:t>
            </w:r>
            <w:r>
              <w:rPr>
                <w:rFonts w:cs="Arial"/>
                <w:color w:val="000000"/>
                <w:sz w:val="18"/>
                <w:szCs w:val="18"/>
              </w:rPr>
              <w:t>9</w:t>
            </w:r>
          </w:p>
        </w:tc>
        <w:tc>
          <w:tcPr>
            <w:tcW w:w="958" w:type="pct"/>
            <w:shd w:val="clear" w:color="auto" w:fill="auto"/>
            <w:noWrap/>
            <w:hideMark/>
          </w:tcPr>
          <w:p w14:paraId="22B35FBB" w14:textId="7DD9C71F" w:rsidR="00561E6C" w:rsidRPr="00822178" w:rsidRDefault="64EBEF88" w:rsidP="00E050EA">
            <w:pPr>
              <w:tabs>
                <w:tab w:val="left" w:pos="1162"/>
              </w:tabs>
              <w:spacing w:line="240" w:lineRule="auto"/>
              <w:rPr>
                <w:rFonts w:cs="Arial"/>
                <w:color w:val="000000"/>
                <w:sz w:val="18"/>
                <w:szCs w:val="18"/>
              </w:rPr>
            </w:pPr>
            <w:r w:rsidRPr="05C042F0">
              <w:rPr>
                <w:rFonts w:cs="Arial"/>
                <w:color w:val="000000" w:themeColor="text1"/>
                <w:sz w:val="18"/>
                <w:szCs w:val="18"/>
              </w:rPr>
              <w:t>_pat_sameday_flag</w:t>
            </w:r>
          </w:p>
        </w:tc>
        <w:tc>
          <w:tcPr>
            <w:tcW w:w="1391" w:type="pct"/>
            <w:shd w:val="clear" w:color="auto" w:fill="auto"/>
            <w:hideMark/>
          </w:tcPr>
          <w:p w14:paraId="566C574F"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Same-day flag</w:t>
            </w:r>
          </w:p>
        </w:tc>
        <w:tc>
          <w:tcPr>
            <w:tcW w:w="2210" w:type="pct"/>
            <w:shd w:val="clear" w:color="auto" w:fill="auto"/>
            <w:hideMark/>
          </w:tcPr>
          <w:p w14:paraId="155E4B64"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 xml:space="preserve">dmission =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s</w:t>
            </w:r>
            <w:r w:rsidRPr="00822178">
              <w:rPr>
                <w:rFonts w:cs="Arial"/>
                <w:color w:val="000000"/>
                <w:sz w:val="18"/>
                <w:szCs w:val="18"/>
              </w:rPr>
              <w:t>eparation; else</w:t>
            </w:r>
            <w:r>
              <w:rPr>
                <w:rFonts w:cs="Arial"/>
                <w:color w:val="000000"/>
                <w:sz w:val="18"/>
                <w:szCs w:val="18"/>
              </w:rPr>
              <w:t xml:space="preserve"> </w:t>
            </w:r>
            <w:r w:rsidRPr="00822178">
              <w:rPr>
                <w:rFonts w:cs="Arial"/>
                <w:color w:val="000000"/>
                <w:sz w:val="18"/>
                <w:szCs w:val="18"/>
              </w:rPr>
              <w:t>0.</w:t>
            </w:r>
          </w:p>
        </w:tc>
      </w:tr>
      <w:tr w:rsidR="00A90801" w:rsidRPr="00C525F3" w14:paraId="7C7DDC31" w14:textId="77777777" w:rsidTr="11584AC8">
        <w:trPr>
          <w:cantSplit/>
          <w:trHeight w:val="450"/>
        </w:trPr>
        <w:tc>
          <w:tcPr>
            <w:tcW w:w="441" w:type="pct"/>
            <w:shd w:val="clear" w:color="auto" w:fill="auto"/>
            <w:noWrap/>
            <w:hideMark/>
          </w:tcPr>
          <w:p w14:paraId="6C0BEA71"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w:t>
            </w:r>
            <w:r>
              <w:rPr>
                <w:rFonts w:cs="Arial"/>
                <w:color w:val="000000"/>
                <w:sz w:val="18"/>
                <w:szCs w:val="18"/>
              </w:rPr>
              <w:t>10</w:t>
            </w:r>
          </w:p>
        </w:tc>
        <w:tc>
          <w:tcPr>
            <w:tcW w:w="958" w:type="pct"/>
            <w:shd w:val="clear" w:color="auto" w:fill="auto"/>
            <w:noWrap/>
            <w:hideMark/>
          </w:tcPr>
          <w:p w14:paraId="202DE4E4"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pat_age_years</w:t>
            </w:r>
          </w:p>
        </w:tc>
        <w:tc>
          <w:tcPr>
            <w:tcW w:w="1391" w:type="pct"/>
            <w:shd w:val="clear" w:color="auto" w:fill="auto"/>
            <w:hideMark/>
          </w:tcPr>
          <w:p w14:paraId="1BB2D1C7"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Age at admission (in years)</w:t>
            </w:r>
          </w:p>
        </w:tc>
        <w:tc>
          <w:tcPr>
            <w:tcW w:w="2210" w:type="pct"/>
            <w:shd w:val="clear" w:color="auto" w:fill="auto"/>
            <w:hideMark/>
          </w:tcPr>
          <w:p w14:paraId="362675B1"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years from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b</w:t>
            </w:r>
            <w:r w:rsidRPr="00822178">
              <w:rPr>
                <w:rFonts w:cs="Arial"/>
                <w:color w:val="000000"/>
                <w:sz w:val="18"/>
                <w:szCs w:val="18"/>
              </w:rPr>
              <w:t xml:space="preserve">irth to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w:t>
            </w:r>
          </w:p>
        </w:tc>
      </w:tr>
      <w:tr w:rsidR="00A90801" w:rsidRPr="00C525F3" w14:paraId="0F569383" w14:textId="77777777" w:rsidTr="11584AC8">
        <w:trPr>
          <w:cantSplit/>
          <w:trHeight w:val="225"/>
        </w:trPr>
        <w:tc>
          <w:tcPr>
            <w:tcW w:w="441" w:type="pct"/>
            <w:shd w:val="clear" w:color="auto" w:fill="auto"/>
            <w:noWrap/>
            <w:hideMark/>
          </w:tcPr>
          <w:p w14:paraId="03753C4A"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1</w:t>
            </w:r>
          </w:p>
        </w:tc>
        <w:tc>
          <w:tcPr>
            <w:tcW w:w="958" w:type="pct"/>
            <w:shd w:val="clear" w:color="auto" w:fill="auto"/>
            <w:noWrap/>
            <w:hideMark/>
          </w:tcPr>
          <w:p w14:paraId="4396995B"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pat_eligible_paed_flag</w:t>
            </w:r>
          </w:p>
        </w:tc>
        <w:tc>
          <w:tcPr>
            <w:tcW w:w="1391" w:type="pct"/>
            <w:shd w:val="clear" w:color="auto" w:fill="auto"/>
            <w:hideMark/>
          </w:tcPr>
          <w:p w14:paraId="038613ED"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Paediatric </w:t>
            </w:r>
            <w:r>
              <w:rPr>
                <w:rFonts w:cs="Arial"/>
                <w:color w:val="000000"/>
                <w:sz w:val="18"/>
                <w:szCs w:val="18"/>
              </w:rPr>
              <w:t>a</w:t>
            </w:r>
            <w:r w:rsidRPr="00822178">
              <w:rPr>
                <w:rFonts w:cs="Arial"/>
                <w:color w:val="000000"/>
                <w:sz w:val="18"/>
                <w:szCs w:val="18"/>
              </w:rPr>
              <w:t>djustment eligible patient</w:t>
            </w:r>
          </w:p>
        </w:tc>
        <w:tc>
          <w:tcPr>
            <w:tcW w:w="2210" w:type="pct"/>
            <w:shd w:val="clear" w:color="auto" w:fill="auto"/>
            <w:hideMark/>
          </w:tcPr>
          <w:p w14:paraId="49B712BC"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1 if (_pat_age_years between 0 and 17) and (</w:t>
            </w:r>
            <w:r w:rsidRPr="00822178">
              <w:rPr>
                <w:rFonts w:cs="Arial"/>
                <w:color w:val="000000"/>
                <w:sz w:val="18"/>
                <w:szCs w:val="18"/>
              </w:rPr>
              <w:t>est_eligible_paed_flag</w:t>
            </w:r>
            <w:r>
              <w:rPr>
                <w:rFonts w:cs="Arial"/>
                <w:color w:val="000000"/>
                <w:sz w:val="18"/>
                <w:szCs w:val="18"/>
              </w:rPr>
              <w:t>=1); else 0.</w:t>
            </w:r>
          </w:p>
        </w:tc>
      </w:tr>
      <w:tr w:rsidR="00A90801" w:rsidRPr="00C525F3" w14:paraId="371CDC33" w14:textId="77777777" w:rsidTr="11584AC8">
        <w:trPr>
          <w:cantSplit/>
          <w:trHeight w:val="450"/>
        </w:trPr>
        <w:tc>
          <w:tcPr>
            <w:tcW w:w="441" w:type="pct"/>
            <w:shd w:val="clear" w:color="auto" w:fill="auto"/>
            <w:noWrap/>
            <w:hideMark/>
          </w:tcPr>
          <w:p w14:paraId="0765BA92"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2</w:t>
            </w:r>
          </w:p>
        </w:tc>
        <w:tc>
          <w:tcPr>
            <w:tcW w:w="958" w:type="pct"/>
            <w:shd w:val="clear" w:color="auto" w:fill="auto"/>
            <w:noWrap/>
            <w:hideMark/>
          </w:tcPr>
          <w:p w14:paraId="64B32C6F"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pat_ind_flag</w:t>
            </w:r>
          </w:p>
        </w:tc>
        <w:tc>
          <w:tcPr>
            <w:tcW w:w="1391" w:type="pct"/>
            <w:shd w:val="clear" w:color="auto" w:fill="auto"/>
            <w:hideMark/>
          </w:tcPr>
          <w:p w14:paraId="48BC7D68"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Indigenous</w:t>
            </w:r>
            <w:r w:rsidRPr="00822178">
              <w:rPr>
                <w:rFonts w:cs="Arial"/>
                <w:color w:val="000000"/>
                <w:sz w:val="18"/>
                <w:szCs w:val="18"/>
              </w:rPr>
              <w:t xml:space="preserve"> patient flag</w:t>
            </w:r>
          </w:p>
        </w:tc>
        <w:tc>
          <w:tcPr>
            <w:tcW w:w="2210" w:type="pct"/>
            <w:shd w:val="clear" w:color="auto" w:fill="auto"/>
            <w:hideMark/>
          </w:tcPr>
          <w:p w14:paraId="0223EBE2"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p</w:t>
            </w:r>
            <w:r w:rsidRPr="00822178">
              <w:rPr>
                <w:rFonts w:cs="Arial"/>
                <w:color w:val="000000"/>
                <w:sz w:val="18"/>
                <w:szCs w:val="18"/>
              </w:rPr>
              <w:t xml:space="preserve">atient </w:t>
            </w:r>
            <w:r>
              <w:rPr>
                <w:rFonts w:cs="Arial"/>
                <w:color w:val="000000"/>
                <w:sz w:val="18"/>
                <w:szCs w:val="18"/>
              </w:rPr>
              <w:t>Indigenous</w:t>
            </w:r>
            <w:r w:rsidRPr="00822178">
              <w:rPr>
                <w:rFonts w:cs="Arial"/>
                <w:color w:val="000000"/>
                <w:sz w:val="18"/>
                <w:szCs w:val="18"/>
              </w:rPr>
              <w:t xml:space="preserve"> </w:t>
            </w:r>
            <w:r>
              <w:rPr>
                <w:rFonts w:cs="Arial"/>
                <w:color w:val="000000"/>
                <w:sz w:val="18"/>
                <w:szCs w:val="18"/>
              </w:rPr>
              <w:t>s</w:t>
            </w:r>
            <w:r w:rsidRPr="00822178">
              <w:rPr>
                <w:rFonts w:cs="Arial"/>
                <w:color w:val="000000"/>
                <w:sz w:val="18"/>
                <w:szCs w:val="18"/>
              </w:rPr>
              <w:t>tatus = 1, 2 or 3; else</w:t>
            </w:r>
            <w:r>
              <w:rPr>
                <w:rFonts w:cs="Arial"/>
                <w:color w:val="000000"/>
                <w:sz w:val="18"/>
                <w:szCs w:val="18"/>
              </w:rPr>
              <w:t xml:space="preserve"> </w:t>
            </w:r>
            <w:r w:rsidRPr="00822178">
              <w:rPr>
                <w:rFonts w:cs="Arial"/>
                <w:color w:val="000000"/>
                <w:sz w:val="18"/>
                <w:szCs w:val="18"/>
              </w:rPr>
              <w:t>0.</w:t>
            </w:r>
          </w:p>
        </w:tc>
      </w:tr>
      <w:tr w:rsidR="00A90801" w:rsidRPr="00C525F3" w14:paraId="444875B8" w14:textId="77777777" w:rsidTr="11584AC8">
        <w:trPr>
          <w:cantSplit/>
          <w:trHeight w:val="450"/>
        </w:trPr>
        <w:tc>
          <w:tcPr>
            <w:tcW w:w="441" w:type="pct"/>
            <w:shd w:val="clear" w:color="auto" w:fill="auto"/>
            <w:noWrap/>
            <w:hideMark/>
          </w:tcPr>
          <w:p w14:paraId="6938529D"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3</w:t>
            </w:r>
          </w:p>
        </w:tc>
        <w:tc>
          <w:tcPr>
            <w:tcW w:w="958" w:type="pct"/>
            <w:shd w:val="clear" w:color="auto" w:fill="auto"/>
            <w:noWrap/>
            <w:hideMark/>
          </w:tcPr>
          <w:p w14:paraId="30C649D2"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pat_private_flag</w:t>
            </w:r>
          </w:p>
        </w:tc>
        <w:tc>
          <w:tcPr>
            <w:tcW w:w="1391" w:type="pct"/>
            <w:shd w:val="clear" w:color="auto" w:fill="auto"/>
            <w:hideMark/>
          </w:tcPr>
          <w:p w14:paraId="420ACFA3"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Private patient flag</w:t>
            </w:r>
          </w:p>
        </w:tc>
        <w:tc>
          <w:tcPr>
            <w:tcW w:w="2210" w:type="pct"/>
            <w:shd w:val="clear" w:color="auto" w:fill="auto"/>
            <w:hideMark/>
          </w:tcPr>
          <w:p w14:paraId="33CC6B98" w14:textId="77777777" w:rsidR="00561E6C" w:rsidRPr="00822178" w:rsidRDefault="00561E6C" w:rsidP="00E050EA">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9 or 13 for </w:t>
            </w:r>
            <w:r>
              <w:rPr>
                <w:rFonts w:cs="Arial"/>
                <w:color w:val="000000"/>
                <w:sz w:val="18"/>
                <w:szCs w:val="18"/>
              </w:rPr>
              <w:t>201</w:t>
            </w:r>
            <w:r w:rsidR="00C36999">
              <w:rPr>
                <w:rFonts w:cs="Arial"/>
                <w:color w:val="000000"/>
                <w:sz w:val="18"/>
                <w:szCs w:val="18"/>
              </w:rPr>
              <w:t>2-13</w:t>
            </w:r>
            <w:r w:rsidRPr="006E13C4">
              <w:rPr>
                <w:rFonts w:cs="Arial"/>
                <w:color w:val="000000"/>
                <w:sz w:val="18"/>
                <w:szCs w:val="18"/>
              </w:rPr>
              <w:t xml:space="preserve"> data and later.</w:t>
            </w:r>
            <w:r w:rsidRPr="006E13C4">
              <w:rPr>
                <w:rStyle w:val="FootnoteReference"/>
                <w:rFonts w:cs="Arial"/>
                <w:color w:val="000000"/>
                <w:sz w:val="18"/>
                <w:szCs w:val="18"/>
              </w:rPr>
              <w:footnoteReference w:id="24"/>
            </w:r>
          </w:p>
        </w:tc>
      </w:tr>
      <w:tr w:rsidR="00A90801" w:rsidRPr="00C525F3" w14:paraId="249775CE" w14:textId="77777777" w:rsidTr="11584AC8">
        <w:trPr>
          <w:cantSplit/>
          <w:trHeight w:val="450"/>
        </w:trPr>
        <w:tc>
          <w:tcPr>
            <w:tcW w:w="441" w:type="pct"/>
            <w:shd w:val="clear" w:color="auto" w:fill="auto"/>
            <w:noWrap/>
            <w:hideMark/>
          </w:tcPr>
          <w:p w14:paraId="2AD8E2F8" w14:textId="77777777" w:rsidR="00561E6C" w:rsidRPr="00822178" w:rsidRDefault="00106E80"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4</w:t>
            </w:r>
          </w:p>
        </w:tc>
        <w:tc>
          <w:tcPr>
            <w:tcW w:w="958" w:type="pct"/>
            <w:shd w:val="clear" w:color="auto" w:fill="auto"/>
            <w:noWrap/>
            <w:hideMark/>
          </w:tcPr>
          <w:p w14:paraId="5D8816B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pat_public_flag</w:t>
            </w:r>
          </w:p>
        </w:tc>
        <w:tc>
          <w:tcPr>
            <w:tcW w:w="1391" w:type="pct"/>
            <w:shd w:val="clear" w:color="auto" w:fill="auto"/>
            <w:hideMark/>
          </w:tcPr>
          <w:p w14:paraId="48DD37E9"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Public patient flag</w:t>
            </w:r>
          </w:p>
        </w:tc>
        <w:tc>
          <w:tcPr>
            <w:tcW w:w="2210" w:type="pct"/>
            <w:shd w:val="clear" w:color="auto" w:fill="auto"/>
            <w:hideMark/>
          </w:tcPr>
          <w:p w14:paraId="69B6CB05"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 xml:space="preserve">1 if funding source = 1, 2 </w:t>
            </w:r>
            <w:r w:rsidRPr="006E13C4">
              <w:rPr>
                <w:rFonts w:cs="Arial"/>
                <w:color w:val="000000"/>
                <w:sz w:val="18"/>
                <w:szCs w:val="18"/>
              </w:rPr>
              <w:t xml:space="preserve">or 8 for </w:t>
            </w:r>
            <w:r>
              <w:rPr>
                <w:rFonts w:cs="Arial"/>
                <w:color w:val="000000"/>
                <w:sz w:val="18"/>
                <w:szCs w:val="18"/>
              </w:rPr>
              <w:t>20</w:t>
            </w:r>
            <w:r w:rsidR="00C36999">
              <w:rPr>
                <w:rFonts w:cs="Arial"/>
                <w:color w:val="000000"/>
                <w:sz w:val="18"/>
                <w:szCs w:val="18"/>
              </w:rPr>
              <w:t>12-13</w:t>
            </w:r>
            <w:r w:rsidRPr="006E13C4">
              <w:rPr>
                <w:rFonts w:cs="Arial"/>
                <w:color w:val="000000"/>
                <w:sz w:val="18"/>
                <w:szCs w:val="18"/>
              </w:rPr>
              <w:t xml:space="preserve"> data and later.</w:t>
            </w:r>
            <w:r w:rsidRPr="006E13C4">
              <w:rPr>
                <w:rStyle w:val="FootnoteReference"/>
                <w:rFonts w:cs="Arial"/>
                <w:color w:val="000000"/>
                <w:sz w:val="18"/>
                <w:szCs w:val="18"/>
              </w:rPr>
              <w:footnoteReference w:id="25"/>
            </w:r>
          </w:p>
        </w:tc>
      </w:tr>
      <w:tr w:rsidR="00A90801" w:rsidRPr="00C525F3" w14:paraId="64560FAF" w14:textId="77777777" w:rsidTr="11584AC8">
        <w:trPr>
          <w:cantSplit/>
          <w:trHeight w:val="225"/>
        </w:trPr>
        <w:tc>
          <w:tcPr>
            <w:tcW w:w="441" w:type="pct"/>
            <w:shd w:val="clear" w:color="auto" w:fill="auto"/>
            <w:noWrap/>
            <w:hideMark/>
          </w:tcPr>
          <w:p w14:paraId="40E26C0D" w14:textId="69F9AC0D" w:rsidR="00561E6C" w:rsidRPr="00822178"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A1</w:t>
            </w:r>
            <w:r>
              <w:rPr>
                <w:rFonts w:cs="Arial"/>
                <w:color w:val="000000" w:themeColor="text1"/>
                <w:sz w:val="18"/>
                <w:szCs w:val="18"/>
              </w:rPr>
              <w:t>5</w:t>
            </w:r>
          </w:p>
        </w:tc>
        <w:tc>
          <w:tcPr>
            <w:tcW w:w="958" w:type="pct"/>
            <w:shd w:val="clear" w:color="auto" w:fill="auto"/>
            <w:noWrap/>
            <w:hideMark/>
          </w:tcPr>
          <w:p w14:paraId="4957FA40" w14:textId="26B8FEC7" w:rsidR="00561E6C" w:rsidRPr="00822178" w:rsidRDefault="64EBEF88" w:rsidP="00E050EA">
            <w:pPr>
              <w:tabs>
                <w:tab w:val="left" w:pos="1162"/>
              </w:tabs>
              <w:spacing w:line="240" w:lineRule="auto"/>
              <w:rPr>
                <w:rFonts w:cs="Arial"/>
                <w:color w:val="000000"/>
                <w:sz w:val="18"/>
                <w:szCs w:val="18"/>
              </w:rPr>
            </w:pPr>
            <w:r w:rsidRPr="05C042F0">
              <w:rPr>
                <w:rFonts w:cs="Arial"/>
                <w:color w:val="000000" w:themeColor="text1"/>
                <w:sz w:val="18"/>
                <w:szCs w:val="18"/>
              </w:rPr>
              <w:t xml:space="preserve">drg_samedaylist_flag </w:t>
            </w:r>
          </w:p>
        </w:tc>
        <w:tc>
          <w:tcPr>
            <w:tcW w:w="1391" w:type="pct"/>
            <w:shd w:val="clear" w:color="auto" w:fill="auto"/>
            <w:hideMark/>
          </w:tcPr>
          <w:p w14:paraId="4F2846AF"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Same-day price list flag</w:t>
            </w:r>
            <w:r w:rsidRPr="00822178" w:rsidDel="00B62E07">
              <w:rPr>
                <w:rFonts w:cs="Arial"/>
                <w:color w:val="000000"/>
                <w:sz w:val="18"/>
                <w:szCs w:val="18"/>
              </w:rPr>
              <w:t xml:space="preserve"> </w:t>
            </w:r>
          </w:p>
        </w:tc>
        <w:tc>
          <w:tcPr>
            <w:tcW w:w="2210" w:type="pct"/>
            <w:shd w:val="clear" w:color="auto" w:fill="auto"/>
            <w:hideMark/>
          </w:tcPr>
          <w:p w14:paraId="572C94D2"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s</w:t>
            </w:r>
            <w:r w:rsidRPr="00822178">
              <w:rPr>
                <w:rFonts w:cs="Arial"/>
                <w:color w:val="000000"/>
                <w:sz w:val="18"/>
                <w:szCs w:val="18"/>
              </w:rPr>
              <w:t>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w:t>
            </w:r>
            <w:r w:rsidRPr="00822178">
              <w:rPr>
                <w:rFonts w:cs="Arial"/>
                <w:color w:val="000000"/>
                <w:sz w:val="18"/>
                <w:szCs w:val="18"/>
              </w:rPr>
              <w:t xml:space="preserve">rice </w:t>
            </w:r>
            <w:r>
              <w:rPr>
                <w:rFonts w:cs="Arial"/>
                <w:color w:val="000000"/>
                <w:sz w:val="18"/>
                <w:szCs w:val="18"/>
              </w:rPr>
              <w:t>l</w:t>
            </w:r>
            <w:r w:rsidRPr="00822178">
              <w:rPr>
                <w:rFonts w:cs="Arial"/>
                <w:color w:val="000000"/>
                <w:sz w:val="18"/>
                <w:szCs w:val="18"/>
              </w:rPr>
              <w:t xml:space="preserve">ist variable from joined NWAU AR-DRG </w:t>
            </w:r>
            <w:r>
              <w:rPr>
                <w:rFonts w:cs="Arial"/>
                <w:color w:val="000000"/>
                <w:sz w:val="18"/>
                <w:szCs w:val="18"/>
              </w:rPr>
              <w:t>price weight</w:t>
            </w:r>
            <w:r w:rsidRPr="00822178">
              <w:rPr>
                <w:rFonts w:cs="Arial"/>
                <w:color w:val="000000"/>
                <w:sz w:val="18"/>
                <w:szCs w:val="18"/>
              </w:rPr>
              <w:t xml:space="preserve"> table equals 'Yes'; else</w:t>
            </w:r>
            <w:r>
              <w:rPr>
                <w:rFonts w:cs="Arial"/>
                <w:color w:val="000000"/>
                <w:sz w:val="18"/>
                <w:szCs w:val="18"/>
              </w:rPr>
              <w:t xml:space="preserve"> </w:t>
            </w:r>
            <w:r w:rsidRPr="00822178">
              <w:rPr>
                <w:rFonts w:cs="Arial"/>
                <w:color w:val="000000"/>
                <w:sz w:val="18"/>
                <w:szCs w:val="18"/>
              </w:rPr>
              <w:t>0.</w:t>
            </w:r>
          </w:p>
        </w:tc>
      </w:tr>
      <w:tr w:rsidR="00A90801" w:rsidRPr="00C525F3" w14:paraId="1262339B" w14:textId="77777777" w:rsidTr="11584AC8">
        <w:trPr>
          <w:cantSplit/>
          <w:trHeight w:val="450"/>
        </w:trPr>
        <w:tc>
          <w:tcPr>
            <w:tcW w:w="441" w:type="pct"/>
            <w:shd w:val="clear" w:color="auto" w:fill="auto"/>
            <w:noWrap/>
            <w:hideMark/>
          </w:tcPr>
          <w:p w14:paraId="54A48CC8" w14:textId="3B900864" w:rsidR="00561E6C" w:rsidRPr="00822178"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A1</w:t>
            </w:r>
            <w:r>
              <w:rPr>
                <w:rFonts w:cs="Arial"/>
                <w:color w:val="000000" w:themeColor="text1"/>
                <w:sz w:val="18"/>
                <w:szCs w:val="18"/>
              </w:rPr>
              <w:t>6</w:t>
            </w:r>
          </w:p>
        </w:tc>
        <w:tc>
          <w:tcPr>
            <w:tcW w:w="958" w:type="pct"/>
            <w:shd w:val="clear" w:color="auto" w:fill="auto"/>
            <w:noWrap/>
            <w:hideMark/>
          </w:tcPr>
          <w:p w14:paraId="47B9B730"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drg_bundled_icu_flag</w:t>
            </w:r>
          </w:p>
        </w:tc>
        <w:tc>
          <w:tcPr>
            <w:tcW w:w="1391" w:type="pct"/>
            <w:shd w:val="clear" w:color="auto" w:fill="auto"/>
            <w:hideMark/>
          </w:tcPr>
          <w:p w14:paraId="3AB580CF"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Bundled ICU flag</w:t>
            </w:r>
          </w:p>
        </w:tc>
        <w:tc>
          <w:tcPr>
            <w:tcW w:w="2210" w:type="pct"/>
            <w:shd w:val="clear" w:color="auto" w:fill="auto"/>
            <w:hideMark/>
          </w:tcPr>
          <w:p w14:paraId="601B4CE7"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b</w:t>
            </w:r>
            <w:r w:rsidRPr="00822178">
              <w:rPr>
                <w:rFonts w:cs="Arial"/>
                <w:color w:val="000000"/>
                <w:sz w:val="18"/>
                <w:szCs w:val="18"/>
              </w:rPr>
              <w:t xml:space="preserve">undled ICU variable from joined NWAU AR-DRG </w:t>
            </w:r>
            <w:r>
              <w:rPr>
                <w:rFonts w:cs="Arial"/>
                <w:color w:val="000000"/>
                <w:sz w:val="18"/>
                <w:szCs w:val="18"/>
              </w:rPr>
              <w:t>price weight</w:t>
            </w:r>
            <w:r w:rsidRPr="00822178">
              <w:rPr>
                <w:rFonts w:cs="Arial"/>
                <w:color w:val="000000"/>
                <w:sz w:val="18"/>
                <w:szCs w:val="18"/>
              </w:rPr>
              <w:t xml:space="preserve"> table equals '</w:t>
            </w:r>
            <w:r>
              <w:rPr>
                <w:rFonts w:cs="Arial"/>
                <w:color w:val="000000"/>
                <w:sz w:val="18"/>
                <w:szCs w:val="18"/>
              </w:rPr>
              <w:t>Y</w:t>
            </w:r>
            <w:r w:rsidRPr="00822178">
              <w:rPr>
                <w:rFonts w:cs="Arial"/>
                <w:color w:val="000000"/>
                <w:sz w:val="18"/>
                <w:szCs w:val="18"/>
              </w:rPr>
              <w:t>es'; else</w:t>
            </w:r>
            <w:r>
              <w:rPr>
                <w:rFonts w:cs="Arial"/>
                <w:color w:val="000000"/>
                <w:sz w:val="18"/>
                <w:szCs w:val="18"/>
              </w:rPr>
              <w:t xml:space="preserve"> </w:t>
            </w:r>
            <w:r w:rsidRPr="00822178">
              <w:rPr>
                <w:rFonts w:cs="Arial"/>
                <w:color w:val="000000"/>
                <w:sz w:val="18"/>
                <w:szCs w:val="18"/>
              </w:rPr>
              <w:t>0.</w:t>
            </w:r>
          </w:p>
        </w:tc>
      </w:tr>
      <w:tr w:rsidR="00A90801" w:rsidRPr="00C525F3" w14:paraId="4A4BCAD8" w14:textId="77777777" w:rsidTr="11584AC8">
        <w:trPr>
          <w:cantSplit/>
          <w:trHeight w:val="450"/>
        </w:trPr>
        <w:tc>
          <w:tcPr>
            <w:tcW w:w="441" w:type="pct"/>
            <w:shd w:val="clear" w:color="auto" w:fill="auto"/>
            <w:noWrap/>
            <w:hideMark/>
          </w:tcPr>
          <w:p w14:paraId="5C62742F" w14:textId="4670B97D" w:rsidR="00561E6C" w:rsidRPr="00822178"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A1</w:t>
            </w:r>
            <w:r>
              <w:rPr>
                <w:rFonts w:cs="Arial"/>
                <w:color w:val="000000" w:themeColor="text1"/>
                <w:sz w:val="18"/>
                <w:szCs w:val="18"/>
              </w:rPr>
              <w:t>7</w:t>
            </w:r>
          </w:p>
        </w:tc>
        <w:tc>
          <w:tcPr>
            <w:tcW w:w="958" w:type="pct"/>
            <w:shd w:val="clear" w:color="auto" w:fill="auto"/>
            <w:noWrap/>
            <w:hideMark/>
          </w:tcPr>
          <w:p w14:paraId="481015BA"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drg_inlier_lb</w:t>
            </w:r>
          </w:p>
        </w:tc>
        <w:tc>
          <w:tcPr>
            <w:tcW w:w="1391" w:type="pct"/>
            <w:shd w:val="clear" w:color="auto" w:fill="auto"/>
            <w:hideMark/>
          </w:tcPr>
          <w:p w14:paraId="2C1E549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Inlier lower bound</w:t>
            </w:r>
          </w:p>
        </w:tc>
        <w:tc>
          <w:tcPr>
            <w:tcW w:w="2210" w:type="pct"/>
            <w:shd w:val="clear" w:color="auto" w:fill="auto"/>
            <w:hideMark/>
          </w:tcPr>
          <w:p w14:paraId="229F09E8"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lower bound from NWAU AR-DRG </w:t>
            </w:r>
            <w:r>
              <w:rPr>
                <w:rFonts w:cs="Arial"/>
                <w:color w:val="000000"/>
                <w:sz w:val="18"/>
                <w:szCs w:val="18"/>
              </w:rPr>
              <w:t>price weight</w:t>
            </w:r>
            <w:r w:rsidRPr="00822178">
              <w:rPr>
                <w:rFonts w:cs="Arial"/>
                <w:color w:val="000000"/>
                <w:sz w:val="18"/>
                <w:szCs w:val="18"/>
              </w:rPr>
              <w:t xml:space="preserve"> table.</w:t>
            </w:r>
          </w:p>
        </w:tc>
      </w:tr>
      <w:tr w:rsidR="00A90801" w:rsidRPr="00C525F3" w14:paraId="7D0D4F03" w14:textId="77777777" w:rsidTr="11584AC8">
        <w:trPr>
          <w:cantSplit/>
          <w:trHeight w:val="450"/>
        </w:trPr>
        <w:tc>
          <w:tcPr>
            <w:tcW w:w="441" w:type="pct"/>
            <w:shd w:val="clear" w:color="auto" w:fill="auto"/>
            <w:noWrap/>
            <w:hideMark/>
          </w:tcPr>
          <w:p w14:paraId="58B197D5" w14:textId="6FB149DD" w:rsidR="00561E6C" w:rsidRPr="00822178"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A1</w:t>
            </w:r>
            <w:r>
              <w:rPr>
                <w:rFonts w:cs="Arial"/>
                <w:color w:val="000000" w:themeColor="text1"/>
                <w:sz w:val="18"/>
                <w:szCs w:val="18"/>
              </w:rPr>
              <w:t>8</w:t>
            </w:r>
          </w:p>
        </w:tc>
        <w:tc>
          <w:tcPr>
            <w:tcW w:w="958" w:type="pct"/>
            <w:shd w:val="clear" w:color="auto" w:fill="auto"/>
            <w:noWrap/>
            <w:hideMark/>
          </w:tcPr>
          <w:p w14:paraId="301ABEA4"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drg_inlier_ub</w:t>
            </w:r>
          </w:p>
        </w:tc>
        <w:tc>
          <w:tcPr>
            <w:tcW w:w="1391" w:type="pct"/>
            <w:shd w:val="clear" w:color="auto" w:fill="auto"/>
            <w:hideMark/>
          </w:tcPr>
          <w:p w14:paraId="0D106183"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Inlier upper bound</w:t>
            </w:r>
          </w:p>
        </w:tc>
        <w:tc>
          <w:tcPr>
            <w:tcW w:w="2210" w:type="pct"/>
            <w:shd w:val="clear" w:color="auto" w:fill="auto"/>
            <w:hideMark/>
          </w:tcPr>
          <w:p w14:paraId="4879A074"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upper bound from NWAU AR-DRG </w:t>
            </w:r>
            <w:r>
              <w:rPr>
                <w:rFonts w:cs="Arial"/>
                <w:color w:val="000000"/>
                <w:sz w:val="18"/>
                <w:szCs w:val="18"/>
              </w:rPr>
              <w:t>price weight</w:t>
            </w:r>
            <w:r w:rsidRPr="00822178">
              <w:rPr>
                <w:rFonts w:cs="Arial"/>
                <w:color w:val="000000"/>
                <w:sz w:val="18"/>
                <w:szCs w:val="18"/>
              </w:rPr>
              <w:t xml:space="preserve"> table.</w:t>
            </w:r>
          </w:p>
        </w:tc>
      </w:tr>
      <w:tr w:rsidR="00A90801" w:rsidRPr="00C525F3" w14:paraId="4B840210" w14:textId="77777777" w:rsidTr="11584AC8">
        <w:trPr>
          <w:cantSplit/>
          <w:trHeight w:val="450"/>
        </w:trPr>
        <w:tc>
          <w:tcPr>
            <w:tcW w:w="441" w:type="pct"/>
            <w:shd w:val="clear" w:color="auto" w:fill="auto"/>
            <w:noWrap/>
          </w:tcPr>
          <w:p w14:paraId="029D343C" w14:textId="2DEE8070" w:rsidR="00561E6C"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w:t>
            </w:r>
            <w:r>
              <w:rPr>
                <w:rFonts w:cs="Arial"/>
                <w:color w:val="000000" w:themeColor="text1"/>
                <w:sz w:val="18"/>
                <w:szCs w:val="18"/>
              </w:rPr>
              <w:t>19</w:t>
            </w:r>
          </w:p>
        </w:tc>
        <w:tc>
          <w:tcPr>
            <w:tcW w:w="958" w:type="pct"/>
            <w:shd w:val="clear" w:color="auto" w:fill="auto"/>
            <w:noWrap/>
          </w:tcPr>
          <w:p w14:paraId="63E984F0"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drg_pw_sd</w:t>
            </w:r>
          </w:p>
        </w:tc>
        <w:tc>
          <w:tcPr>
            <w:tcW w:w="1391" w:type="pct"/>
            <w:shd w:val="clear" w:color="auto" w:fill="auto"/>
          </w:tcPr>
          <w:p w14:paraId="109DCC4D"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price weight</w:t>
            </w:r>
          </w:p>
        </w:tc>
        <w:tc>
          <w:tcPr>
            <w:tcW w:w="2210" w:type="pct"/>
            <w:shd w:val="clear" w:color="auto" w:fill="auto"/>
          </w:tcPr>
          <w:p w14:paraId="10B359A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ame-day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A90801" w:rsidRPr="00C525F3" w14:paraId="140734AF" w14:textId="77777777" w:rsidTr="11584AC8">
        <w:trPr>
          <w:cantSplit/>
          <w:trHeight w:val="450"/>
        </w:trPr>
        <w:tc>
          <w:tcPr>
            <w:tcW w:w="441" w:type="pct"/>
            <w:shd w:val="clear" w:color="auto" w:fill="auto"/>
            <w:noWrap/>
          </w:tcPr>
          <w:p w14:paraId="224FECD7" w14:textId="71BEEA1B" w:rsidR="00561E6C"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A2</w:t>
            </w:r>
            <w:r>
              <w:rPr>
                <w:rFonts w:cs="Arial"/>
                <w:color w:val="000000" w:themeColor="text1"/>
                <w:sz w:val="18"/>
                <w:szCs w:val="18"/>
              </w:rPr>
              <w:t>0</w:t>
            </w:r>
          </w:p>
        </w:tc>
        <w:tc>
          <w:tcPr>
            <w:tcW w:w="958" w:type="pct"/>
            <w:shd w:val="clear" w:color="auto" w:fill="auto"/>
            <w:noWrap/>
          </w:tcPr>
          <w:p w14:paraId="6F3DC374"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drg_pw_sso_base</w:t>
            </w:r>
          </w:p>
        </w:tc>
        <w:tc>
          <w:tcPr>
            <w:tcW w:w="1391" w:type="pct"/>
            <w:shd w:val="clear" w:color="auto" w:fill="auto"/>
          </w:tcPr>
          <w:p w14:paraId="2F8020B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Short-</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w:t>
            </w:r>
            <w:r w:rsidRPr="00822178">
              <w:rPr>
                <w:rFonts w:cs="Arial"/>
                <w:color w:val="000000"/>
                <w:sz w:val="18"/>
                <w:szCs w:val="18"/>
              </w:rPr>
              <w:t xml:space="preserve">utlier </w:t>
            </w:r>
            <w:r>
              <w:rPr>
                <w:rFonts w:cs="Arial"/>
                <w:color w:val="000000"/>
                <w:sz w:val="18"/>
                <w:szCs w:val="18"/>
              </w:rPr>
              <w:t>b</w:t>
            </w:r>
            <w:r w:rsidRPr="00822178">
              <w:rPr>
                <w:rFonts w:cs="Arial"/>
                <w:color w:val="000000"/>
                <w:sz w:val="18"/>
                <w:szCs w:val="18"/>
              </w:rPr>
              <w:t xml:space="preserve">ase </w:t>
            </w:r>
            <w:r>
              <w:rPr>
                <w:rFonts w:cs="Arial"/>
                <w:color w:val="000000"/>
                <w:sz w:val="18"/>
                <w:szCs w:val="18"/>
              </w:rPr>
              <w:t>price weight</w:t>
            </w:r>
          </w:p>
        </w:tc>
        <w:tc>
          <w:tcPr>
            <w:tcW w:w="2210" w:type="pct"/>
            <w:shd w:val="clear" w:color="auto" w:fill="auto"/>
          </w:tcPr>
          <w:p w14:paraId="6173015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hort-stay outlier base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A90801" w:rsidRPr="00C525F3" w14:paraId="142B4E3C" w14:textId="77777777" w:rsidTr="11584AC8">
        <w:trPr>
          <w:cantSplit/>
          <w:trHeight w:val="450"/>
        </w:trPr>
        <w:tc>
          <w:tcPr>
            <w:tcW w:w="441" w:type="pct"/>
            <w:shd w:val="clear" w:color="auto" w:fill="auto"/>
            <w:noWrap/>
          </w:tcPr>
          <w:p w14:paraId="737CDB63" w14:textId="5B79C6C9" w:rsidR="00561E6C"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A2</w:t>
            </w:r>
            <w:r>
              <w:rPr>
                <w:rFonts w:cs="Arial"/>
                <w:color w:val="000000" w:themeColor="text1"/>
                <w:sz w:val="18"/>
                <w:szCs w:val="18"/>
              </w:rPr>
              <w:t>1</w:t>
            </w:r>
          </w:p>
        </w:tc>
        <w:tc>
          <w:tcPr>
            <w:tcW w:w="958" w:type="pct"/>
            <w:shd w:val="clear" w:color="auto" w:fill="auto"/>
            <w:noWrap/>
          </w:tcPr>
          <w:p w14:paraId="17F95F8D"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drg_pw_sso_perdiem</w:t>
            </w:r>
          </w:p>
        </w:tc>
        <w:tc>
          <w:tcPr>
            <w:tcW w:w="1391" w:type="pct"/>
            <w:shd w:val="clear" w:color="auto" w:fill="auto"/>
          </w:tcPr>
          <w:p w14:paraId="54D35DFE"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Short-</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ou</w:t>
            </w:r>
            <w:r w:rsidRPr="00822178">
              <w:rPr>
                <w:rFonts w:cs="Arial"/>
                <w:color w:val="000000"/>
                <w:sz w:val="18"/>
                <w:szCs w:val="18"/>
              </w:rPr>
              <w:t xml:space="preserve">tlier </w:t>
            </w:r>
            <w:r>
              <w:rPr>
                <w:rFonts w:cs="Arial"/>
                <w:color w:val="000000"/>
                <w:sz w:val="18"/>
                <w:szCs w:val="18"/>
              </w:rPr>
              <w:t>p</w:t>
            </w:r>
            <w:r w:rsidRPr="00822178">
              <w:rPr>
                <w:rFonts w:cs="Arial"/>
                <w:color w:val="000000"/>
                <w:sz w:val="18"/>
                <w:szCs w:val="18"/>
              </w:rPr>
              <w:t xml:space="preserve">er </w:t>
            </w:r>
            <w:r>
              <w:rPr>
                <w:rFonts w:cs="Arial"/>
                <w:color w:val="000000"/>
                <w:sz w:val="18"/>
                <w:szCs w:val="18"/>
              </w:rPr>
              <w:t>d</w:t>
            </w:r>
            <w:r w:rsidRPr="00822178">
              <w:rPr>
                <w:rFonts w:cs="Arial"/>
                <w:color w:val="000000"/>
                <w:sz w:val="18"/>
                <w:szCs w:val="18"/>
              </w:rPr>
              <w:t xml:space="preserve">iem </w:t>
            </w:r>
            <w:r>
              <w:rPr>
                <w:rFonts w:cs="Arial"/>
                <w:color w:val="000000"/>
                <w:sz w:val="18"/>
                <w:szCs w:val="18"/>
              </w:rPr>
              <w:t>price weight</w:t>
            </w:r>
          </w:p>
        </w:tc>
        <w:tc>
          <w:tcPr>
            <w:tcW w:w="2210" w:type="pct"/>
            <w:shd w:val="clear" w:color="auto" w:fill="auto"/>
          </w:tcPr>
          <w:p w14:paraId="4BC9B4D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hort-stay outlier per diem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A90801" w:rsidRPr="00C525F3" w14:paraId="2CFB59A2" w14:textId="77777777" w:rsidTr="11584AC8">
        <w:trPr>
          <w:cantSplit/>
          <w:trHeight w:val="450"/>
        </w:trPr>
        <w:tc>
          <w:tcPr>
            <w:tcW w:w="441" w:type="pct"/>
            <w:shd w:val="clear" w:color="auto" w:fill="auto"/>
            <w:noWrap/>
          </w:tcPr>
          <w:p w14:paraId="5C651B21" w14:textId="433C9F02" w:rsidR="00561E6C"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w:t>
            </w:r>
            <w:r>
              <w:rPr>
                <w:rFonts w:cs="Arial"/>
                <w:color w:val="000000" w:themeColor="text1"/>
                <w:sz w:val="18"/>
                <w:szCs w:val="18"/>
              </w:rPr>
              <w:t>22</w:t>
            </w:r>
          </w:p>
        </w:tc>
        <w:tc>
          <w:tcPr>
            <w:tcW w:w="958" w:type="pct"/>
            <w:shd w:val="clear" w:color="auto" w:fill="auto"/>
            <w:noWrap/>
          </w:tcPr>
          <w:p w14:paraId="2DCE97D5"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drg_pw_inlier</w:t>
            </w:r>
          </w:p>
        </w:tc>
        <w:tc>
          <w:tcPr>
            <w:tcW w:w="1391" w:type="pct"/>
            <w:shd w:val="clear" w:color="auto" w:fill="auto"/>
          </w:tcPr>
          <w:p w14:paraId="69A38DDC"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Inlier </w:t>
            </w:r>
            <w:r>
              <w:rPr>
                <w:rFonts w:cs="Arial"/>
                <w:color w:val="000000"/>
                <w:sz w:val="18"/>
                <w:szCs w:val="18"/>
              </w:rPr>
              <w:t>price weight</w:t>
            </w:r>
          </w:p>
        </w:tc>
        <w:tc>
          <w:tcPr>
            <w:tcW w:w="2210" w:type="pct"/>
            <w:shd w:val="clear" w:color="auto" w:fill="auto"/>
          </w:tcPr>
          <w:p w14:paraId="428615B3"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w:t>
            </w:r>
          </w:p>
        </w:tc>
      </w:tr>
      <w:tr w:rsidR="00A90801" w:rsidRPr="00C525F3" w14:paraId="40CD1BD7" w14:textId="77777777" w:rsidTr="11584AC8">
        <w:trPr>
          <w:cantSplit/>
          <w:trHeight w:val="450"/>
        </w:trPr>
        <w:tc>
          <w:tcPr>
            <w:tcW w:w="441" w:type="pct"/>
            <w:shd w:val="clear" w:color="auto" w:fill="auto"/>
            <w:noWrap/>
          </w:tcPr>
          <w:p w14:paraId="41AA5B04" w14:textId="1DB99B8E" w:rsidR="00561E6C"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w:t>
            </w:r>
            <w:r>
              <w:rPr>
                <w:rFonts w:cs="Arial"/>
                <w:color w:val="000000" w:themeColor="text1"/>
                <w:sz w:val="18"/>
                <w:szCs w:val="18"/>
              </w:rPr>
              <w:t>23</w:t>
            </w:r>
          </w:p>
        </w:tc>
        <w:tc>
          <w:tcPr>
            <w:tcW w:w="958" w:type="pct"/>
            <w:shd w:val="clear" w:color="auto" w:fill="auto"/>
            <w:noWrap/>
          </w:tcPr>
          <w:p w14:paraId="3F728703"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drg_pw_lso_perdiem</w:t>
            </w:r>
          </w:p>
        </w:tc>
        <w:tc>
          <w:tcPr>
            <w:tcW w:w="1391" w:type="pct"/>
            <w:shd w:val="clear" w:color="auto" w:fill="auto"/>
          </w:tcPr>
          <w:p w14:paraId="27B260C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Long-</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w:t>
            </w:r>
            <w:r w:rsidRPr="00822178">
              <w:rPr>
                <w:rFonts w:cs="Arial"/>
                <w:color w:val="000000"/>
                <w:sz w:val="18"/>
                <w:szCs w:val="18"/>
              </w:rPr>
              <w:t xml:space="preserve">utlier </w:t>
            </w:r>
            <w:r>
              <w:rPr>
                <w:rFonts w:cs="Arial"/>
                <w:color w:val="000000"/>
                <w:sz w:val="18"/>
                <w:szCs w:val="18"/>
              </w:rPr>
              <w:t>p</w:t>
            </w:r>
            <w:r w:rsidRPr="00822178">
              <w:rPr>
                <w:rFonts w:cs="Arial"/>
                <w:color w:val="000000"/>
                <w:sz w:val="18"/>
                <w:szCs w:val="18"/>
              </w:rPr>
              <w:t xml:space="preserve">er </w:t>
            </w:r>
            <w:r>
              <w:rPr>
                <w:rFonts w:cs="Arial"/>
                <w:color w:val="000000"/>
                <w:sz w:val="18"/>
                <w:szCs w:val="18"/>
              </w:rPr>
              <w:t>d</w:t>
            </w:r>
            <w:r w:rsidRPr="00822178">
              <w:rPr>
                <w:rFonts w:cs="Arial"/>
                <w:color w:val="000000"/>
                <w:sz w:val="18"/>
                <w:szCs w:val="18"/>
              </w:rPr>
              <w:t xml:space="preserve">iem </w:t>
            </w:r>
            <w:r>
              <w:rPr>
                <w:rFonts w:cs="Arial"/>
                <w:color w:val="000000"/>
                <w:sz w:val="18"/>
                <w:szCs w:val="18"/>
              </w:rPr>
              <w:t>price weight</w:t>
            </w:r>
          </w:p>
        </w:tc>
        <w:tc>
          <w:tcPr>
            <w:tcW w:w="2210" w:type="pct"/>
            <w:shd w:val="clear" w:color="auto" w:fill="auto"/>
          </w:tcPr>
          <w:p w14:paraId="013747E0"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L</w:t>
            </w:r>
            <w:r w:rsidRPr="00822178">
              <w:rPr>
                <w:rFonts w:cs="Arial"/>
                <w:color w:val="000000"/>
                <w:sz w:val="18"/>
                <w:szCs w:val="18"/>
              </w:rPr>
              <w:t xml:space="preserve">ong-stay outlier per diem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A90801" w:rsidRPr="00C525F3" w14:paraId="4B8979E1" w14:textId="77777777" w:rsidTr="11584AC8">
        <w:trPr>
          <w:cantSplit/>
          <w:trHeight w:val="450"/>
        </w:trPr>
        <w:tc>
          <w:tcPr>
            <w:tcW w:w="441" w:type="pct"/>
            <w:shd w:val="clear" w:color="auto" w:fill="auto"/>
            <w:noWrap/>
          </w:tcPr>
          <w:p w14:paraId="17B1DB2E" w14:textId="2BFBA6A2" w:rsidR="00561E6C"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w:t>
            </w:r>
            <w:r>
              <w:rPr>
                <w:rFonts w:cs="Arial"/>
                <w:color w:val="000000" w:themeColor="text1"/>
                <w:sz w:val="18"/>
                <w:szCs w:val="18"/>
              </w:rPr>
              <w:t>24</w:t>
            </w:r>
          </w:p>
        </w:tc>
        <w:tc>
          <w:tcPr>
            <w:tcW w:w="958" w:type="pct"/>
            <w:shd w:val="clear" w:color="auto" w:fill="auto"/>
            <w:noWrap/>
          </w:tcPr>
          <w:p w14:paraId="1D322B03"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drg_adj_paed</w:t>
            </w:r>
          </w:p>
        </w:tc>
        <w:tc>
          <w:tcPr>
            <w:tcW w:w="1391" w:type="pct"/>
            <w:shd w:val="clear" w:color="auto" w:fill="auto"/>
          </w:tcPr>
          <w:p w14:paraId="28A8C784"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Paediatric adjustment</w:t>
            </w:r>
          </w:p>
        </w:tc>
        <w:tc>
          <w:tcPr>
            <w:tcW w:w="2210" w:type="pct"/>
            <w:shd w:val="clear" w:color="auto" w:fill="auto"/>
          </w:tcPr>
          <w:p w14:paraId="6DFAD9FC"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 xml:space="preserve">aediatric adjustment from joined NWAU AR-DRG </w:t>
            </w:r>
            <w:r>
              <w:rPr>
                <w:rFonts w:cs="Arial"/>
                <w:color w:val="000000"/>
                <w:sz w:val="18"/>
                <w:szCs w:val="18"/>
              </w:rPr>
              <w:t>price weight</w:t>
            </w:r>
            <w:r w:rsidRPr="00822178">
              <w:rPr>
                <w:rFonts w:cs="Arial"/>
                <w:color w:val="000000"/>
                <w:sz w:val="18"/>
                <w:szCs w:val="18"/>
              </w:rPr>
              <w:t xml:space="preserve"> table.</w:t>
            </w:r>
          </w:p>
        </w:tc>
      </w:tr>
      <w:tr w:rsidR="00A90801" w:rsidRPr="00C525F3" w14:paraId="49083C52" w14:textId="77777777" w:rsidTr="11584AC8">
        <w:trPr>
          <w:cantSplit/>
          <w:trHeight w:val="450"/>
        </w:trPr>
        <w:tc>
          <w:tcPr>
            <w:tcW w:w="441" w:type="pct"/>
            <w:shd w:val="clear" w:color="auto" w:fill="auto"/>
            <w:noWrap/>
          </w:tcPr>
          <w:p w14:paraId="741584C7" w14:textId="0873992E" w:rsidR="00561E6C"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w:t>
            </w:r>
            <w:r>
              <w:rPr>
                <w:rFonts w:cs="Arial"/>
                <w:color w:val="000000" w:themeColor="text1"/>
                <w:sz w:val="18"/>
                <w:szCs w:val="18"/>
              </w:rPr>
              <w:t>25</w:t>
            </w:r>
          </w:p>
        </w:tc>
        <w:tc>
          <w:tcPr>
            <w:tcW w:w="958" w:type="pct"/>
            <w:shd w:val="clear" w:color="auto" w:fill="auto"/>
            <w:noWrap/>
          </w:tcPr>
          <w:p w14:paraId="7893B08A"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drg_adj_privpat_serv</w:t>
            </w:r>
          </w:p>
        </w:tc>
        <w:tc>
          <w:tcPr>
            <w:tcW w:w="1391" w:type="pct"/>
            <w:shd w:val="clear" w:color="auto" w:fill="auto"/>
          </w:tcPr>
          <w:p w14:paraId="54E88DDA"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Private patient service adjustment</w:t>
            </w:r>
          </w:p>
        </w:tc>
        <w:tc>
          <w:tcPr>
            <w:tcW w:w="2210" w:type="pct"/>
            <w:shd w:val="clear" w:color="auto" w:fill="auto"/>
          </w:tcPr>
          <w:p w14:paraId="7896B770"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 xml:space="preserve">rivate patient service adjustment from joined NWAU AR-DRG </w:t>
            </w:r>
            <w:r>
              <w:rPr>
                <w:rFonts w:cs="Arial"/>
                <w:color w:val="000000"/>
                <w:sz w:val="18"/>
                <w:szCs w:val="18"/>
              </w:rPr>
              <w:t>price weight</w:t>
            </w:r>
            <w:r w:rsidRPr="00822178">
              <w:rPr>
                <w:rFonts w:cs="Arial"/>
                <w:color w:val="000000"/>
                <w:sz w:val="18"/>
                <w:szCs w:val="18"/>
              </w:rPr>
              <w:t xml:space="preserve"> table.</w:t>
            </w:r>
          </w:p>
        </w:tc>
      </w:tr>
      <w:tr w:rsidR="00A90801" w:rsidRPr="00C525F3" w14:paraId="11BF8846" w14:textId="77777777" w:rsidTr="11584AC8">
        <w:trPr>
          <w:cantSplit/>
          <w:trHeight w:val="450"/>
        </w:trPr>
        <w:tc>
          <w:tcPr>
            <w:tcW w:w="441" w:type="pct"/>
            <w:shd w:val="clear" w:color="auto" w:fill="auto"/>
            <w:noWrap/>
          </w:tcPr>
          <w:p w14:paraId="5BFF00B6" w14:textId="1F1E2AC8" w:rsidR="00561E6C"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w:t>
            </w:r>
            <w:r>
              <w:rPr>
                <w:rFonts w:cs="Arial"/>
                <w:color w:val="000000" w:themeColor="text1"/>
                <w:sz w:val="18"/>
                <w:szCs w:val="18"/>
              </w:rPr>
              <w:t>26</w:t>
            </w:r>
          </w:p>
        </w:tc>
        <w:tc>
          <w:tcPr>
            <w:tcW w:w="958" w:type="pct"/>
            <w:shd w:val="clear" w:color="auto" w:fill="auto"/>
            <w:noWrap/>
          </w:tcPr>
          <w:p w14:paraId="60CB27AC"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_drg_inscope_flag</w:t>
            </w:r>
          </w:p>
        </w:tc>
        <w:tc>
          <w:tcPr>
            <w:tcW w:w="1391" w:type="pct"/>
            <w:shd w:val="clear" w:color="auto" w:fill="auto"/>
          </w:tcPr>
          <w:p w14:paraId="6CBDDE5A"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 xml:space="preserve">DRG in-scope flag </w:t>
            </w:r>
          </w:p>
        </w:tc>
        <w:tc>
          <w:tcPr>
            <w:tcW w:w="2210" w:type="pct"/>
            <w:shd w:val="clear" w:color="auto" w:fill="auto"/>
          </w:tcPr>
          <w:p w14:paraId="4B081FFA"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1 if DRG is in-scope; else 0.</w:t>
            </w:r>
          </w:p>
        </w:tc>
      </w:tr>
      <w:tr w:rsidR="00A90801" w:rsidRPr="00C525F3" w14:paraId="7D4B1A24" w14:textId="77777777" w:rsidTr="11584AC8">
        <w:trPr>
          <w:cantSplit/>
          <w:trHeight w:val="450"/>
        </w:trPr>
        <w:tc>
          <w:tcPr>
            <w:tcW w:w="441" w:type="pct"/>
            <w:shd w:val="clear" w:color="auto" w:fill="auto"/>
            <w:noWrap/>
          </w:tcPr>
          <w:p w14:paraId="6148FC79" w14:textId="47F84810" w:rsidR="00561E6C"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lastRenderedPageBreak/>
              <w:t>A2</w:t>
            </w:r>
            <w:r>
              <w:rPr>
                <w:rFonts w:cs="Arial"/>
                <w:color w:val="000000" w:themeColor="text1"/>
                <w:sz w:val="18"/>
                <w:szCs w:val="18"/>
              </w:rPr>
              <w:t>7</w:t>
            </w:r>
          </w:p>
        </w:tc>
        <w:tc>
          <w:tcPr>
            <w:tcW w:w="958" w:type="pct"/>
            <w:shd w:val="clear" w:color="auto" w:fill="auto"/>
            <w:noWrap/>
          </w:tcPr>
          <w:p w14:paraId="480A9C54"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adj_indigenous</w:t>
            </w:r>
          </w:p>
        </w:tc>
        <w:tc>
          <w:tcPr>
            <w:tcW w:w="1391" w:type="pct"/>
            <w:shd w:val="clear" w:color="auto" w:fill="auto"/>
          </w:tcPr>
          <w:p w14:paraId="5A1C0B58"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00EC1E17"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ndigenous adjustment.</w:t>
            </w:r>
          </w:p>
        </w:tc>
      </w:tr>
      <w:tr w:rsidR="00A90801" w:rsidRPr="00C525F3" w14:paraId="1BCCCFC2" w14:textId="77777777" w:rsidTr="11584AC8">
        <w:trPr>
          <w:cantSplit/>
          <w:trHeight w:val="450"/>
        </w:trPr>
        <w:tc>
          <w:tcPr>
            <w:tcW w:w="441" w:type="pct"/>
            <w:shd w:val="clear" w:color="auto" w:fill="auto"/>
            <w:noWrap/>
          </w:tcPr>
          <w:p w14:paraId="4536C35A" w14:textId="74D18FB3" w:rsidR="00561E6C"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w:t>
            </w:r>
            <w:r>
              <w:rPr>
                <w:rFonts w:cs="Arial"/>
                <w:color w:val="000000" w:themeColor="text1"/>
                <w:sz w:val="18"/>
                <w:szCs w:val="18"/>
              </w:rPr>
              <w:t>28</w:t>
            </w:r>
          </w:p>
        </w:tc>
        <w:tc>
          <w:tcPr>
            <w:tcW w:w="958" w:type="pct"/>
            <w:shd w:val="clear" w:color="auto" w:fill="auto"/>
            <w:noWrap/>
          </w:tcPr>
          <w:p w14:paraId="60F124D7"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adj_remoteness</w:t>
            </w:r>
          </w:p>
        </w:tc>
        <w:tc>
          <w:tcPr>
            <w:tcW w:w="1391" w:type="pct"/>
            <w:shd w:val="clear" w:color="auto" w:fill="auto"/>
          </w:tcPr>
          <w:p w14:paraId="1E1F4172"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301E7720"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Remoteness</w:t>
            </w:r>
            <w:r w:rsidRPr="00822178">
              <w:rPr>
                <w:rFonts w:cs="Arial"/>
                <w:color w:val="000000"/>
                <w:sz w:val="18"/>
                <w:szCs w:val="18"/>
              </w:rPr>
              <w:t xml:space="preserve"> adjustment.</w:t>
            </w:r>
          </w:p>
        </w:tc>
      </w:tr>
      <w:tr w:rsidR="00A90801" w:rsidRPr="00C525F3" w14:paraId="45ACDF09" w14:textId="77777777" w:rsidTr="11584AC8">
        <w:trPr>
          <w:cantSplit/>
          <w:trHeight w:val="450"/>
        </w:trPr>
        <w:tc>
          <w:tcPr>
            <w:tcW w:w="441" w:type="pct"/>
            <w:shd w:val="clear" w:color="auto" w:fill="auto"/>
            <w:noWrap/>
          </w:tcPr>
          <w:p w14:paraId="1B4B03BF" w14:textId="0782F9A8" w:rsidR="00561E6C" w:rsidRDefault="00366877" w:rsidP="00E050EA">
            <w:pPr>
              <w:tabs>
                <w:tab w:val="left" w:pos="1162"/>
              </w:tabs>
              <w:spacing w:line="240" w:lineRule="auto"/>
              <w:rPr>
                <w:rFonts w:cs="Arial"/>
                <w:color w:val="000000"/>
                <w:sz w:val="18"/>
                <w:szCs w:val="18"/>
              </w:rPr>
            </w:pPr>
            <w:r w:rsidRPr="6886BF09">
              <w:rPr>
                <w:rFonts w:cs="Arial"/>
                <w:color w:val="000000" w:themeColor="text1"/>
                <w:sz w:val="18"/>
                <w:szCs w:val="18"/>
              </w:rPr>
              <w:t>A</w:t>
            </w:r>
            <w:r>
              <w:rPr>
                <w:rFonts w:cs="Arial"/>
                <w:color w:val="000000" w:themeColor="text1"/>
                <w:sz w:val="18"/>
                <w:szCs w:val="18"/>
              </w:rPr>
              <w:t>29</w:t>
            </w:r>
          </w:p>
        </w:tc>
        <w:tc>
          <w:tcPr>
            <w:tcW w:w="958" w:type="pct"/>
            <w:shd w:val="clear" w:color="auto" w:fill="auto"/>
            <w:noWrap/>
          </w:tcPr>
          <w:p w14:paraId="27DB67B1" w14:textId="77777777" w:rsidR="00561E6C" w:rsidRPr="00822178" w:rsidRDefault="00561E6C" w:rsidP="00E050EA">
            <w:pPr>
              <w:tabs>
                <w:tab w:val="left" w:pos="1162"/>
              </w:tabs>
              <w:spacing w:line="240" w:lineRule="auto"/>
              <w:rPr>
                <w:rFonts w:cs="Arial"/>
                <w:color w:val="000000"/>
                <w:sz w:val="18"/>
                <w:szCs w:val="18"/>
              </w:rPr>
            </w:pPr>
            <w:r w:rsidRPr="00635094">
              <w:rPr>
                <w:rFonts w:cs="Arial"/>
                <w:color w:val="000000"/>
                <w:sz w:val="18"/>
                <w:szCs w:val="18"/>
              </w:rPr>
              <w:t>adj_treat_remoteness</w:t>
            </w:r>
          </w:p>
        </w:tc>
        <w:tc>
          <w:tcPr>
            <w:tcW w:w="1391" w:type="pct"/>
            <w:shd w:val="clear" w:color="auto" w:fill="auto"/>
          </w:tcPr>
          <w:p w14:paraId="2725B8B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D2BD590"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Patient treatment remoteness adjustment.</w:t>
            </w:r>
          </w:p>
        </w:tc>
      </w:tr>
      <w:tr w:rsidR="00A90801" w:rsidRPr="00C525F3" w14:paraId="754A9FA4" w14:textId="77777777" w:rsidTr="11584AC8">
        <w:trPr>
          <w:cantSplit/>
          <w:trHeight w:val="450"/>
        </w:trPr>
        <w:tc>
          <w:tcPr>
            <w:tcW w:w="441" w:type="pct"/>
            <w:shd w:val="clear" w:color="auto" w:fill="auto"/>
            <w:noWrap/>
          </w:tcPr>
          <w:p w14:paraId="13F54180" w14:textId="22764664" w:rsidR="00561E6C"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w:t>
            </w:r>
            <w:r>
              <w:rPr>
                <w:rFonts w:cs="Arial"/>
                <w:color w:val="000000" w:themeColor="text1"/>
                <w:sz w:val="18"/>
                <w:szCs w:val="18"/>
              </w:rPr>
              <w:t>30</w:t>
            </w:r>
          </w:p>
        </w:tc>
        <w:tc>
          <w:tcPr>
            <w:tcW w:w="958" w:type="pct"/>
            <w:shd w:val="clear" w:color="auto" w:fill="auto"/>
            <w:noWrap/>
          </w:tcPr>
          <w:p w14:paraId="42DE8E30" w14:textId="77777777" w:rsidR="00561E6C" w:rsidRPr="00C94607" w:rsidRDefault="00561E6C" w:rsidP="00E050EA">
            <w:pPr>
              <w:tabs>
                <w:tab w:val="left" w:pos="1162"/>
              </w:tabs>
              <w:spacing w:line="240" w:lineRule="auto"/>
              <w:rPr>
                <w:rFonts w:cs="Arial"/>
                <w:color w:val="000000"/>
                <w:sz w:val="18"/>
                <w:szCs w:val="18"/>
              </w:rPr>
            </w:pPr>
            <w:r>
              <w:rPr>
                <w:rFonts w:cs="Arial"/>
                <w:color w:val="000000"/>
                <w:sz w:val="18"/>
                <w:szCs w:val="18"/>
              </w:rPr>
              <w:t>adj_radiotherapy</w:t>
            </w:r>
          </w:p>
        </w:tc>
        <w:tc>
          <w:tcPr>
            <w:tcW w:w="1391" w:type="pct"/>
            <w:shd w:val="clear" w:color="auto" w:fill="auto"/>
          </w:tcPr>
          <w:p w14:paraId="6F01943D"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2AA0C8F8"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Radiotherapy</w:t>
            </w:r>
            <w:r w:rsidRPr="00822178">
              <w:rPr>
                <w:rFonts w:cs="Arial"/>
                <w:color w:val="000000"/>
                <w:sz w:val="18"/>
                <w:szCs w:val="18"/>
              </w:rPr>
              <w:t xml:space="preserve"> adjustment.</w:t>
            </w:r>
          </w:p>
        </w:tc>
      </w:tr>
      <w:tr w:rsidR="00A90801" w:rsidRPr="00C525F3" w14:paraId="7A486903" w14:textId="77777777" w:rsidTr="11584AC8">
        <w:trPr>
          <w:cantSplit/>
          <w:trHeight w:val="450"/>
        </w:trPr>
        <w:tc>
          <w:tcPr>
            <w:tcW w:w="441" w:type="pct"/>
            <w:shd w:val="clear" w:color="auto" w:fill="auto"/>
            <w:noWrap/>
          </w:tcPr>
          <w:p w14:paraId="4ADB56B5" w14:textId="4DAD598B" w:rsidR="00561E6C"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A3</w:t>
            </w:r>
            <w:r>
              <w:rPr>
                <w:rFonts w:cs="Arial"/>
                <w:color w:val="000000" w:themeColor="text1"/>
                <w:sz w:val="18"/>
                <w:szCs w:val="18"/>
              </w:rPr>
              <w:t>1</w:t>
            </w:r>
          </w:p>
        </w:tc>
        <w:tc>
          <w:tcPr>
            <w:tcW w:w="958" w:type="pct"/>
            <w:shd w:val="clear" w:color="auto" w:fill="auto"/>
            <w:noWrap/>
          </w:tcPr>
          <w:p w14:paraId="5B9A289B"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adj_dialysis</w:t>
            </w:r>
          </w:p>
        </w:tc>
        <w:tc>
          <w:tcPr>
            <w:tcW w:w="1391" w:type="pct"/>
            <w:shd w:val="clear" w:color="auto" w:fill="auto"/>
          </w:tcPr>
          <w:p w14:paraId="4414ADC1"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685AB115"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Dialysis</w:t>
            </w:r>
            <w:r w:rsidRPr="00822178">
              <w:rPr>
                <w:rFonts w:cs="Arial"/>
                <w:color w:val="000000"/>
                <w:sz w:val="18"/>
                <w:szCs w:val="18"/>
              </w:rPr>
              <w:t xml:space="preserve"> adjustment.</w:t>
            </w:r>
          </w:p>
        </w:tc>
      </w:tr>
      <w:tr w:rsidR="00A90801" w:rsidRPr="00C525F3" w14:paraId="5F80C3A7" w14:textId="77777777" w:rsidTr="11584AC8">
        <w:trPr>
          <w:cantSplit/>
          <w:trHeight w:val="450"/>
        </w:trPr>
        <w:tc>
          <w:tcPr>
            <w:tcW w:w="441" w:type="pct"/>
            <w:shd w:val="clear" w:color="auto" w:fill="auto"/>
            <w:noWrap/>
          </w:tcPr>
          <w:p w14:paraId="46F197FE" w14:textId="11C0207E" w:rsidR="00561E6C"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A3</w:t>
            </w:r>
            <w:r>
              <w:rPr>
                <w:rFonts w:cs="Arial"/>
                <w:color w:val="000000" w:themeColor="text1"/>
                <w:sz w:val="18"/>
                <w:szCs w:val="18"/>
              </w:rPr>
              <w:t>2</w:t>
            </w:r>
          </w:p>
        </w:tc>
        <w:tc>
          <w:tcPr>
            <w:tcW w:w="958" w:type="pct"/>
            <w:shd w:val="clear" w:color="auto" w:fill="auto"/>
            <w:noWrap/>
          </w:tcPr>
          <w:p w14:paraId="3D60C783"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state_adj_privpat_accomm_sd</w:t>
            </w:r>
          </w:p>
        </w:tc>
        <w:tc>
          <w:tcPr>
            <w:tcW w:w="1391" w:type="pct"/>
            <w:shd w:val="clear" w:color="auto" w:fill="auto"/>
          </w:tcPr>
          <w:p w14:paraId="44D2B712"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62C5F625"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rivate patient accommodation adjustment: same-day rate (state-specific adjustment).</w:t>
            </w:r>
          </w:p>
        </w:tc>
      </w:tr>
      <w:tr w:rsidR="00A90801" w:rsidRPr="00C525F3" w14:paraId="43E8ED31" w14:textId="77777777" w:rsidTr="11584AC8">
        <w:trPr>
          <w:cantSplit/>
          <w:trHeight w:val="450"/>
        </w:trPr>
        <w:tc>
          <w:tcPr>
            <w:tcW w:w="441" w:type="pct"/>
            <w:shd w:val="clear" w:color="auto" w:fill="auto"/>
            <w:noWrap/>
          </w:tcPr>
          <w:p w14:paraId="69DED22E" w14:textId="6CCB7A4F" w:rsidR="00561E6C" w:rsidRDefault="00366877" w:rsidP="6886BF09">
            <w:pPr>
              <w:tabs>
                <w:tab w:val="left" w:pos="1162"/>
              </w:tabs>
              <w:spacing w:line="240" w:lineRule="auto"/>
              <w:rPr>
                <w:rFonts w:eastAsiaTheme="minorEastAsia" w:cs="Arial"/>
                <w:b/>
                <w:bCs/>
                <w:noProof/>
                <w:color w:val="000000"/>
                <w:sz w:val="18"/>
                <w:szCs w:val="18"/>
              </w:rPr>
            </w:pPr>
            <w:r w:rsidRPr="6886BF09">
              <w:rPr>
                <w:rFonts w:cs="Arial"/>
                <w:color w:val="000000" w:themeColor="text1"/>
                <w:sz w:val="18"/>
                <w:szCs w:val="18"/>
              </w:rPr>
              <w:t>A3</w:t>
            </w:r>
            <w:r>
              <w:rPr>
                <w:rFonts w:cs="Arial"/>
                <w:color w:val="000000" w:themeColor="text1"/>
                <w:sz w:val="18"/>
                <w:szCs w:val="18"/>
              </w:rPr>
              <w:t>3</w:t>
            </w:r>
          </w:p>
        </w:tc>
        <w:tc>
          <w:tcPr>
            <w:tcW w:w="958" w:type="pct"/>
            <w:shd w:val="clear" w:color="auto" w:fill="auto"/>
            <w:noWrap/>
          </w:tcPr>
          <w:p w14:paraId="243219DC"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state_adj_privpat_accomm_on</w:t>
            </w:r>
          </w:p>
        </w:tc>
        <w:tc>
          <w:tcPr>
            <w:tcW w:w="1391" w:type="pct"/>
            <w:shd w:val="clear" w:color="auto" w:fill="auto"/>
          </w:tcPr>
          <w:p w14:paraId="3116DD05"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5529E953"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rivate patient accommodation adjustment: overnight per diem rate (state-specific adjustment).</w:t>
            </w:r>
          </w:p>
        </w:tc>
      </w:tr>
      <w:tr w:rsidR="00A90801" w14:paraId="366D8E20" w14:textId="77777777" w:rsidTr="11584AC8">
        <w:trPr>
          <w:cantSplit/>
          <w:trHeight w:val="450"/>
        </w:trPr>
        <w:tc>
          <w:tcPr>
            <w:tcW w:w="992" w:type="dxa"/>
            <w:shd w:val="clear" w:color="auto" w:fill="auto"/>
            <w:noWrap/>
          </w:tcPr>
          <w:p w14:paraId="3C159683" w14:textId="6C118583" w:rsidR="5F7E8174" w:rsidRPr="00836FC5" w:rsidRDefault="5F7E8174">
            <w:pPr>
              <w:spacing w:line="240" w:lineRule="auto"/>
              <w:rPr>
                <w:rFonts w:cs="Arial"/>
                <w:color w:val="000000" w:themeColor="text1"/>
                <w:sz w:val="18"/>
                <w:szCs w:val="18"/>
              </w:rPr>
            </w:pPr>
            <w:r w:rsidRPr="6762B360">
              <w:rPr>
                <w:rFonts w:cs="Arial"/>
                <w:color w:val="000000" w:themeColor="text1"/>
                <w:sz w:val="18"/>
                <w:szCs w:val="18"/>
              </w:rPr>
              <w:t>A34</w:t>
            </w:r>
          </w:p>
        </w:tc>
        <w:tc>
          <w:tcPr>
            <w:tcW w:w="2156" w:type="dxa"/>
            <w:shd w:val="clear" w:color="auto" w:fill="auto"/>
            <w:noWrap/>
          </w:tcPr>
          <w:p w14:paraId="6BE80BD6" w14:textId="5D538FB7" w:rsidR="5F7E8174" w:rsidRPr="00836FC5" w:rsidRDefault="5F7E8174">
            <w:pPr>
              <w:spacing w:line="240" w:lineRule="auto"/>
              <w:rPr>
                <w:rFonts w:cs="Arial"/>
                <w:color w:val="000000" w:themeColor="text1"/>
                <w:sz w:val="18"/>
                <w:szCs w:val="18"/>
              </w:rPr>
            </w:pPr>
            <w:r w:rsidRPr="6762B360">
              <w:rPr>
                <w:rFonts w:cs="Arial"/>
                <w:color w:val="000000" w:themeColor="text1"/>
                <w:sz w:val="18"/>
                <w:szCs w:val="18"/>
              </w:rPr>
              <w:t>error_code</w:t>
            </w:r>
          </w:p>
        </w:tc>
        <w:tc>
          <w:tcPr>
            <w:tcW w:w="3131" w:type="dxa"/>
            <w:shd w:val="clear" w:color="auto" w:fill="auto"/>
          </w:tcPr>
          <w:p w14:paraId="08EEC26F" w14:textId="77777777" w:rsidR="6762B360" w:rsidRDefault="6762B360"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See definition</w:t>
            </w:r>
          </w:p>
        </w:tc>
        <w:tc>
          <w:tcPr>
            <w:tcW w:w="4974" w:type="dxa"/>
            <w:shd w:val="clear" w:color="auto" w:fill="auto"/>
          </w:tcPr>
          <w:p w14:paraId="6D97ABA4" w14:textId="77777777" w:rsidR="6762B360" w:rsidRDefault="6762B360"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A brief description of errors, if any, which have occurred in the process of calculating the NWAU of an episode of care.</w:t>
            </w:r>
          </w:p>
        </w:tc>
      </w:tr>
      <w:tr w:rsidR="00A90801" w:rsidRPr="00C525F3" w14:paraId="70917865" w14:textId="77777777" w:rsidTr="11584AC8">
        <w:trPr>
          <w:cantSplit/>
          <w:trHeight w:val="450"/>
        </w:trPr>
        <w:tc>
          <w:tcPr>
            <w:tcW w:w="441" w:type="pct"/>
            <w:shd w:val="clear" w:color="auto" w:fill="auto"/>
            <w:noWrap/>
          </w:tcPr>
          <w:p w14:paraId="59E05B0C" w14:textId="3EF31277" w:rsidR="00561E6C" w:rsidRDefault="00366877" w:rsidP="6886BF09">
            <w:pPr>
              <w:tabs>
                <w:tab w:val="left" w:pos="1162"/>
              </w:tabs>
              <w:spacing w:line="240" w:lineRule="auto"/>
              <w:rPr>
                <w:rFonts w:eastAsiaTheme="minorEastAsia" w:cs="Arial"/>
                <w:b/>
                <w:bCs/>
                <w:noProof/>
                <w:color w:val="000000"/>
                <w:sz w:val="18"/>
                <w:szCs w:val="18"/>
              </w:rPr>
            </w:pPr>
            <w:r w:rsidRPr="236B58D1">
              <w:rPr>
                <w:rFonts w:cs="Arial"/>
                <w:color w:val="000000" w:themeColor="text1"/>
                <w:sz w:val="18"/>
                <w:szCs w:val="18"/>
              </w:rPr>
              <w:t>A3</w:t>
            </w:r>
            <w:r w:rsidR="635DE86D" w:rsidRPr="236B58D1">
              <w:rPr>
                <w:rFonts w:cs="Arial"/>
                <w:color w:val="000000" w:themeColor="text1"/>
                <w:sz w:val="18"/>
                <w:szCs w:val="18"/>
              </w:rPr>
              <w:t>5</w:t>
            </w:r>
          </w:p>
        </w:tc>
        <w:tc>
          <w:tcPr>
            <w:tcW w:w="958" w:type="pct"/>
            <w:shd w:val="clear" w:color="auto" w:fill="auto"/>
            <w:noWrap/>
          </w:tcPr>
          <w:p w14:paraId="0F11CAEE"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w:t>
            </w:r>
            <w:r>
              <w:rPr>
                <w:rFonts w:cs="Arial"/>
                <w:color w:val="000000"/>
                <w:sz w:val="18"/>
                <w:szCs w:val="18"/>
              </w:rPr>
              <w:t>eligible_</w:t>
            </w:r>
            <w:r w:rsidRPr="00822178">
              <w:rPr>
                <w:rFonts w:cs="Arial"/>
                <w:color w:val="000000"/>
                <w:sz w:val="18"/>
                <w:szCs w:val="18"/>
              </w:rPr>
              <w:t>icu_hours</w:t>
            </w:r>
          </w:p>
        </w:tc>
        <w:tc>
          <w:tcPr>
            <w:tcW w:w="1391" w:type="pct"/>
            <w:shd w:val="clear" w:color="auto" w:fill="auto"/>
          </w:tcPr>
          <w:p w14:paraId="38A2D1B2"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Whole </w:t>
            </w:r>
            <w:r>
              <w:rPr>
                <w:rFonts w:cs="Arial"/>
                <w:color w:val="000000"/>
                <w:sz w:val="18"/>
                <w:szCs w:val="18"/>
              </w:rPr>
              <w:t xml:space="preserve">eligible </w:t>
            </w:r>
            <w:r w:rsidRPr="00822178">
              <w:rPr>
                <w:rFonts w:cs="Arial"/>
                <w:color w:val="000000"/>
                <w:sz w:val="18"/>
                <w:szCs w:val="18"/>
              </w:rPr>
              <w:t>hours spent in ICU</w:t>
            </w:r>
          </w:p>
        </w:tc>
        <w:tc>
          <w:tcPr>
            <w:tcW w:w="2210" w:type="pct"/>
            <w:shd w:val="clear" w:color="auto" w:fill="auto"/>
          </w:tcPr>
          <w:p w14:paraId="59536D35" w14:textId="77777777" w:rsidR="00561E6C" w:rsidRDefault="00561E6C" w:rsidP="00F50F6A">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w:t>
            </w:r>
            <w:r>
              <w:rPr>
                <w:rFonts w:cs="Arial"/>
                <w:color w:val="000000"/>
                <w:sz w:val="18"/>
                <w:szCs w:val="18"/>
              </w:rPr>
              <w:t>h</w:t>
            </w:r>
            <w:r w:rsidRPr="00822178">
              <w:rPr>
                <w:rFonts w:cs="Arial"/>
                <w:color w:val="000000"/>
                <w:sz w:val="18"/>
                <w:szCs w:val="18"/>
              </w:rPr>
              <w:t xml:space="preserve">ours </w:t>
            </w:r>
            <w:r>
              <w:rPr>
                <w:rFonts w:cs="Arial"/>
                <w:color w:val="000000"/>
                <w:sz w:val="18"/>
                <w:szCs w:val="18"/>
              </w:rPr>
              <w:t>s</w:t>
            </w:r>
            <w:r w:rsidRPr="00822178">
              <w:rPr>
                <w:rFonts w:cs="Arial"/>
                <w:color w:val="000000"/>
                <w:sz w:val="18"/>
                <w:szCs w:val="18"/>
              </w:rPr>
              <w:t xml:space="preserve">pent in </w:t>
            </w:r>
            <w:r>
              <w:rPr>
                <w:rFonts w:cs="Arial"/>
                <w:color w:val="000000"/>
                <w:sz w:val="18"/>
                <w:szCs w:val="18"/>
              </w:rPr>
              <w:t>i</w:t>
            </w:r>
            <w:r w:rsidRPr="00822178">
              <w:rPr>
                <w:rFonts w:cs="Arial"/>
                <w:color w:val="000000"/>
                <w:sz w:val="18"/>
                <w:szCs w:val="18"/>
              </w:rPr>
              <w:t xml:space="preserve">ntensive </w:t>
            </w:r>
            <w:r>
              <w:rPr>
                <w:rFonts w:cs="Arial"/>
                <w:color w:val="000000"/>
                <w:sz w:val="18"/>
                <w:szCs w:val="18"/>
              </w:rPr>
              <w:t>c</w:t>
            </w:r>
            <w:r w:rsidRPr="00822178">
              <w:rPr>
                <w:rFonts w:cs="Arial"/>
                <w:color w:val="000000"/>
                <w:sz w:val="18"/>
                <w:szCs w:val="18"/>
              </w:rPr>
              <w:t>are</w:t>
            </w:r>
            <w:r w:rsidR="00F50F6A">
              <w:rPr>
                <w:rFonts w:cs="Arial"/>
                <w:color w:val="000000"/>
                <w:sz w:val="18"/>
                <w:szCs w:val="18"/>
              </w:rPr>
              <w:t xml:space="preserve"> (including below level 3 ICU if _pat_covid_flag = 1)</w:t>
            </w:r>
            <w:r w:rsidRPr="00822178">
              <w:rPr>
                <w:rFonts w:cs="Arial"/>
                <w:color w:val="000000"/>
                <w:sz w:val="18"/>
                <w:szCs w:val="18"/>
              </w:rPr>
              <w:t xml:space="preserve"> </w:t>
            </w:r>
            <w:r>
              <w:rPr>
                <w:rFonts w:cs="Arial"/>
                <w:color w:val="000000"/>
                <w:sz w:val="18"/>
                <w:szCs w:val="18"/>
              </w:rPr>
              <w:t>u</w:t>
            </w:r>
            <w:r w:rsidRPr="00822178">
              <w:rPr>
                <w:rFonts w:cs="Arial"/>
                <w:color w:val="000000"/>
                <w:sz w:val="18"/>
                <w:szCs w:val="18"/>
              </w:rPr>
              <w:t>nit if hours are gre</w:t>
            </w:r>
            <w:r>
              <w:rPr>
                <w:rFonts w:cs="Arial"/>
                <w:color w:val="000000"/>
                <w:sz w:val="18"/>
                <w:szCs w:val="18"/>
              </w:rPr>
              <w:t>ater than or equal to 1; else</w:t>
            </w:r>
            <w:r>
              <w:rPr>
                <w:rFonts w:cs="Arial"/>
                <w:color w:val="000000"/>
                <w:sz w:val="18"/>
                <w:szCs w:val="18"/>
              </w:rPr>
              <w:br/>
              <w:t>0, for unbundled DRGs and eligible establishments</w:t>
            </w:r>
          </w:p>
        </w:tc>
      </w:tr>
      <w:tr w:rsidR="00A90801" w:rsidRPr="00C525F3" w14:paraId="21546313" w14:textId="77777777" w:rsidTr="11584AC8">
        <w:trPr>
          <w:cantSplit/>
          <w:trHeight w:val="450"/>
        </w:trPr>
        <w:tc>
          <w:tcPr>
            <w:tcW w:w="441" w:type="pct"/>
            <w:shd w:val="clear" w:color="auto" w:fill="auto"/>
            <w:noWrap/>
          </w:tcPr>
          <w:p w14:paraId="17C4BB59" w14:textId="337CB749" w:rsidR="00561E6C" w:rsidRDefault="00366877" w:rsidP="6886BF09">
            <w:pPr>
              <w:tabs>
                <w:tab w:val="left" w:pos="1162"/>
              </w:tabs>
              <w:spacing w:line="240" w:lineRule="auto"/>
              <w:rPr>
                <w:rFonts w:eastAsiaTheme="minorEastAsia" w:cs="Arial"/>
                <w:b/>
                <w:bCs/>
                <w:noProof/>
                <w:color w:val="000000"/>
                <w:sz w:val="18"/>
                <w:szCs w:val="18"/>
              </w:rPr>
            </w:pPr>
            <w:r w:rsidRPr="236B58D1">
              <w:rPr>
                <w:rFonts w:cs="Arial"/>
                <w:color w:val="000000" w:themeColor="text1"/>
                <w:sz w:val="18"/>
                <w:szCs w:val="18"/>
              </w:rPr>
              <w:t>A3</w:t>
            </w:r>
            <w:r w:rsidR="19F0F147" w:rsidRPr="236B58D1">
              <w:rPr>
                <w:rFonts w:cs="Arial"/>
                <w:color w:val="000000" w:themeColor="text1"/>
                <w:sz w:val="18"/>
                <w:szCs w:val="18"/>
              </w:rPr>
              <w:t>6</w:t>
            </w:r>
          </w:p>
        </w:tc>
        <w:tc>
          <w:tcPr>
            <w:tcW w:w="958" w:type="pct"/>
            <w:shd w:val="clear" w:color="auto" w:fill="auto"/>
            <w:noWrap/>
          </w:tcPr>
          <w:p w14:paraId="7153F429"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_pat_los_icu_removed</w:t>
            </w:r>
          </w:p>
        </w:tc>
        <w:tc>
          <w:tcPr>
            <w:tcW w:w="1391" w:type="pct"/>
            <w:shd w:val="clear" w:color="auto" w:fill="auto"/>
          </w:tcPr>
          <w:p w14:paraId="3CCAB6E4"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47D7152E"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 xml:space="preserve">Patient length of stay with ICU hours removed </w:t>
            </w:r>
          </w:p>
        </w:tc>
      </w:tr>
      <w:tr w:rsidR="00A90801" w:rsidRPr="00C525F3" w14:paraId="4F828F12" w14:textId="77777777" w:rsidTr="11584AC8">
        <w:trPr>
          <w:cantSplit/>
          <w:trHeight w:val="450"/>
        </w:trPr>
        <w:tc>
          <w:tcPr>
            <w:tcW w:w="441" w:type="pct"/>
            <w:shd w:val="clear" w:color="auto" w:fill="auto"/>
            <w:noWrap/>
          </w:tcPr>
          <w:p w14:paraId="3D698FD1" w14:textId="657028AE" w:rsidR="00561E6C" w:rsidRDefault="00366877" w:rsidP="6886BF09">
            <w:pPr>
              <w:tabs>
                <w:tab w:val="left" w:pos="1162"/>
              </w:tabs>
              <w:spacing w:line="240" w:lineRule="auto"/>
              <w:rPr>
                <w:rFonts w:eastAsiaTheme="minorEastAsia" w:cs="Arial"/>
                <w:b/>
                <w:bCs/>
                <w:noProof/>
                <w:color w:val="000000"/>
                <w:sz w:val="18"/>
                <w:szCs w:val="18"/>
              </w:rPr>
            </w:pPr>
            <w:r w:rsidRPr="236B58D1">
              <w:rPr>
                <w:rFonts w:cs="Arial"/>
                <w:color w:val="000000" w:themeColor="text1"/>
                <w:sz w:val="18"/>
                <w:szCs w:val="18"/>
              </w:rPr>
              <w:t>A3</w:t>
            </w:r>
            <w:r w:rsidR="7A5262C4" w:rsidRPr="236B58D1">
              <w:rPr>
                <w:rFonts w:cs="Arial"/>
                <w:color w:val="000000" w:themeColor="text1"/>
                <w:sz w:val="18"/>
                <w:szCs w:val="18"/>
              </w:rPr>
              <w:t>7</w:t>
            </w:r>
          </w:p>
        </w:tc>
        <w:tc>
          <w:tcPr>
            <w:tcW w:w="958" w:type="pct"/>
            <w:shd w:val="clear" w:color="auto" w:fill="auto"/>
            <w:noWrap/>
          </w:tcPr>
          <w:p w14:paraId="15BF1C72"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_pat_separation_category</w:t>
            </w:r>
          </w:p>
        </w:tc>
        <w:tc>
          <w:tcPr>
            <w:tcW w:w="1391" w:type="pct"/>
            <w:shd w:val="clear" w:color="auto" w:fill="auto"/>
          </w:tcPr>
          <w:p w14:paraId="5FB2FAE2"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704F9627"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 xml:space="preserve">Patient separation category: </w:t>
            </w:r>
          </w:p>
          <w:p w14:paraId="38403F25" w14:textId="77777777" w:rsidR="00561E6C" w:rsidRPr="00FA3851" w:rsidRDefault="00561E6C" w:rsidP="00E050EA">
            <w:pPr>
              <w:tabs>
                <w:tab w:val="left" w:pos="1162"/>
              </w:tabs>
              <w:spacing w:line="240" w:lineRule="auto"/>
              <w:rPr>
                <w:rFonts w:cs="Arial"/>
                <w:color w:val="000000"/>
                <w:sz w:val="18"/>
                <w:szCs w:val="18"/>
              </w:rPr>
            </w:pPr>
            <w:r w:rsidRPr="006547D9">
              <w:rPr>
                <w:rFonts w:cs="Arial"/>
                <w:color w:val="000000"/>
                <w:sz w:val="18"/>
                <w:szCs w:val="18"/>
              </w:rPr>
              <w:t>1</w:t>
            </w:r>
            <w:r>
              <w:rPr>
                <w:rFonts w:cs="Arial"/>
                <w:color w:val="000000"/>
                <w:sz w:val="18"/>
                <w:szCs w:val="18"/>
              </w:rPr>
              <w:t>:</w:t>
            </w:r>
            <w:r w:rsidRPr="00FA3851">
              <w:rPr>
                <w:rFonts w:cs="Arial"/>
                <w:color w:val="000000"/>
                <w:sz w:val="18"/>
                <w:szCs w:val="18"/>
              </w:rPr>
              <w:t xml:space="preserve"> </w:t>
            </w:r>
            <w:r>
              <w:rPr>
                <w:rFonts w:cs="Arial"/>
                <w:color w:val="000000"/>
                <w:sz w:val="18"/>
                <w:szCs w:val="18"/>
              </w:rPr>
              <w:t>Same-day patients</w:t>
            </w:r>
          </w:p>
          <w:p w14:paraId="13C3345A"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2</w:t>
            </w:r>
            <w:r>
              <w:rPr>
                <w:rFonts w:cs="Arial"/>
                <w:color w:val="000000"/>
                <w:sz w:val="18"/>
                <w:szCs w:val="18"/>
              </w:rPr>
              <w:t>:</w:t>
            </w:r>
            <w:r w:rsidRPr="00FA3851">
              <w:rPr>
                <w:rFonts w:cs="Arial"/>
                <w:color w:val="000000"/>
                <w:sz w:val="18"/>
                <w:szCs w:val="18"/>
              </w:rPr>
              <w:t xml:space="preserve"> </w:t>
            </w:r>
            <w:r>
              <w:rPr>
                <w:rFonts w:cs="Arial"/>
                <w:color w:val="000000"/>
                <w:sz w:val="18"/>
                <w:szCs w:val="18"/>
              </w:rPr>
              <w:t xml:space="preserve">Short-stay outlier patients </w:t>
            </w:r>
          </w:p>
          <w:p w14:paraId="42BC263B" w14:textId="77777777" w:rsidR="00561E6C" w:rsidRPr="00FA3851" w:rsidRDefault="00561E6C" w:rsidP="00E050EA">
            <w:pPr>
              <w:tabs>
                <w:tab w:val="left" w:pos="1162"/>
              </w:tabs>
              <w:spacing w:line="240" w:lineRule="auto"/>
              <w:rPr>
                <w:rFonts w:cs="Arial"/>
                <w:color w:val="000000"/>
                <w:sz w:val="18"/>
                <w:szCs w:val="18"/>
              </w:rPr>
            </w:pPr>
            <w:r w:rsidRPr="006547D9">
              <w:rPr>
                <w:rFonts w:cs="Arial"/>
                <w:color w:val="000000"/>
                <w:sz w:val="18"/>
                <w:szCs w:val="18"/>
              </w:rPr>
              <w:t>3</w:t>
            </w:r>
            <w:r>
              <w:rPr>
                <w:rFonts w:cs="Arial"/>
                <w:color w:val="000000"/>
                <w:sz w:val="18"/>
                <w:szCs w:val="18"/>
              </w:rPr>
              <w:t>:</w:t>
            </w:r>
            <w:r w:rsidRPr="00FA3851">
              <w:rPr>
                <w:rFonts w:cs="Arial"/>
                <w:color w:val="000000"/>
                <w:sz w:val="18"/>
                <w:szCs w:val="18"/>
              </w:rPr>
              <w:t xml:space="preserve"> Inlier patients</w:t>
            </w:r>
          </w:p>
          <w:p w14:paraId="47136E7D" w14:textId="77777777" w:rsidR="00561E6C" w:rsidRPr="006547D9" w:rsidRDefault="00561E6C" w:rsidP="00E050EA">
            <w:pPr>
              <w:tabs>
                <w:tab w:val="left" w:pos="1162"/>
              </w:tabs>
              <w:spacing w:line="240" w:lineRule="auto"/>
            </w:pPr>
            <w:r>
              <w:rPr>
                <w:rFonts w:cs="Arial"/>
                <w:color w:val="000000"/>
                <w:sz w:val="18"/>
                <w:szCs w:val="18"/>
              </w:rPr>
              <w:t>4:</w:t>
            </w:r>
            <w:r w:rsidRPr="00FA3851">
              <w:rPr>
                <w:rFonts w:cs="Arial"/>
                <w:color w:val="000000"/>
                <w:sz w:val="18"/>
                <w:szCs w:val="18"/>
              </w:rPr>
              <w:t xml:space="preserve"> </w:t>
            </w:r>
            <w:r>
              <w:rPr>
                <w:rFonts w:cs="Arial"/>
                <w:color w:val="000000"/>
                <w:sz w:val="18"/>
                <w:szCs w:val="18"/>
              </w:rPr>
              <w:t>Long-stay</w:t>
            </w:r>
            <w:r w:rsidRPr="00FA3851">
              <w:rPr>
                <w:rFonts w:cs="Arial"/>
                <w:color w:val="000000"/>
                <w:sz w:val="18"/>
                <w:szCs w:val="18"/>
              </w:rPr>
              <w:t xml:space="preserve"> outlier patients </w:t>
            </w:r>
          </w:p>
        </w:tc>
      </w:tr>
      <w:tr w:rsidR="00A90801" w:rsidRPr="00C525F3" w14:paraId="54140F52" w14:textId="77777777" w:rsidTr="11584AC8">
        <w:trPr>
          <w:cantSplit/>
          <w:trHeight w:val="450"/>
        </w:trPr>
        <w:tc>
          <w:tcPr>
            <w:tcW w:w="441" w:type="pct"/>
            <w:shd w:val="clear" w:color="auto" w:fill="auto"/>
            <w:noWrap/>
          </w:tcPr>
          <w:p w14:paraId="5EB78153" w14:textId="7A42B2F1" w:rsidR="00561E6C" w:rsidRDefault="00CE3156" w:rsidP="6886BF09">
            <w:pPr>
              <w:tabs>
                <w:tab w:val="left" w:pos="1162"/>
              </w:tabs>
              <w:spacing w:line="240" w:lineRule="auto"/>
              <w:rPr>
                <w:rFonts w:eastAsiaTheme="minorEastAsia" w:cs="Arial"/>
                <w:b/>
                <w:bCs/>
                <w:noProof/>
                <w:color w:val="000000"/>
                <w:sz w:val="18"/>
                <w:szCs w:val="18"/>
              </w:rPr>
            </w:pPr>
            <w:r w:rsidRPr="236B58D1">
              <w:rPr>
                <w:rFonts w:cs="Arial"/>
                <w:color w:val="000000" w:themeColor="text1"/>
                <w:sz w:val="18"/>
                <w:szCs w:val="18"/>
              </w:rPr>
              <w:t>A3</w:t>
            </w:r>
            <w:r w:rsidR="63BA35EA" w:rsidRPr="236B58D1">
              <w:rPr>
                <w:rFonts w:cs="Arial"/>
                <w:color w:val="000000" w:themeColor="text1"/>
                <w:sz w:val="18"/>
                <w:szCs w:val="18"/>
              </w:rPr>
              <w:t>8</w:t>
            </w:r>
          </w:p>
        </w:tc>
        <w:tc>
          <w:tcPr>
            <w:tcW w:w="958" w:type="pct"/>
            <w:shd w:val="clear" w:color="auto" w:fill="auto"/>
            <w:noWrap/>
          </w:tcPr>
          <w:p w14:paraId="40E93A8C"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_w01</w:t>
            </w:r>
          </w:p>
        </w:tc>
        <w:tc>
          <w:tcPr>
            <w:tcW w:w="1391" w:type="pct"/>
            <w:shd w:val="clear" w:color="auto" w:fill="auto"/>
          </w:tcPr>
          <w:p w14:paraId="4E77EE31"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DRG by inlier/outlier weight</w:t>
            </w:r>
          </w:p>
        </w:tc>
        <w:tc>
          <w:tcPr>
            <w:tcW w:w="2210" w:type="pct"/>
            <w:shd w:val="clear" w:color="auto" w:fill="auto"/>
          </w:tcPr>
          <w:p w14:paraId="69F9A5C4" w14:textId="77777777" w:rsidR="00561E6C" w:rsidRPr="00833D55"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 xml:space="preserve">Based off </w:t>
            </w:r>
            <w:r w:rsidRPr="00833D55">
              <w:rPr>
                <w:rFonts w:cs="Arial"/>
                <w:color w:val="000000"/>
                <w:sz w:val="18"/>
                <w:szCs w:val="18"/>
              </w:rPr>
              <w:t>_pat_separation_category:</w:t>
            </w:r>
          </w:p>
          <w:p w14:paraId="2959337C" w14:textId="77777777" w:rsidR="00561E6C" w:rsidRPr="00FA3851" w:rsidRDefault="00561E6C" w:rsidP="00E050EA">
            <w:pPr>
              <w:tabs>
                <w:tab w:val="left" w:pos="1162"/>
              </w:tabs>
              <w:spacing w:before="80" w:after="80" w:line="240" w:lineRule="auto"/>
              <w:rPr>
                <w:rFonts w:cs="Arial"/>
                <w:color w:val="000000"/>
                <w:sz w:val="18"/>
                <w:szCs w:val="18"/>
              </w:rPr>
            </w:pPr>
            <w:r w:rsidRPr="00833D55">
              <w:rPr>
                <w:rFonts w:cs="Arial"/>
                <w:color w:val="000000"/>
                <w:sz w:val="18"/>
                <w:szCs w:val="18"/>
              </w:rPr>
              <w:t xml:space="preserve">1: </w:t>
            </w:r>
            <w:r w:rsidRPr="00FA3851">
              <w:rPr>
                <w:rFonts w:cs="Arial"/>
                <w:color w:val="000000"/>
                <w:sz w:val="18"/>
                <w:szCs w:val="18"/>
              </w:rPr>
              <w:t>drg_pw_sd</w:t>
            </w:r>
          </w:p>
          <w:p w14:paraId="5E18E95F"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 xml:space="preserve">2: drg_pw_sso_base + drg_pw_sso_perdiem * pat_los_icu_removed </w:t>
            </w:r>
          </w:p>
          <w:p w14:paraId="7CBDCCBB"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3: drg_pw_inlier</w:t>
            </w:r>
          </w:p>
          <w:p w14:paraId="18641F5E"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4: drg_pw_inlier + (</w:t>
            </w:r>
            <w:r w:rsidRPr="00FA3851">
              <w:rPr>
                <w:rFonts w:cs="Arial"/>
                <w:color w:val="000000"/>
                <w:sz w:val="18"/>
                <w:szCs w:val="18"/>
              </w:rPr>
              <w:t>pat_</w:t>
            </w:r>
            <w:r>
              <w:rPr>
                <w:rFonts w:cs="Arial"/>
                <w:color w:val="000000"/>
                <w:sz w:val="18"/>
                <w:szCs w:val="18"/>
              </w:rPr>
              <w:t>los_icu_removed - drg_inlier_ub</w:t>
            </w:r>
            <w:r w:rsidRPr="00FA3851">
              <w:rPr>
                <w:rFonts w:cs="Arial"/>
                <w:color w:val="000000"/>
                <w:sz w:val="18"/>
                <w:szCs w:val="18"/>
              </w:rPr>
              <w:t xml:space="preserve">) * drg_pw_lso_perdiem </w:t>
            </w:r>
          </w:p>
        </w:tc>
      </w:tr>
      <w:tr w:rsidR="00A90801" w:rsidRPr="00C525F3" w14:paraId="50528DC3" w14:textId="77777777" w:rsidTr="11584AC8">
        <w:trPr>
          <w:cantSplit/>
          <w:trHeight w:val="450"/>
        </w:trPr>
        <w:tc>
          <w:tcPr>
            <w:tcW w:w="441" w:type="pct"/>
            <w:shd w:val="clear" w:color="auto" w:fill="auto"/>
            <w:noWrap/>
          </w:tcPr>
          <w:p w14:paraId="209CA325" w14:textId="3F16514E" w:rsidR="00561E6C" w:rsidRDefault="00CE3156" w:rsidP="6886BF09">
            <w:pPr>
              <w:tabs>
                <w:tab w:val="left" w:pos="1162"/>
              </w:tabs>
              <w:spacing w:line="240" w:lineRule="auto"/>
              <w:rPr>
                <w:rFonts w:eastAsiaTheme="minorEastAsia" w:cs="Arial"/>
                <w:b/>
                <w:bCs/>
                <w:noProof/>
                <w:color w:val="000000"/>
                <w:sz w:val="18"/>
                <w:szCs w:val="18"/>
              </w:rPr>
            </w:pPr>
            <w:r w:rsidRPr="236B58D1">
              <w:rPr>
                <w:rFonts w:cs="Arial"/>
                <w:color w:val="000000" w:themeColor="text1"/>
                <w:sz w:val="18"/>
                <w:szCs w:val="18"/>
              </w:rPr>
              <w:t>A3</w:t>
            </w:r>
            <w:r w:rsidR="70E12675" w:rsidRPr="236B58D1">
              <w:rPr>
                <w:rFonts w:cs="Arial"/>
                <w:color w:val="000000" w:themeColor="text1"/>
                <w:sz w:val="18"/>
                <w:szCs w:val="18"/>
              </w:rPr>
              <w:t>9</w:t>
            </w:r>
          </w:p>
        </w:tc>
        <w:tc>
          <w:tcPr>
            <w:tcW w:w="958" w:type="pct"/>
            <w:shd w:val="clear" w:color="auto" w:fill="auto"/>
            <w:noWrap/>
          </w:tcPr>
          <w:p w14:paraId="342B7A90" w14:textId="77777777" w:rsidR="00561E6C" w:rsidRPr="00FA3851" w:rsidRDefault="00561E6C" w:rsidP="00E050EA">
            <w:pPr>
              <w:tabs>
                <w:tab w:val="left" w:pos="1162"/>
              </w:tabs>
              <w:spacing w:line="240" w:lineRule="auto"/>
              <w:rPr>
                <w:rFonts w:cs="Arial"/>
                <w:color w:val="000000"/>
                <w:sz w:val="18"/>
                <w:szCs w:val="18"/>
              </w:rPr>
            </w:pPr>
            <w:r w:rsidRPr="00FA3851">
              <w:rPr>
                <w:rFonts w:cs="Arial"/>
                <w:color w:val="000000"/>
                <w:sz w:val="18"/>
                <w:szCs w:val="18"/>
              </w:rPr>
              <w:t>_w02</w:t>
            </w:r>
          </w:p>
        </w:tc>
        <w:tc>
          <w:tcPr>
            <w:tcW w:w="1391" w:type="pct"/>
            <w:shd w:val="clear" w:color="auto" w:fill="auto"/>
          </w:tcPr>
          <w:p w14:paraId="0309C207" w14:textId="77777777" w:rsidR="00561E6C" w:rsidRPr="00FA3851" w:rsidRDefault="00561E6C" w:rsidP="00E050EA">
            <w:pPr>
              <w:tabs>
                <w:tab w:val="left" w:pos="1162"/>
              </w:tabs>
              <w:spacing w:line="240" w:lineRule="auto"/>
              <w:rPr>
                <w:rFonts w:cs="Arial"/>
                <w:color w:val="000000"/>
                <w:sz w:val="18"/>
                <w:szCs w:val="18"/>
              </w:rPr>
            </w:pPr>
            <w:r w:rsidRPr="00FA3851">
              <w:rPr>
                <w:rFonts w:cs="Arial"/>
                <w:color w:val="000000"/>
                <w:sz w:val="18"/>
                <w:szCs w:val="18"/>
              </w:rPr>
              <w:t>Application of the paediatric adjustment</w:t>
            </w:r>
          </w:p>
        </w:tc>
        <w:tc>
          <w:tcPr>
            <w:tcW w:w="2210" w:type="pct"/>
            <w:shd w:val="clear" w:color="auto" w:fill="auto"/>
          </w:tcPr>
          <w:p w14:paraId="2865469C" w14:textId="2212DE5A" w:rsidR="00561E6C" w:rsidRPr="00FA3851" w:rsidRDefault="64EBEF88" w:rsidP="00E050EA">
            <w:pPr>
              <w:tabs>
                <w:tab w:val="left" w:pos="1162"/>
              </w:tabs>
              <w:spacing w:before="80" w:after="80" w:line="240" w:lineRule="auto"/>
              <w:rPr>
                <w:rFonts w:cs="Arial"/>
                <w:color w:val="000000"/>
                <w:sz w:val="18"/>
                <w:szCs w:val="18"/>
              </w:rPr>
            </w:pPr>
            <w:r w:rsidRPr="05C042F0">
              <w:rPr>
                <w:rFonts w:cs="Arial"/>
                <w:color w:val="000000" w:themeColor="text1"/>
                <w:sz w:val="18"/>
                <w:szCs w:val="18"/>
              </w:rPr>
              <w:t>_w01 * (1 + _pat_eligible_paed_flag * (drg_adj_paed))</w:t>
            </w:r>
          </w:p>
        </w:tc>
      </w:tr>
      <w:tr w:rsidR="00A90801" w:rsidRPr="00C525F3" w14:paraId="35F8E2B5" w14:textId="77777777" w:rsidTr="11584AC8">
        <w:trPr>
          <w:cantSplit/>
          <w:trHeight w:val="450"/>
        </w:trPr>
        <w:tc>
          <w:tcPr>
            <w:tcW w:w="441" w:type="pct"/>
            <w:shd w:val="clear" w:color="auto" w:fill="auto"/>
            <w:noWrap/>
          </w:tcPr>
          <w:p w14:paraId="0A156070" w14:textId="1AFFF838" w:rsidR="000E42F3" w:rsidRDefault="00CE3156" w:rsidP="6886BF09">
            <w:pPr>
              <w:tabs>
                <w:tab w:val="left" w:pos="1162"/>
              </w:tabs>
              <w:spacing w:line="240" w:lineRule="auto"/>
              <w:rPr>
                <w:rFonts w:eastAsiaTheme="minorEastAsia" w:cs="Arial"/>
                <w:b/>
                <w:bCs/>
                <w:noProof/>
                <w:color w:val="000000"/>
                <w:sz w:val="18"/>
                <w:szCs w:val="18"/>
              </w:rPr>
            </w:pPr>
            <w:r w:rsidRPr="73B4A0BD">
              <w:rPr>
                <w:rFonts w:cs="Arial"/>
                <w:color w:val="000000" w:themeColor="text1"/>
                <w:sz w:val="18"/>
                <w:szCs w:val="18"/>
              </w:rPr>
              <w:t>A</w:t>
            </w:r>
            <w:r w:rsidR="5B9647E9" w:rsidRPr="73B4A0BD">
              <w:rPr>
                <w:rFonts w:cs="Arial"/>
                <w:color w:val="000000" w:themeColor="text1"/>
                <w:sz w:val="18"/>
                <w:szCs w:val="18"/>
              </w:rPr>
              <w:t>40</w:t>
            </w:r>
          </w:p>
        </w:tc>
        <w:tc>
          <w:tcPr>
            <w:tcW w:w="958" w:type="pct"/>
            <w:shd w:val="clear" w:color="auto" w:fill="auto"/>
            <w:noWrap/>
          </w:tcPr>
          <w:p w14:paraId="7121600F"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_w03</w:t>
            </w:r>
          </w:p>
        </w:tc>
        <w:tc>
          <w:tcPr>
            <w:tcW w:w="1391" w:type="pct"/>
            <w:shd w:val="clear" w:color="auto" w:fill="auto"/>
          </w:tcPr>
          <w:p w14:paraId="286F0235" w14:textId="77777777" w:rsidR="000E42F3" w:rsidRPr="00FA3851" w:rsidRDefault="000E42F3">
            <w:pPr>
              <w:tabs>
                <w:tab w:val="left" w:pos="1162"/>
              </w:tabs>
              <w:spacing w:line="240" w:lineRule="auto"/>
              <w:rPr>
                <w:rFonts w:cs="Arial"/>
                <w:color w:val="000000"/>
                <w:sz w:val="18"/>
                <w:szCs w:val="18"/>
              </w:rPr>
            </w:pPr>
            <w:r w:rsidRPr="00FA3851">
              <w:rPr>
                <w:rFonts w:cs="Arial"/>
                <w:color w:val="000000"/>
                <w:sz w:val="18"/>
                <w:szCs w:val="18"/>
              </w:rPr>
              <w:t>Application of the</w:t>
            </w:r>
            <w:r w:rsidR="00FD72E5">
              <w:rPr>
                <w:rFonts w:cs="Arial"/>
                <w:color w:val="000000"/>
                <w:sz w:val="18"/>
                <w:szCs w:val="18"/>
              </w:rPr>
              <w:t xml:space="preserve"> Indigenous and remoteness</w:t>
            </w:r>
            <w:r w:rsidRPr="00FA3851">
              <w:rPr>
                <w:rFonts w:cs="Arial"/>
                <w:color w:val="000000"/>
                <w:sz w:val="18"/>
                <w:szCs w:val="18"/>
              </w:rPr>
              <w:t xml:space="preserve"> adjustment</w:t>
            </w:r>
          </w:p>
        </w:tc>
        <w:tc>
          <w:tcPr>
            <w:tcW w:w="2210" w:type="pct"/>
            <w:shd w:val="clear" w:color="auto" w:fill="auto"/>
          </w:tcPr>
          <w:p w14:paraId="45B46E51" w14:textId="77777777" w:rsidR="000E42F3" w:rsidRDefault="000E42F3">
            <w:pPr>
              <w:tabs>
                <w:tab w:val="left" w:pos="1162"/>
              </w:tabs>
              <w:spacing w:before="80" w:after="80" w:line="240" w:lineRule="auto"/>
              <w:rPr>
                <w:rFonts w:cs="Arial"/>
                <w:color w:val="000000"/>
                <w:sz w:val="18"/>
                <w:szCs w:val="18"/>
              </w:rPr>
            </w:pPr>
            <w:r>
              <w:rPr>
                <w:rFonts w:cs="Arial"/>
                <w:color w:val="000000"/>
                <w:sz w:val="18"/>
                <w:szCs w:val="18"/>
              </w:rPr>
              <w:t>_w02 * (</w:t>
            </w:r>
            <w:r w:rsidRPr="00FA3851">
              <w:rPr>
                <w:rFonts w:cs="Arial"/>
                <w:color w:val="000000"/>
                <w:sz w:val="18"/>
                <w:szCs w:val="18"/>
              </w:rPr>
              <w:t>1 +</w:t>
            </w:r>
            <w:r>
              <w:rPr>
                <w:rFonts w:cs="Arial"/>
                <w:color w:val="000000"/>
                <w:sz w:val="18"/>
                <w:szCs w:val="18"/>
              </w:rPr>
              <w:t xml:space="preserve"> adj_indigenous + adj_remoteness + adj_radiotherapy + adj_dialysis</w:t>
            </w:r>
            <w:r w:rsidRPr="00FA3851">
              <w:rPr>
                <w:rFonts w:cs="Arial"/>
                <w:color w:val="000000"/>
                <w:sz w:val="18"/>
                <w:szCs w:val="18"/>
              </w:rPr>
              <w:t>)</w:t>
            </w:r>
            <w:r>
              <w:rPr>
                <w:rFonts w:cs="Arial"/>
                <w:color w:val="000000"/>
                <w:sz w:val="18"/>
                <w:szCs w:val="18"/>
              </w:rPr>
              <w:t xml:space="preserve"> * (1 + adj_treat_remoteness)</w:t>
            </w:r>
          </w:p>
        </w:tc>
      </w:tr>
      <w:tr w:rsidR="00A90801" w:rsidRPr="00C525F3" w14:paraId="436B58A2" w14:textId="77777777" w:rsidTr="11584AC8">
        <w:trPr>
          <w:cantSplit/>
          <w:trHeight w:val="450"/>
        </w:trPr>
        <w:tc>
          <w:tcPr>
            <w:tcW w:w="441" w:type="pct"/>
            <w:shd w:val="clear" w:color="auto" w:fill="auto"/>
            <w:noWrap/>
          </w:tcPr>
          <w:p w14:paraId="281E05F5" w14:textId="7F3842BB" w:rsidR="000E42F3" w:rsidRDefault="00CE3156" w:rsidP="6886BF09">
            <w:pPr>
              <w:tabs>
                <w:tab w:val="left" w:pos="1162"/>
              </w:tabs>
              <w:spacing w:line="240" w:lineRule="auto"/>
              <w:rPr>
                <w:rFonts w:eastAsiaTheme="minorEastAsia" w:cs="Arial"/>
                <w:b/>
                <w:bCs/>
                <w:noProof/>
                <w:color w:val="000000"/>
                <w:sz w:val="18"/>
                <w:szCs w:val="18"/>
              </w:rPr>
            </w:pPr>
            <w:r w:rsidRPr="4BCBBE55">
              <w:rPr>
                <w:rFonts w:cs="Arial"/>
                <w:color w:val="000000" w:themeColor="text1"/>
                <w:sz w:val="18"/>
                <w:szCs w:val="18"/>
              </w:rPr>
              <w:t>A4</w:t>
            </w:r>
            <w:r w:rsidR="10716068" w:rsidRPr="4BCBBE55">
              <w:rPr>
                <w:rFonts w:cs="Arial"/>
                <w:color w:val="000000" w:themeColor="text1"/>
                <w:sz w:val="18"/>
                <w:szCs w:val="18"/>
              </w:rPr>
              <w:t>1</w:t>
            </w:r>
          </w:p>
        </w:tc>
        <w:tc>
          <w:tcPr>
            <w:tcW w:w="958" w:type="pct"/>
            <w:shd w:val="clear" w:color="auto" w:fill="auto"/>
            <w:noWrap/>
          </w:tcPr>
          <w:p w14:paraId="22D7576E"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_adj_icu</w:t>
            </w:r>
          </w:p>
        </w:tc>
        <w:tc>
          <w:tcPr>
            <w:tcW w:w="1391" w:type="pct"/>
            <w:shd w:val="clear" w:color="auto" w:fill="auto"/>
          </w:tcPr>
          <w:p w14:paraId="3A41DF1E"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Application of the ICU rate adjustment</w:t>
            </w:r>
          </w:p>
        </w:tc>
        <w:tc>
          <w:tcPr>
            <w:tcW w:w="2210" w:type="pct"/>
            <w:shd w:val="clear" w:color="auto" w:fill="auto"/>
          </w:tcPr>
          <w:p w14:paraId="0C1958AB" w14:textId="37D556DB" w:rsidR="000E42F3" w:rsidRDefault="000E42F3" w:rsidP="000E42F3">
            <w:pPr>
              <w:tabs>
                <w:tab w:val="left" w:pos="1162"/>
              </w:tabs>
              <w:spacing w:before="80" w:after="80" w:line="240" w:lineRule="auto"/>
              <w:rPr>
                <w:rFonts w:cs="Arial"/>
                <w:color w:val="000000"/>
                <w:sz w:val="18"/>
                <w:szCs w:val="18"/>
              </w:rPr>
            </w:pPr>
            <w:r w:rsidRPr="00FA3851">
              <w:rPr>
                <w:rFonts w:cs="Arial"/>
                <w:color w:val="000000"/>
                <w:sz w:val="18"/>
                <w:szCs w:val="18"/>
              </w:rPr>
              <w:t xml:space="preserve"> _pat_eligible_icu_hours * icu_rate</w:t>
            </w:r>
          </w:p>
        </w:tc>
      </w:tr>
      <w:tr w:rsidR="00A90801" w:rsidRPr="00C525F3" w14:paraId="03B4C760" w14:textId="77777777" w:rsidTr="11584AC8">
        <w:trPr>
          <w:cantSplit/>
          <w:trHeight w:val="450"/>
        </w:trPr>
        <w:tc>
          <w:tcPr>
            <w:tcW w:w="441" w:type="pct"/>
            <w:shd w:val="clear" w:color="auto" w:fill="auto"/>
            <w:noWrap/>
          </w:tcPr>
          <w:p w14:paraId="083427C1" w14:textId="48E8F62A" w:rsidR="000E42F3" w:rsidRDefault="33D542ED" w:rsidP="000E42F3">
            <w:pPr>
              <w:tabs>
                <w:tab w:val="left" w:pos="1162"/>
              </w:tabs>
              <w:spacing w:line="240" w:lineRule="auto"/>
              <w:rPr>
                <w:rFonts w:cs="Arial"/>
                <w:color w:val="000000"/>
                <w:sz w:val="18"/>
                <w:szCs w:val="18"/>
              </w:rPr>
            </w:pPr>
            <w:r w:rsidRPr="33F5F24E">
              <w:rPr>
                <w:rFonts w:cs="Arial"/>
                <w:color w:val="000000" w:themeColor="text1"/>
                <w:sz w:val="18"/>
                <w:szCs w:val="18"/>
              </w:rPr>
              <w:t>A42</w:t>
            </w:r>
          </w:p>
        </w:tc>
        <w:tc>
          <w:tcPr>
            <w:tcW w:w="958" w:type="pct"/>
            <w:shd w:val="clear" w:color="auto" w:fill="auto"/>
            <w:noWrap/>
          </w:tcPr>
          <w:p w14:paraId="53E5D5FA"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An10mdc_ra</w:t>
            </w:r>
          </w:p>
        </w:tc>
        <w:tc>
          <w:tcPr>
            <w:tcW w:w="1391" w:type="pct"/>
            <w:shd w:val="clear" w:color="auto" w:fill="auto"/>
          </w:tcPr>
          <w:p w14:paraId="334EC0DF"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MDC v10.0</w:t>
            </w:r>
          </w:p>
        </w:tc>
        <w:tc>
          <w:tcPr>
            <w:tcW w:w="2210" w:type="pct"/>
            <w:shd w:val="clear" w:color="auto" w:fill="auto"/>
          </w:tcPr>
          <w:p w14:paraId="6F49F7D0"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Major Diagnostic Category v10.0</w:t>
            </w:r>
          </w:p>
        </w:tc>
      </w:tr>
      <w:tr w:rsidR="00A90801" w:rsidRPr="00C525F3" w14:paraId="432606A9" w14:textId="77777777" w:rsidTr="11584AC8">
        <w:trPr>
          <w:cantSplit/>
          <w:trHeight w:val="450"/>
        </w:trPr>
        <w:tc>
          <w:tcPr>
            <w:tcW w:w="441" w:type="pct"/>
            <w:shd w:val="clear" w:color="auto" w:fill="auto"/>
            <w:noWrap/>
          </w:tcPr>
          <w:p w14:paraId="49515510" w14:textId="1109D0BD" w:rsidR="000E42F3" w:rsidRPr="00D636F8" w:rsidRDefault="2C873AA0" w:rsidP="000E42F3">
            <w:pPr>
              <w:tabs>
                <w:tab w:val="left" w:pos="1162"/>
              </w:tabs>
              <w:spacing w:line="240" w:lineRule="auto"/>
              <w:rPr>
                <w:rFonts w:cs="Arial"/>
                <w:color w:val="000000"/>
                <w:sz w:val="18"/>
                <w:szCs w:val="18"/>
              </w:rPr>
            </w:pPr>
            <w:r w:rsidRPr="33F5F24E">
              <w:rPr>
                <w:rFonts w:cs="Arial"/>
                <w:color w:val="000000" w:themeColor="text1"/>
                <w:sz w:val="18"/>
                <w:szCs w:val="18"/>
              </w:rPr>
              <w:t>A43-A80</w:t>
            </w:r>
          </w:p>
        </w:tc>
        <w:tc>
          <w:tcPr>
            <w:tcW w:w="958" w:type="pct"/>
            <w:shd w:val="clear" w:color="auto" w:fill="auto"/>
            <w:noWrap/>
          </w:tcPr>
          <w:p w14:paraId="50392093" w14:textId="518929CB" w:rsidR="000E42F3" w:rsidRDefault="6E9072C1" w:rsidP="000E42F3">
            <w:pPr>
              <w:tabs>
                <w:tab w:val="left" w:pos="1162"/>
              </w:tabs>
              <w:spacing w:line="240" w:lineRule="auto"/>
              <w:rPr>
                <w:rFonts w:cs="Arial"/>
                <w:color w:val="000000"/>
                <w:sz w:val="18"/>
                <w:szCs w:val="18"/>
              </w:rPr>
            </w:pPr>
            <w:r w:rsidRPr="136CE0BC">
              <w:rPr>
                <w:rFonts w:cs="Arial"/>
                <w:color w:val="000000" w:themeColor="text1"/>
                <w:sz w:val="18"/>
                <w:szCs w:val="18"/>
              </w:rPr>
              <w:t>HAC031c</w:t>
            </w:r>
            <w:r w:rsidR="4D91D3B3" w:rsidRPr="136CE0BC">
              <w:rPr>
                <w:rFonts w:cs="Arial"/>
                <w:color w:val="000000" w:themeColor="text1"/>
                <w:sz w:val="18"/>
                <w:szCs w:val="18"/>
              </w:rPr>
              <w:t>XXp</w:t>
            </w:r>
            <w:r w:rsidR="43138C93" w:rsidRPr="136CE0BC">
              <w:rPr>
                <w:rFonts w:cs="Arial"/>
                <w:color w:val="000000" w:themeColor="text1"/>
                <w:sz w:val="18"/>
                <w:szCs w:val="18"/>
              </w:rPr>
              <w:t>Y</w:t>
            </w:r>
            <w:r w:rsidR="4D91D3B3" w:rsidRPr="136CE0BC">
              <w:rPr>
                <w:rFonts w:cs="Arial"/>
                <w:color w:val="000000" w:themeColor="text1"/>
                <w:sz w:val="18"/>
                <w:szCs w:val="18"/>
              </w:rPr>
              <w:t>Y</w:t>
            </w:r>
          </w:p>
        </w:tc>
        <w:tc>
          <w:tcPr>
            <w:tcW w:w="1391" w:type="pct"/>
            <w:shd w:val="clear" w:color="auto" w:fill="auto"/>
          </w:tcPr>
          <w:p w14:paraId="3AA39878" w14:textId="77777777" w:rsidR="000E42F3" w:rsidRDefault="000E42F3" w:rsidP="000E42F3">
            <w:pPr>
              <w:tabs>
                <w:tab w:val="left" w:pos="1162"/>
              </w:tabs>
              <w:spacing w:line="240" w:lineRule="auto"/>
              <w:rPr>
                <w:rFonts w:cs="Arial"/>
                <w:color w:val="000000"/>
                <w:sz w:val="18"/>
                <w:szCs w:val="18"/>
              </w:rPr>
            </w:pPr>
            <w:r w:rsidRPr="1F254B36" w:rsidDel="0CFF7F9C">
              <w:rPr>
                <w:rFonts w:cs="Arial"/>
                <w:color w:val="000000" w:themeColor="text1"/>
                <w:sz w:val="18"/>
                <w:szCs w:val="18"/>
              </w:rPr>
              <w:t>HAC Categories and subcategory flags</w:t>
            </w:r>
          </w:p>
        </w:tc>
        <w:tc>
          <w:tcPr>
            <w:tcW w:w="2210" w:type="pct"/>
            <w:shd w:val="clear" w:color="auto" w:fill="auto"/>
          </w:tcPr>
          <w:p w14:paraId="311D111B" w14:textId="388EE758" w:rsidR="000E42F3" w:rsidRDefault="000E42F3" w:rsidP="000E42F3">
            <w:pPr>
              <w:tabs>
                <w:tab w:val="left" w:pos="1162"/>
              </w:tabs>
              <w:spacing w:line="240" w:lineRule="auto"/>
              <w:rPr>
                <w:rFonts w:cs="Arial"/>
                <w:color w:val="000000"/>
                <w:sz w:val="18"/>
                <w:szCs w:val="18"/>
              </w:rPr>
            </w:pPr>
            <w:r w:rsidRPr="1F254B36" w:rsidDel="0CFF7F9C">
              <w:rPr>
                <w:rFonts w:cs="Arial"/>
                <w:color w:val="000000" w:themeColor="text1"/>
                <w:sz w:val="18"/>
                <w:szCs w:val="18"/>
              </w:rPr>
              <w:t xml:space="preserve">e.g. </w:t>
            </w:r>
            <w:r w:rsidR="1C1C3AC5" w:rsidRPr="136CE0BC">
              <w:rPr>
                <w:rFonts w:cs="Arial"/>
                <w:color w:val="000000" w:themeColor="text1"/>
                <w:sz w:val="18"/>
                <w:szCs w:val="18"/>
              </w:rPr>
              <w:t>HAC031c</w:t>
            </w:r>
            <w:r w:rsidR="4D91D3B3" w:rsidRPr="136CE0BC">
              <w:rPr>
                <w:rFonts w:cs="Arial"/>
                <w:color w:val="000000" w:themeColor="text1"/>
                <w:sz w:val="18"/>
                <w:szCs w:val="18"/>
              </w:rPr>
              <w:t>01p</w:t>
            </w:r>
            <w:r w:rsidR="6ECEBB46" w:rsidRPr="136CE0BC">
              <w:rPr>
                <w:rFonts w:cs="Arial"/>
                <w:color w:val="000000" w:themeColor="text1"/>
                <w:sz w:val="18"/>
                <w:szCs w:val="18"/>
              </w:rPr>
              <w:t>0</w:t>
            </w:r>
            <w:r w:rsidR="4D91D3B3" w:rsidRPr="136CE0BC">
              <w:rPr>
                <w:rFonts w:cs="Arial"/>
                <w:color w:val="000000" w:themeColor="text1"/>
                <w:sz w:val="18"/>
                <w:szCs w:val="18"/>
              </w:rPr>
              <w:t>1</w:t>
            </w:r>
            <w:r w:rsidRPr="1F254B36" w:rsidDel="0CFF7F9C">
              <w:rPr>
                <w:rFonts w:cs="Arial"/>
                <w:color w:val="000000" w:themeColor="text1"/>
                <w:sz w:val="18"/>
                <w:szCs w:val="18"/>
              </w:rPr>
              <w:t xml:space="preserve"> = HAC 1.1 = Stage III Pressure Injury</w:t>
            </w:r>
          </w:p>
        </w:tc>
      </w:tr>
      <w:tr w:rsidR="00A90801" w:rsidRPr="00C525F3" w14:paraId="10374FBB" w14:textId="77777777" w:rsidTr="11584AC8">
        <w:trPr>
          <w:cantSplit/>
          <w:trHeight w:val="450"/>
        </w:trPr>
        <w:tc>
          <w:tcPr>
            <w:tcW w:w="441" w:type="pct"/>
            <w:shd w:val="clear" w:color="auto" w:fill="auto"/>
            <w:noWrap/>
          </w:tcPr>
          <w:p w14:paraId="24DA50AC" w14:textId="4099910B" w:rsidR="000E42F3" w:rsidRPr="00D636F8" w:rsidRDefault="2C873AA0" w:rsidP="000E42F3">
            <w:pPr>
              <w:tabs>
                <w:tab w:val="left" w:pos="1162"/>
              </w:tabs>
              <w:spacing w:line="240" w:lineRule="auto"/>
              <w:rPr>
                <w:rFonts w:cs="Arial"/>
                <w:color w:val="000000"/>
                <w:sz w:val="18"/>
                <w:szCs w:val="18"/>
              </w:rPr>
            </w:pPr>
            <w:r w:rsidRPr="33F5F24E">
              <w:rPr>
                <w:rFonts w:cs="Arial"/>
                <w:color w:val="000000" w:themeColor="text1"/>
                <w:sz w:val="18"/>
                <w:szCs w:val="18"/>
              </w:rPr>
              <w:lastRenderedPageBreak/>
              <w:t>A</w:t>
            </w:r>
            <w:r w:rsidR="2A93C3C2" w:rsidRPr="33F5F24E">
              <w:rPr>
                <w:rFonts w:cs="Arial"/>
                <w:color w:val="000000" w:themeColor="text1"/>
                <w:sz w:val="18"/>
                <w:szCs w:val="18"/>
              </w:rPr>
              <w:t>81</w:t>
            </w:r>
          </w:p>
        </w:tc>
        <w:tc>
          <w:tcPr>
            <w:tcW w:w="958" w:type="pct"/>
            <w:shd w:val="clear" w:color="auto" w:fill="auto"/>
            <w:noWrap/>
          </w:tcPr>
          <w:p w14:paraId="665590B4"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DRG10_Type</w:t>
            </w:r>
          </w:p>
        </w:tc>
        <w:tc>
          <w:tcPr>
            <w:tcW w:w="1391" w:type="pct"/>
            <w:shd w:val="clear" w:color="auto" w:fill="auto"/>
          </w:tcPr>
          <w:p w14:paraId="7B9D2865"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AR-DRG v10.0 Type</w:t>
            </w:r>
          </w:p>
        </w:tc>
        <w:tc>
          <w:tcPr>
            <w:tcW w:w="2210" w:type="pct"/>
            <w:shd w:val="clear" w:color="auto" w:fill="auto"/>
          </w:tcPr>
          <w:p w14:paraId="5723B72E"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Intervention or Medical</w:t>
            </w:r>
          </w:p>
        </w:tc>
      </w:tr>
      <w:tr w:rsidR="00A90801" w:rsidRPr="00C525F3" w14:paraId="0FD324D9" w14:textId="77777777" w:rsidTr="11584AC8">
        <w:trPr>
          <w:cantSplit/>
          <w:trHeight w:val="450"/>
        </w:trPr>
        <w:tc>
          <w:tcPr>
            <w:tcW w:w="441" w:type="pct"/>
            <w:shd w:val="clear" w:color="auto" w:fill="auto"/>
            <w:noWrap/>
          </w:tcPr>
          <w:p w14:paraId="34FA819D" w14:textId="5E5E172E" w:rsidR="000E42F3" w:rsidRPr="00D636F8" w:rsidRDefault="2C873AA0" w:rsidP="000E42F3">
            <w:pPr>
              <w:tabs>
                <w:tab w:val="left" w:pos="1162"/>
              </w:tabs>
              <w:spacing w:line="240" w:lineRule="auto"/>
              <w:rPr>
                <w:rFonts w:cs="Arial"/>
                <w:color w:val="000000"/>
                <w:sz w:val="18"/>
                <w:szCs w:val="18"/>
              </w:rPr>
            </w:pPr>
            <w:r w:rsidRPr="33F5F24E">
              <w:rPr>
                <w:rFonts w:cs="Arial"/>
                <w:color w:val="000000" w:themeColor="text1"/>
                <w:sz w:val="18"/>
                <w:szCs w:val="18"/>
              </w:rPr>
              <w:t>A</w:t>
            </w:r>
            <w:r w:rsidR="2A93C3C2" w:rsidRPr="33F5F24E">
              <w:rPr>
                <w:rFonts w:cs="Arial"/>
                <w:color w:val="000000" w:themeColor="text1"/>
                <w:sz w:val="18"/>
                <w:szCs w:val="18"/>
              </w:rPr>
              <w:t>82</w:t>
            </w:r>
          </w:p>
        </w:tc>
        <w:tc>
          <w:tcPr>
            <w:tcW w:w="958" w:type="pct"/>
            <w:shd w:val="clear" w:color="auto" w:fill="auto"/>
            <w:noWrap/>
          </w:tcPr>
          <w:p w14:paraId="094B4539"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agegroupc</w:t>
            </w:r>
          </w:p>
        </w:tc>
        <w:tc>
          <w:tcPr>
            <w:tcW w:w="1391" w:type="pct"/>
            <w:shd w:val="clear" w:color="auto" w:fill="auto"/>
          </w:tcPr>
          <w:p w14:paraId="27AB3F60"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Age Group</w:t>
            </w:r>
          </w:p>
        </w:tc>
        <w:tc>
          <w:tcPr>
            <w:tcW w:w="2210" w:type="pct"/>
            <w:shd w:val="clear" w:color="auto" w:fill="auto"/>
          </w:tcPr>
          <w:p w14:paraId="6FAB0B08"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Age group in 5 year bands (e.g. Age 20-24)</w:t>
            </w:r>
          </w:p>
        </w:tc>
      </w:tr>
      <w:tr w:rsidR="00A90801" w:rsidRPr="00C525F3" w14:paraId="46435539" w14:textId="77777777" w:rsidTr="11584AC8">
        <w:trPr>
          <w:cantSplit/>
          <w:trHeight w:val="450"/>
        </w:trPr>
        <w:tc>
          <w:tcPr>
            <w:tcW w:w="441" w:type="pct"/>
            <w:shd w:val="clear" w:color="auto" w:fill="auto"/>
            <w:noWrap/>
          </w:tcPr>
          <w:p w14:paraId="323964E3" w14:textId="5AAC24CA" w:rsidR="000E42F3" w:rsidRPr="00D636F8" w:rsidRDefault="2C873AA0" w:rsidP="000E42F3">
            <w:pPr>
              <w:tabs>
                <w:tab w:val="left" w:pos="1162"/>
              </w:tabs>
              <w:spacing w:line="240" w:lineRule="auto"/>
              <w:rPr>
                <w:rFonts w:cs="Arial"/>
                <w:color w:val="000000"/>
                <w:sz w:val="18"/>
                <w:szCs w:val="18"/>
              </w:rPr>
            </w:pPr>
            <w:r w:rsidRPr="33F5F24E">
              <w:rPr>
                <w:rFonts w:cs="Arial"/>
                <w:color w:val="000000" w:themeColor="text1"/>
                <w:sz w:val="18"/>
                <w:szCs w:val="18"/>
              </w:rPr>
              <w:t>A</w:t>
            </w:r>
            <w:r w:rsidR="2A93C3C2" w:rsidRPr="33F5F24E">
              <w:rPr>
                <w:rFonts w:cs="Arial"/>
                <w:color w:val="000000" w:themeColor="text1"/>
                <w:sz w:val="18"/>
                <w:szCs w:val="18"/>
              </w:rPr>
              <w:t>83</w:t>
            </w:r>
          </w:p>
        </w:tc>
        <w:tc>
          <w:tcPr>
            <w:tcW w:w="958" w:type="pct"/>
            <w:shd w:val="clear" w:color="auto" w:fill="auto"/>
            <w:noWrap/>
          </w:tcPr>
          <w:p w14:paraId="5EE019F3"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flag_ICUHours</w:t>
            </w:r>
          </w:p>
        </w:tc>
        <w:tc>
          <w:tcPr>
            <w:tcW w:w="1391" w:type="pct"/>
            <w:shd w:val="clear" w:color="auto" w:fill="auto"/>
          </w:tcPr>
          <w:p w14:paraId="5650760A"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7CD33A6"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1 if episode has ICU Hours; else 0.</w:t>
            </w:r>
          </w:p>
        </w:tc>
      </w:tr>
      <w:tr w:rsidR="00A90801" w:rsidRPr="00C525F3" w14:paraId="44AA7B2F" w14:textId="77777777" w:rsidTr="11584AC8">
        <w:trPr>
          <w:cantSplit/>
          <w:trHeight w:val="450"/>
        </w:trPr>
        <w:tc>
          <w:tcPr>
            <w:tcW w:w="441" w:type="pct"/>
            <w:shd w:val="clear" w:color="auto" w:fill="auto"/>
            <w:noWrap/>
          </w:tcPr>
          <w:p w14:paraId="20295775" w14:textId="190C3480" w:rsidR="000E42F3" w:rsidRPr="00D636F8" w:rsidRDefault="2C873AA0" w:rsidP="000E42F3">
            <w:pPr>
              <w:tabs>
                <w:tab w:val="left" w:pos="1162"/>
              </w:tabs>
              <w:spacing w:line="240" w:lineRule="auto"/>
              <w:rPr>
                <w:rFonts w:cs="Arial"/>
                <w:color w:val="000000"/>
                <w:sz w:val="18"/>
                <w:szCs w:val="18"/>
              </w:rPr>
            </w:pPr>
            <w:r w:rsidRPr="33F5F24E">
              <w:rPr>
                <w:rFonts w:cs="Arial"/>
                <w:color w:val="000000" w:themeColor="text1"/>
                <w:sz w:val="18"/>
                <w:szCs w:val="18"/>
              </w:rPr>
              <w:t>A</w:t>
            </w:r>
            <w:r w:rsidR="2A93C3C2" w:rsidRPr="33F5F24E">
              <w:rPr>
                <w:rFonts w:cs="Arial"/>
                <w:color w:val="000000" w:themeColor="text1"/>
                <w:sz w:val="18"/>
                <w:szCs w:val="18"/>
              </w:rPr>
              <w:t>84</w:t>
            </w:r>
          </w:p>
        </w:tc>
        <w:tc>
          <w:tcPr>
            <w:tcW w:w="958" w:type="pct"/>
            <w:shd w:val="clear" w:color="auto" w:fill="auto"/>
            <w:noWrap/>
          </w:tcPr>
          <w:p w14:paraId="6D0CDE9F"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flag_AdmTransfer</w:t>
            </w:r>
          </w:p>
        </w:tc>
        <w:tc>
          <w:tcPr>
            <w:tcW w:w="1391" w:type="pct"/>
            <w:shd w:val="clear" w:color="auto" w:fill="auto"/>
          </w:tcPr>
          <w:p w14:paraId="21C55FAB"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2BF3D7CC"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1 if episode is has admission mode = ‘transfer’; else 0.</w:t>
            </w:r>
          </w:p>
        </w:tc>
      </w:tr>
      <w:tr w:rsidR="00A90801" w:rsidRPr="00C525F3" w14:paraId="2FCB2F9B" w14:textId="77777777" w:rsidTr="11584AC8">
        <w:trPr>
          <w:cantSplit/>
          <w:trHeight w:val="450"/>
        </w:trPr>
        <w:tc>
          <w:tcPr>
            <w:tcW w:w="441" w:type="pct"/>
            <w:shd w:val="clear" w:color="auto" w:fill="auto"/>
            <w:noWrap/>
          </w:tcPr>
          <w:p w14:paraId="5B449E41" w14:textId="0446C12F" w:rsidR="000E42F3" w:rsidRPr="00D636F8" w:rsidRDefault="2C873AA0" w:rsidP="000E42F3">
            <w:pPr>
              <w:tabs>
                <w:tab w:val="left" w:pos="1162"/>
              </w:tabs>
              <w:spacing w:line="240" w:lineRule="auto"/>
              <w:rPr>
                <w:rFonts w:cs="Arial"/>
                <w:color w:val="000000"/>
                <w:sz w:val="18"/>
                <w:szCs w:val="18"/>
              </w:rPr>
            </w:pPr>
            <w:r w:rsidRPr="33F5F24E">
              <w:rPr>
                <w:rFonts w:cs="Arial"/>
                <w:color w:val="000000" w:themeColor="text1"/>
                <w:sz w:val="18"/>
                <w:szCs w:val="18"/>
              </w:rPr>
              <w:t>A</w:t>
            </w:r>
            <w:r w:rsidR="2A93C3C2" w:rsidRPr="33F5F24E">
              <w:rPr>
                <w:rFonts w:cs="Arial"/>
                <w:color w:val="000000" w:themeColor="text1"/>
                <w:sz w:val="18"/>
                <w:szCs w:val="18"/>
              </w:rPr>
              <w:t>85</w:t>
            </w:r>
          </w:p>
        </w:tc>
        <w:tc>
          <w:tcPr>
            <w:tcW w:w="958" w:type="pct"/>
            <w:shd w:val="clear" w:color="auto" w:fill="auto"/>
            <w:noWrap/>
          </w:tcPr>
          <w:p w14:paraId="7277F7D4"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Charlson_score</w:t>
            </w:r>
          </w:p>
        </w:tc>
        <w:tc>
          <w:tcPr>
            <w:tcW w:w="1391" w:type="pct"/>
            <w:shd w:val="clear" w:color="auto" w:fill="auto"/>
          </w:tcPr>
          <w:p w14:paraId="7F6B8682"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B142B3A"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Charlson Score</w:t>
            </w:r>
          </w:p>
        </w:tc>
      </w:tr>
      <w:tr w:rsidR="00A90801" w:rsidRPr="00C525F3" w14:paraId="72F2BAAC" w14:textId="77777777" w:rsidTr="11584AC8">
        <w:trPr>
          <w:cantSplit/>
          <w:trHeight w:val="450"/>
        </w:trPr>
        <w:tc>
          <w:tcPr>
            <w:tcW w:w="441" w:type="pct"/>
            <w:shd w:val="clear" w:color="auto" w:fill="auto"/>
            <w:noWrap/>
          </w:tcPr>
          <w:p w14:paraId="20EE177D" w14:textId="296DE1C5" w:rsidR="000E42F3" w:rsidRPr="00D636F8" w:rsidRDefault="2C873AA0" w:rsidP="000E42F3">
            <w:pPr>
              <w:tabs>
                <w:tab w:val="left" w:pos="1162"/>
              </w:tabs>
              <w:spacing w:line="240" w:lineRule="auto"/>
              <w:rPr>
                <w:rFonts w:cs="Arial"/>
                <w:color w:val="000000"/>
                <w:sz w:val="18"/>
                <w:szCs w:val="18"/>
              </w:rPr>
            </w:pPr>
            <w:r w:rsidRPr="33F5F24E">
              <w:rPr>
                <w:rFonts w:cs="Arial"/>
                <w:color w:val="000000" w:themeColor="text1"/>
                <w:sz w:val="18"/>
                <w:szCs w:val="18"/>
              </w:rPr>
              <w:t>A</w:t>
            </w:r>
            <w:r w:rsidR="2A93C3C2" w:rsidRPr="33F5F24E">
              <w:rPr>
                <w:rFonts w:cs="Arial"/>
                <w:color w:val="000000" w:themeColor="text1"/>
                <w:sz w:val="18"/>
                <w:szCs w:val="18"/>
              </w:rPr>
              <w:t>86</w:t>
            </w:r>
          </w:p>
        </w:tc>
        <w:tc>
          <w:tcPr>
            <w:tcW w:w="958" w:type="pct"/>
            <w:shd w:val="clear" w:color="auto" w:fill="auto"/>
            <w:noWrap/>
          </w:tcPr>
          <w:p w14:paraId="6907E981"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Instrument_use_flag</w:t>
            </w:r>
          </w:p>
        </w:tc>
        <w:tc>
          <w:tcPr>
            <w:tcW w:w="1391" w:type="pct"/>
            <w:shd w:val="clear" w:color="auto" w:fill="auto"/>
          </w:tcPr>
          <w:p w14:paraId="6F95E48F"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46E34F6" w14:textId="777B1728" w:rsidR="000E42F3" w:rsidRDefault="2C873AA0" w:rsidP="000E42F3">
            <w:pPr>
              <w:tabs>
                <w:tab w:val="left" w:pos="1162"/>
              </w:tabs>
              <w:spacing w:line="240" w:lineRule="auto"/>
              <w:rPr>
                <w:rFonts w:cs="Arial"/>
                <w:color w:val="000000"/>
                <w:sz w:val="18"/>
                <w:szCs w:val="18"/>
              </w:rPr>
            </w:pPr>
            <w:r w:rsidRPr="5E9CE3C1">
              <w:rPr>
                <w:color w:val="000000" w:themeColor="text1"/>
                <w:sz w:val="18"/>
                <w:szCs w:val="18"/>
              </w:rPr>
              <w:t xml:space="preserve">1 if </w:t>
            </w:r>
            <w:r w:rsidRPr="220A9DFE">
              <w:rPr>
                <w:color w:val="000000" w:themeColor="text1"/>
                <w:sz w:val="18"/>
                <w:szCs w:val="18"/>
              </w:rPr>
              <w:t>instrument</w:t>
            </w:r>
            <w:r w:rsidR="000E42F3" w:rsidRPr="5E9CE3C1">
              <w:rPr>
                <w:color w:val="000000" w:themeColor="text1"/>
                <w:sz w:val="18"/>
                <w:szCs w:val="18"/>
              </w:rPr>
              <w:t xml:space="preserve"> used during delivery</w:t>
            </w:r>
            <w:r w:rsidRPr="5E9CE3C1">
              <w:rPr>
                <w:color w:val="000000" w:themeColor="text1"/>
                <w:sz w:val="18"/>
                <w:szCs w:val="18"/>
              </w:rPr>
              <w:t>; else 0</w:t>
            </w:r>
            <w:r w:rsidRPr="43C17B1C">
              <w:rPr>
                <w:color w:val="000000" w:themeColor="text1"/>
                <w:sz w:val="18"/>
                <w:szCs w:val="18"/>
              </w:rPr>
              <w:t>.</w:t>
            </w:r>
          </w:p>
        </w:tc>
      </w:tr>
      <w:tr w:rsidR="00A90801" w:rsidRPr="00C525F3" w14:paraId="335AB600" w14:textId="77777777" w:rsidTr="11584AC8">
        <w:trPr>
          <w:cantSplit/>
          <w:trHeight w:val="450"/>
        </w:trPr>
        <w:tc>
          <w:tcPr>
            <w:tcW w:w="441" w:type="pct"/>
            <w:shd w:val="clear" w:color="auto" w:fill="auto"/>
            <w:noWrap/>
          </w:tcPr>
          <w:p w14:paraId="64F05B9B" w14:textId="48345C81" w:rsidR="000E42F3" w:rsidRDefault="2C873AA0" w:rsidP="000E42F3">
            <w:pPr>
              <w:tabs>
                <w:tab w:val="left" w:pos="1162"/>
              </w:tabs>
              <w:spacing w:line="240" w:lineRule="auto"/>
              <w:rPr>
                <w:rFonts w:cs="Arial"/>
                <w:color w:val="000000"/>
                <w:sz w:val="18"/>
                <w:szCs w:val="18"/>
              </w:rPr>
            </w:pPr>
            <w:r w:rsidRPr="33F5F24E">
              <w:rPr>
                <w:rFonts w:cs="Arial"/>
                <w:color w:val="000000" w:themeColor="text1"/>
                <w:sz w:val="18"/>
                <w:szCs w:val="18"/>
              </w:rPr>
              <w:t>A87</w:t>
            </w:r>
          </w:p>
        </w:tc>
        <w:tc>
          <w:tcPr>
            <w:tcW w:w="958" w:type="pct"/>
            <w:shd w:val="clear" w:color="auto" w:fill="auto"/>
            <w:noWrap/>
          </w:tcPr>
          <w:p w14:paraId="73F744B6"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Primiparity_flag</w:t>
            </w:r>
          </w:p>
        </w:tc>
        <w:tc>
          <w:tcPr>
            <w:tcW w:w="1391" w:type="pct"/>
            <w:shd w:val="clear" w:color="auto" w:fill="auto"/>
          </w:tcPr>
          <w:p w14:paraId="70140089"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4A6582E0" w14:textId="1BCDAE30" w:rsidR="000E42F3" w:rsidRDefault="2C873AA0" w:rsidP="000E42F3">
            <w:pPr>
              <w:tabs>
                <w:tab w:val="left" w:pos="1162"/>
              </w:tabs>
              <w:spacing w:line="240" w:lineRule="auto"/>
              <w:rPr>
                <w:color w:val="000000"/>
                <w:sz w:val="18"/>
                <w:szCs w:val="18"/>
              </w:rPr>
            </w:pPr>
            <w:r w:rsidRPr="5E9CE3C1">
              <w:rPr>
                <w:color w:val="000000" w:themeColor="text1"/>
                <w:sz w:val="18"/>
                <w:szCs w:val="18"/>
              </w:rPr>
              <w:t xml:space="preserve">1 if </w:t>
            </w:r>
            <w:r w:rsidRPr="220A9DFE">
              <w:rPr>
                <w:color w:val="000000" w:themeColor="text1"/>
                <w:sz w:val="18"/>
                <w:szCs w:val="18"/>
              </w:rPr>
              <w:t>f</w:t>
            </w:r>
            <w:r w:rsidR="000E42F3" w:rsidRPr="220A9DFE">
              <w:rPr>
                <w:color w:val="000000" w:themeColor="text1"/>
                <w:sz w:val="18"/>
                <w:szCs w:val="18"/>
              </w:rPr>
              <w:t>irst</w:t>
            </w:r>
            <w:r w:rsidR="000E42F3" w:rsidRPr="5E9CE3C1">
              <w:rPr>
                <w:color w:val="000000" w:themeColor="text1"/>
                <w:sz w:val="18"/>
                <w:szCs w:val="18"/>
              </w:rPr>
              <w:t xml:space="preserve"> pregnancy for woman under </w:t>
            </w:r>
            <w:r w:rsidRPr="5E9CE3C1">
              <w:rPr>
                <w:color w:val="000000" w:themeColor="text1"/>
                <w:sz w:val="18"/>
                <w:szCs w:val="18"/>
              </w:rPr>
              <w:t xml:space="preserve">the </w:t>
            </w:r>
            <w:r w:rsidR="000E42F3" w:rsidRPr="5E9CE3C1">
              <w:rPr>
                <w:color w:val="000000" w:themeColor="text1"/>
                <w:sz w:val="18"/>
                <w:szCs w:val="18"/>
              </w:rPr>
              <w:t>age of 16 or over 35</w:t>
            </w:r>
            <w:r w:rsidRPr="5E9CE3C1">
              <w:rPr>
                <w:color w:val="000000" w:themeColor="text1"/>
                <w:sz w:val="18"/>
                <w:szCs w:val="18"/>
              </w:rPr>
              <w:t>; else 0</w:t>
            </w:r>
            <w:r w:rsidRPr="43C17B1C">
              <w:rPr>
                <w:color w:val="000000" w:themeColor="text1"/>
                <w:sz w:val="18"/>
                <w:szCs w:val="18"/>
              </w:rPr>
              <w:t>.</w:t>
            </w:r>
          </w:p>
        </w:tc>
      </w:tr>
      <w:tr w:rsidR="00A90801" w:rsidRPr="00C525F3" w14:paraId="1577D7F8" w14:textId="77777777" w:rsidTr="11584AC8">
        <w:trPr>
          <w:cantSplit/>
          <w:trHeight w:val="450"/>
        </w:trPr>
        <w:tc>
          <w:tcPr>
            <w:tcW w:w="441" w:type="pct"/>
            <w:shd w:val="clear" w:color="auto" w:fill="auto"/>
            <w:noWrap/>
          </w:tcPr>
          <w:p w14:paraId="3A04E3AF" w14:textId="3CA01B70" w:rsidR="000E42F3" w:rsidRDefault="2C873AA0" w:rsidP="000E42F3">
            <w:pPr>
              <w:tabs>
                <w:tab w:val="left" w:pos="1162"/>
              </w:tabs>
              <w:spacing w:line="240" w:lineRule="auto"/>
              <w:rPr>
                <w:rFonts w:cs="Arial"/>
                <w:color w:val="000000"/>
                <w:sz w:val="18"/>
                <w:szCs w:val="18"/>
              </w:rPr>
            </w:pPr>
            <w:r w:rsidRPr="33F5F24E">
              <w:rPr>
                <w:rFonts w:cs="Arial"/>
                <w:color w:val="000000" w:themeColor="text1"/>
                <w:sz w:val="18"/>
                <w:szCs w:val="18"/>
              </w:rPr>
              <w:t>A88</w:t>
            </w:r>
          </w:p>
        </w:tc>
        <w:tc>
          <w:tcPr>
            <w:tcW w:w="958" w:type="pct"/>
            <w:shd w:val="clear" w:color="auto" w:fill="auto"/>
            <w:noWrap/>
          </w:tcPr>
          <w:p w14:paraId="689F8790"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PPOP_flag</w:t>
            </w:r>
          </w:p>
        </w:tc>
        <w:tc>
          <w:tcPr>
            <w:tcW w:w="1391" w:type="pct"/>
            <w:shd w:val="clear" w:color="auto" w:fill="auto"/>
          </w:tcPr>
          <w:p w14:paraId="4B209B18"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3CEAC441" w14:textId="654973C6" w:rsidR="000E42F3" w:rsidRDefault="2C873AA0" w:rsidP="000E42F3">
            <w:pPr>
              <w:tabs>
                <w:tab w:val="left" w:pos="1162"/>
              </w:tabs>
              <w:spacing w:line="240" w:lineRule="auto"/>
              <w:rPr>
                <w:color w:val="000000"/>
                <w:sz w:val="18"/>
                <w:szCs w:val="18"/>
              </w:rPr>
            </w:pPr>
            <w:r w:rsidRPr="43C17B1C">
              <w:rPr>
                <w:color w:val="000000" w:themeColor="text1"/>
                <w:sz w:val="18"/>
                <w:szCs w:val="18"/>
              </w:rPr>
              <w:t>1 if persistent</w:t>
            </w:r>
            <w:r w:rsidR="000E42F3" w:rsidRPr="5E9CE3C1">
              <w:rPr>
                <w:color w:val="000000" w:themeColor="text1"/>
                <w:sz w:val="18"/>
                <w:szCs w:val="18"/>
              </w:rPr>
              <w:t xml:space="preserve"> posterior occiput position of fetus</w:t>
            </w:r>
            <w:r w:rsidRPr="5E9CE3C1">
              <w:rPr>
                <w:color w:val="000000" w:themeColor="text1"/>
                <w:sz w:val="18"/>
                <w:szCs w:val="18"/>
              </w:rPr>
              <w:t>; else 0</w:t>
            </w:r>
            <w:r w:rsidRPr="43C17B1C">
              <w:rPr>
                <w:color w:val="000000" w:themeColor="text1"/>
                <w:sz w:val="18"/>
                <w:szCs w:val="18"/>
              </w:rPr>
              <w:t>.</w:t>
            </w:r>
          </w:p>
        </w:tc>
      </w:tr>
      <w:tr w:rsidR="00A90801" w:rsidRPr="00C525F3" w14:paraId="2E3A24C6" w14:textId="77777777" w:rsidTr="11584AC8">
        <w:trPr>
          <w:cantSplit/>
          <w:trHeight w:val="450"/>
        </w:trPr>
        <w:tc>
          <w:tcPr>
            <w:tcW w:w="441" w:type="pct"/>
            <w:shd w:val="clear" w:color="auto" w:fill="auto"/>
            <w:noWrap/>
          </w:tcPr>
          <w:p w14:paraId="31A4FD37" w14:textId="4DEB55D6" w:rsidR="000E42F3" w:rsidRDefault="2C873AA0" w:rsidP="000E42F3">
            <w:pPr>
              <w:tabs>
                <w:tab w:val="left" w:pos="1162"/>
              </w:tabs>
              <w:spacing w:line="240" w:lineRule="auto"/>
              <w:rPr>
                <w:rFonts w:cs="Arial"/>
                <w:color w:val="000000"/>
                <w:sz w:val="18"/>
                <w:szCs w:val="18"/>
              </w:rPr>
            </w:pPr>
            <w:r w:rsidRPr="33F5F24E">
              <w:rPr>
                <w:rFonts w:cs="Arial"/>
                <w:color w:val="000000" w:themeColor="text1"/>
                <w:sz w:val="18"/>
                <w:szCs w:val="18"/>
              </w:rPr>
              <w:t>A</w:t>
            </w:r>
            <w:r w:rsidR="2A93C3C2" w:rsidRPr="33F5F24E">
              <w:rPr>
                <w:rFonts w:cs="Arial"/>
                <w:color w:val="000000" w:themeColor="text1"/>
                <w:sz w:val="18"/>
                <w:szCs w:val="18"/>
              </w:rPr>
              <w:t>89</w:t>
            </w:r>
          </w:p>
        </w:tc>
        <w:tc>
          <w:tcPr>
            <w:tcW w:w="958" w:type="pct"/>
            <w:shd w:val="clear" w:color="auto" w:fill="auto"/>
            <w:noWrap/>
          </w:tcPr>
          <w:p w14:paraId="219302B2"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Foetal_distress_flag</w:t>
            </w:r>
          </w:p>
        </w:tc>
        <w:tc>
          <w:tcPr>
            <w:tcW w:w="1391" w:type="pct"/>
            <w:shd w:val="clear" w:color="auto" w:fill="auto"/>
          </w:tcPr>
          <w:p w14:paraId="1FDB26BB"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35699306" w14:textId="5848C397" w:rsidR="000E42F3" w:rsidRDefault="2C873AA0" w:rsidP="000E42F3">
            <w:pPr>
              <w:tabs>
                <w:tab w:val="left" w:pos="1162"/>
              </w:tabs>
              <w:spacing w:line="240" w:lineRule="auto"/>
              <w:rPr>
                <w:color w:val="000000"/>
                <w:sz w:val="18"/>
                <w:szCs w:val="18"/>
              </w:rPr>
            </w:pPr>
            <w:r w:rsidRPr="43C17B1C">
              <w:rPr>
                <w:color w:val="000000" w:themeColor="text1"/>
                <w:sz w:val="18"/>
                <w:szCs w:val="18"/>
              </w:rPr>
              <w:t>1 if f</w:t>
            </w:r>
            <w:r w:rsidR="000E42F3" w:rsidRPr="43C17B1C">
              <w:rPr>
                <w:color w:val="000000" w:themeColor="text1"/>
                <w:sz w:val="18"/>
                <w:szCs w:val="18"/>
              </w:rPr>
              <w:t>oetal distress during delivery</w:t>
            </w:r>
            <w:r w:rsidRPr="43C17B1C">
              <w:rPr>
                <w:color w:val="000000" w:themeColor="text1"/>
                <w:sz w:val="18"/>
                <w:szCs w:val="18"/>
              </w:rPr>
              <w:t>; else 0.</w:t>
            </w:r>
          </w:p>
        </w:tc>
      </w:tr>
      <w:tr w:rsidR="00A90801" w:rsidRPr="00C525F3" w14:paraId="2C43E971" w14:textId="77777777" w:rsidTr="11584AC8">
        <w:trPr>
          <w:cantSplit/>
          <w:trHeight w:val="450"/>
        </w:trPr>
        <w:tc>
          <w:tcPr>
            <w:tcW w:w="441" w:type="pct"/>
            <w:shd w:val="clear" w:color="auto" w:fill="auto"/>
            <w:noWrap/>
          </w:tcPr>
          <w:p w14:paraId="07A1805F" w14:textId="7A845151" w:rsidR="000E42F3" w:rsidRDefault="2C873AA0" w:rsidP="000E42F3">
            <w:pPr>
              <w:tabs>
                <w:tab w:val="left" w:pos="1162"/>
              </w:tabs>
              <w:spacing w:line="240" w:lineRule="auto"/>
              <w:rPr>
                <w:rFonts w:cs="Arial"/>
                <w:color w:val="000000"/>
                <w:sz w:val="18"/>
                <w:szCs w:val="18"/>
              </w:rPr>
            </w:pPr>
            <w:r w:rsidRPr="33F5F24E">
              <w:rPr>
                <w:rFonts w:cs="Arial"/>
                <w:color w:val="000000" w:themeColor="text1"/>
                <w:sz w:val="18"/>
                <w:szCs w:val="18"/>
              </w:rPr>
              <w:t>A90</w:t>
            </w:r>
          </w:p>
        </w:tc>
        <w:tc>
          <w:tcPr>
            <w:tcW w:w="958" w:type="pct"/>
            <w:shd w:val="clear" w:color="auto" w:fill="auto"/>
            <w:noWrap/>
          </w:tcPr>
          <w:p w14:paraId="59C67814"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Flag_emergency</w:t>
            </w:r>
          </w:p>
        </w:tc>
        <w:tc>
          <w:tcPr>
            <w:tcW w:w="1391" w:type="pct"/>
            <w:shd w:val="clear" w:color="auto" w:fill="auto"/>
          </w:tcPr>
          <w:p w14:paraId="2DF9809E"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7C7EFB5" w14:textId="77777777" w:rsidR="000E42F3" w:rsidRPr="00FA1783" w:rsidRDefault="000E42F3" w:rsidP="000E42F3">
            <w:pPr>
              <w:tabs>
                <w:tab w:val="left" w:pos="1162"/>
              </w:tabs>
              <w:spacing w:line="240" w:lineRule="auto"/>
              <w:rPr>
                <w:rFonts w:cs="Arial"/>
                <w:color w:val="000000"/>
                <w:sz w:val="18"/>
                <w:szCs w:val="18"/>
                <w:highlight w:val="yellow"/>
              </w:rPr>
            </w:pPr>
            <w:r w:rsidRPr="008E3004">
              <w:rPr>
                <w:color w:val="000000"/>
                <w:sz w:val="18"/>
              </w:rPr>
              <w:t>1 if episode has emergency admission urgency; else 0.</w:t>
            </w:r>
          </w:p>
        </w:tc>
      </w:tr>
      <w:tr w:rsidR="00A90801" w:rsidRPr="00C525F3" w14:paraId="2B7A9CB4" w14:textId="77777777" w:rsidTr="11584AC8">
        <w:trPr>
          <w:cantSplit/>
          <w:trHeight w:val="450"/>
        </w:trPr>
        <w:tc>
          <w:tcPr>
            <w:tcW w:w="441" w:type="pct"/>
            <w:shd w:val="clear" w:color="auto" w:fill="auto"/>
            <w:noWrap/>
          </w:tcPr>
          <w:p w14:paraId="445F631A" w14:textId="41308BFC" w:rsidR="00D13F93" w:rsidRPr="00D13F93" w:rsidRDefault="71205253" w:rsidP="00D13F93">
            <w:pPr>
              <w:tabs>
                <w:tab w:val="left" w:pos="1162"/>
              </w:tabs>
              <w:spacing w:line="240" w:lineRule="auto"/>
              <w:rPr>
                <w:rFonts w:cs="Arial"/>
                <w:color w:val="000000"/>
                <w:sz w:val="18"/>
                <w:szCs w:val="18"/>
              </w:rPr>
            </w:pPr>
            <w:r w:rsidRPr="33F5F24E">
              <w:rPr>
                <w:sz w:val="18"/>
                <w:szCs w:val="18"/>
              </w:rPr>
              <w:t>A</w:t>
            </w:r>
            <w:r w:rsidR="2A93C3C2" w:rsidRPr="33F5F24E">
              <w:rPr>
                <w:sz w:val="18"/>
                <w:szCs w:val="18"/>
              </w:rPr>
              <w:t>91</w:t>
            </w:r>
          </w:p>
        </w:tc>
        <w:tc>
          <w:tcPr>
            <w:tcW w:w="958" w:type="pct"/>
            <w:shd w:val="clear" w:color="auto" w:fill="auto"/>
            <w:noWrap/>
          </w:tcPr>
          <w:p w14:paraId="1A69A820"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Agegroup_rm</w:t>
            </w:r>
          </w:p>
        </w:tc>
        <w:tc>
          <w:tcPr>
            <w:tcW w:w="1391" w:type="pct"/>
            <w:shd w:val="clear" w:color="auto" w:fill="auto"/>
          </w:tcPr>
          <w:p w14:paraId="626398A2"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Age Group</w:t>
            </w:r>
          </w:p>
        </w:tc>
        <w:tc>
          <w:tcPr>
            <w:tcW w:w="2210" w:type="pct"/>
            <w:shd w:val="clear" w:color="auto" w:fill="auto"/>
          </w:tcPr>
          <w:p w14:paraId="21E363DB"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Age group in 10 year bands (e.g. Age 20-29)</w:t>
            </w:r>
          </w:p>
        </w:tc>
      </w:tr>
      <w:tr w:rsidR="00A90801" w:rsidRPr="00C525F3" w14:paraId="761F588B" w14:textId="77777777" w:rsidTr="11584AC8">
        <w:trPr>
          <w:cantSplit/>
          <w:trHeight w:val="450"/>
        </w:trPr>
        <w:tc>
          <w:tcPr>
            <w:tcW w:w="441" w:type="pct"/>
            <w:shd w:val="clear" w:color="auto" w:fill="auto"/>
            <w:noWrap/>
          </w:tcPr>
          <w:p w14:paraId="19DA7E8F" w14:textId="7E770A40" w:rsidR="00D13F93" w:rsidRPr="00D13F93" w:rsidRDefault="71205253" w:rsidP="00D13F93">
            <w:pPr>
              <w:tabs>
                <w:tab w:val="left" w:pos="1162"/>
              </w:tabs>
              <w:spacing w:line="240" w:lineRule="auto"/>
              <w:rPr>
                <w:rFonts w:cs="Arial"/>
                <w:color w:val="000000"/>
                <w:sz w:val="18"/>
                <w:szCs w:val="18"/>
              </w:rPr>
            </w:pPr>
            <w:r w:rsidRPr="33F5F24E">
              <w:rPr>
                <w:sz w:val="18"/>
                <w:szCs w:val="18"/>
              </w:rPr>
              <w:t>A92</w:t>
            </w:r>
          </w:p>
        </w:tc>
        <w:tc>
          <w:tcPr>
            <w:tcW w:w="958" w:type="pct"/>
            <w:shd w:val="clear" w:color="auto" w:fill="auto"/>
            <w:noWrap/>
          </w:tcPr>
          <w:p w14:paraId="6E35ED44"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flag_icu24</w:t>
            </w:r>
          </w:p>
        </w:tc>
        <w:tc>
          <w:tcPr>
            <w:tcW w:w="1391" w:type="pct"/>
            <w:shd w:val="clear" w:color="auto" w:fill="auto"/>
          </w:tcPr>
          <w:p w14:paraId="25DC482F"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0EC9FDEE"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Episode has more than 24 hours in ICU</w:t>
            </w:r>
          </w:p>
        </w:tc>
      </w:tr>
      <w:tr w:rsidR="00A90801" w:rsidRPr="00C525F3" w14:paraId="50B49C68" w14:textId="77777777" w:rsidTr="11584AC8">
        <w:trPr>
          <w:cantSplit/>
          <w:trHeight w:val="450"/>
        </w:trPr>
        <w:tc>
          <w:tcPr>
            <w:tcW w:w="441" w:type="pct"/>
            <w:shd w:val="clear" w:color="auto" w:fill="auto"/>
            <w:noWrap/>
          </w:tcPr>
          <w:p w14:paraId="2B94B878" w14:textId="37D132EF" w:rsidR="00D13F93" w:rsidRPr="00D13F93" w:rsidRDefault="71205253" w:rsidP="00D13F93">
            <w:pPr>
              <w:tabs>
                <w:tab w:val="left" w:pos="1162"/>
              </w:tabs>
              <w:spacing w:line="240" w:lineRule="auto"/>
              <w:rPr>
                <w:rFonts w:cs="Arial"/>
                <w:color w:val="000000"/>
                <w:sz w:val="18"/>
                <w:szCs w:val="18"/>
              </w:rPr>
            </w:pPr>
            <w:r w:rsidRPr="33F5F24E">
              <w:rPr>
                <w:sz w:val="18"/>
                <w:szCs w:val="18"/>
              </w:rPr>
              <w:t>A93</w:t>
            </w:r>
          </w:p>
        </w:tc>
        <w:tc>
          <w:tcPr>
            <w:tcW w:w="958" w:type="pct"/>
            <w:shd w:val="clear" w:color="auto" w:fill="auto"/>
            <w:noWrap/>
          </w:tcPr>
          <w:p w14:paraId="0375A3B2"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Homeless</w:t>
            </w:r>
          </w:p>
        </w:tc>
        <w:tc>
          <w:tcPr>
            <w:tcW w:w="1391" w:type="pct"/>
            <w:shd w:val="clear" w:color="auto" w:fill="auto"/>
          </w:tcPr>
          <w:p w14:paraId="53159DCF"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7F53E63D" w14:textId="77777777" w:rsidR="00D13F93" w:rsidRDefault="00C2001B" w:rsidP="00C2001B">
            <w:pPr>
              <w:tabs>
                <w:tab w:val="left" w:pos="1162"/>
              </w:tabs>
              <w:spacing w:line="240" w:lineRule="auto"/>
              <w:rPr>
                <w:rFonts w:cs="Arial"/>
                <w:color w:val="000000"/>
                <w:sz w:val="18"/>
                <w:szCs w:val="18"/>
              </w:rPr>
            </w:pPr>
            <w:r>
              <w:rPr>
                <w:rFonts w:cs="Arial"/>
                <w:color w:val="000000"/>
                <w:sz w:val="18"/>
                <w:szCs w:val="18"/>
              </w:rPr>
              <w:t>Diagnosis code is present: Z590</w:t>
            </w:r>
          </w:p>
        </w:tc>
      </w:tr>
      <w:tr w:rsidR="00A90801" w:rsidRPr="00C525F3" w14:paraId="500E7C41" w14:textId="77777777" w:rsidTr="11584AC8">
        <w:trPr>
          <w:cantSplit/>
          <w:trHeight w:val="450"/>
        </w:trPr>
        <w:tc>
          <w:tcPr>
            <w:tcW w:w="441" w:type="pct"/>
            <w:shd w:val="clear" w:color="auto" w:fill="auto"/>
            <w:noWrap/>
          </w:tcPr>
          <w:p w14:paraId="3BE13180" w14:textId="6F9BD410" w:rsidR="00D13F93" w:rsidRPr="00D13F93" w:rsidRDefault="71205253" w:rsidP="00D13F93">
            <w:pPr>
              <w:tabs>
                <w:tab w:val="left" w:pos="1162"/>
              </w:tabs>
              <w:spacing w:line="240" w:lineRule="auto"/>
              <w:rPr>
                <w:rFonts w:cs="Arial"/>
                <w:color w:val="000000"/>
                <w:sz w:val="18"/>
                <w:szCs w:val="18"/>
              </w:rPr>
            </w:pPr>
            <w:r w:rsidRPr="33F5F24E">
              <w:rPr>
                <w:sz w:val="18"/>
                <w:szCs w:val="18"/>
              </w:rPr>
              <w:t>A94</w:t>
            </w:r>
          </w:p>
        </w:tc>
        <w:tc>
          <w:tcPr>
            <w:tcW w:w="958" w:type="pct"/>
            <w:shd w:val="clear" w:color="auto" w:fill="auto"/>
            <w:noWrap/>
          </w:tcPr>
          <w:p w14:paraId="4934CEAC"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Post_transplant</w:t>
            </w:r>
          </w:p>
        </w:tc>
        <w:tc>
          <w:tcPr>
            <w:tcW w:w="1391" w:type="pct"/>
            <w:shd w:val="clear" w:color="auto" w:fill="auto"/>
          </w:tcPr>
          <w:p w14:paraId="09E967CA"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A3F78EA" w14:textId="77777777" w:rsidR="00D13F93" w:rsidRDefault="0088196B" w:rsidP="00C2001B">
            <w:pPr>
              <w:tabs>
                <w:tab w:val="left" w:pos="1162"/>
              </w:tabs>
              <w:spacing w:line="240" w:lineRule="auto"/>
              <w:rPr>
                <w:rFonts w:cs="Arial"/>
                <w:color w:val="000000"/>
                <w:sz w:val="18"/>
                <w:szCs w:val="18"/>
              </w:rPr>
            </w:pPr>
            <w:r>
              <w:rPr>
                <w:rFonts w:cs="Arial"/>
                <w:color w:val="000000"/>
                <w:sz w:val="18"/>
                <w:szCs w:val="18"/>
              </w:rPr>
              <w:t>Diagnosis code  starting with Z9</w:t>
            </w:r>
            <w:r w:rsidR="00C2001B">
              <w:rPr>
                <w:rFonts w:cs="Arial"/>
                <w:color w:val="000000"/>
                <w:sz w:val="18"/>
                <w:szCs w:val="18"/>
              </w:rPr>
              <w:t>4</w:t>
            </w:r>
            <w:r>
              <w:rPr>
                <w:rFonts w:cs="Arial"/>
                <w:color w:val="000000"/>
                <w:sz w:val="18"/>
                <w:szCs w:val="18"/>
              </w:rPr>
              <w:t xml:space="preserve"> is present</w:t>
            </w:r>
          </w:p>
        </w:tc>
      </w:tr>
      <w:tr w:rsidR="00A90801" w:rsidRPr="00C525F3" w14:paraId="48397422" w14:textId="77777777" w:rsidTr="11584AC8">
        <w:trPr>
          <w:cantSplit/>
          <w:trHeight w:val="450"/>
        </w:trPr>
        <w:tc>
          <w:tcPr>
            <w:tcW w:w="441" w:type="pct"/>
            <w:shd w:val="clear" w:color="auto" w:fill="auto"/>
            <w:noWrap/>
          </w:tcPr>
          <w:p w14:paraId="56C19BE2" w14:textId="48235077" w:rsidR="00D13F93" w:rsidRPr="00D13F93" w:rsidRDefault="71205253" w:rsidP="00D13F93">
            <w:pPr>
              <w:tabs>
                <w:tab w:val="left" w:pos="1162"/>
              </w:tabs>
              <w:spacing w:line="240" w:lineRule="auto"/>
              <w:rPr>
                <w:rFonts w:cs="Arial"/>
                <w:color w:val="000000"/>
                <w:sz w:val="18"/>
                <w:szCs w:val="18"/>
              </w:rPr>
            </w:pPr>
            <w:r w:rsidRPr="33F5F24E">
              <w:rPr>
                <w:sz w:val="18"/>
                <w:szCs w:val="18"/>
              </w:rPr>
              <w:t>A95</w:t>
            </w:r>
          </w:p>
        </w:tc>
        <w:tc>
          <w:tcPr>
            <w:tcW w:w="958" w:type="pct"/>
            <w:shd w:val="clear" w:color="auto" w:fill="auto"/>
            <w:noWrap/>
          </w:tcPr>
          <w:p w14:paraId="5C8617DF"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Gender</w:t>
            </w:r>
          </w:p>
        </w:tc>
        <w:tc>
          <w:tcPr>
            <w:tcW w:w="1391" w:type="pct"/>
            <w:shd w:val="clear" w:color="auto" w:fill="auto"/>
          </w:tcPr>
          <w:p w14:paraId="1F4EBFFF" w14:textId="681E710A" w:rsidR="00D13F93" w:rsidRDefault="71205253" w:rsidP="00D13F93">
            <w:pPr>
              <w:tabs>
                <w:tab w:val="left" w:pos="1162"/>
              </w:tabs>
              <w:spacing w:line="240" w:lineRule="auto"/>
              <w:rPr>
                <w:rFonts w:cs="Arial"/>
                <w:color w:val="000000"/>
                <w:sz w:val="18"/>
                <w:szCs w:val="18"/>
              </w:rPr>
            </w:pPr>
            <w:r w:rsidRPr="56A59D64">
              <w:rPr>
                <w:rFonts w:cs="Arial"/>
                <w:color w:val="000000" w:themeColor="text1"/>
                <w:sz w:val="18"/>
                <w:szCs w:val="18"/>
              </w:rPr>
              <w:t>Female indicator</w:t>
            </w:r>
            <w:r w:rsidR="00D13F93" w:rsidRPr="56A59D64">
              <w:rPr>
                <w:rFonts w:cs="Arial"/>
                <w:color w:val="000000" w:themeColor="text1"/>
                <w:sz w:val="18"/>
                <w:szCs w:val="18"/>
              </w:rPr>
              <w:t xml:space="preserve"> of the patient</w:t>
            </w:r>
          </w:p>
        </w:tc>
        <w:tc>
          <w:tcPr>
            <w:tcW w:w="2210" w:type="pct"/>
            <w:shd w:val="clear" w:color="auto" w:fill="auto"/>
          </w:tcPr>
          <w:p w14:paraId="2B286863" w14:textId="19BF378B" w:rsidR="00D13F93" w:rsidRDefault="71205253" w:rsidP="00D13F93">
            <w:pPr>
              <w:tabs>
                <w:tab w:val="left" w:pos="1162"/>
              </w:tabs>
              <w:spacing w:line="240" w:lineRule="auto"/>
              <w:rPr>
                <w:rFonts w:cs="Arial"/>
                <w:color w:val="000000"/>
                <w:sz w:val="18"/>
                <w:szCs w:val="18"/>
              </w:rPr>
            </w:pPr>
            <w:r w:rsidRPr="2C33B36D">
              <w:rPr>
                <w:rFonts w:cs="Arial"/>
                <w:color w:val="000000" w:themeColor="text1"/>
                <w:sz w:val="18"/>
                <w:szCs w:val="18"/>
              </w:rPr>
              <w:t>2</w:t>
            </w:r>
            <w:r w:rsidR="00D13F93" w:rsidRPr="2C33B36D">
              <w:rPr>
                <w:rFonts w:cs="Arial"/>
                <w:color w:val="000000" w:themeColor="text1"/>
                <w:sz w:val="18"/>
                <w:szCs w:val="18"/>
              </w:rPr>
              <w:t xml:space="preserve"> if </w:t>
            </w:r>
            <w:r w:rsidRPr="2C33B36D">
              <w:rPr>
                <w:rFonts w:cs="Arial"/>
                <w:color w:val="000000" w:themeColor="text1"/>
                <w:sz w:val="18"/>
                <w:szCs w:val="18"/>
              </w:rPr>
              <w:t>female</w:t>
            </w:r>
            <w:r w:rsidR="00D13F93" w:rsidRPr="2C33B36D">
              <w:rPr>
                <w:rFonts w:cs="Arial"/>
                <w:color w:val="000000" w:themeColor="text1"/>
                <w:sz w:val="18"/>
                <w:szCs w:val="18"/>
              </w:rPr>
              <w:t xml:space="preserve">, otherwise </w:t>
            </w:r>
            <w:r w:rsidRPr="2C33B36D">
              <w:rPr>
                <w:rFonts w:cs="Arial"/>
                <w:color w:val="000000" w:themeColor="text1"/>
                <w:sz w:val="18"/>
                <w:szCs w:val="18"/>
              </w:rPr>
              <w:t>1</w:t>
            </w:r>
          </w:p>
        </w:tc>
      </w:tr>
      <w:tr w:rsidR="00A90801" w:rsidRPr="00C525F3" w14:paraId="4EFC584D" w14:textId="77777777" w:rsidTr="11584AC8">
        <w:trPr>
          <w:cantSplit/>
          <w:trHeight w:val="450"/>
        </w:trPr>
        <w:tc>
          <w:tcPr>
            <w:tcW w:w="441" w:type="pct"/>
            <w:shd w:val="clear" w:color="auto" w:fill="auto"/>
            <w:noWrap/>
          </w:tcPr>
          <w:p w14:paraId="5F2911D8" w14:textId="57C29A59" w:rsidR="00D13F93" w:rsidRPr="00D13F93" w:rsidRDefault="71205253" w:rsidP="00D13F93">
            <w:pPr>
              <w:tabs>
                <w:tab w:val="left" w:pos="1162"/>
              </w:tabs>
              <w:spacing w:line="240" w:lineRule="auto"/>
              <w:rPr>
                <w:rFonts w:cs="Arial"/>
                <w:color w:val="000000"/>
                <w:sz w:val="18"/>
                <w:szCs w:val="18"/>
              </w:rPr>
            </w:pPr>
            <w:r w:rsidRPr="33F5F24E">
              <w:rPr>
                <w:sz w:val="18"/>
                <w:szCs w:val="18"/>
              </w:rPr>
              <w:t>A96</w:t>
            </w:r>
          </w:p>
        </w:tc>
        <w:tc>
          <w:tcPr>
            <w:tcW w:w="958" w:type="pct"/>
            <w:shd w:val="clear" w:color="auto" w:fill="auto"/>
            <w:noWrap/>
          </w:tcPr>
          <w:p w14:paraId="459E6EF9"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Pacemaker</w:t>
            </w:r>
          </w:p>
        </w:tc>
        <w:tc>
          <w:tcPr>
            <w:tcW w:w="1391" w:type="pct"/>
            <w:shd w:val="clear" w:color="auto" w:fill="auto"/>
          </w:tcPr>
          <w:p w14:paraId="6A1428B0"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2269C6CD" w14:textId="77777777" w:rsidR="00D13F93" w:rsidRDefault="0088196B" w:rsidP="0088196B">
            <w:pPr>
              <w:tabs>
                <w:tab w:val="left" w:pos="1162"/>
              </w:tabs>
              <w:spacing w:line="240" w:lineRule="auto"/>
              <w:rPr>
                <w:rFonts w:cs="Arial"/>
                <w:color w:val="000000"/>
                <w:sz w:val="18"/>
                <w:szCs w:val="18"/>
              </w:rPr>
            </w:pPr>
            <w:r>
              <w:rPr>
                <w:rFonts w:cs="Arial"/>
                <w:color w:val="000000"/>
                <w:sz w:val="18"/>
                <w:szCs w:val="18"/>
              </w:rPr>
              <w:t>Diagnosis code  starting with Z95 is present</w:t>
            </w:r>
          </w:p>
        </w:tc>
      </w:tr>
      <w:tr w:rsidR="00A90801" w:rsidRPr="00C525F3" w14:paraId="6C69EF07" w14:textId="77777777" w:rsidTr="11584AC8">
        <w:trPr>
          <w:cantSplit/>
          <w:trHeight w:val="450"/>
        </w:trPr>
        <w:tc>
          <w:tcPr>
            <w:tcW w:w="441" w:type="pct"/>
            <w:shd w:val="clear" w:color="auto" w:fill="auto"/>
            <w:noWrap/>
          </w:tcPr>
          <w:p w14:paraId="41D453CB" w14:textId="5FA833C7" w:rsidR="00D13F93" w:rsidRPr="00D13F93" w:rsidRDefault="71205253" w:rsidP="00D13F93">
            <w:pPr>
              <w:tabs>
                <w:tab w:val="left" w:pos="1162"/>
              </w:tabs>
              <w:spacing w:line="240" w:lineRule="auto"/>
              <w:rPr>
                <w:rFonts w:cs="Arial"/>
                <w:color w:val="000000"/>
                <w:sz w:val="18"/>
                <w:szCs w:val="18"/>
              </w:rPr>
            </w:pPr>
            <w:r w:rsidRPr="33F5F24E">
              <w:rPr>
                <w:sz w:val="18"/>
                <w:szCs w:val="18"/>
              </w:rPr>
              <w:t>A97</w:t>
            </w:r>
          </w:p>
        </w:tc>
        <w:tc>
          <w:tcPr>
            <w:tcW w:w="958" w:type="pct"/>
            <w:shd w:val="clear" w:color="auto" w:fill="auto"/>
            <w:noWrap/>
          </w:tcPr>
          <w:p w14:paraId="099F7A13"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Ventilator</w:t>
            </w:r>
          </w:p>
        </w:tc>
        <w:tc>
          <w:tcPr>
            <w:tcW w:w="1391" w:type="pct"/>
            <w:shd w:val="clear" w:color="auto" w:fill="auto"/>
          </w:tcPr>
          <w:p w14:paraId="461AF0E3"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129800F8" w14:textId="77777777" w:rsidR="00D13F93" w:rsidRDefault="0088196B" w:rsidP="0088196B">
            <w:pPr>
              <w:tabs>
                <w:tab w:val="left" w:pos="1162"/>
              </w:tabs>
              <w:spacing w:line="240" w:lineRule="auto"/>
              <w:rPr>
                <w:rFonts w:cs="Arial"/>
                <w:color w:val="000000"/>
                <w:sz w:val="18"/>
                <w:szCs w:val="18"/>
              </w:rPr>
            </w:pPr>
            <w:r>
              <w:rPr>
                <w:rFonts w:cs="Arial"/>
                <w:color w:val="000000"/>
                <w:sz w:val="18"/>
                <w:szCs w:val="18"/>
              </w:rPr>
              <w:t>Diagnosis code is present: Z991</w:t>
            </w:r>
          </w:p>
        </w:tc>
      </w:tr>
      <w:tr w:rsidR="00A90801" w:rsidRPr="00C525F3" w14:paraId="0DB08293" w14:textId="77777777" w:rsidTr="11584AC8">
        <w:trPr>
          <w:cantSplit/>
          <w:trHeight w:val="450"/>
        </w:trPr>
        <w:tc>
          <w:tcPr>
            <w:tcW w:w="441" w:type="pct"/>
            <w:shd w:val="clear" w:color="auto" w:fill="auto"/>
            <w:noWrap/>
          </w:tcPr>
          <w:p w14:paraId="3703BD94" w14:textId="52D74544" w:rsidR="00D13F93" w:rsidRPr="00D13F93" w:rsidRDefault="71205253" w:rsidP="00D13F93">
            <w:pPr>
              <w:tabs>
                <w:tab w:val="left" w:pos="1162"/>
              </w:tabs>
              <w:spacing w:line="240" w:lineRule="auto"/>
              <w:rPr>
                <w:rFonts w:cs="Arial"/>
                <w:color w:val="000000"/>
                <w:sz w:val="18"/>
                <w:szCs w:val="18"/>
              </w:rPr>
            </w:pPr>
            <w:r w:rsidRPr="33F5F24E">
              <w:rPr>
                <w:sz w:val="18"/>
                <w:szCs w:val="18"/>
              </w:rPr>
              <w:t>A98</w:t>
            </w:r>
          </w:p>
        </w:tc>
        <w:tc>
          <w:tcPr>
            <w:tcW w:w="958" w:type="pct"/>
            <w:shd w:val="clear" w:color="auto" w:fill="auto"/>
            <w:noWrap/>
          </w:tcPr>
          <w:p w14:paraId="258CAF1C"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Drug_use</w:t>
            </w:r>
          </w:p>
        </w:tc>
        <w:tc>
          <w:tcPr>
            <w:tcW w:w="1391" w:type="pct"/>
            <w:shd w:val="clear" w:color="auto" w:fill="auto"/>
          </w:tcPr>
          <w:p w14:paraId="21267E92"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CD25FC2" w14:textId="77777777" w:rsidR="00D13F93" w:rsidRDefault="0088196B" w:rsidP="00D13F93">
            <w:pPr>
              <w:tabs>
                <w:tab w:val="left" w:pos="1162"/>
              </w:tabs>
              <w:spacing w:line="240" w:lineRule="auto"/>
              <w:rPr>
                <w:rFonts w:cs="Arial"/>
                <w:color w:val="000000"/>
                <w:sz w:val="18"/>
                <w:szCs w:val="18"/>
              </w:rPr>
            </w:pPr>
            <w:r>
              <w:rPr>
                <w:rFonts w:cs="Arial"/>
                <w:color w:val="000000"/>
                <w:sz w:val="18"/>
                <w:szCs w:val="18"/>
              </w:rPr>
              <w:t>Diagnosis code Z722 present and either a diagnosis codestarting with F or code R4581 is present</w:t>
            </w:r>
          </w:p>
        </w:tc>
      </w:tr>
      <w:tr w:rsidR="00A90801" w:rsidRPr="00C525F3" w14:paraId="0429A9F4" w14:textId="77777777" w:rsidTr="11584AC8">
        <w:trPr>
          <w:cantSplit/>
          <w:trHeight w:val="450"/>
        </w:trPr>
        <w:tc>
          <w:tcPr>
            <w:tcW w:w="441" w:type="pct"/>
            <w:shd w:val="clear" w:color="auto" w:fill="auto"/>
            <w:noWrap/>
          </w:tcPr>
          <w:p w14:paraId="478E06DC" w14:textId="278911BA" w:rsidR="00D13F93" w:rsidRPr="00D13F93" w:rsidRDefault="71205253" w:rsidP="00D13F93">
            <w:pPr>
              <w:tabs>
                <w:tab w:val="left" w:pos="1162"/>
              </w:tabs>
              <w:spacing w:line="240" w:lineRule="auto"/>
              <w:rPr>
                <w:rFonts w:cs="Arial"/>
                <w:color w:val="000000"/>
                <w:sz w:val="18"/>
                <w:szCs w:val="18"/>
              </w:rPr>
            </w:pPr>
            <w:r w:rsidRPr="33F5F24E">
              <w:rPr>
                <w:sz w:val="18"/>
                <w:szCs w:val="18"/>
              </w:rPr>
              <w:t>A</w:t>
            </w:r>
            <w:r w:rsidR="2A93C3C2" w:rsidRPr="33F5F24E">
              <w:rPr>
                <w:sz w:val="18"/>
                <w:szCs w:val="18"/>
              </w:rPr>
              <w:t>99</w:t>
            </w:r>
          </w:p>
        </w:tc>
        <w:tc>
          <w:tcPr>
            <w:tcW w:w="958" w:type="pct"/>
            <w:shd w:val="clear" w:color="auto" w:fill="auto"/>
            <w:noWrap/>
          </w:tcPr>
          <w:p w14:paraId="2EAA0E60"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Malnutrition</w:t>
            </w:r>
          </w:p>
        </w:tc>
        <w:tc>
          <w:tcPr>
            <w:tcW w:w="1391" w:type="pct"/>
            <w:shd w:val="clear" w:color="auto" w:fill="auto"/>
          </w:tcPr>
          <w:p w14:paraId="4CF6344B"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1C40FCA9" w14:textId="77777777" w:rsidR="00D13F93" w:rsidRDefault="0088196B" w:rsidP="00D13F93">
            <w:pPr>
              <w:tabs>
                <w:tab w:val="left" w:pos="1162"/>
              </w:tabs>
              <w:spacing w:line="240" w:lineRule="auto"/>
              <w:rPr>
                <w:rFonts w:cs="Arial"/>
                <w:color w:val="000000"/>
                <w:sz w:val="18"/>
                <w:szCs w:val="18"/>
              </w:rPr>
            </w:pPr>
            <w:r>
              <w:rPr>
                <w:rFonts w:cs="Arial"/>
                <w:color w:val="000000"/>
                <w:sz w:val="18"/>
                <w:szCs w:val="18"/>
              </w:rPr>
              <w:t>Once of the following diagnosis codes is present: E40, E41, E42, E43, E440, E441, E45, E46</w:t>
            </w:r>
          </w:p>
        </w:tc>
      </w:tr>
      <w:tr w:rsidR="00A90801" w:rsidRPr="00C525F3" w14:paraId="4D4F30A3" w14:textId="77777777" w:rsidTr="11584AC8">
        <w:trPr>
          <w:cantSplit/>
          <w:trHeight w:val="450"/>
        </w:trPr>
        <w:tc>
          <w:tcPr>
            <w:tcW w:w="441" w:type="pct"/>
            <w:shd w:val="clear" w:color="auto" w:fill="auto"/>
            <w:noWrap/>
          </w:tcPr>
          <w:p w14:paraId="4D699EDA" w14:textId="5079E61C" w:rsidR="00D13F93" w:rsidRPr="00D13F93" w:rsidRDefault="71205253" w:rsidP="00D13F93">
            <w:pPr>
              <w:tabs>
                <w:tab w:val="left" w:pos="1162"/>
              </w:tabs>
              <w:spacing w:line="240" w:lineRule="auto"/>
              <w:rPr>
                <w:rFonts w:cs="Arial"/>
                <w:color w:val="000000"/>
                <w:sz w:val="18"/>
                <w:szCs w:val="18"/>
              </w:rPr>
            </w:pPr>
            <w:r w:rsidRPr="33F5F24E">
              <w:rPr>
                <w:sz w:val="18"/>
                <w:szCs w:val="18"/>
              </w:rPr>
              <w:t>A100</w:t>
            </w:r>
          </w:p>
        </w:tc>
        <w:tc>
          <w:tcPr>
            <w:tcW w:w="958" w:type="pct"/>
            <w:shd w:val="clear" w:color="auto" w:fill="auto"/>
            <w:noWrap/>
          </w:tcPr>
          <w:p w14:paraId="67FFE749"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Adm_past_year</w:t>
            </w:r>
          </w:p>
        </w:tc>
        <w:tc>
          <w:tcPr>
            <w:tcW w:w="1391" w:type="pct"/>
            <w:shd w:val="clear" w:color="auto" w:fill="auto"/>
          </w:tcPr>
          <w:p w14:paraId="5F58D068"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D400D68"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Number of times the patient has been admitted in the past year</w:t>
            </w:r>
          </w:p>
        </w:tc>
      </w:tr>
      <w:tr w:rsidR="00A90801" w:rsidRPr="00C525F3" w14:paraId="391AAD95" w14:textId="77777777" w:rsidTr="11584AC8">
        <w:trPr>
          <w:cantSplit/>
          <w:trHeight w:val="450"/>
        </w:trPr>
        <w:tc>
          <w:tcPr>
            <w:tcW w:w="441" w:type="pct"/>
            <w:shd w:val="clear" w:color="auto" w:fill="auto"/>
            <w:noWrap/>
          </w:tcPr>
          <w:p w14:paraId="7209BFBE" w14:textId="6F7D9C55" w:rsidR="00D13F93" w:rsidRPr="00D13F93" w:rsidRDefault="71205253" w:rsidP="00D13F93">
            <w:pPr>
              <w:tabs>
                <w:tab w:val="left" w:pos="1162"/>
              </w:tabs>
              <w:spacing w:line="240" w:lineRule="auto"/>
              <w:rPr>
                <w:rFonts w:cs="Arial"/>
                <w:color w:val="000000"/>
                <w:sz w:val="18"/>
                <w:szCs w:val="18"/>
              </w:rPr>
            </w:pPr>
            <w:r w:rsidRPr="33F5F24E">
              <w:rPr>
                <w:sz w:val="18"/>
                <w:szCs w:val="18"/>
              </w:rPr>
              <w:t>A</w:t>
            </w:r>
            <w:r w:rsidR="2A93C3C2" w:rsidRPr="33F5F24E">
              <w:rPr>
                <w:sz w:val="18"/>
                <w:szCs w:val="18"/>
              </w:rPr>
              <w:t>101</w:t>
            </w:r>
          </w:p>
        </w:tc>
        <w:tc>
          <w:tcPr>
            <w:tcW w:w="958" w:type="pct"/>
            <w:shd w:val="clear" w:color="auto" w:fill="auto"/>
            <w:noWrap/>
          </w:tcPr>
          <w:p w14:paraId="7B0DD6C1"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Count_proc</w:t>
            </w:r>
          </w:p>
        </w:tc>
        <w:tc>
          <w:tcPr>
            <w:tcW w:w="1391" w:type="pct"/>
            <w:shd w:val="clear" w:color="auto" w:fill="auto"/>
          </w:tcPr>
          <w:p w14:paraId="5CF49855"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2E84D636"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Number of procedure codes in the episodes procedure array</w:t>
            </w:r>
          </w:p>
        </w:tc>
      </w:tr>
      <w:tr w:rsidR="00A90801" w:rsidRPr="00C525F3" w14:paraId="3873C7A9" w14:textId="77777777" w:rsidTr="11584AC8">
        <w:trPr>
          <w:cantSplit/>
          <w:trHeight w:val="450"/>
        </w:trPr>
        <w:tc>
          <w:tcPr>
            <w:tcW w:w="441" w:type="pct"/>
            <w:shd w:val="clear" w:color="auto" w:fill="auto"/>
            <w:noWrap/>
          </w:tcPr>
          <w:p w14:paraId="4F821069" w14:textId="40E352C1" w:rsidR="00D13F93" w:rsidRPr="00D13F93" w:rsidRDefault="71205253" w:rsidP="00D13F93">
            <w:pPr>
              <w:tabs>
                <w:tab w:val="left" w:pos="1162"/>
              </w:tabs>
              <w:spacing w:line="240" w:lineRule="auto"/>
              <w:rPr>
                <w:rFonts w:cs="Arial"/>
                <w:color w:val="000000"/>
                <w:sz w:val="18"/>
                <w:szCs w:val="18"/>
              </w:rPr>
            </w:pPr>
            <w:r w:rsidRPr="33F5F24E">
              <w:rPr>
                <w:sz w:val="18"/>
                <w:szCs w:val="18"/>
              </w:rPr>
              <w:t>A102</w:t>
            </w:r>
          </w:p>
        </w:tc>
        <w:tc>
          <w:tcPr>
            <w:tcW w:w="958" w:type="pct"/>
            <w:shd w:val="clear" w:color="auto" w:fill="auto"/>
            <w:noWrap/>
          </w:tcPr>
          <w:p w14:paraId="4BBC5978"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Low_los_flag</w:t>
            </w:r>
          </w:p>
        </w:tc>
        <w:tc>
          <w:tcPr>
            <w:tcW w:w="1391" w:type="pct"/>
            <w:shd w:val="clear" w:color="auto" w:fill="auto"/>
          </w:tcPr>
          <w:p w14:paraId="13C13BD2"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772097FD" w14:textId="77777777" w:rsidR="00D13F93" w:rsidRDefault="003B2906" w:rsidP="00D13F93">
            <w:pPr>
              <w:tabs>
                <w:tab w:val="left" w:pos="1162"/>
              </w:tabs>
              <w:spacing w:line="240" w:lineRule="auto"/>
              <w:rPr>
                <w:rFonts w:cs="Arial"/>
                <w:color w:val="000000"/>
                <w:sz w:val="18"/>
                <w:szCs w:val="18"/>
              </w:rPr>
            </w:pPr>
            <w:r>
              <w:rPr>
                <w:rFonts w:cs="Arial"/>
                <w:color w:val="000000"/>
                <w:sz w:val="18"/>
                <w:szCs w:val="18"/>
              </w:rPr>
              <w:t>Length of stay is below the inlier lower bound for this episode’s DRG</w:t>
            </w:r>
          </w:p>
        </w:tc>
      </w:tr>
      <w:tr w:rsidR="00A90801" w:rsidRPr="00C525F3" w14:paraId="2036770B" w14:textId="77777777" w:rsidTr="11584AC8">
        <w:trPr>
          <w:cantSplit/>
          <w:trHeight w:val="450"/>
        </w:trPr>
        <w:tc>
          <w:tcPr>
            <w:tcW w:w="441" w:type="pct"/>
            <w:shd w:val="clear" w:color="auto" w:fill="auto"/>
            <w:noWrap/>
          </w:tcPr>
          <w:p w14:paraId="4CBF76E2" w14:textId="6BEA82EA" w:rsidR="00D13F93" w:rsidRPr="00D13F93" w:rsidRDefault="71205253" w:rsidP="00D13F93">
            <w:pPr>
              <w:tabs>
                <w:tab w:val="left" w:pos="1162"/>
              </w:tabs>
              <w:spacing w:line="240" w:lineRule="auto"/>
              <w:rPr>
                <w:rFonts w:cs="Arial"/>
                <w:color w:val="000000"/>
                <w:sz w:val="18"/>
                <w:szCs w:val="18"/>
              </w:rPr>
            </w:pPr>
            <w:r w:rsidRPr="33F5F24E">
              <w:rPr>
                <w:sz w:val="18"/>
                <w:szCs w:val="18"/>
              </w:rPr>
              <w:t>A103</w:t>
            </w:r>
          </w:p>
        </w:tc>
        <w:tc>
          <w:tcPr>
            <w:tcW w:w="958" w:type="pct"/>
            <w:shd w:val="clear" w:color="auto" w:fill="auto"/>
            <w:noWrap/>
          </w:tcPr>
          <w:p w14:paraId="6840A9CB"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cc_*</w:t>
            </w:r>
          </w:p>
        </w:tc>
        <w:tc>
          <w:tcPr>
            <w:tcW w:w="1391" w:type="pct"/>
            <w:shd w:val="clear" w:color="auto" w:fill="auto"/>
          </w:tcPr>
          <w:p w14:paraId="13BECDF4"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Chronic condition and comorbidity flags</w:t>
            </w:r>
          </w:p>
        </w:tc>
        <w:tc>
          <w:tcPr>
            <w:tcW w:w="2210" w:type="pct"/>
            <w:shd w:val="clear" w:color="auto" w:fill="auto"/>
          </w:tcPr>
          <w:p w14:paraId="19EFD120" w14:textId="77777777" w:rsidR="00D13F93" w:rsidRDefault="00D13F93" w:rsidP="00D13F93">
            <w:pPr>
              <w:tabs>
                <w:tab w:val="left" w:pos="1162"/>
              </w:tabs>
              <w:spacing w:line="240" w:lineRule="auto"/>
              <w:rPr>
                <w:rFonts w:cs="Arial"/>
                <w:color w:val="000000"/>
                <w:sz w:val="18"/>
                <w:szCs w:val="18"/>
              </w:rPr>
            </w:pPr>
            <w:r>
              <w:rPr>
                <w:rFonts w:cs="Arial"/>
                <w:color w:val="000000"/>
                <w:sz w:val="18"/>
                <w:szCs w:val="18"/>
              </w:rPr>
              <w:t>See avoidable readmission technical specifications for details</w:t>
            </w:r>
          </w:p>
        </w:tc>
      </w:tr>
      <w:tr w:rsidR="00A90801" w:rsidRPr="00C525F3" w14:paraId="051F496B" w14:textId="77777777" w:rsidTr="11584AC8">
        <w:trPr>
          <w:cantSplit/>
          <w:trHeight w:val="450"/>
        </w:trPr>
        <w:tc>
          <w:tcPr>
            <w:tcW w:w="441" w:type="pct"/>
            <w:shd w:val="clear" w:color="auto" w:fill="auto"/>
            <w:noWrap/>
          </w:tcPr>
          <w:p w14:paraId="6481A03C" w14:textId="7476BE79" w:rsidR="008D1719" w:rsidRDefault="71205253" w:rsidP="00D13F93">
            <w:pPr>
              <w:tabs>
                <w:tab w:val="left" w:pos="1162"/>
              </w:tabs>
              <w:spacing w:line="240" w:lineRule="auto"/>
              <w:rPr>
                <w:rFonts w:cs="Arial"/>
                <w:color w:val="000000"/>
                <w:sz w:val="18"/>
                <w:szCs w:val="18"/>
              </w:rPr>
            </w:pPr>
            <w:r w:rsidRPr="33F5F24E">
              <w:rPr>
                <w:rFonts w:cs="Arial"/>
                <w:color w:val="000000" w:themeColor="text1"/>
                <w:sz w:val="18"/>
                <w:szCs w:val="18"/>
              </w:rPr>
              <w:t>A104</w:t>
            </w:r>
            <w:r w:rsidR="26EA5151" w:rsidRPr="33F5F24E">
              <w:rPr>
                <w:rFonts w:cs="Arial"/>
                <w:color w:val="000000" w:themeColor="text1"/>
                <w:sz w:val="18"/>
                <w:szCs w:val="18"/>
              </w:rPr>
              <w:t>-</w:t>
            </w:r>
            <w:r w:rsidRPr="33F5F24E">
              <w:rPr>
                <w:rFonts w:cs="Arial"/>
                <w:color w:val="000000" w:themeColor="text1"/>
                <w:sz w:val="18"/>
                <w:szCs w:val="18"/>
              </w:rPr>
              <w:t>A1</w:t>
            </w:r>
            <w:r w:rsidR="2A93C3C2" w:rsidRPr="33F5F24E">
              <w:rPr>
                <w:rFonts w:cs="Arial"/>
                <w:color w:val="000000" w:themeColor="text1"/>
                <w:sz w:val="18"/>
                <w:szCs w:val="18"/>
              </w:rPr>
              <w:t>19</w:t>
            </w:r>
          </w:p>
        </w:tc>
        <w:tc>
          <w:tcPr>
            <w:tcW w:w="958" w:type="pct"/>
            <w:shd w:val="clear" w:color="auto" w:fill="auto"/>
            <w:noWrap/>
          </w:tcPr>
          <w:p w14:paraId="5BED0353"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age_XXg</w:t>
            </w:r>
          </w:p>
        </w:tc>
        <w:tc>
          <w:tcPr>
            <w:tcW w:w="1391" w:type="pct"/>
            <w:shd w:val="clear" w:color="auto" w:fill="auto"/>
          </w:tcPr>
          <w:p w14:paraId="2EA565B7"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Age group for HACXX</w:t>
            </w:r>
          </w:p>
        </w:tc>
        <w:tc>
          <w:tcPr>
            <w:tcW w:w="2210" w:type="pct"/>
            <w:shd w:val="clear" w:color="auto" w:fill="auto"/>
          </w:tcPr>
          <w:p w14:paraId="1A3BD9CD"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The age group relevant for risk adjustment of HACXX.</w:t>
            </w:r>
          </w:p>
        </w:tc>
      </w:tr>
      <w:tr w:rsidR="00A90801" w:rsidRPr="00C525F3" w14:paraId="5C4B1265" w14:textId="77777777" w:rsidTr="11584AC8">
        <w:trPr>
          <w:cantSplit/>
          <w:trHeight w:val="450"/>
        </w:trPr>
        <w:tc>
          <w:tcPr>
            <w:tcW w:w="441" w:type="pct"/>
            <w:shd w:val="clear" w:color="auto" w:fill="auto"/>
            <w:noWrap/>
          </w:tcPr>
          <w:p w14:paraId="1C504D56" w14:textId="71EC9ED8" w:rsidR="008D1719" w:rsidRDefault="71205253" w:rsidP="00D13F93">
            <w:pPr>
              <w:tabs>
                <w:tab w:val="left" w:pos="1162"/>
              </w:tabs>
              <w:spacing w:line="240" w:lineRule="auto"/>
              <w:rPr>
                <w:rFonts w:cs="Arial"/>
                <w:color w:val="000000"/>
                <w:sz w:val="18"/>
                <w:szCs w:val="18"/>
              </w:rPr>
            </w:pPr>
            <w:r w:rsidRPr="33F5F24E">
              <w:rPr>
                <w:rFonts w:cs="Arial"/>
                <w:color w:val="000000" w:themeColor="text1"/>
                <w:sz w:val="18"/>
                <w:szCs w:val="18"/>
              </w:rPr>
              <w:lastRenderedPageBreak/>
              <w:t>A120</w:t>
            </w:r>
            <w:r w:rsidR="26EA5151" w:rsidRPr="33F5F24E">
              <w:rPr>
                <w:rFonts w:cs="Arial"/>
                <w:color w:val="000000" w:themeColor="text1"/>
                <w:sz w:val="18"/>
                <w:szCs w:val="18"/>
              </w:rPr>
              <w:t>-</w:t>
            </w:r>
            <w:r w:rsidRPr="33F5F24E">
              <w:rPr>
                <w:rFonts w:cs="Arial"/>
                <w:color w:val="000000" w:themeColor="text1"/>
                <w:sz w:val="18"/>
                <w:szCs w:val="18"/>
              </w:rPr>
              <w:t>A135</w:t>
            </w:r>
          </w:p>
        </w:tc>
        <w:tc>
          <w:tcPr>
            <w:tcW w:w="958" w:type="pct"/>
            <w:shd w:val="clear" w:color="auto" w:fill="auto"/>
            <w:noWrap/>
          </w:tcPr>
          <w:p w14:paraId="4FB3B050"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mdc_XXg</w:t>
            </w:r>
          </w:p>
        </w:tc>
        <w:tc>
          <w:tcPr>
            <w:tcW w:w="1391" w:type="pct"/>
            <w:shd w:val="clear" w:color="auto" w:fill="auto"/>
          </w:tcPr>
          <w:p w14:paraId="3B7FBF42"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MDC group for HACXX</w:t>
            </w:r>
          </w:p>
        </w:tc>
        <w:tc>
          <w:tcPr>
            <w:tcW w:w="2210" w:type="pct"/>
            <w:shd w:val="clear" w:color="auto" w:fill="auto"/>
          </w:tcPr>
          <w:p w14:paraId="2ED92AC8"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The MDC group relevant for risk adjustment of HACXX.</w:t>
            </w:r>
          </w:p>
        </w:tc>
      </w:tr>
      <w:tr w:rsidR="00A90801" w:rsidRPr="00C525F3" w14:paraId="340DE133" w14:textId="77777777" w:rsidTr="11584AC8">
        <w:trPr>
          <w:cantSplit/>
          <w:trHeight w:val="450"/>
        </w:trPr>
        <w:tc>
          <w:tcPr>
            <w:tcW w:w="441" w:type="pct"/>
            <w:shd w:val="clear" w:color="auto" w:fill="auto"/>
            <w:noWrap/>
          </w:tcPr>
          <w:p w14:paraId="470DA16E" w14:textId="38E79021" w:rsidR="008D1719" w:rsidRDefault="71205253" w:rsidP="00D13F93">
            <w:pPr>
              <w:tabs>
                <w:tab w:val="left" w:pos="1162"/>
              </w:tabs>
              <w:spacing w:line="240" w:lineRule="auto"/>
              <w:rPr>
                <w:rFonts w:cs="Arial"/>
                <w:color w:val="000000"/>
                <w:sz w:val="18"/>
                <w:szCs w:val="18"/>
              </w:rPr>
            </w:pPr>
            <w:r w:rsidRPr="33F5F24E">
              <w:rPr>
                <w:rFonts w:cs="Arial"/>
                <w:color w:val="000000" w:themeColor="text1"/>
                <w:sz w:val="18"/>
                <w:szCs w:val="18"/>
              </w:rPr>
              <w:t>A136</w:t>
            </w:r>
            <w:r w:rsidR="26EA5151" w:rsidRPr="33F5F24E">
              <w:rPr>
                <w:rFonts w:cs="Arial"/>
                <w:color w:val="000000" w:themeColor="text1"/>
                <w:sz w:val="18"/>
                <w:szCs w:val="18"/>
              </w:rPr>
              <w:t>-</w:t>
            </w:r>
            <w:r w:rsidRPr="33F5F24E">
              <w:rPr>
                <w:rFonts w:cs="Arial"/>
                <w:color w:val="000000" w:themeColor="text1"/>
                <w:sz w:val="18"/>
                <w:szCs w:val="18"/>
              </w:rPr>
              <w:t>A151</w:t>
            </w:r>
          </w:p>
        </w:tc>
        <w:tc>
          <w:tcPr>
            <w:tcW w:w="958" w:type="pct"/>
            <w:shd w:val="clear" w:color="auto" w:fill="auto"/>
            <w:noWrap/>
          </w:tcPr>
          <w:p w14:paraId="70F6D2A6"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cc_XXg</w:t>
            </w:r>
          </w:p>
        </w:tc>
        <w:tc>
          <w:tcPr>
            <w:tcW w:w="1391" w:type="pct"/>
            <w:shd w:val="clear" w:color="auto" w:fill="auto"/>
          </w:tcPr>
          <w:p w14:paraId="47FC1467"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Charlson Comorbidity group for HACXX</w:t>
            </w:r>
          </w:p>
        </w:tc>
        <w:tc>
          <w:tcPr>
            <w:tcW w:w="2210" w:type="pct"/>
            <w:shd w:val="clear" w:color="auto" w:fill="auto"/>
          </w:tcPr>
          <w:p w14:paraId="2CA7950D"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The Charlson Comorbidity score group relevant for risk adjustment of HACXX.</w:t>
            </w:r>
          </w:p>
        </w:tc>
      </w:tr>
      <w:tr w:rsidR="00A90801" w:rsidRPr="00C525F3" w14:paraId="26B063A1" w14:textId="77777777" w:rsidTr="11584AC8">
        <w:trPr>
          <w:cantSplit/>
          <w:trHeight w:val="450"/>
        </w:trPr>
        <w:tc>
          <w:tcPr>
            <w:tcW w:w="441" w:type="pct"/>
            <w:shd w:val="clear" w:color="auto" w:fill="auto"/>
            <w:noWrap/>
          </w:tcPr>
          <w:p w14:paraId="13853453" w14:textId="28837E94" w:rsidR="008D1719" w:rsidRDefault="71205253" w:rsidP="00D13F93">
            <w:pPr>
              <w:tabs>
                <w:tab w:val="left" w:pos="1162"/>
              </w:tabs>
              <w:spacing w:line="240" w:lineRule="auto"/>
              <w:rPr>
                <w:rFonts w:cs="Arial"/>
                <w:color w:val="000000"/>
                <w:sz w:val="18"/>
                <w:szCs w:val="18"/>
              </w:rPr>
            </w:pPr>
            <w:r w:rsidRPr="33F5F24E">
              <w:rPr>
                <w:rFonts w:cs="Arial"/>
                <w:color w:val="000000" w:themeColor="text1"/>
                <w:sz w:val="18"/>
                <w:szCs w:val="18"/>
              </w:rPr>
              <w:t>A152</w:t>
            </w:r>
            <w:r w:rsidR="26EA5151" w:rsidRPr="33F5F24E">
              <w:rPr>
                <w:rFonts w:cs="Arial"/>
                <w:color w:val="000000" w:themeColor="text1"/>
                <w:sz w:val="18"/>
                <w:szCs w:val="18"/>
              </w:rPr>
              <w:t>-</w:t>
            </w:r>
            <w:r w:rsidRPr="33F5F24E">
              <w:rPr>
                <w:rFonts w:cs="Arial"/>
                <w:color w:val="000000" w:themeColor="text1"/>
                <w:sz w:val="18"/>
                <w:szCs w:val="18"/>
              </w:rPr>
              <w:t>A167</w:t>
            </w:r>
          </w:p>
        </w:tc>
        <w:tc>
          <w:tcPr>
            <w:tcW w:w="958" w:type="pct"/>
            <w:shd w:val="clear" w:color="auto" w:fill="auto"/>
            <w:noWrap/>
          </w:tcPr>
          <w:p w14:paraId="783522F9"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pointsXX</w:t>
            </w:r>
          </w:p>
        </w:tc>
        <w:tc>
          <w:tcPr>
            <w:tcW w:w="1391" w:type="pct"/>
            <w:shd w:val="clear" w:color="auto" w:fill="auto"/>
          </w:tcPr>
          <w:p w14:paraId="298BADF5"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E9D6173"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Total complexity score for HACXX.</w:t>
            </w:r>
          </w:p>
        </w:tc>
      </w:tr>
      <w:tr w:rsidR="00A90801" w:rsidRPr="00C525F3" w14:paraId="30977BC8" w14:textId="77777777" w:rsidTr="11584AC8">
        <w:trPr>
          <w:cantSplit/>
          <w:trHeight w:val="450"/>
        </w:trPr>
        <w:tc>
          <w:tcPr>
            <w:tcW w:w="441" w:type="pct"/>
            <w:shd w:val="clear" w:color="auto" w:fill="auto"/>
            <w:noWrap/>
          </w:tcPr>
          <w:p w14:paraId="57EACBDD" w14:textId="09E1A1E6" w:rsidR="008D1719" w:rsidRDefault="71205253" w:rsidP="00D13F93">
            <w:pPr>
              <w:tabs>
                <w:tab w:val="left" w:pos="1162"/>
              </w:tabs>
              <w:spacing w:line="240" w:lineRule="auto"/>
              <w:rPr>
                <w:rFonts w:cs="Arial"/>
                <w:color w:val="000000"/>
                <w:sz w:val="18"/>
                <w:szCs w:val="18"/>
              </w:rPr>
            </w:pPr>
            <w:r w:rsidRPr="33F5F24E">
              <w:rPr>
                <w:rFonts w:cs="Arial"/>
                <w:color w:val="000000" w:themeColor="text1"/>
                <w:sz w:val="18"/>
                <w:szCs w:val="18"/>
              </w:rPr>
              <w:t>A168</w:t>
            </w:r>
            <w:r w:rsidR="26EA5151" w:rsidRPr="33F5F24E">
              <w:rPr>
                <w:rFonts w:cs="Arial"/>
                <w:color w:val="000000" w:themeColor="text1"/>
                <w:sz w:val="18"/>
                <w:szCs w:val="18"/>
              </w:rPr>
              <w:t>-</w:t>
            </w:r>
            <w:r w:rsidRPr="33F5F24E">
              <w:rPr>
                <w:rFonts w:cs="Arial"/>
                <w:color w:val="000000" w:themeColor="text1"/>
                <w:sz w:val="18"/>
                <w:szCs w:val="18"/>
              </w:rPr>
              <w:t>A183</w:t>
            </w:r>
          </w:p>
        </w:tc>
        <w:tc>
          <w:tcPr>
            <w:tcW w:w="958" w:type="pct"/>
            <w:shd w:val="clear" w:color="auto" w:fill="auto"/>
            <w:noWrap/>
          </w:tcPr>
          <w:p w14:paraId="659BB5D9"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groupXX</w:t>
            </w:r>
          </w:p>
        </w:tc>
        <w:tc>
          <w:tcPr>
            <w:tcW w:w="1391" w:type="pct"/>
            <w:shd w:val="clear" w:color="auto" w:fill="auto"/>
          </w:tcPr>
          <w:p w14:paraId="219C3A7F"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017CECDD"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Complexity group relevant to HACXX.</w:t>
            </w:r>
          </w:p>
        </w:tc>
      </w:tr>
      <w:tr w:rsidR="00A90801" w:rsidRPr="00C525F3" w14:paraId="14D5F90F" w14:textId="77777777" w:rsidTr="11584AC8">
        <w:trPr>
          <w:cantSplit/>
          <w:trHeight w:val="450"/>
        </w:trPr>
        <w:tc>
          <w:tcPr>
            <w:tcW w:w="441" w:type="pct"/>
            <w:shd w:val="clear" w:color="auto" w:fill="auto"/>
            <w:noWrap/>
          </w:tcPr>
          <w:p w14:paraId="3E74628D" w14:textId="6E32C81F" w:rsidR="008D1719" w:rsidRDefault="71205253" w:rsidP="00D13F93">
            <w:pPr>
              <w:tabs>
                <w:tab w:val="left" w:pos="1162"/>
              </w:tabs>
              <w:spacing w:line="240" w:lineRule="auto"/>
              <w:rPr>
                <w:rFonts w:cs="Arial"/>
                <w:color w:val="000000"/>
                <w:sz w:val="18"/>
                <w:szCs w:val="18"/>
              </w:rPr>
            </w:pPr>
            <w:r w:rsidRPr="33F5F24E">
              <w:rPr>
                <w:rFonts w:cs="Arial"/>
                <w:color w:val="000000" w:themeColor="text1"/>
                <w:sz w:val="18"/>
                <w:szCs w:val="18"/>
              </w:rPr>
              <w:t>A184</w:t>
            </w:r>
            <w:r w:rsidR="26EA5151" w:rsidRPr="33F5F24E">
              <w:rPr>
                <w:rFonts w:cs="Arial"/>
                <w:color w:val="000000" w:themeColor="text1"/>
                <w:sz w:val="18"/>
                <w:szCs w:val="18"/>
              </w:rPr>
              <w:t>-</w:t>
            </w:r>
            <w:r w:rsidRPr="33F5F24E">
              <w:rPr>
                <w:rFonts w:cs="Arial"/>
                <w:color w:val="000000" w:themeColor="text1"/>
                <w:sz w:val="18"/>
                <w:szCs w:val="18"/>
              </w:rPr>
              <w:t>A</w:t>
            </w:r>
            <w:r w:rsidR="2A93C3C2" w:rsidRPr="33F5F24E">
              <w:rPr>
                <w:rFonts w:cs="Arial"/>
                <w:color w:val="000000" w:themeColor="text1"/>
                <w:sz w:val="18"/>
                <w:szCs w:val="18"/>
              </w:rPr>
              <w:t>199</w:t>
            </w:r>
          </w:p>
        </w:tc>
        <w:tc>
          <w:tcPr>
            <w:tcW w:w="958" w:type="pct"/>
            <w:shd w:val="clear" w:color="auto" w:fill="auto"/>
            <w:noWrap/>
          </w:tcPr>
          <w:p w14:paraId="11F597BA"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riskadj_XX</w:t>
            </w:r>
          </w:p>
        </w:tc>
        <w:tc>
          <w:tcPr>
            <w:tcW w:w="1391" w:type="pct"/>
            <w:shd w:val="clear" w:color="auto" w:fill="auto"/>
          </w:tcPr>
          <w:p w14:paraId="15CA63EF"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1068857E"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Funding adjustment relative to HACXX.</w:t>
            </w:r>
          </w:p>
        </w:tc>
      </w:tr>
      <w:tr w:rsidR="00A90801" w:rsidRPr="00C525F3" w14:paraId="783CB7C5" w14:textId="77777777" w:rsidTr="11584AC8">
        <w:trPr>
          <w:cantSplit/>
          <w:trHeight w:val="450"/>
        </w:trPr>
        <w:tc>
          <w:tcPr>
            <w:tcW w:w="441" w:type="pct"/>
            <w:shd w:val="clear" w:color="auto" w:fill="auto"/>
            <w:noWrap/>
          </w:tcPr>
          <w:p w14:paraId="6FC07675" w14:textId="2D344872" w:rsidR="008D1719" w:rsidRDefault="71205253" w:rsidP="00D13F93">
            <w:pPr>
              <w:tabs>
                <w:tab w:val="left" w:pos="1162"/>
              </w:tabs>
              <w:spacing w:line="240" w:lineRule="auto"/>
              <w:rPr>
                <w:rFonts w:cs="Arial"/>
                <w:color w:val="000000"/>
                <w:sz w:val="18"/>
                <w:szCs w:val="18"/>
              </w:rPr>
            </w:pPr>
            <w:r w:rsidRPr="33F5F24E">
              <w:rPr>
                <w:rFonts w:cs="Arial"/>
                <w:color w:val="000000" w:themeColor="text1"/>
                <w:sz w:val="18"/>
                <w:szCs w:val="18"/>
              </w:rPr>
              <w:t>A200</w:t>
            </w:r>
          </w:p>
        </w:tc>
        <w:tc>
          <w:tcPr>
            <w:tcW w:w="958" w:type="pct"/>
            <w:shd w:val="clear" w:color="auto" w:fill="auto"/>
            <w:noWrap/>
          </w:tcPr>
          <w:p w14:paraId="458D67AE"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HAC_adj</w:t>
            </w:r>
          </w:p>
        </w:tc>
        <w:tc>
          <w:tcPr>
            <w:tcW w:w="1391" w:type="pct"/>
            <w:shd w:val="clear" w:color="auto" w:fill="auto"/>
          </w:tcPr>
          <w:p w14:paraId="5CCF5DBE"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Adopted funding adjustment</w:t>
            </w:r>
          </w:p>
        </w:tc>
        <w:tc>
          <w:tcPr>
            <w:tcW w:w="2210" w:type="pct"/>
            <w:shd w:val="clear" w:color="auto" w:fill="auto"/>
          </w:tcPr>
          <w:p w14:paraId="1A4C3291" w14:textId="10CE642C" w:rsidR="008D1719" w:rsidRPr="00D636F8" w:rsidRDefault="008D1719" w:rsidP="008D1719">
            <w:pPr>
              <w:tabs>
                <w:tab w:val="left" w:pos="1162"/>
              </w:tabs>
              <w:spacing w:line="240" w:lineRule="auto"/>
              <w:rPr>
                <w:rFonts w:cs="Arial"/>
                <w:color w:val="000000" w:themeColor="text1"/>
                <w:sz w:val="18"/>
                <w:szCs w:val="18"/>
              </w:rPr>
            </w:pPr>
            <w:r w:rsidRPr="3339EA63">
              <w:rPr>
                <w:rFonts w:cs="Arial"/>
                <w:color w:val="000000" w:themeColor="text1"/>
                <w:sz w:val="18"/>
                <w:szCs w:val="18"/>
              </w:rPr>
              <w:t>Max(</w:t>
            </w:r>
            <w:r w:rsidR="6A51118D" w:rsidRPr="3339EA63">
              <w:rPr>
                <w:rFonts w:cs="Arial"/>
                <w:color w:val="000000" w:themeColor="text1"/>
                <w:sz w:val="18"/>
                <w:szCs w:val="18"/>
              </w:rPr>
              <w:t xml:space="preserve"> riskadj_XX</w:t>
            </w:r>
            <w:r w:rsidRPr="3339EA63">
              <w:rPr>
                <w:rFonts w:cs="Arial"/>
                <w:color w:val="000000" w:themeColor="text1"/>
                <w:sz w:val="18"/>
                <w:szCs w:val="18"/>
              </w:rPr>
              <w:t>)</w:t>
            </w:r>
          </w:p>
        </w:tc>
      </w:tr>
      <w:tr w:rsidR="00A90801" w:rsidRPr="00C525F3" w14:paraId="5745BFA1" w14:textId="77777777" w:rsidTr="11584AC8">
        <w:trPr>
          <w:cantSplit/>
          <w:trHeight w:val="450"/>
        </w:trPr>
        <w:tc>
          <w:tcPr>
            <w:tcW w:w="441" w:type="pct"/>
            <w:shd w:val="clear" w:color="auto" w:fill="auto"/>
            <w:noWrap/>
          </w:tcPr>
          <w:p w14:paraId="4C62EB44" w14:textId="49CC0891" w:rsidR="008D1719" w:rsidRDefault="71205253" w:rsidP="6886BF09">
            <w:pPr>
              <w:tabs>
                <w:tab w:val="left" w:pos="1162"/>
              </w:tabs>
              <w:spacing w:line="240" w:lineRule="auto"/>
              <w:rPr>
                <w:rFonts w:eastAsiaTheme="minorEastAsia" w:cs="Arial"/>
                <w:b/>
                <w:bCs/>
                <w:noProof/>
                <w:color w:val="000000"/>
                <w:sz w:val="18"/>
                <w:szCs w:val="18"/>
              </w:rPr>
            </w:pPr>
            <w:r w:rsidRPr="33F5F24E">
              <w:rPr>
                <w:rFonts w:cs="Arial"/>
                <w:color w:val="000000" w:themeColor="text1"/>
                <w:sz w:val="18"/>
                <w:szCs w:val="18"/>
              </w:rPr>
              <w:t>A201</w:t>
            </w:r>
          </w:p>
        </w:tc>
        <w:tc>
          <w:tcPr>
            <w:tcW w:w="958" w:type="pct"/>
            <w:shd w:val="clear" w:color="auto" w:fill="auto"/>
            <w:noWrap/>
          </w:tcPr>
          <w:p w14:paraId="09E85C5C"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Error_Code</w:t>
            </w:r>
          </w:p>
        </w:tc>
        <w:tc>
          <w:tcPr>
            <w:tcW w:w="1391" w:type="pct"/>
            <w:shd w:val="clear" w:color="auto" w:fill="auto"/>
          </w:tcPr>
          <w:p w14:paraId="322BE1EE"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8873D41"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Outlines Errors in calculations</w:t>
            </w:r>
          </w:p>
        </w:tc>
      </w:tr>
      <w:tr w:rsidR="00A90801" w:rsidRPr="00C525F3" w14:paraId="08BA5060" w14:textId="77777777" w:rsidTr="11584AC8">
        <w:trPr>
          <w:cantSplit/>
          <w:trHeight w:val="450"/>
        </w:trPr>
        <w:tc>
          <w:tcPr>
            <w:tcW w:w="441" w:type="pct"/>
            <w:shd w:val="clear" w:color="auto" w:fill="auto"/>
            <w:noWrap/>
          </w:tcPr>
          <w:p w14:paraId="29D5553D" w14:textId="337183A2" w:rsidR="008D1719" w:rsidRDefault="71205253" w:rsidP="00D13F93">
            <w:pPr>
              <w:tabs>
                <w:tab w:val="left" w:pos="1162"/>
              </w:tabs>
              <w:spacing w:line="240" w:lineRule="auto"/>
              <w:rPr>
                <w:rFonts w:cs="Arial"/>
                <w:color w:val="000000"/>
                <w:sz w:val="18"/>
                <w:szCs w:val="18"/>
              </w:rPr>
            </w:pPr>
            <w:r w:rsidRPr="33F5F24E">
              <w:rPr>
                <w:rFonts w:cs="Arial"/>
                <w:color w:val="000000" w:themeColor="text1"/>
                <w:sz w:val="18"/>
                <w:szCs w:val="18"/>
              </w:rPr>
              <w:t>A202</w:t>
            </w:r>
          </w:p>
        </w:tc>
        <w:tc>
          <w:tcPr>
            <w:tcW w:w="958" w:type="pct"/>
            <w:shd w:val="clear" w:color="auto" w:fill="auto"/>
            <w:noWrap/>
          </w:tcPr>
          <w:p w14:paraId="7833BF27"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hacflag</w:t>
            </w:r>
          </w:p>
        </w:tc>
        <w:tc>
          <w:tcPr>
            <w:tcW w:w="1391" w:type="pct"/>
            <w:shd w:val="clear" w:color="auto" w:fill="auto"/>
          </w:tcPr>
          <w:p w14:paraId="74392BA2"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04BD86B"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1 if episode has a HAC; else 0.</w:t>
            </w:r>
          </w:p>
        </w:tc>
      </w:tr>
      <w:tr w:rsidR="00A90801" w:rsidRPr="00C525F3" w14:paraId="1159F04D" w14:textId="77777777" w:rsidTr="11584AC8">
        <w:trPr>
          <w:cantSplit/>
          <w:trHeight w:val="450"/>
        </w:trPr>
        <w:tc>
          <w:tcPr>
            <w:tcW w:w="441" w:type="pct"/>
            <w:shd w:val="clear" w:color="auto" w:fill="auto"/>
            <w:noWrap/>
          </w:tcPr>
          <w:p w14:paraId="6EAA1BA2" w14:textId="24D3B957" w:rsidR="008D1719" w:rsidRDefault="71205253" w:rsidP="00D13F93">
            <w:pPr>
              <w:tabs>
                <w:tab w:val="left" w:pos="1162"/>
              </w:tabs>
              <w:spacing w:line="240" w:lineRule="auto"/>
              <w:rPr>
                <w:rFonts w:cs="Arial"/>
                <w:color w:val="000000"/>
                <w:sz w:val="18"/>
                <w:szCs w:val="18"/>
              </w:rPr>
            </w:pPr>
            <w:r w:rsidRPr="33F5F24E">
              <w:rPr>
                <w:rFonts w:cs="Arial"/>
                <w:color w:val="000000" w:themeColor="text1"/>
                <w:sz w:val="18"/>
                <w:szCs w:val="18"/>
              </w:rPr>
              <w:t>A203</w:t>
            </w:r>
          </w:p>
        </w:tc>
        <w:tc>
          <w:tcPr>
            <w:tcW w:w="958" w:type="pct"/>
            <w:shd w:val="clear" w:color="auto" w:fill="auto"/>
            <w:noWrap/>
          </w:tcPr>
          <w:p w14:paraId="0EF30EDD"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hacgroup</w:t>
            </w:r>
          </w:p>
        </w:tc>
        <w:tc>
          <w:tcPr>
            <w:tcW w:w="1391" w:type="pct"/>
            <w:shd w:val="clear" w:color="auto" w:fill="auto"/>
          </w:tcPr>
          <w:p w14:paraId="1D8DF540"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A065E3B"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HAC group adopted for funding adjustment.</w:t>
            </w:r>
          </w:p>
        </w:tc>
      </w:tr>
      <w:tr w:rsidR="00A90801" w:rsidRPr="00C525F3" w14:paraId="749EF38F" w14:textId="77777777" w:rsidTr="11584AC8">
        <w:trPr>
          <w:cantSplit/>
          <w:trHeight w:val="450"/>
        </w:trPr>
        <w:tc>
          <w:tcPr>
            <w:tcW w:w="441" w:type="pct"/>
            <w:shd w:val="clear" w:color="auto" w:fill="auto"/>
            <w:noWrap/>
          </w:tcPr>
          <w:p w14:paraId="42647EE8" w14:textId="697A1020" w:rsidR="008D1719" w:rsidRDefault="71205253" w:rsidP="00D13F93">
            <w:pPr>
              <w:tabs>
                <w:tab w:val="left" w:pos="1162"/>
              </w:tabs>
              <w:spacing w:line="240" w:lineRule="auto"/>
              <w:rPr>
                <w:rFonts w:cs="Arial"/>
                <w:color w:val="000000"/>
                <w:sz w:val="18"/>
                <w:szCs w:val="18"/>
              </w:rPr>
            </w:pPr>
            <w:r w:rsidRPr="33F5F24E">
              <w:rPr>
                <w:rFonts w:cs="Arial"/>
                <w:color w:val="000000" w:themeColor="text1"/>
                <w:sz w:val="18"/>
                <w:szCs w:val="18"/>
              </w:rPr>
              <w:t>A204</w:t>
            </w:r>
          </w:p>
        </w:tc>
        <w:tc>
          <w:tcPr>
            <w:tcW w:w="958" w:type="pct"/>
            <w:shd w:val="clear" w:color="auto" w:fill="auto"/>
            <w:noWrap/>
          </w:tcPr>
          <w:p w14:paraId="24656851" w14:textId="77777777" w:rsidR="008D1719" w:rsidRPr="00FA3851" w:rsidRDefault="008D1719" w:rsidP="008D1719">
            <w:pPr>
              <w:tabs>
                <w:tab w:val="left" w:pos="1162"/>
              </w:tabs>
              <w:spacing w:line="240" w:lineRule="auto"/>
              <w:rPr>
                <w:rFonts w:cs="Arial"/>
                <w:color w:val="000000"/>
                <w:sz w:val="18"/>
                <w:szCs w:val="18"/>
              </w:rPr>
            </w:pPr>
            <w:r>
              <w:rPr>
                <w:rFonts w:cs="Arial"/>
                <w:color w:val="000000"/>
                <w:sz w:val="18"/>
                <w:szCs w:val="18"/>
              </w:rPr>
              <w:t>complexity</w:t>
            </w:r>
          </w:p>
        </w:tc>
        <w:tc>
          <w:tcPr>
            <w:tcW w:w="1391" w:type="pct"/>
            <w:shd w:val="clear" w:color="auto" w:fill="auto"/>
          </w:tcPr>
          <w:p w14:paraId="615FC3B1" w14:textId="77777777" w:rsidR="008D1719" w:rsidRPr="00FA3851"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31E33618" w14:textId="0B092827" w:rsidR="008D1719" w:rsidRDefault="008D1719" w:rsidP="003B2906">
            <w:pPr>
              <w:tabs>
                <w:tab w:val="left" w:pos="1162"/>
              </w:tabs>
              <w:spacing w:before="80" w:after="80" w:line="240" w:lineRule="auto"/>
              <w:rPr>
                <w:rFonts w:cs="Arial"/>
                <w:color w:val="000000"/>
                <w:sz w:val="18"/>
                <w:szCs w:val="18"/>
              </w:rPr>
            </w:pPr>
            <w:r w:rsidRPr="6886BF09">
              <w:rPr>
                <w:rFonts w:cs="Arial"/>
                <w:color w:val="000000" w:themeColor="text1"/>
                <w:sz w:val="18"/>
                <w:szCs w:val="18"/>
              </w:rPr>
              <w:t xml:space="preserve">Complexity score associated to </w:t>
            </w:r>
            <w:r w:rsidR="66FE08AE" w:rsidRPr="6B184054">
              <w:rPr>
                <w:rFonts w:cs="Arial"/>
                <w:color w:val="000000" w:themeColor="text1"/>
                <w:sz w:val="18"/>
                <w:szCs w:val="18"/>
              </w:rPr>
              <w:t xml:space="preserve"> hacgroup</w:t>
            </w:r>
          </w:p>
        </w:tc>
      </w:tr>
      <w:tr w:rsidR="00A90801" w:rsidRPr="00C525F3" w14:paraId="45AE78CD" w14:textId="77777777" w:rsidTr="11584AC8">
        <w:trPr>
          <w:cantSplit/>
          <w:trHeight w:val="450"/>
        </w:trPr>
        <w:tc>
          <w:tcPr>
            <w:tcW w:w="441" w:type="pct"/>
            <w:shd w:val="clear" w:color="auto" w:fill="auto"/>
            <w:noWrap/>
          </w:tcPr>
          <w:p w14:paraId="10F2A1AC" w14:textId="0AC98D72" w:rsidR="008D1719" w:rsidRDefault="71205253" w:rsidP="00D13F93">
            <w:pPr>
              <w:tabs>
                <w:tab w:val="left" w:pos="1162"/>
              </w:tabs>
              <w:spacing w:line="240" w:lineRule="auto"/>
              <w:rPr>
                <w:rFonts w:cs="Arial"/>
                <w:color w:val="000000"/>
                <w:sz w:val="18"/>
                <w:szCs w:val="18"/>
              </w:rPr>
            </w:pPr>
            <w:r w:rsidRPr="33F5F24E">
              <w:rPr>
                <w:rFonts w:cs="Arial"/>
                <w:color w:val="000000" w:themeColor="text1"/>
                <w:sz w:val="18"/>
                <w:szCs w:val="18"/>
              </w:rPr>
              <w:t>A205</w:t>
            </w:r>
          </w:p>
        </w:tc>
        <w:tc>
          <w:tcPr>
            <w:tcW w:w="958" w:type="pct"/>
            <w:shd w:val="clear" w:color="auto" w:fill="auto"/>
            <w:noWrap/>
          </w:tcPr>
          <w:p w14:paraId="47310C8A" w14:textId="77777777" w:rsidR="008D1719" w:rsidRPr="00FA3851" w:rsidRDefault="008D1719" w:rsidP="008D1719">
            <w:pPr>
              <w:tabs>
                <w:tab w:val="left" w:pos="1162"/>
              </w:tabs>
              <w:spacing w:line="240" w:lineRule="auto"/>
              <w:rPr>
                <w:rFonts w:cs="Arial"/>
                <w:color w:val="000000"/>
                <w:sz w:val="18"/>
                <w:szCs w:val="18"/>
              </w:rPr>
            </w:pPr>
            <w:r>
              <w:rPr>
                <w:rFonts w:cs="Arial"/>
                <w:color w:val="000000"/>
                <w:sz w:val="18"/>
                <w:szCs w:val="18"/>
              </w:rPr>
              <w:t>complexityGroup</w:t>
            </w:r>
          </w:p>
        </w:tc>
        <w:tc>
          <w:tcPr>
            <w:tcW w:w="1391" w:type="pct"/>
            <w:shd w:val="clear" w:color="auto" w:fill="auto"/>
          </w:tcPr>
          <w:p w14:paraId="3FBAE7CB" w14:textId="77777777" w:rsidR="008D1719" w:rsidRPr="00FA3851"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005B328A" w14:textId="79F46CF9" w:rsidR="008D1719" w:rsidRDefault="008D1719" w:rsidP="003B2906">
            <w:pPr>
              <w:tabs>
                <w:tab w:val="left" w:pos="1162"/>
              </w:tabs>
              <w:spacing w:before="80" w:after="80" w:line="240" w:lineRule="auto"/>
              <w:rPr>
                <w:rFonts w:cs="Arial"/>
                <w:color w:val="000000"/>
                <w:sz w:val="18"/>
                <w:szCs w:val="18"/>
              </w:rPr>
            </w:pPr>
            <w:r w:rsidRPr="6886BF09">
              <w:rPr>
                <w:rFonts w:cs="Arial"/>
                <w:color w:val="000000" w:themeColor="text1"/>
                <w:sz w:val="18"/>
                <w:szCs w:val="18"/>
              </w:rPr>
              <w:t xml:space="preserve">Complexity group associated to  </w:t>
            </w:r>
            <w:r w:rsidR="4A8BEE6C" w:rsidRPr="3A24A175">
              <w:rPr>
                <w:rFonts w:cs="Arial"/>
                <w:color w:val="000000" w:themeColor="text1"/>
                <w:sz w:val="18"/>
                <w:szCs w:val="18"/>
              </w:rPr>
              <w:t>hacgroup</w:t>
            </w:r>
          </w:p>
        </w:tc>
      </w:tr>
      <w:tr w:rsidR="00A90801" w:rsidRPr="00C525F3" w14:paraId="0B7D31B7" w14:textId="77777777" w:rsidTr="11584AC8">
        <w:trPr>
          <w:cantSplit/>
          <w:trHeight w:val="450"/>
        </w:trPr>
        <w:tc>
          <w:tcPr>
            <w:tcW w:w="441" w:type="pct"/>
            <w:shd w:val="clear" w:color="auto" w:fill="auto"/>
            <w:noWrap/>
          </w:tcPr>
          <w:p w14:paraId="515D31CE" w14:textId="5887FF52" w:rsidR="008D1719" w:rsidRDefault="26EA5151" w:rsidP="00D13F93">
            <w:pPr>
              <w:tabs>
                <w:tab w:val="left" w:pos="1162"/>
              </w:tabs>
              <w:spacing w:line="240" w:lineRule="auto"/>
              <w:rPr>
                <w:rFonts w:cs="Arial"/>
                <w:color w:val="000000"/>
                <w:sz w:val="18"/>
                <w:szCs w:val="18"/>
              </w:rPr>
            </w:pPr>
            <w:r w:rsidRPr="33F5F24E">
              <w:rPr>
                <w:rFonts w:cs="Arial"/>
                <w:color w:val="000000" w:themeColor="text1"/>
                <w:sz w:val="18"/>
                <w:szCs w:val="18"/>
              </w:rPr>
              <w:t>A</w:t>
            </w:r>
            <w:r w:rsidR="71205253" w:rsidRPr="33F5F24E">
              <w:rPr>
                <w:rFonts w:cs="Arial"/>
                <w:color w:val="000000" w:themeColor="text1"/>
                <w:sz w:val="18"/>
                <w:szCs w:val="18"/>
              </w:rPr>
              <w:t>206-A218</w:t>
            </w:r>
          </w:p>
        </w:tc>
        <w:tc>
          <w:tcPr>
            <w:tcW w:w="958" w:type="pct"/>
            <w:shd w:val="clear" w:color="auto" w:fill="auto"/>
            <w:noWrap/>
          </w:tcPr>
          <w:p w14:paraId="7F4C922F"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readm_pointsXX</w:t>
            </w:r>
          </w:p>
        </w:tc>
        <w:tc>
          <w:tcPr>
            <w:tcW w:w="1391" w:type="pct"/>
            <w:shd w:val="clear" w:color="auto" w:fill="auto"/>
          </w:tcPr>
          <w:p w14:paraId="379119EC"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49C4E85" w14:textId="745ABFE2" w:rsidR="008D1719" w:rsidRDefault="008D1719" w:rsidP="008D1719">
            <w:pPr>
              <w:tabs>
                <w:tab w:val="left" w:pos="1162"/>
              </w:tabs>
              <w:spacing w:before="80" w:after="80" w:line="240" w:lineRule="auto"/>
              <w:rPr>
                <w:rFonts w:cs="Arial"/>
                <w:color w:val="000000"/>
                <w:sz w:val="18"/>
                <w:szCs w:val="18"/>
              </w:rPr>
            </w:pPr>
            <w:r w:rsidRPr="11584AC8">
              <w:rPr>
                <w:rFonts w:cs="Arial"/>
                <w:color w:val="000000" w:themeColor="text1"/>
                <w:sz w:val="18"/>
                <w:szCs w:val="18"/>
              </w:rPr>
              <w:t xml:space="preserve">Total complexity score for </w:t>
            </w:r>
            <w:r w:rsidR="26EA5151" w:rsidRPr="11584AC8">
              <w:rPr>
                <w:rFonts w:cs="Arial"/>
                <w:color w:val="000000" w:themeColor="text1"/>
                <w:sz w:val="18"/>
                <w:szCs w:val="18"/>
              </w:rPr>
              <w:t>AHRXX</w:t>
            </w:r>
            <w:r w:rsidRPr="11584AC8">
              <w:rPr>
                <w:rFonts w:cs="Arial"/>
                <w:color w:val="000000" w:themeColor="text1"/>
                <w:sz w:val="18"/>
                <w:szCs w:val="18"/>
              </w:rPr>
              <w:t>.</w:t>
            </w:r>
          </w:p>
        </w:tc>
      </w:tr>
      <w:tr w:rsidR="00A90801" w:rsidRPr="00C525F3" w14:paraId="59CB567D" w14:textId="77777777" w:rsidTr="11584AC8">
        <w:trPr>
          <w:cantSplit/>
          <w:trHeight w:val="450"/>
        </w:trPr>
        <w:tc>
          <w:tcPr>
            <w:tcW w:w="441" w:type="pct"/>
            <w:shd w:val="clear" w:color="auto" w:fill="auto"/>
            <w:noWrap/>
          </w:tcPr>
          <w:p w14:paraId="5CE8F473" w14:textId="481D2420" w:rsidR="008D1719" w:rsidRDefault="26EA5151" w:rsidP="00D13F93">
            <w:pPr>
              <w:tabs>
                <w:tab w:val="left" w:pos="1162"/>
              </w:tabs>
              <w:spacing w:line="240" w:lineRule="auto"/>
              <w:rPr>
                <w:rFonts w:cs="Arial"/>
                <w:color w:val="000000"/>
                <w:sz w:val="18"/>
                <w:szCs w:val="18"/>
              </w:rPr>
            </w:pPr>
            <w:r w:rsidRPr="33F5F24E">
              <w:rPr>
                <w:rFonts w:cs="Arial"/>
                <w:color w:val="000000" w:themeColor="text1"/>
                <w:sz w:val="18"/>
                <w:szCs w:val="18"/>
              </w:rPr>
              <w:t>A</w:t>
            </w:r>
            <w:r w:rsidR="71205253" w:rsidRPr="33F5F24E">
              <w:rPr>
                <w:rFonts w:cs="Arial"/>
                <w:color w:val="000000" w:themeColor="text1"/>
                <w:sz w:val="18"/>
                <w:szCs w:val="18"/>
              </w:rPr>
              <w:t>2</w:t>
            </w:r>
            <w:r w:rsidR="2A93C3C2" w:rsidRPr="33F5F24E">
              <w:rPr>
                <w:rFonts w:cs="Arial"/>
                <w:color w:val="000000" w:themeColor="text1"/>
                <w:sz w:val="18"/>
                <w:szCs w:val="18"/>
              </w:rPr>
              <w:t>19</w:t>
            </w:r>
            <w:r w:rsidR="71205253" w:rsidRPr="33F5F24E">
              <w:rPr>
                <w:rFonts w:cs="Arial"/>
                <w:color w:val="000000" w:themeColor="text1"/>
                <w:sz w:val="18"/>
                <w:szCs w:val="18"/>
              </w:rPr>
              <w:t>-A2</w:t>
            </w:r>
            <w:r w:rsidR="2A93C3C2" w:rsidRPr="33F5F24E">
              <w:rPr>
                <w:rFonts w:cs="Arial"/>
                <w:color w:val="000000" w:themeColor="text1"/>
                <w:sz w:val="18"/>
                <w:szCs w:val="18"/>
              </w:rPr>
              <w:t>31</w:t>
            </w:r>
          </w:p>
        </w:tc>
        <w:tc>
          <w:tcPr>
            <w:tcW w:w="958" w:type="pct"/>
            <w:shd w:val="clear" w:color="auto" w:fill="auto"/>
            <w:noWrap/>
          </w:tcPr>
          <w:p w14:paraId="6FF6B7BE"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readm_risk_categoryXX</w:t>
            </w:r>
          </w:p>
        </w:tc>
        <w:tc>
          <w:tcPr>
            <w:tcW w:w="1391" w:type="pct"/>
            <w:shd w:val="clear" w:color="auto" w:fill="auto"/>
          </w:tcPr>
          <w:p w14:paraId="66F3D74D"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339798BD" w14:textId="20FFB27F" w:rsidR="008D1719" w:rsidRDefault="008D1719" w:rsidP="008D1719">
            <w:pPr>
              <w:tabs>
                <w:tab w:val="left" w:pos="1162"/>
              </w:tabs>
              <w:spacing w:before="80" w:after="80" w:line="240" w:lineRule="auto"/>
              <w:rPr>
                <w:rFonts w:cs="Arial"/>
                <w:color w:val="000000"/>
                <w:sz w:val="18"/>
                <w:szCs w:val="18"/>
              </w:rPr>
            </w:pPr>
            <w:r w:rsidRPr="11584AC8">
              <w:rPr>
                <w:rFonts w:cs="Arial"/>
                <w:color w:val="000000" w:themeColor="text1"/>
                <w:sz w:val="18"/>
                <w:szCs w:val="18"/>
              </w:rPr>
              <w:t xml:space="preserve">Complexity group relevant to </w:t>
            </w:r>
            <w:r w:rsidR="26EA5151" w:rsidRPr="11584AC8">
              <w:rPr>
                <w:rFonts w:cs="Arial"/>
                <w:color w:val="000000" w:themeColor="text1"/>
                <w:sz w:val="18"/>
                <w:szCs w:val="18"/>
              </w:rPr>
              <w:t>AHRXX</w:t>
            </w:r>
            <w:r w:rsidRPr="11584AC8">
              <w:rPr>
                <w:rFonts w:cs="Arial"/>
                <w:color w:val="000000" w:themeColor="text1"/>
                <w:sz w:val="18"/>
                <w:szCs w:val="18"/>
              </w:rPr>
              <w:t>.</w:t>
            </w:r>
          </w:p>
        </w:tc>
      </w:tr>
      <w:tr w:rsidR="00A90801" w:rsidRPr="00C525F3" w14:paraId="48C5FFDF" w14:textId="77777777" w:rsidTr="11584AC8">
        <w:trPr>
          <w:cantSplit/>
          <w:trHeight w:val="450"/>
        </w:trPr>
        <w:tc>
          <w:tcPr>
            <w:tcW w:w="441" w:type="pct"/>
            <w:shd w:val="clear" w:color="auto" w:fill="auto"/>
            <w:noWrap/>
          </w:tcPr>
          <w:p w14:paraId="68C1CC5B" w14:textId="2DBE8E7A" w:rsidR="008D1719" w:rsidRDefault="26EA5151" w:rsidP="00D13F93">
            <w:pPr>
              <w:tabs>
                <w:tab w:val="left" w:pos="1162"/>
              </w:tabs>
              <w:spacing w:line="240" w:lineRule="auto"/>
              <w:rPr>
                <w:rFonts w:cs="Arial"/>
                <w:color w:val="000000"/>
                <w:sz w:val="18"/>
                <w:szCs w:val="18"/>
              </w:rPr>
            </w:pPr>
            <w:r w:rsidRPr="33F5F24E">
              <w:rPr>
                <w:rFonts w:cs="Arial"/>
                <w:color w:val="000000" w:themeColor="text1"/>
                <w:sz w:val="18"/>
                <w:szCs w:val="18"/>
              </w:rPr>
              <w:t>A</w:t>
            </w:r>
            <w:r w:rsidR="2A93C3C2" w:rsidRPr="33F5F24E">
              <w:rPr>
                <w:rFonts w:cs="Arial"/>
                <w:color w:val="000000" w:themeColor="text1"/>
                <w:sz w:val="18"/>
                <w:szCs w:val="18"/>
              </w:rPr>
              <w:t>232</w:t>
            </w:r>
            <w:r w:rsidR="71205253" w:rsidRPr="33F5F24E">
              <w:rPr>
                <w:rFonts w:cs="Arial"/>
                <w:color w:val="000000" w:themeColor="text1"/>
                <w:sz w:val="18"/>
                <w:szCs w:val="18"/>
              </w:rPr>
              <w:t>-A2</w:t>
            </w:r>
            <w:r w:rsidR="2A93C3C2" w:rsidRPr="33F5F24E">
              <w:rPr>
                <w:rFonts w:cs="Arial"/>
                <w:color w:val="000000" w:themeColor="text1"/>
                <w:sz w:val="18"/>
                <w:szCs w:val="18"/>
              </w:rPr>
              <w:t>44</w:t>
            </w:r>
          </w:p>
        </w:tc>
        <w:tc>
          <w:tcPr>
            <w:tcW w:w="958" w:type="pct"/>
            <w:shd w:val="clear" w:color="auto" w:fill="auto"/>
            <w:noWrap/>
          </w:tcPr>
          <w:p w14:paraId="6DC99BD1"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readm_adjXX</w:t>
            </w:r>
          </w:p>
        </w:tc>
        <w:tc>
          <w:tcPr>
            <w:tcW w:w="1391" w:type="pct"/>
            <w:shd w:val="clear" w:color="auto" w:fill="auto"/>
          </w:tcPr>
          <w:p w14:paraId="6A6B9C2E"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3D538945" w14:textId="026CB012" w:rsidR="008D1719" w:rsidRDefault="008D1719" w:rsidP="008D1719">
            <w:pPr>
              <w:tabs>
                <w:tab w:val="left" w:pos="1162"/>
              </w:tabs>
              <w:spacing w:before="80" w:after="80" w:line="240" w:lineRule="auto"/>
              <w:rPr>
                <w:rFonts w:cs="Arial"/>
                <w:color w:val="000000"/>
                <w:sz w:val="18"/>
                <w:szCs w:val="18"/>
              </w:rPr>
            </w:pPr>
            <w:r w:rsidRPr="11584AC8">
              <w:rPr>
                <w:rFonts w:cs="Arial"/>
                <w:color w:val="000000" w:themeColor="text1"/>
                <w:sz w:val="18"/>
                <w:szCs w:val="18"/>
              </w:rPr>
              <w:t xml:space="preserve">Funding adjustment relative to </w:t>
            </w:r>
            <w:r w:rsidR="26EA5151" w:rsidRPr="11584AC8">
              <w:rPr>
                <w:rFonts w:cs="Arial"/>
                <w:color w:val="000000" w:themeColor="text1"/>
                <w:sz w:val="18"/>
                <w:szCs w:val="18"/>
              </w:rPr>
              <w:t>AHRXX</w:t>
            </w:r>
            <w:r w:rsidRPr="11584AC8">
              <w:rPr>
                <w:rFonts w:cs="Arial"/>
                <w:color w:val="000000" w:themeColor="text1"/>
                <w:sz w:val="18"/>
                <w:szCs w:val="18"/>
              </w:rPr>
              <w:t>.</w:t>
            </w:r>
          </w:p>
        </w:tc>
      </w:tr>
      <w:tr w:rsidR="00A90801" w:rsidRPr="00C525F3" w14:paraId="22949320" w14:textId="77777777" w:rsidTr="11584AC8">
        <w:trPr>
          <w:cantSplit/>
          <w:trHeight w:val="450"/>
        </w:trPr>
        <w:tc>
          <w:tcPr>
            <w:tcW w:w="441" w:type="pct"/>
            <w:shd w:val="clear" w:color="auto" w:fill="auto"/>
            <w:noWrap/>
          </w:tcPr>
          <w:p w14:paraId="6EF5E5C0" w14:textId="1EAB5C89" w:rsidR="008D1719" w:rsidRDefault="26EA5151" w:rsidP="00D13F93">
            <w:pPr>
              <w:tabs>
                <w:tab w:val="left" w:pos="1162"/>
              </w:tabs>
              <w:spacing w:line="240" w:lineRule="auto"/>
              <w:rPr>
                <w:rFonts w:cs="Arial"/>
                <w:color w:val="000000"/>
                <w:sz w:val="18"/>
                <w:szCs w:val="18"/>
              </w:rPr>
            </w:pPr>
            <w:r w:rsidRPr="33F5F24E">
              <w:rPr>
                <w:rFonts w:cs="Arial"/>
                <w:color w:val="000000" w:themeColor="text1"/>
                <w:sz w:val="18"/>
                <w:szCs w:val="18"/>
              </w:rPr>
              <w:t>A</w:t>
            </w:r>
            <w:r w:rsidR="71205253" w:rsidRPr="33F5F24E">
              <w:rPr>
                <w:rFonts w:cs="Arial"/>
                <w:color w:val="000000" w:themeColor="text1"/>
                <w:sz w:val="18"/>
                <w:szCs w:val="18"/>
              </w:rPr>
              <w:t>245</w:t>
            </w:r>
          </w:p>
        </w:tc>
        <w:tc>
          <w:tcPr>
            <w:tcW w:w="958" w:type="pct"/>
            <w:shd w:val="clear" w:color="auto" w:fill="auto"/>
            <w:noWrap/>
          </w:tcPr>
          <w:p w14:paraId="6A7BEB7C"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readmflag</w:t>
            </w:r>
          </w:p>
        </w:tc>
        <w:tc>
          <w:tcPr>
            <w:tcW w:w="1391" w:type="pct"/>
            <w:shd w:val="clear" w:color="auto" w:fill="auto"/>
          </w:tcPr>
          <w:p w14:paraId="2F05F440"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12780CED" w14:textId="2F09BDE1" w:rsidR="008D1719" w:rsidRDefault="008D1719" w:rsidP="008D1719">
            <w:pPr>
              <w:tabs>
                <w:tab w:val="left" w:pos="1162"/>
              </w:tabs>
              <w:spacing w:before="80" w:after="80" w:line="240" w:lineRule="auto"/>
              <w:rPr>
                <w:rFonts w:cs="Arial"/>
                <w:color w:val="000000"/>
                <w:sz w:val="18"/>
                <w:szCs w:val="18"/>
              </w:rPr>
            </w:pPr>
            <w:r w:rsidRPr="56A59D64">
              <w:rPr>
                <w:rFonts w:cs="Arial"/>
                <w:color w:val="000000" w:themeColor="text1"/>
                <w:sz w:val="18"/>
                <w:szCs w:val="18"/>
              </w:rPr>
              <w:t>1 if episode is the index episode for an avoidable readmission; else 0.</w:t>
            </w:r>
          </w:p>
        </w:tc>
      </w:tr>
      <w:tr w:rsidR="00A90801" w:rsidRPr="00C525F3" w14:paraId="6BCCF6A7" w14:textId="77777777" w:rsidTr="11584AC8">
        <w:trPr>
          <w:cantSplit/>
          <w:trHeight w:val="450"/>
        </w:trPr>
        <w:tc>
          <w:tcPr>
            <w:tcW w:w="441" w:type="pct"/>
            <w:shd w:val="clear" w:color="auto" w:fill="auto"/>
            <w:noWrap/>
          </w:tcPr>
          <w:p w14:paraId="38DD00DA" w14:textId="23C61D82" w:rsidR="008D1719" w:rsidRDefault="26EA5151" w:rsidP="00D13F93">
            <w:pPr>
              <w:tabs>
                <w:tab w:val="left" w:pos="1162"/>
              </w:tabs>
              <w:spacing w:line="240" w:lineRule="auto"/>
              <w:rPr>
                <w:rFonts w:cs="Arial"/>
                <w:color w:val="000000"/>
                <w:sz w:val="18"/>
                <w:szCs w:val="18"/>
              </w:rPr>
            </w:pPr>
            <w:r w:rsidRPr="33F5F24E">
              <w:rPr>
                <w:rFonts w:cs="Arial"/>
                <w:color w:val="000000" w:themeColor="text1"/>
                <w:sz w:val="18"/>
                <w:szCs w:val="18"/>
              </w:rPr>
              <w:t>A</w:t>
            </w:r>
            <w:r w:rsidR="71205253" w:rsidRPr="33F5F24E">
              <w:rPr>
                <w:rFonts w:cs="Arial"/>
                <w:color w:val="000000" w:themeColor="text1"/>
                <w:sz w:val="18"/>
                <w:szCs w:val="18"/>
              </w:rPr>
              <w:t>246</w:t>
            </w:r>
          </w:p>
        </w:tc>
        <w:tc>
          <w:tcPr>
            <w:tcW w:w="958" w:type="pct"/>
            <w:shd w:val="clear" w:color="auto" w:fill="auto"/>
            <w:noWrap/>
          </w:tcPr>
          <w:p w14:paraId="117676F3"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w01_readm</w:t>
            </w:r>
          </w:p>
        </w:tc>
        <w:tc>
          <w:tcPr>
            <w:tcW w:w="1391" w:type="pct"/>
            <w:shd w:val="clear" w:color="auto" w:fill="auto"/>
          </w:tcPr>
          <w:p w14:paraId="08BE1442" w14:textId="7DE60650" w:rsidR="008D1719" w:rsidRDefault="75B488C8" w:rsidP="008D1719">
            <w:pPr>
              <w:tabs>
                <w:tab w:val="left" w:pos="1162"/>
              </w:tabs>
              <w:spacing w:line="240" w:lineRule="auto"/>
              <w:rPr>
                <w:rFonts w:cs="Arial"/>
                <w:color w:val="000000"/>
                <w:sz w:val="18"/>
                <w:szCs w:val="18"/>
              </w:rPr>
            </w:pPr>
            <w:r w:rsidRPr="67F143EC">
              <w:rPr>
                <w:rFonts w:cs="Arial"/>
                <w:color w:val="000000" w:themeColor="text1"/>
                <w:sz w:val="18"/>
                <w:szCs w:val="18"/>
              </w:rPr>
              <w:t>_</w:t>
            </w:r>
            <w:r w:rsidRPr="34BE8BA0">
              <w:rPr>
                <w:rFonts w:cs="Arial"/>
                <w:color w:val="000000" w:themeColor="text1"/>
                <w:sz w:val="18"/>
                <w:szCs w:val="18"/>
              </w:rPr>
              <w:t xml:space="preserve">w01 </w:t>
            </w:r>
            <w:r w:rsidR="24E95E96" w:rsidRPr="34BE8BA0">
              <w:rPr>
                <w:rFonts w:cs="Arial"/>
                <w:color w:val="000000" w:themeColor="text1"/>
                <w:sz w:val="18"/>
                <w:szCs w:val="18"/>
              </w:rPr>
              <w:t>of</w:t>
            </w:r>
            <w:r w:rsidR="008D1719" w:rsidRPr="6886BF09">
              <w:rPr>
                <w:rFonts w:cs="Arial"/>
                <w:color w:val="000000" w:themeColor="text1"/>
                <w:sz w:val="18"/>
                <w:szCs w:val="18"/>
              </w:rPr>
              <w:t xml:space="preserve"> the readmissions associated with this index episode</w:t>
            </w:r>
          </w:p>
        </w:tc>
        <w:tc>
          <w:tcPr>
            <w:tcW w:w="2210" w:type="pct"/>
            <w:shd w:val="clear" w:color="auto" w:fill="auto"/>
          </w:tcPr>
          <w:p w14:paraId="7F1BE27E" w14:textId="3B6B5180" w:rsidR="008D1719" w:rsidRDefault="008D1719" w:rsidP="008D1719">
            <w:pPr>
              <w:tabs>
                <w:tab w:val="left" w:pos="1162"/>
              </w:tabs>
              <w:spacing w:before="80" w:after="80" w:line="240" w:lineRule="auto"/>
              <w:rPr>
                <w:rFonts w:cs="Arial"/>
                <w:color w:val="000000"/>
                <w:sz w:val="18"/>
                <w:szCs w:val="18"/>
              </w:rPr>
            </w:pPr>
            <w:r w:rsidRPr="6886BF09">
              <w:rPr>
                <w:rFonts w:cs="Arial"/>
                <w:color w:val="000000" w:themeColor="text1"/>
                <w:sz w:val="18"/>
                <w:szCs w:val="18"/>
              </w:rPr>
              <w:t xml:space="preserve">See </w:t>
            </w:r>
            <w:r w:rsidR="3355776F" w:rsidRPr="760FD5E9">
              <w:rPr>
                <w:rFonts w:cs="Arial"/>
                <w:color w:val="000000" w:themeColor="text1"/>
                <w:sz w:val="18"/>
                <w:szCs w:val="18"/>
              </w:rPr>
              <w:t xml:space="preserve">_w01 </w:t>
            </w:r>
            <w:r w:rsidR="31B98E8F" w:rsidRPr="33F5F24E">
              <w:rPr>
                <w:rFonts w:cs="Arial"/>
                <w:color w:val="000000" w:themeColor="text1"/>
                <w:sz w:val="18"/>
                <w:szCs w:val="18"/>
              </w:rPr>
              <w:t>[</w:t>
            </w:r>
            <w:r w:rsidR="24E95E96" w:rsidRPr="3A24A175">
              <w:rPr>
                <w:rFonts w:cs="Arial"/>
                <w:color w:val="000000" w:themeColor="text1"/>
                <w:sz w:val="18"/>
                <w:szCs w:val="18"/>
              </w:rPr>
              <w:t>A3</w:t>
            </w:r>
            <w:r w:rsidR="672EDE4E" w:rsidRPr="3A24A175">
              <w:rPr>
                <w:rFonts w:cs="Arial"/>
                <w:color w:val="000000" w:themeColor="text1"/>
                <w:sz w:val="18"/>
                <w:szCs w:val="18"/>
              </w:rPr>
              <w:t>8</w:t>
            </w:r>
            <w:r w:rsidR="244C5C17" w:rsidRPr="33F5F24E">
              <w:rPr>
                <w:rFonts w:cs="Arial"/>
                <w:color w:val="000000" w:themeColor="text1"/>
                <w:sz w:val="18"/>
                <w:szCs w:val="18"/>
              </w:rPr>
              <w:t>]</w:t>
            </w:r>
          </w:p>
        </w:tc>
      </w:tr>
      <w:tr w:rsidR="00A90801" w:rsidRPr="00C525F3" w14:paraId="6008954B" w14:textId="77777777" w:rsidTr="11584AC8">
        <w:trPr>
          <w:cantSplit/>
          <w:trHeight w:val="450"/>
        </w:trPr>
        <w:tc>
          <w:tcPr>
            <w:tcW w:w="441" w:type="pct"/>
            <w:shd w:val="clear" w:color="auto" w:fill="auto"/>
            <w:noWrap/>
          </w:tcPr>
          <w:p w14:paraId="311F60AD" w14:textId="1F2271D2" w:rsidR="008D1719" w:rsidRDefault="26EA5151" w:rsidP="6886BF09">
            <w:pPr>
              <w:tabs>
                <w:tab w:val="left" w:pos="1162"/>
              </w:tabs>
              <w:spacing w:line="240" w:lineRule="auto"/>
              <w:rPr>
                <w:rFonts w:eastAsiaTheme="minorEastAsia" w:cs="Arial"/>
                <w:b/>
                <w:bCs/>
                <w:noProof/>
                <w:color w:val="000000"/>
                <w:sz w:val="18"/>
                <w:szCs w:val="18"/>
              </w:rPr>
            </w:pPr>
            <w:r w:rsidRPr="33F5F24E">
              <w:rPr>
                <w:rFonts w:cs="Arial"/>
                <w:color w:val="000000" w:themeColor="text1"/>
                <w:sz w:val="18"/>
                <w:szCs w:val="18"/>
              </w:rPr>
              <w:t>A</w:t>
            </w:r>
            <w:r w:rsidR="71205253" w:rsidRPr="33F5F24E">
              <w:rPr>
                <w:rFonts w:cs="Arial"/>
                <w:color w:val="000000" w:themeColor="text1"/>
                <w:sz w:val="18"/>
                <w:szCs w:val="18"/>
              </w:rPr>
              <w:t>247</w:t>
            </w:r>
          </w:p>
        </w:tc>
        <w:tc>
          <w:tcPr>
            <w:tcW w:w="958" w:type="pct"/>
            <w:shd w:val="clear" w:color="auto" w:fill="auto"/>
            <w:noWrap/>
          </w:tcPr>
          <w:p w14:paraId="1BCC9801" w14:textId="351C5F06" w:rsidR="008D1719" w:rsidRPr="00FA3851" w:rsidRDefault="00CE3156" w:rsidP="008D1719">
            <w:pPr>
              <w:tabs>
                <w:tab w:val="left" w:pos="1162"/>
              </w:tabs>
              <w:spacing w:line="240" w:lineRule="auto"/>
              <w:rPr>
                <w:rFonts w:cs="Arial"/>
                <w:color w:val="000000"/>
                <w:sz w:val="18"/>
                <w:szCs w:val="18"/>
              </w:rPr>
            </w:pPr>
            <w:r w:rsidRPr="431CD011">
              <w:rPr>
                <w:rFonts w:cs="Arial"/>
                <w:color w:val="000000" w:themeColor="text1"/>
                <w:sz w:val="18"/>
                <w:szCs w:val="18"/>
              </w:rPr>
              <w:t>GWAU2</w:t>
            </w:r>
            <w:r>
              <w:rPr>
                <w:rFonts w:cs="Arial"/>
                <w:color w:val="000000" w:themeColor="text1"/>
                <w:sz w:val="18"/>
                <w:szCs w:val="18"/>
              </w:rPr>
              <w:t>2</w:t>
            </w:r>
          </w:p>
        </w:tc>
        <w:tc>
          <w:tcPr>
            <w:tcW w:w="1391" w:type="pct"/>
            <w:shd w:val="clear" w:color="auto" w:fill="auto"/>
          </w:tcPr>
          <w:p w14:paraId="12F018F6" w14:textId="77777777" w:rsidR="008D1719" w:rsidRPr="00FA3851" w:rsidRDefault="008D1719" w:rsidP="008D1719">
            <w:pPr>
              <w:tabs>
                <w:tab w:val="left" w:pos="1162"/>
              </w:tabs>
              <w:spacing w:line="240" w:lineRule="auto"/>
              <w:rPr>
                <w:rFonts w:cs="Arial"/>
                <w:color w:val="000000"/>
                <w:sz w:val="18"/>
                <w:szCs w:val="18"/>
              </w:rPr>
            </w:pPr>
            <w:r w:rsidRPr="00FA3851">
              <w:rPr>
                <w:rFonts w:cs="Arial"/>
                <w:color w:val="000000"/>
                <w:sz w:val="18"/>
                <w:szCs w:val="18"/>
              </w:rPr>
              <w:t xml:space="preserve">Gross </w:t>
            </w:r>
            <w:r>
              <w:rPr>
                <w:rFonts w:cs="Arial"/>
                <w:color w:val="000000"/>
                <w:sz w:val="18"/>
                <w:szCs w:val="18"/>
              </w:rPr>
              <w:t>w</w:t>
            </w:r>
            <w:r w:rsidRPr="00FA3851">
              <w:rPr>
                <w:rFonts w:cs="Arial"/>
                <w:color w:val="000000"/>
                <w:sz w:val="18"/>
                <w:szCs w:val="18"/>
              </w:rPr>
              <w:t>eighted Activity Unit</w:t>
            </w:r>
          </w:p>
        </w:tc>
        <w:tc>
          <w:tcPr>
            <w:tcW w:w="2210" w:type="pct"/>
            <w:shd w:val="clear" w:color="auto" w:fill="auto"/>
          </w:tcPr>
          <w:p w14:paraId="1FFA4A7E" w14:textId="46B5929A" w:rsidR="008D1719" w:rsidRPr="00FA3851" w:rsidRDefault="008D1719" w:rsidP="008D1719">
            <w:pPr>
              <w:tabs>
                <w:tab w:val="left" w:pos="1162"/>
              </w:tabs>
              <w:spacing w:before="80" w:after="80" w:line="240" w:lineRule="auto"/>
              <w:rPr>
                <w:rFonts w:cs="Arial"/>
                <w:color w:val="000000"/>
                <w:sz w:val="18"/>
                <w:szCs w:val="18"/>
              </w:rPr>
            </w:pPr>
            <w:r w:rsidRPr="179D5E8A">
              <w:rPr>
                <w:rFonts w:cs="Arial"/>
                <w:color w:val="000000" w:themeColor="text1"/>
                <w:sz w:val="18"/>
                <w:szCs w:val="18"/>
              </w:rPr>
              <w:t>_</w:t>
            </w:r>
            <w:r w:rsidR="24E95E96" w:rsidRPr="00199CD9">
              <w:rPr>
                <w:rFonts w:cs="Arial"/>
                <w:color w:val="000000" w:themeColor="text1"/>
                <w:sz w:val="18"/>
                <w:szCs w:val="18"/>
              </w:rPr>
              <w:t>w0</w:t>
            </w:r>
            <w:r w:rsidR="12128C22" w:rsidRPr="00199CD9">
              <w:rPr>
                <w:rFonts w:cs="Arial"/>
                <w:color w:val="000000" w:themeColor="text1"/>
                <w:sz w:val="18"/>
                <w:szCs w:val="18"/>
              </w:rPr>
              <w:t>3</w:t>
            </w:r>
            <w:r w:rsidRPr="179D5E8A">
              <w:rPr>
                <w:rFonts w:cs="Arial"/>
                <w:color w:val="000000" w:themeColor="text1"/>
                <w:sz w:val="18"/>
                <w:szCs w:val="18"/>
              </w:rPr>
              <w:t xml:space="preserve"> + _adj_icu </w:t>
            </w:r>
          </w:p>
        </w:tc>
      </w:tr>
      <w:tr w:rsidR="00A90801" w:rsidRPr="00C525F3" w14:paraId="3277089C" w14:textId="77777777" w:rsidTr="11584AC8">
        <w:trPr>
          <w:cantSplit/>
          <w:trHeight w:val="450"/>
        </w:trPr>
        <w:tc>
          <w:tcPr>
            <w:tcW w:w="441" w:type="pct"/>
            <w:shd w:val="clear" w:color="auto" w:fill="auto"/>
            <w:noWrap/>
          </w:tcPr>
          <w:p w14:paraId="44545010" w14:textId="0775595D" w:rsidR="008D1719" w:rsidRDefault="26EA5151" w:rsidP="6886BF09">
            <w:pPr>
              <w:tabs>
                <w:tab w:val="left" w:pos="1162"/>
              </w:tabs>
              <w:spacing w:line="240" w:lineRule="auto"/>
              <w:rPr>
                <w:rFonts w:eastAsiaTheme="minorEastAsia" w:cs="Arial"/>
                <w:b/>
                <w:bCs/>
                <w:noProof/>
                <w:color w:val="000000"/>
                <w:sz w:val="18"/>
                <w:szCs w:val="18"/>
              </w:rPr>
            </w:pPr>
            <w:r w:rsidRPr="33F5F24E">
              <w:rPr>
                <w:rFonts w:cs="Arial"/>
                <w:color w:val="000000" w:themeColor="text1"/>
                <w:sz w:val="18"/>
                <w:szCs w:val="18"/>
              </w:rPr>
              <w:t>A</w:t>
            </w:r>
            <w:r w:rsidR="71205253" w:rsidRPr="33F5F24E">
              <w:rPr>
                <w:rFonts w:cs="Arial"/>
                <w:color w:val="000000" w:themeColor="text1"/>
                <w:sz w:val="18"/>
                <w:szCs w:val="18"/>
              </w:rPr>
              <w:t>248</w:t>
            </w:r>
          </w:p>
        </w:tc>
        <w:tc>
          <w:tcPr>
            <w:tcW w:w="958" w:type="pct"/>
            <w:shd w:val="clear" w:color="auto" w:fill="auto"/>
            <w:noWrap/>
          </w:tcPr>
          <w:p w14:paraId="71904C47" w14:textId="77777777" w:rsidR="008D1719" w:rsidRPr="00FA3851" w:rsidRDefault="008D1719" w:rsidP="008D1719">
            <w:pPr>
              <w:tabs>
                <w:tab w:val="left" w:pos="1162"/>
              </w:tabs>
              <w:spacing w:line="240" w:lineRule="auto"/>
              <w:rPr>
                <w:rFonts w:cs="Arial"/>
                <w:color w:val="000000"/>
                <w:sz w:val="18"/>
                <w:szCs w:val="18"/>
              </w:rPr>
            </w:pPr>
            <w:r w:rsidRPr="00FA3851">
              <w:rPr>
                <w:rFonts w:cs="Arial"/>
                <w:color w:val="000000"/>
                <w:sz w:val="18"/>
                <w:szCs w:val="18"/>
              </w:rPr>
              <w:t>_adj_privpat_serv</w:t>
            </w:r>
          </w:p>
        </w:tc>
        <w:tc>
          <w:tcPr>
            <w:tcW w:w="1391" w:type="pct"/>
            <w:shd w:val="clear" w:color="auto" w:fill="auto"/>
          </w:tcPr>
          <w:p w14:paraId="47CB3129" w14:textId="77777777" w:rsidR="008D1719" w:rsidRPr="00FA3851" w:rsidRDefault="008D1719" w:rsidP="008D1719">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s</w:t>
            </w:r>
            <w:r w:rsidRPr="00FA3851">
              <w:rPr>
                <w:rFonts w:cs="Arial"/>
                <w:color w:val="000000"/>
                <w:sz w:val="18"/>
                <w:szCs w:val="18"/>
              </w:rPr>
              <w:t>ervice adjustment</w:t>
            </w:r>
          </w:p>
        </w:tc>
        <w:tc>
          <w:tcPr>
            <w:tcW w:w="2210" w:type="pct"/>
            <w:shd w:val="clear" w:color="auto" w:fill="auto"/>
          </w:tcPr>
          <w:p w14:paraId="5929C4FD" w14:textId="5AB9E647" w:rsidR="008D1719" w:rsidRDefault="008D1719" w:rsidP="008D1719">
            <w:pPr>
              <w:tabs>
                <w:tab w:val="left" w:pos="1162"/>
              </w:tabs>
              <w:spacing w:before="80" w:after="80" w:line="240" w:lineRule="auto"/>
              <w:rPr>
                <w:rFonts w:cs="Arial"/>
                <w:color w:val="000000"/>
                <w:sz w:val="18"/>
                <w:szCs w:val="18"/>
              </w:rPr>
            </w:pPr>
            <w:r w:rsidRPr="3E09AC7A">
              <w:rPr>
                <w:rFonts w:cs="Arial"/>
                <w:color w:val="000000" w:themeColor="text1"/>
                <w:sz w:val="18"/>
                <w:szCs w:val="18"/>
              </w:rPr>
              <w:t>_pat_private_flag * drg_adj_privapat_serv*(_w01+_adj_icu)</w:t>
            </w:r>
            <w:r w:rsidRPr="3E09AC7A" w:rsidDel="00712BAD">
              <w:rPr>
                <w:rFonts w:cs="Arial"/>
                <w:color w:val="000000" w:themeColor="text1"/>
                <w:sz w:val="18"/>
                <w:szCs w:val="18"/>
              </w:rPr>
              <w:t xml:space="preserve"> </w:t>
            </w:r>
          </w:p>
        </w:tc>
      </w:tr>
      <w:tr w:rsidR="00A90801" w:rsidRPr="00C525F3" w14:paraId="39D11FB4" w14:textId="77777777" w:rsidTr="11584AC8">
        <w:trPr>
          <w:cantSplit/>
          <w:trHeight w:val="450"/>
        </w:trPr>
        <w:tc>
          <w:tcPr>
            <w:tcW w:w="441" w:type="pct"/>
            <w:shd w:val="clear" w:color="auto" w:fill="auto"/>
            <w:noWrap/>
          </w:tcPr>
          <w:p w14:paraId="1B921553" w14:textId="3BF1F09E" w:rsidR="008D1719" w:rsidRDefault="26EA5151" w:rsidP="6886BF09">
            <w:pPr>
              <w:tabs>
                <w:tab w:val="left" w:pos="1162"/>
              </w:tabs>
              <w:spacing w:line="240" w:lineRule="auto"/>
              <w:rPr>
                <w:rFonts w:eastAsiaTheme="minorEastAsia" w:cs="Arial"/>
                <w:b/>
                <w:bCs/>
                <w:noProof/>
                <w:color w:val="000000"/>
                <w:sz w:val="18"/>
                <w:szCs w:val="18"/>
              </w:rPr>
            </w:pPr>
            <w:r w:rsidRPr="33F5F24E">
              <w:rPr>
                <w:rFonts w:cs="Arial"/>
                <w:color w:val="000000" w:themeColor="text1"/>
                <w:sz w:val="18"/>
                <w:szCs w:val="18"/>
              </w:rPr>
              <w:t>A</w:t>
            </w:r>
            <w:r w:rsidR="71205253" w:rsidRPr="33F5F24E">
              <w:rPr>
                <w:rFonts w:cs="Arial"/>
                <w:color w:val="000000" w:themeColor="text1"/>
                <w:sz w:val="18"/>
                <w:szCs w:val="18"/>
              </w:rPr>
              <w:t>2</w:t>
            </w:r>
            <w:r w:rsidR="2A93C3C2" w:rsidRPr="33F5F24E">
              <w:rPr>
                <w:rFonts w:cs="Arial"/>
                <w:color w:val="000000" w:themeColor="text1"/>
                <w:sz w:val="18"/>
                <w:szCs w:val="18"/>
              </w:rPr>
              <w:t>49</w:t>
            </w:r>
          </w:p>
        </w:tc>
        <w:tc>
          <w:tcPr>
            <w:tcW w:w="958" w:type="pct"/>
            <w:shd w:val="clear" w:color="auto" w:fill="auto"/>
            <w:noWrap/>
          </w:tcPr>
          <w:p w14:paraId="4E48E406" w14:textId="77777777" w:rsidR="008D1719" w:rsidRPr="00FA3851" w:rsidRDefault="008D1719" w:rsidP="008D1719">
            <w:pPr>
              <w:tabs>
                <w:tab w:val="left" w:pos="1162"/>
              </w:tabs>
              <w:spacing w:line="240" w:lineRule="auto"/>
              <w:rPr>
                <w:rFonts w:cs="Arial"/>
                <w:color w:val="000000"/>
                <w:sz w:val="18"/>
                <w:szCs w:val="18"/>
              </w:rPr>
            </w:pPr>
            <w:r w:rsidRPr="00FA3851">
              <w:rPr>
                <w:rFonts w:cs="Arial"/>
                <w:color w:val="000000"/>
                <w:sz w:val="18"/>
                <w:szCs w:val="18"/>
              </w:rPr>
              <w:t>_adj_privpat_accom</w:t>
            </w:r>
          </w:p>
        </w:tc>
        <w:tc>
          <w:tcPr>
            <w:tcW w:w="1391" w:type="pct"/>
            <w:shd w:val="clear" w:color="auto" w:fill="auto"/>
          </w:tcPr>
          <w:p w14:paraId="5D608FF9" w14:textId="77777777" w:rsidR="008D1719" w:rsidRPr="00FA3851" w:rsidRDefault="008D1719" w:rsidP="008D1719">
            <w:pPr>
              <w:tabs>
                <w:tab w:val="left" w:pos="1162"/>
              </w:tabs>
              <w:spacing w:line="240" w:lineRule="auto"/>
              <w:rPr>
                <w:rFonts w:cs="Arial"/>
                <w:color w:val="000000"/>
                <w:sz w:val="18"/>
                <w:szCs w:val="18"/>
              </w:rPr>
            </w:pPr>
            <w:r w:rsidRPr="00FA3851">
              <w:rPr>
                <w:rFonts w:cs="Arial"/>
                <w:color w:val="000000"/>
                <w:sz w:val="18"/>
                <w:szCs w:val="18"/>
              </w:rPr>
              <w:t>Private Patient Accommodation adjustment</w:t>
            </w:r>
          </w:p>
        </w:tc>
        <w:tc>
          <w:tcPr>
            <w:tcW w:w="2210" w:type="pct"/>
            <w:shd w:val="clear" w:color="auto" w:fill="auto"/>
          </w:tcPr>
          <w:p w14:paraId="5C801C78" w14:textId="77777777" w:rsidR="008D1719" w:rsidRPr="00FA3851" w:rsidRDefault="008D1719" w:rsidP="008D1719">
            <w:pPr>
              <w:tabs>
                <w:tab w:val="left" w:pos="1162"/>
              </w:tabs>
              <w:spacing w:before="80" w:after="80" w:line="240" w:lineRule="auto"/>
              <w:rPr>
                <w:rFonts w:cs="Arial"/>
                <w:color w:val="000000"/>
                <w:sz w:val="18"/>
                <w:szCs w:val="18"/>
              </w:rPr>
            </w:pPr>
            <w:r w:rsidRPr="00FA3851">
              <w:rPr>
                <w:rFonts w:cs="Arial"/>
                <w:color w:val="000000"/>
                <w:sz w:val="18"/>
                <w:szCs w:val="18"/>
              </w:rPr>
              <w:t>_pat_private_flag*(_pat_</w:t>
            </w:r>
            <w:r>
              <w:rPr>
                <w:rFonts w:cs="Arial"/>
                <w:color w:val="000000"/>
                <w:sz w:val="18"/>
                <w:szCs w:val="18"/>
              </w:rPr>
              <w:t>same-day</w:t>
            </w:r>
            <w:r w:rsidRPr="00FA3851">
              <w:rPr>
                <w:rFonts w:cs="Arial"/>
                <w:color w:val="000000"/>
                <w:sz w:val="18"/>
                <w:szCs w:val="18"/>
              </w:rPr>
              <w:t>_flag*state_adj_private_accom_sd+</w:t>
            </w:r>
            <w:r>
              <w:rPr>
                <w:rFonts w:cs="Arial"/>
                <w:color w:val="000000"/>
                <w:sz w:val="18"/>
                <w:szCs w:val="18"/>
              </w:rPr>
              <w:t xml:space="preserve"> </w:t>
            </w:r>
            <w:r w:rsidRPr="00FA3851">
              <w:rPr>
                <w:rFonts w:cs="Arial"/>
                <w:color w:val="000000"/>
                <w:sz w:val="18"/>
                <w:szCs w:val="18"/>
              </w:rPr>
              <w:t>(1-_pat_</w:t>
            </w:r>
            <w:r>
              <w:rPr>
                <w:rFonts w:cs="Arial"/>
                <w:color w:val="000000"/>
                <w:sz w:val="18"/>
                <w:szCs w:val="18"/>
              </w:rPr>
              <w:t>same-day</w:t>
            </w:r>
            <w:r w:rsidRPr="00FA3851">
              <w:rPr>
                <w:rFonts w:cs="Arial"/>
                <w:color w:val="000000"/>
                <w:sz w:val="18"/>
                <w:szCs w:val="18"/>
              </w:rPr>
              <w:t>_flag)*_pat_los*state_adj_privpat_accomm_on)</w:t>
            </w:r>
          </w:p>
        </w:tc>
      </w:tr>
      <w:tr w:rsidR="00A90801" w:rsidRPr="00C525F3" w14:paraId="4ABB62F8" w14:textId="77777777" w:rsidTr="11584AC8">
        <w:trPr>
          <w:cantSplit/>
          <w:trHeight w:val="450"/>
        </w:trPr>
        <w:tc>
          <w:tcPr>
            <w:tcW w:w="441" w:type="pct"/>
            <w:shd w:val="clear" w:color="auto" w:fill="auto"/>
            <w:noWrap/>
          </w:tcPr>
          <w:p w14:paraId="26BA1CC0" w14:textId="4BA8C134" w:rsidR="008D1719" w:rsidRDefault="26EA5151" w:rsidP="00D13F93">
            <w:pPr>
              <w:tabs>
                <w:tab w:val="left" w:pos="1162"/>
              </w:tabs>
              <w:spacing w:line="240" w:lineRule="auto"/>
              <w:rPr>
                <w:rFonts w:cs="Arial"/>
                <w:color w:val="000000"/>
                <w:sz w:val="18"/>
                <w:szCs w:val="18"/>
              </w:rPr>
            </w:pPr>
            <w:r w:rsidRPr="33F5F24E">
              <w:rPr>
                <w:rFonts w:cs="Arial"/>
                <w:color w:val="000000" w:themeColor="text1"/>
                <w:sz w:val="18"/>
                <w:szCs w:val="18"/>
              </w:rPr>
              <w:t>A</w:t>
            </w:r>
            <w:r w:rsidR="71205253" w:rsidRPr="33F5F24E">
              <w:rPr>
                <w:rFonts w:cs="Arial"/>
                <w:color w:val="000000" w:themeColor="text1"/>
                <w:sz w:val="18"/>
                <w:szCs w:val="18"/>
              </w:rPr>
              <w:t>250</w:t>
            </w:r>
          </w:p>
        </w:tc>
        <w:tc>
          <w:tcPr>
            <w:tcW w:w="958" w:type="pct"/>
            <w:shd w:val="clear" w:color="auto" w:fill="auto"/>
            <w:noWrap/>
          </w:tcPr>
          <w:p w14:paraId="4CEDBBDB" w14:textId="77777777" w:rsidR="008D1719" w:rsidRPr="00B325D8" w:rsidRDefault="008D1719" w:rsidP="008D1719">
            <w:pPr>
              <w:tabs>
                <w:tab w:val="left" w:pos="1162"/>
              </w:tabs>
              <w:spacing w:line="240" w:lineRule="auto"/>
              <w:rPr>
                <w:rFonts w:cs="Arial"/>
                <w:color w:val="000000"/>
                <w:sz w:val="18"/>
                <w:szCs w:val="18"/>
              </w:rPr>
            </w:pPr>
            <w:r>
              <w:rPr>
                <w:rFonts w:cs="Arial"/>
                <w:color w:val="000000"/>
                <w:sz w:val="18"/>
                <w:szCs w:val="18"/>
              </w:rPr>
              <w:t>riskAdjustment_hac</w:t>
            </w:r>
          </w:p>
        </w:tc>
        <w:tc>
          <w:tcPr>
            <w:tcW w:w="1391" w:type="pct"/>
            <w:shd w:val="clear" w:color="auto" w:fill="auto"/>
          </w:tcPr>
          <w:p w14:paraId="574C8CAF" w14:textId="77777777" w:rsidR="008D1719" w:rsidRPr="00B325D8" w:rsidRDefault="008D1719" w:rsidP="008D1719">
            <w:pPr>
              <w:tabs>
                <w:tab w:val="left" w:pos="1162"/>
              </w:tabs>
              <w:spacing w:line="240" w:lineRule="auto"/>
              <w:rPr>
                <w:rFonts w:cs="Arial"/>
                <w:color w:val="000000"/>
                <w:sz w:val="18"/>
                <w:szCs w:val="18"/>
              </w:rPr>
            </w:pPr>
            <w:r>
              <w:rPr>
                <w:rFonts w:cs="Arial"/>
                <w:color w:val="000000"/>
                <w:sz w:val="18"/>
                <w:szCs w:val="18"/>
              </w:rPr>
              <w:t>NWAU deduction from HAC</w:t>
            </w:r>
          </w:p>
        </w:tc>
        <w:tc>
          <w:tcPr>
            <w:tcW w:w="2210" w:type="pct"/>
            <w:shd w:val="clear" w:color="auto" w:fill="auto"/>
          </w:tcPr>
          <w:p w14:paraId="2EBE0465" w14:textId="2408BFA2" w:rsidR="008D1719" w:rsidRPr="00B325D8" w:rsidRDefault="47A8C993" w:rsidP="05C042F0">
            <w:pPr>
              <w:tabs>
                <w:tab w:val="left" w:pos="1162"/>
              </w:tabs>
              <w:spacing w:before="80" w:after="80" w:line="240" w:lineRule="auto"/>
              <w:rPr>
                <w:color w:val="000000"/>
              </w:rPr>
            </w:pPr>
            <w:r w:rsidRPr="05C042F0">
              <w:rPr>
                <w:rFonts w:cs="Arial"/>
                <w:color w:val="000000" w:themeColor="text1"/>
                <w:sz w:val="18"/>
                <w:szCs w:val="18"/>
              </w:rPr>
              <w:t>_w01</w:t>
            </w:r>
            <w:r w:rsidR="2D6A061D" w:rsidRPr="05C042F0">
              <w:rPr>
                <w:rFonts w:cs="Arial"/>
                <w:color w:val="000000" w:themeColor="text1"/>
                <w:sz w:val="18"/>
                <w:szCs w:val="18"/>
              </w:rPr>
              <w:t xml:space="preserve"> </w:t>
            </w:r>
            <w:r w:rsidR="12F2A5CE" w:rsidRPr="05C042F0">
              <w:rPr>
                <w:rFonts w:cs="Arial"/>
                <w:color w:val="000000" w:themeColor="text1"/>
                <w:sz w:val="18"/>
                <w:szCs w:val="18"/>
              </w:rPr>
              <w:t>*</w:t>
            </w:r>
            <w:r w:rsidR="2A1FB0D3" w:rsidRPr="05C042F0">
              <w:rPr>
                <w:rFonts w:cs="Arial"/>
                <w:color w:val="000000" w:themeColor="text1"/>
                <w:sz w:val="18"/>
                <w:szCs w:val="18"/>
              </w:rPr>
              <w:t xml:space="preserve"> </w:t>
            </w:r>
            <w:r w:rsidR="00877C34" w:rsidRPr="05C042F0">
              <w:rPr>
                <w:rFonts w:cs="Arial"/>
                <w:color w:val="000000" w:themeColor="text1"/>
                <w:sz w:val="18"/>
                <w:szCs w:val="18"/>
              </w:rPr>
              <w:t xml:space="preserve"> HAC_adj</w:t>
            </w:r>
          </w:p>
        </w:tc>
      </w:tr>
      <w:tr w:rsidR="00A90801" w:rsidRPr="00C525F3" w14:paraId="07A9B4D9" w14:textId="77777777" w:rsidTr="11584AC8">
        <w:trPr>
          <w:cantSplit/>
          <w:trHeight w:val="450"/>
        </w:trPr>
        <w:tc>
          <w:tcPr>
            <w:tcW w:w="441" w:type="pct"/>
            <w:shd w:val="clear" w:color="auto" w:fill="auto"/>
            <w:noWrap/>
          </w:tcPr>
          <w:p w14:paraId="11D09A7D" w14:textId="7EAC7839" w:rsidR="008D1719" w:rsidRDefault="26EA5151" w:rsidP="00D13F93">
            <w:pPr>
              <w:tabs>
                <w:tab w:val="left" w:pos="1162"/>
              </w:tabs>
              <w:spacing w:line="240" w:lineRule="auto"/>
              <w:rPr>
                <w:rFonts w:cs="Arial"/>
                <w:color w:val="000000"/>
                <w:sz w:val="18"/>
                <w:szCs w:val="18"/>
              </w:rPr>
            </w:pPr>
            <w:r w:rsidRPr="33F5F24E">
              <w:rPr>
                <w:rFonts w:cs="Arial"/>
                <w:color w:val="000000" w:themeColor="text1"/>
                <w:sz w:val="18"/>
                <w:szCs w:val="18"/>
              </w:rPr>
              <w:t>A</w:t>
            </w:r>
            <w:r w:rsidR="71205253" w:rsidRPr="33F5F24E">
              <w:rPr>
                <w:rFonts w:cs="Arial"/>
                <w:color w:val="000000" w:themeColor="text1"/>
                <w:sz w:val="18"/>
                <w:szCs w:val="18"/>
              </w:rPr>
              <w:t>2</w:t>
            </w:r>
            <w:r w:rsidR="2A93C3C2" w:rsidRPr="33F5F24E">
              <w:rPr>
                <w:rFonts w:cs="Arial"/>
                <w:color w:val="000000" w:themeColor="text1"/>
                <w:sz w:val="18"/>
                <w:szCs w:val="18"/>
              </w:rPr>
              <w:t>51</w:t>
            </w:r>
          </w:p>
        </w:tc>
        <w:tc>
          <w:tcPr>
            <w:tcW w:w="958" w:type="pct"/>
            <w:shd w:val="clear" w:color="auto" w:fill="auto"/>
            <w:noWrap/>
          </w:tcPr>
          <w:p w14:paraId="0AC37173"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riskAdjustment_readm</w:t>
            </w:r>
          </w:p>
        </w:tc>
        <w:tc>
          <w:tcPr>
            <w:tcW w:w="1391" w:type="pct"/>
            <w:shd w:val="clear" w:color="auto" w:fill="auto"/>
          </w:tcPr>
          <w:p w14:paraId="06E3F98F" w14:textId="77777777" w:rsidR="008D1719" w:rsidRDefault="008D1719" w:rsidP="008D1719">
            <w:pPr>
              <w:tabs>
                <w:tab w:val="left" w:pos="1162"/>
              </w:tabs>
              <w:spacing w:line="240" w:lineRule="auto"/>
              <w:rPr>
                <w:rFonts w:cs="Arial"/>
                <w:color w:val="000000"/>
                <w:sz w:val="18"/>
                <w:szCs w:val="18"/>
              </w:rPr>
            </w:pPr>
            <w:r>
              <w:rPr>
                <w:rFonts w:cs="Arial"/>
                <w:color w:val="000000"/>
                <w:sz w:val="18"/>
                <w:szCs w:val="18"/>
              </w:rPr>
              <w:t>NWAU deduction from readmission index episode</w:t>
            </w:r>
          </w:p>
        </w:tc>
        <w:tc>
          <w:tcPr>
            <w:tcW w:w="2210" w:type="pct"/>
            <w:shd w:val="clear" w:color="auto" w:fill="auto"/>
          </w:tcPr>
          <w:p w14:paraId="72E99FF0" w14:textId="398D22C3" w:rsidR="008D1719" w:rsidRDefault="35784EE0" w:rsidP="00D82007">
            <w:pPr>
              <w:tabs>
                <w:tab w:val="left" w:pos="1162"/>
              </w:tabs>
              <w:spacing w:before="80" w:after="80" w:line="240" w:lineRule="auto"/>
              <w:rPr>
                <w:rFonts w:cs="Arial"/>
                <w:color w:val="000000"/>
                <w:sz w:val="18"/>
                <w:szCs w:val="18"/>
              </w:rPr>
            </w:pPr>
            <w:r w:rsidRPr="05C042F0">
              <w:rPr>
                <w:rFonts w:cs="Arial"/>
                <w:color w:val="000000" w:themeColor="text1"/>
                <w:sz w:val="18"/>
                <w:szCs w:val="18"/>
              </w:rPr>
              <w:t>w01_readm</w:t>
            </w:r>
            <w:r w:rsidR="7D114511" w:rsidRPr="05C042F0">
              <w:rPr>
                <w:rFonts w:cs="Arial"/>
                <w:color w:val="000000" w:themeColor="text1"/>
                <w:sz w:val="18"/>
                <w:szCs w:val="18"/>
              </w:rPr>
              <w:t xml:space="preserve"> </w:t>
            </w:r>
            <w:r w:rsidR="12F2A5CE" w:rsidRPr="05C042F0">
              <w:rPr>
                <w:rFonts w:cs="Arial"/>
                <w:color w:val="000000" w:themeColor="text1"/>
                <w:sz w:val="18"/>
                <w:szCs w:val="18"/>
              </w:rPr>
              <w:t>*</w:t>
            </w:r>
            <w:r w:rsidR="7D114511" w:rsidRPr="05C042F0">
              <w:rPr>
                <w:rFonts w:cs="Arial"/>
                <w:color w:val="000000" w:themeColor="text1"/>
                <w:sz w:val="18"/>
                <w:szCs w:val="18"/>
              </w:rPr>
              <w:t xml:space="preserve"> </w:t>
            </w:r>
            <w:r w:rsidR="12F2A5CE" w:rsidRPr="05C042F0">
              <w:rPr>
                <w:rFonts w:cs="Arial"/>
                <w:color w:val="000000" w:themeColor="text1"/>
                <w:sz w:val="18"/>
                <w:szCs w:val="18"/>
              </w:rPr>
              <w:t>max(</w:t>
            </w:r>
            <w:r w:rsidR="14DC2221" w:rsidRPr="05C042F0">
              <w:rPr>
                <w:rFonts w:cs="Arial"/>
                <w:color w:val="000000" w:themeColor="text1"/>
                <w:sz w:val="18"/>
                <w:szCs w:val="18"/>
              </w:rPr>
              <w:t xml:space="preserve"> readm_adjXX</w:t>
            </w:r>
            <w:r w:rsidR="12F2A5CE" w:rsidRPr="05C042F0">
              <w:rPr>
                <w:rFonts w:cs="Arial"/>
                <w:color w:val="000000" w:themeColor="text1"/>
                <w:sz w:val="18"/>
                <w:szCs w:val="18"/>
              </w:rPr>
              <w:t>)</w:t>
            </w:r>
          </w:p>
        </w:tc>
      </w:tr>
      <w:tr w:rsidR="00A90801" w:rsidRPr="00C525F3" w14:paraId="476873E0" w14:textId="77777777" w:rsidTr="11584AC8">
        <w:trPr>
          <w:cantSplit/>
          <w:trHeight w:val="450"/>
        </w:trPr>
        <w:tc>
          <w:tcPr>
            <w:tcW w:w="441" w:type="pct"/>
            <w:shd w:val="clear" w:color="auto" w:fill="auto"/>
            <w:noWrap/>
          </w:tcPr>
          <w:p w14:paraId="148BA9A6" w14:textId="767B56A6" w:rsidR="008D1719" w:rsidRDefault="26EA5151" w:rsidP="00D13F93">
            <w:pPr>
              <w:tabs>
                <w:tab w:val="left" w:pos="1162"/>
              </w:tabs>
              <w:spacing w:line="240" w:lineRule="auto"/>
              <w:rPr>
                <w:rFonts w:cs="Arial"/>
                <w:color w:val="000000"/>
                <w:sz w:val="18"/>
                <w:szCs w:val="18"/>
              </w:rPr>
            </w:pPr>
            <w:r w:rsidRPr="33F5F24E">
              <w:rPr>
                <w:rFonts w:cs="Arial"/>
                <w:color w:val="000000" w:themeColor="text1"/>
                <w:sz w:val="18"/>
                <w:szCs w:val="18"/>
              </w:rPr>
              <w:lastRenderedPageBreak/>
              <w:t>A</w:t>
            </w:r>
            <w:r w:rsidR="71205253" w:rsidRPr="33F5F24E">
              <w:rPr>
                <w:rFonts w:cs="Arial"/>
                <w:color w:val="000000" w:themeColor="text1"/>
                <w:sz w:val="18"/>
                <w:szCs w:val="18"/>
              </w:rPr>
              <w:t>252</w:t>
            </w:r>
          </w:p>
        </w:tc>
        <w:tc>
          <w:tcPr>
            <w:tcW w:w="958" w:type="pct"/>
            <w:shd w:val="clear" w:color="auto" w:fill="auto"/>
            <w:noWrap/>
          </w:tcPr>
          <w:p w14:paraId="4CF7FD5A" w14:textId="09B8CDDC" w:rsidR="008D1719" w:rsidRDefault="00CE3156" w:rsidP="008D1719">
            <w:pPr>
              <w:tabs>
                <w:tab w:val="left" w:pos="1162"/>
              </w:tabs>
              <w:spacing w:line="240" w:lineRule="auto"/>
              <w:rPr>
                <w:rFonts w:cs="Arial"/>
                <w:color w:val="000000"/>
                <w:sz w:val="18"/>
                <w:szCs w:val="18"/>
              </w:rPr>
            </w:pPr>
            <w:r w:rsidRPr="431CD011">
              <w:rPr>
                <w:rFonts w:cs="Arial"/>
                <w:color w:val="000000" w:themeColor="text1"/>
                <w:sz w:val="18"/>
                <w:szCs w:val="18"/>
              </w:rPr>
              <w:t>NWAU2</w:t>
            </w:r>
            <w:r>
              <w:rPr>
                <w:rFonts w:cs="Arial"/>
                <w:color w:val="000000" w:themeColor="text1"/>
                <w:sz w:val="18"/>
                <w:szCs w:val="18"/>
              </w:rPr>
              <w:t>2</w:t>
            </w:r>
          </w:p>
        </w:tc>
        <w:tc>
          <w:tcPr>
            <w:tcW w:w="1391" w:type="pct"/>
            <w:shd w:val="clear" w:color="auto" w:fill="auto"/>
          </w:tcPr>
          <w:p w14:paraId="60BF3A70" w14:textId="77777777" w:rsidR="008D1719" w:rsidRDefault="008D1719" w:rsidP="008D1719">
            <w:pPr>
              <w:tabs>
                <w:tab w:val="left" w:pos="1162"/>
              </w:tabs>
              <w:spacing w:line="240" w:lineRule="auto"/>
              <w:rPr>
                <w:rFonts w:cs="Arial"/>
                <w:color w:val="000000"/>
                <w:sz w:val="18"/>
                <w:szCs w:val="18"/>
              </w:rPr>
            </w:pPr>
            <w:r w:rsidRPr="00B325D8">
              <w:rPr>
                <w:rFonts w:cs="Arial"/>
                <w:color w:val="000000"/>
                <w:sz w:val="18"/>
                <w:szCs w:val="18"/>
              </w:rPr>
              <w:t>National Weighted Activity Unit</w:t>
            </w:r>
          </w:p>
        </w:tc>
        <w:tc>
          <w:tcPr>
            <w:tcW w:w="2210" w:type="pct"/>
            <w:shd w:val="clear" w:color="auto" w:fill="auto"/>
          </w:tcPr>
          <w:p w14:paraId="27BAA189" w14:textId="2633DEEC" w:rsidR="008D1719" w:rsidRDefault="008D1719" w:rsidP="30A26A84">
            <w:pPr>
              <w:tabs>
                <w:tab w:val="left" w:pos="1162"/>
              </w:tabs>
              <w:spacing w:before="80" w:after="80" w:line="240" w:lineRule="auto"/>
              <w:rPr>
                <w:rFonts w:cs="Arial"/>
                <w:color w:val="000000" w:themeColor="text1"/>
                <w:sz w:val="18"/>
                <w:szCs w:val="18"/>
              </w:rPr>
            </w:pPr>
            <w:r w:rsidRPr="6886BF09">
              <w:rPr>
                <w:rFonts w:cs="Arial"/>
                <w:color w:val="000000" w:themeColor="text1"/>
                <w:sz w:val="18"/>
                <w:szCs w:val="18"/>
              </w:rPr>
              <w:t>Max(0,</w:t>
            </w:r>
            <w:r w:rsidR="5C536B47" w:rsidRPr="2DFCD6FC">
              <w:rPr>
                <w:rFonts w:cs="Arial"/>
                <w:color w:val="000000" w:themeColor="text1"/>
                <w:sz w:val="18"/>
                <w:szCs w:val="18"/>
              </w:rPr>
              <w:t xml:space="preserve"> GWAU22 </w:t>
            </w:r>
            <w:r w:rsidRPr="6886BF09">
              <w:rPr>
                <w:rFonts w:cs="Arial"/>
                <w:color w:val="000000" w:themeColor="text1"/>
                <w:sz w:val="18"/>
                <w:szCs w:val="18"/>
              </w:rPr>
              <w:t>-</w:t>
            </w:r>
            <w:r w:rsidR="0FFF342F" w:rsidRPr="1B7EF35C">
              <w:rPr>
                <w:rFonts w:cs="Arial"/>
                <w:color w:val="000000" w:themeColor="text1"/>
                <w:sz w:val="18"/>
                <w:szCs w:val="18"/>
              </w:rPr>
              <w:t xml:space="preserve"> _adj_privpat_serv </w:t>
            </w:r>
            <w:r w:rsidRPr="6886BF09">
              <w:rPr>
                <w:rFonts w:cs="Arial"/>
                <w:color w:val="000000" w:themeColor="text1"/>
                <w:sz w:val="18"/>
                <w:szCs w:val="18"/>
              </w:rPr>
              <w:t>-</w:t>
            </w:r>
            <w:r w:rsidR="1590CF21" w:rsidRPr="774D86FE">
              <w:rPr>
                <w:rFonts w:cs="Arial"/>
                <w:color w:val="000000" w:themeColor="text1"/>
                <w:sz w:val="18"/>
                <w:szCs w:val="18"/>
              </w:rPr>
              <w:t xml:space="preserve"> _adj_privpat_accom </w:t>
            </w:r>
            <w:r w:rsidRPr="6886BF09">
              <w:rPr>
                <w:rFonts w:cs="Arial"/>
                <w:color w:val="000000" w:themeColor="text1"/>
                <w:sz w:val="18"/>
                <w:szCs w:val="18"/>
              </w:rPr>
              <w:t>-</w:t>
            </w:r>
            <w:r w:rsidR="6E741573" w:rsidRPr="30A26A84">
              <w:rPr>
                <w:rFonts w:cs="Arial"/>
                <w:color w:val="000000" w:themeColor="text1"/>
                <w:sz w:val="18"/>
                <w:szCs w:val="18"/>
              </w:rPr>
              <w:t xml:space="preserve"> riskAdjustment_hac </w:t>
            </w:r>
          </w:p>
          <w:p w14:paraId="2331C53D" w14:textId="277E7C2E" w:rsidR="008D1719" w:rsidRDefault="008D1719" w:rsidP="00D13F93">
            <w:pPr>
              <w:tabs>
                <w:tab w:val="left" w:pos="1162"/>
              </w:tabs>
              <w:spacing w:before="80" w:after="80" w:line="240" w:lineRule="auto"/>
              <w:rPr>
                <w:rFonts w:cs="Arial"/>
                <w:color w:val="000000"/>
                <w:sz w:val="18"/>
                <w:szCs w:val="18"/>
              </w:rPr>
            </w:pPr>
            <w:r w:rsidRPr="6886BF09">
              <w:rPr>
                <w:rFonts w:cs="Arial"/>
                <w:color w:val="000000" w:themeColor="text1"/>
                <w:sz w:val="18"/>
                <w:szCs w:val="18"/>
              </w:rPr>
              <w:t>-</w:t>
            </w:r>
            <w:r w:rsidR="1FE59B15" w:rsidRPr="4AD9528B">
              <w:rPr>
                <w:rFonts w:cs="Arial"/>
                <w:color w:val="000000" w:themeColor="text1"/>
                <w:sz w:val="18"/>
                <w:szCs w:val="18"/>
              </w:rPr>
              <w:t xml:space="preserve"> riskAdjustment_readm </w:t>
            </w:r>
            <w:r w:rsidRPr="6886BF09">
              <w:rPr>
                <w:rFonts w:cs="Arial"/>
                <w:color w:val="000000" w:themeColor="text1"/>
                <w:sz w:val="18"/>
                <w:szCs w:val="18"/>
              </w:rPr>
              <w:t>) for only in-scope funding sources, set as necessary in the template.</w:t>
            </w:r>
          </w:p>
        </w:tc>
      </w:tr>
    </w:tbl>
    <w:p w14:paraId="316BEE21" w14:textId="77777777" w:rsidR="000C490B" w:rsidRDefault="000C490B" w:rsidP="00836FC5">
      <w:pPr>
        <w:pStyle w:val="TableHeading"/>
      </w:pPr>
      <w:r w:rsidRPr="00FA1783">
        <w:t xml:space="preserve">Table </w:t>
      </w:r>
      <w:r>
        <w:rPr>
          <w:noProof/>
        </w:rPr>
        <w:t>26</w:t>
      </w:r>
      <w:r w:rsidRPr="00FA1783">
        <w:t xml:space="preserve">: </w:t>
      </w:r>
      <w:r>
        <w:t>A</w:t>
      </w:r>
      <w:r w:rsidRPr="00FA1783">
        <w:t xml:space="preserve">dmitted </w:t>
      </w:r>
      <w:r>
        <w:t xml:space="preserve">mental health care </w:t>
      </w:r>
      <w:r w:rsidRPr="00FA1783">
        <w:t>patients: variable definitions</w:t>
      </w:r>
    </w:p>
    <w:tbl>
      <w:tblPr>
        <w:tblW w:w="5830" w:type="pct"/>
        <w:tblInd w:w="-57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Table 23: Acute admitted patients: variable definitions."/>
      </w:tblPr>
      <w:tblGrid>
        <w:gridCol w:w="992"/>
        <w:gridCol w:w="2128"/>
        <w:gridCol w:w="3120"/>
        <w:gridCol w:w="4959"/>
      </w:tblGrid>
      <w:tr w:rsidR="002C665D" w:rsidRPr="0090686E" w14:paraId="260422B3" w14:textId="77777777" w:rsidTr="10D0206E">
        <w:trPr>
          <w:cantSplit/>
          <w:trHeight w:val="225"/>
          <w:tblHeader/>
        </w:trPr>
        <w:tc>
          <w:tcPr>
            <w:tcW w:w="443" w:type="pct"/>
            <w:shd w:val="clear" w:color="auto" w:fill="288A32"/>
            <w:noWrap/>
            <w:hideMark/>
          </w:tcPr>
          <w:p w14:paraId="149B29DA" w14:textId="77777777" w:rsidR="000C490B" w:rsidRPr="005B5348" w:rsidRDefault="000C490B" w:rsidP="003C0686">
            <w:pPr>
              <w:tabs>
                <w:tab w:val="left" w:pos="1162"/>
              </w:tabs>
              <w:spacing w:before="80" w:after="80" w:line="240" w:lineRule="auto"/>
              <w:rPr>
                <w:rFonts w:cs="Arial"/>
                <w:b/>
                <w:color w:val="FFFFFF" w:themeColor="background1"/>
                <w:sz w:val="18"/>
                <w:szCs w:val="18"/>
              </w:rPr>
            </w:pPr>
            <w:r w:rsidRPr="005B5348">
              <w:rPr>
                <w:rFonts w:cs="Arial"/>
                <w:b/>
                <w:color w:val="FFFFFF" w:themeColor="background1"/>
                <w:sz w:val="18"/>
                <w:szCs w:val="18"/>
              </w:rPr>
              <w:t>Variable</w:t>
            </w:r>
          </w:p>
        </w:tc>
        <w:tc>
          <w:tcPr>
            <w:tcW w:w="950" w:type="pct"/>
            <w:shd w:val="clear" w:color="auto" w:fill="288A32"/>
            <w:noWrap/>
            <w:hideMark/>
          </w:tcPr>
          <w:p w14:paraId="1FA15D13" w14:textId="77777777" w:rsidR="000C490B" w:rsidRPr="005B5348" w:rsidRDefault="000C490B" w:rsidP="003C0686">
            <w:pPr>
              <w:tabs>
                <w:tab w:val="left" w:pos="1162"/>
              </w:tabs>
              <w:spacing w:before="80" w:after="80" w:line="240" w:lineRule="auto"/>
              <w:rPr>
                <w:rFonts w:cs="Arial"/>
                <w:b/>
                <w:color w:val="FFFFFF" w:themeColor="background1"/>
                <w:sz w:val="18"/>
                <w:szCs w:val="18"/>
              </w:rPr>
            </w:pPr>
            <w:r w:rsidRPr="005B5348">
              <w:rPr>
                <w:rFonts w:cs="Arial"/>
                <w:b/>
                <w:color w:val="FFFFFF" w:themeColor="background1"/>
                <w:sz w:val="18"/>
                <w:szCs w:val="18"/>
              </w:rPr>
              <w:t>Name</w:t>
            </w:r>
          </w:p>
        </w:tc>
        <w:tc>
          <w:tcPr>
            <w:tcW w:w="1393" w:type="pct"/>
            <w:shd w:val="clear" w:color="auto" w:fill="288A32"/>
            <w:hideMark/>
          </w:tcPr>
          <w:p w14:paraId="0C7C6351" w14:textId="77777777" w:rsidR="000C490B" w:rsidRPr="005B5348" w:rsidRDefault="000C490B" w:rsidP="003C0686">
            <w:pPr>
              <w:tabs>
                <w:tab w:val="left" w:pos="1162"/>
              </w:tabs>
              <w:spacing w:before="80" w:after="80" w:line="240" w:lineRule="auto"/>
              <w:rPr>
                <w:rFonts w:cs="Arial"/>
                <w:b/>
                <w:color w:val="FFFFFF" w:themeColor="background1"/>
                <w:sz w:val="18"/>
                <w:szCs w:val="18"/>
              </w:rPr>
            </w:pPr>
            <w:r w:rsidRPr="005B5348">
              <w:rPr>
                <w:rFonts w:cs="Arial"/>
                <w:b/>
                <w:color w:val="FFFFFF" w:themeColor="background1"/>
                <w:sz w:val="18"/>
                <w:szCs w:val="18"/>
              </w:rPr>
              <w:t>Description</w:t>
            </w:r>
          </w:p>
        </w:tc>
        <w:tc>
          <w:tcPr>
            <w:tcW w:w="2214" w:type="pct"/>
            <w:shd w:val="clear" w:color="auto" w:fill="288A32"/>
            <w:hideMark/>
          </w:tcPr>
          <w:p w14:paraId="1AFAE3DC" w14:textId="77777777" w:rsidR="000C490B" w:rsidRPr="005B5348" w:rsidRDefault="000C490B" w:rsidP="003C0686">
            <w:pPr>
              <w:tabs>
                <w:tab w:val="left" w:pos="1162"/>
              </w:tabs>
              <w:spacing w:before="80" w:after="80" w:line="240" w:lineRule="auto"/>
              <w:rPr>
                <w:rFonts w:cs="Arial"/>
                <w:b/>
                <w:color w:val="FFFFFF" w:themeColor="background1"/>
                <w:sz w:val="18"/>
                <w:szCs w:val="18"/>
              </w:rPr>
            </w:pPr>
            <w:r w:rsidRPr="005B5348">
              <w:rPr>
                <w:rFonts w:cs="Arial"/>
                <w:b/>
                <w:color w:val="FFFFFF" w:themeColor="background1"/>
                <w:sz w:val="18"/>
                <w:szCs w:val="18"/>
              </w:rPr>
              <w:t>Definition</w:t>
            </w:r>
          </w:p>
        </w:tc>
      </w:tr>
      <w:tr w:rsidR="008C4F86" w14:paraId="45107074" w14:textId="77777777" w:rsidTr="10D0206E">
        <w:trPr>
          <w:cantSplit/>
          <w:trHeight w:val="450"/>
        </w:trPr>
        <w:tc>
          <w:tcPr>
            <w:tcW w:w="992" w:type="dxa"/>
            <w:tcBorders>
              <w:top w:val="single" w:sz="4" w:space="0" w:color="auto"/>
            </w:tcBorders>
            <w:shd w:val="clear" w:color="auto" w:fill="auto"/>
            <w:noWrap/>
            <w:hideMark/>
          </w:tcPr>
          <w:p w14:paraId="14A9890C" w14:textId="1B22E126" w:rsidR="0F889412" w:rsidRDefault="0F889412" w:rsidP="6762B360">
            <w:pPr>
              <w:spacing w:line="240" w:lineRule="auto"/>
              <w:rPr>
                <w:noProof/>
                <w:color w:val="000000" w:themeColor="text1"/>
                <w:szCs w:val="22"/>
              </w:rPr>
            </w:pPr>
            <w:r w:rsidRPr="6762B360">
              <w:rPr>
                <w:rFonts w:eastAsiaTheme="minorEastAsia" w:cs="Arial"/>
                <w:noProof/>
                <w:color w:val="000000" w:themeColor="text1"/>
                <w:sz w:val="18"/>
                <w:szCs w:val="18"/>
              </w:rPr>
              <w:t>M01</w:t>
            </w:r>
          </w:p>
        </w:tc>
        <w:tc>
          <w:tcPr>
            <w:tcW w:w="2128" w:type="dxa"/>
            <w:shd w:val="clear" w:color="auto" w:fill="auto"/>
            <w:noWrap/>
            <w:hideMark/>
          </w:tcPr>
          <w:p w14:paraId="3CED8FFF" w14:textId="78D8F400" w:rsidR="0F889412" w:rsidRPr="00836FC5" w:rsidRDefault="0F889412">
            <w:pPr>
              <w:spacing w:line="240" w:lineRule="auto"/>
              <w:rPr>
                <w:rFonts w:cs="Arial"/>
                <w:color w:val="000000" w:themeColor="text1"/>
                <w:sz w:val="18"/>
                <w:szCs w:val="18"/>
              </w:rPr>
            </w:pPr>
            <w:r w:rsidRPr="00836FC5">
              <w:rPr>
                <w:rFonts w:cs="Arial"/>
                <w:color w:val="000000" w:themeColor="text1"/>
                <w:sz w:val="18"/>
                <w:szCs w:val="18"/>
              </w:rPr>
              <w:t>_est_eligible</w:t>
            </w:r>
            <w:r w:rsidRPr="6762B360">
              <w:rPr>
                <w:rFonts w:cs="Arial"/>
                <w:color w:val="000000" w:themeColor="text1"/>
                <w:sz w:val="18"/>
                <w:szCs w:val="18"/>
              </w:rPr>
              <w:t>_paed_flag</w:t>
            </w:r>
          </w:p>
        </w:tc>
        <w:tc>
          <w:tcPr>
            <w:tcW w:w="3120" w:type="dxa"/>
            <w:shd w:val="clear" w:color="auto" w:fill="auto"/>
            <w:hideMark/>
          </w:tcPr>
          <w:p w14:paraId="07697F7B" w14:textId="0B284076" w:rsidR="2BB580AD" w:rsidRPr="00836FC5" w:rsidRDefault="2BB580AD"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Paediatric adjustment eligible establishment, derived from ICU paediatric eligibility table</w:t>
            </w:r>
          </w:p>
        </w:tc>
        <w:tc>
          <w:tcPr>
            <w:tcW w:w="4959" w:type="dxa"/>
            <w:shd w:val="clear" w:color="auto" w:fill="auto"/>
            <w:hideMark/>
          </w:tcPr>
          <w:p w14:paraId="61ABFE3A" w14:textId="60A027E3" w:rsidR="2BB580AD" w:rsidRPr="00836FC5" w:rsidRDefault="2BB580AD"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1 if establishment is designated as eligible for paediatric adjustment; else 0.</w:t>
            </w:r>
          </w:p>
        </w:tc>
      </w:tr>
      <w:tr w:rsidR="00A90801" w:rsidRPr="0090686E" w14:paraId="2ADCE240" w14:textId="77777777" w:rsidTr="10D0206E">
        <w:trPr>
          <w:cantSplit/>
          <w:trHeight w:val="450"/>
        </w:trPr>
        <w:tc>
          <w:tcPr>
            <w:tcW w:w="443" w:type="pct"/>
            <w:shd w:val="clear" w:color="auto" w:fill="auto"/>
            <w:noWrap/>
          </w:tcPr>
          <w:p w14:paraId="66B3F31A" w14:textId="2CFD7DBA" w:rsidR="000C490B" w:rsidRPr="00552BDF" w:rsidRDefault="00E74C1C" w:rsidP="003C0686">
            <w:pPr>
              <w:tabs>
                <w:tab w:val="left" w:pos="1162"/>
              </w:tabs>
              <w:spacing w:line="240" w:lineRule="auto"/>
              <w:rPr>
                <w:rFonts w:cs="Arial"/>
                <w:color w:val="000000"/>
                <w:sz w:val="18"/>
                <w:szCs w:val="18"/>
              </w:rPr>
            </w:pPr>
            <w:r w:rsidRPr="6762B360">
              <w:rPr>
                <w:rFonts w:cs="Arial"/>
                <w:color w:val="000000" w:themeColor="text1"/>
                <w:sz w:val="18"/>
                <w:szCs w:val="18"/>
              </w:rPr>
              <w:t>M02</w:t>
            </w:r>
          </w:p>
        </w:tc>
        <w:tc>
          <w:tcPr>
            <w:tcW w:w="950" w:type="pct"/>
            <w:shd w:val="clear" w:color="auto" w:fill="auto"/>
            <w:noWrap/>
          </w:tcPr>
          <w:p w14:paraId="20821FC3"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_treat_remoteness</w:t>
            </w:r>
          </w:p>
        </w:tc>
        <w:tc>
          <w:tcPr>
            <w:tcW w:w="1393" w:type="pct"/>
            <w:shd w:val="clear" w:color="auto" w:fill="auto"/>
          </w:tcPr>
          <w:p w14:paraId="3B094439"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Patient treatment remoteness Area</w:t>
            </w:r>
          </w:p>
        </w:tc>
        <w:tc>
          <w:tcPr>
            <w:tcW w:w="2214" w:type="pct"/>
            <w:shd w:val="clear" w:color="auto" w:fill="auto"/>
          </w:tcPr>
          <w:p w14:paraId="6D8B0403" w14:textId="77777777" w:rsidR="000C490B" w:rsidRPr="005B5348" w:rsidRDefault="000C490B" w:rsidP="003C0686">
            <w:pPr>
              <w:tabs>
                <w:tab w:val="left" w:pos="1162"/>
              </w:tabs>
              <w:spacing w:before="80" w:after="80" w:line="240" w:lineRule="auto"/>
              <w:rPr>
                <w:rFonts w:cs="Arial"/>
                <w:color w:val="000000"/>
                <w:sz w:val="18"/>
                <w:szCs w:val="18"/>
              </w:rPr>
            </w:pPr>
            <w:r w:rsidRPr="005B5348">
              <w:rPr>
                <w:rFonts w:cs="Arial"/>
                <w:color w:val="000000"/>
                <w:sz w:val="18"/>
                <w:szCs w:val="18"/>
              </w:rPr>
              <w:t>2016 ASGS remoteness area category of the patient treatment location taken from the hospitals geographic location information, where:</w:t>
            </w:r>
            <w:r w:rsidRPr="005B5348">
              <w:rPr>
                <w:rFonts w:cs="Arial"/>
                <w:color w:val="000000"/>
                <w:sz w:val="18"/>
                <w:szCs w:val="18"/>
              </w:rPr>
              <w:br/>
              <w:t>0 = major city</w:t>
            </w:r>
          </w:p>
          <w:p w14:paraId="0925E7F8" w14:textId="77777777" w:rsidR="000C490B" w:rsidRPr="005B5348" w:rsidRDefault="000C490B" w:rsidP="003C0686">
            <w:pPr>
              <w:tabs>
                <w:tab w:val="left" w:pos="1162"/>
              </w:tabs>
              <w:spacing w:before="80" w:after="80" w:line="240" w:lineRule="auto"/>
              <w:rPr>
                <w:rFonts w:cs="Arial"/>
                <w:color w:val="000000"/>
                <w:sz w:val="18"/>
                <w:szCs w:val="18"/>
              </w:rPr>
            </w:pPr>
            <w:r w:rsidRPr="005B5348">
              <w:rPr>
                <w:rFonts w:cs="Arial"/>
                <w:color w:val="000000"/>
                <w:sz w:val="18"/>
                <w:szCs w:val="18"/>
              </w:rPr>
              <w:t>1 = inner regional</w:t>
            </w:r>
          </w:p>
          <w:p w14:paraId="0E40D8C2" w14:textId="77777777" w:rsidR="000C490B" w:rsidRPr="005B5348" w:rsidRDefault="000C490B" w:rsidP="003C0686">
            <w:pPr>
              <w:tabs>
                <w:tab w:val="left" w:pos="1162"/>
              </w:tabs>
              <w:spacing w:before="80" w:after="80" w:line="240" w:lineRule="auto"/>
              <w:rPr>
                <w:rFonts w:cs="Arial"/>
                <w:color w:val="000000"/>
                <w:sz w:val="18"/>
                <w:szCs w:val="18"/>
              </w:rPr>
            </w:pPr>
            <w:r w:rsidRPr="005B5348">
              <w:rPr>
                <w:rFonts w:cs="Arial"/>
                <w:color w:val="000000"/>
                <w:sz w:val="18"/>
                <w:szCs w:val="18"/>
              </w:rPr>
              <w:t>2 = outer regional</w:t>
            </w:r>
          </w:p>
          <w:p w14:paraId="68C83EC6" w14:textId="77777777" w:rsidR="000C490B" w:rsidRPr="005B5348" w:rsidRDefault="000C490B" w:rsidP="003C0686">
            <w:pPr>
              <w:tabs>
                <w:tab w:val="left" w:pos="1162"/>
              </w:tabs>
              <w:spacing w:before="80" w:after="80" w:line="240" w:lineRule="auto"/>
              <w:rPr>
                <w:rFonts w:cs="Arial"/>
                <w:color w:val="000000"/>
                <w:sz w:val="18"/>
                <w:szCs w:val="18"/>
              </w:rPr>
            </w:pPr>
            <w:r w:rsidRPr="005B5348">
              <w:rPr>
                <w:rFonts w:cs="Arial"/>
                <w:color w:val="000000"/>
                <w:sz w:val="18"/>
                <w:szCs w:val="18"/>
              </w:rPr>
              <w:t>3 = remote</w:t>
            </w:r>
          </w:p>
          <w:p w14:paraId="651D29E3"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4 = very remote.</w:t>
            </w:r>
          </w:p>
        </w:tc>
      </w:tr>
      <w:tr w:rsidR="00A90801" w14:paraId="4F6C1812" w14:textId="77777777" w:rsidTr="10D0206E">
        <w:trPr>
          <w:cantSplit/>
          <w:trHeight w:val="450"/>
        </w:trPr>
        <w:tc>
          <w:tcPr>
            <w:tcW w:w="992" w:type="dxa"/>
            <w:shd w:val="clear" w:color="auto" w:fill="auto"/>
            <w:noWrap/>
          </w:tcPr>
          <w:p w14:paraId="454B607A" w14:textId="080127AC" w:rsidR="6762B360" w:rsidRDefault="6762B360" w:rsidP="6762B360">
            <w:pPr>
              <w:tabs>
                <w:tab w:val="left" w:pos="1162"/>
              </w:tabs>
              <w:spacing w:line="240" w:lineRule="auto"/>
              <w:rPr>
                <w:rFonts w:eastAsiaTheme="minorEastAsia" w:cs="Arial"/>
                <w:noProof/>
                <w:color w:val="000000" w:themeColor="text1"/>
                <w:sz w:val="18"/>
                <w:szCs w:val="18"/>
              </w:rPr>
            </w:pPr>
            <w:r w:rsidRPr="6762B360">
              <w:rPr>
                <w:rFonts w:eastAsiaTheme="minorEastAsia" w:cs="Arial"/>
                <w:noProof/>
                <w:color w:val="000000" w:themeColor="text1"/>
                <w:sz w:val="18"/>
                <w:szCs w:val="18"/>
              </w:rPr>
              <w:t>M0</w:t>
            </w:r>
            <w:r w:rsidR="2A26A34D" w:rsidRPr="6762B360">
              <w:rPr>
                <w:rFonts w:eastAsiaTheme="minorEastAsia" w:cs="Arial"/>
                <w:noProof/>
                <w:color w:val="000000" w:themeColor="text1"/>
                <w:sz w:val="18"/>
                <w:szCs w:val="18"/>
              </w:rPr>
              <w:t>3</w:t>
            </w:r>
          </w:p>
        </w:tc>
        <w:tc>
          <w:tcPr>
            <w:tcW w:w="2128" w:type="dxa"/>
            <w:shd w:val="clear" w:color="auto" w:fill="auto"/>
            <w:noWrap/>
          </w:tcPr>
          <w:p w14:paraId="5FF4DC70" w14:textId="77777777" w:rsidR="6762B360" w:rsidRDefault="6762B360"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_pat_remoteness</w:t>
            </w:r>
          </w:p>
        </w:tc>
        <w:tc>
          <w:tcPr>
            <w:tcW w:w="3120" w:type="dxa"/>
            <w:shd w:val="clear" w:color="auto" w:fill="auto"/>
          </w:tcPr>
          <w:p w14:paraId="173BA6C9" w14:textId="77777777" w:rsidR="6762B360" w:rsidRDefault="6762B360"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Patient residential remoteness Area</w:t>
            </w:r>
          </w:p>
        </w:tc>
        <w:tc>
          <w:tcPr>
            <w:tcW w:w="4959" w:type="dxa"/>
            <w:shd w:val="clear" w:color="auto" w:fill="auto"/>
          </w:tcPr>
          <w:p w14:paraId="28A5F41F" w14:textId="77777777" w:rsidR="6762B360" w:rsidRDefault="6762B360" w:rsidP="6762B360">
            <w:pPr>
              <w:tabs>
                <w:tab w:val="left" w:pos="1162"/>
              </w:tabs>
              <w:spacing w:before="80" w:after="80" w:line="240" w:lineRule="auto"/>
              <w:rPr>
                <w:rFonts w:cs="Arial"/>
                <w:color w:val="000000" w:themeColor="text1"/>
                <w:sz w:val="18"/>
                <w:szCs w:val="18"/>
              </w:rPr>
            </w:pPr>
            <w:r w:rsidRPr="6762B360">
              <w:rPr>
                <w:rFonts w:cs="Arial"/>
                <w:color w:val="000000" w:themeColor="text1"/>
                <w:sz w:val="18"/>
                <w:szCs w:val="18"/>
              </w:rPr>
              <w:t xml:space="preserve">2016 ASGS remoteness area category of the patient location taken from the episode's geographical information in ranked order of preference: SA2, postcode or the hospital geographical indicator variable where: </w:t>
            </w:r>
            <w:r>
              <w:br/>
            </w:r>
            <w:r w:rsidRPr="6762B360">
              <w:rPr>
                <w:rFonts w:cs="Arial"/>
                <w:color w:val="000000" w:themeColor="text1"/>
                <w:sz w:val="18"/>
                <w:szCs w:val="18"/>
              </w:rPr>
              <w:t>0 = major city</w:t>
            </w:r>
          </w:p>
          <w:p w14:paraId="51C4DC91" w14:textId="77777777" w:rsidR="6762B360" w:rsidRDefault="6762B360" w:rsidP="6762B360">
            <w:pPr>
              <w:tabs>
                <w:tab w:val="left" w:pos="1162"/>
              </w:tabs>
              <w:spacing w:before="80" w:after="80" w:line="240" w:lineRule="auto"/>
              <w:rPr>
                <w:rFonts w:cs="Arial"/>
                <w:color w:val="000000" w:themeColor="text1"/>
                <w:sz w:val="18"/>
                <w:szCs w:val="18"/>
              </w:rPr>
            </w:pPr>
            <w:r w:rsidRPr="6762B360">
              <w:rPr>
                <w:rFonts w:cs="Arial"/>
                <w:color w:val="000000" w:themeColor="text1"/>
                <w:sz w:val="18"/>
                <w:szCs w:val="18"/>
              </w:rPr>
              <w:t>1 = inner regional</w:t>
            </w:r>
          </w:p>
          <w:p w14:paraId="5D8D5D59" w14:textId="77777777" w:rsidR="6762B360" w:rsidRDefault="6762B360" w:rsidP="6762B360">
            <w:pPr>
              <w:tabs>
                <w:tab w:val="left" w:pos="1162"/>
              </w:tabs>
              <w:spacing w:before="80" w:after="80" w:line="240" w:lineRule="auto"/>
              <w:rPr>
                <w:rFonts w:cs="Arial"/>
                <w:color w:val="000000" w:themeColor="text1"/>
                <w:sz w:val="18"/>
                <w:szCs w:val="18"/>
              </w:rPr>
            </w:pPr>
            <w:r w:rsidRPr="6762B360">
              <w:rPr>
                <w:rFonts w:cs="Arial"/>
                <w:color w:val="000000" w:themeColor="text1"/>
                <w:sz w:val="18"/>
                <w:szCs w:val="18"/>
              </w:rPr>
              <w:t>2 = outer regional</w:t>
            </w:r>
          </w:p>
          <w:p w14:paraId="6F277E5B" w14:textId="77777777" w:rsidR="6762B360" w:rsidRDefault="6762B360" w:rsidP="6762B360">
            <w:pPr>
              <w:tabs>
                <w:tab w:val="left" w:pos="1162"/>
              </w:tabs>
              <w:spacing w:before="80" w:after="80" w:line="240" w:lineRule="auto"/>
              <w:rPr>
                <w:rFonts w:cs="Arial"/>
                <w:color w:val="000000" w:themeColor="text1"/>
                <w:sz w:val="18"/>
                <w:szCs w:val="18"/>
              </w:rPr>
            </w:pPr>
            <w:r w:rsidRPr="6762B360">
              <w:rPr>
                <w:rFonts w:cs="Arial"/>
                <w:color w:val="000000" w:themeColor="text1"/>
                <w:sz w:val="18"/>
                <w:szCs w:val="18"/>
              </w:rPr>
              <w:t>3 = remote</w:t>
            </w:r>
          </w:p>
          <w:p w14:paraId="5FB820A9" w14:textId="77777777" w:rsidR="6762B360" w:rsidRDefault="6762B360"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4 = very remote.</w:t>
            </w:r>
          </w:p>
        </w:tc>
      </w:tr>
      <w:tr w:rsidR="00A90801" w14:paraId="04F69012" w14:textId="77777777" w:rsidTr="10D0206E">
        <w:trPr>
          <w:cantSplit/>
          <w:trHeight w:val="450"/>
        </w:trPr>
        <w:tc>
          <w:tcPr>
            <w:tcW w:w="992" w:type="dxa"/>
            <w:shd w:val="clear" w:color="auto" w:fill="auto"/>
            <w:noWrap/>
          </w:tcPr>
          <w:p w14:paraId="0FF44A7F" w14:textId="33A0A997" w:rsidR="27E58C93" w:rsidRPr="00836FC5" w:rsidRDefault="27E58C93">
            <w:pPr>
              <w:spacing w:line="240" w:lineRule="auto"/>
              <w:rPr>
                <w:rFonts w:cs="Arial"/>
                <w:noProof/>
                <w:color w:val="000000" w:themeColor="text1"/>
                <w:sz w:val="18"/>
                <w:szCs w:val="18"/>
              </w:rPr>
            </w:pPr>
            <w:r w:rsidRPr="6762B360">
              <w:rPr>
                <w:rFonts w:cs="Arial"/>
                <w:noProof/>
                <w:color w:val="000000" w:themeColor="text1"/>
                <w:sz w:val="18"/>
                <w:szCs w:val="18"/>
              </w:rPr>
              <w:t>M04</w:t>
            </w:r>
          </w:p>
        </w:tc>
        <w:tc>
          <w:tcPr>
            <w:tcW w:w="2128" w:type="dxa"/>
            <w:shd w:val="clear" w:color="auto" w:fill="auto"/>
            <w:noWrap/>
          </w:tcPr>
          <w:p w14:paraId="2DBA33FF" w14:textId="2776AF94" w:rsidR="27E58C93" w:rsidRPr="00836FC5" w:rsidRDefault="27E58C93">
            <w:pPr>
              <w:spacing w:line="240" w:lineRule="auto"/>
              <w:rPr>
                <w:rFonts w:cs="Arial"/>
                <w:color w:val="000000" w:themeColor="text1"/>
                <w:sz w:val="18"/>
                <w:szCs w:val="18"/>
              </w:rPr>
            </w:pPr>
            <w:r w:rsidRPr="6762B360">
              <w:rPr>
                <w:rFonts w:cs="Arial"/>
                <w:color w:val="000000" w:themeColor="text1"/>
                <w:sz w:val="18"/>
                <w:szCs w:val="18"/>
              </w:rPr>
              <w:t>_pat_mh_flag</w:t>
            </w:r>
          </w:p>
        </w:tc>
        <w:tc>
          <w:tcPr>
            <w:tcW w:w="3120" w:type="dxa"/>
            <w:shd w:val="clear" w:color="auto" w:fill="auto"/>
          </w:tcPr>
          <w:p w14:paraId="692EBDA9" w14:textId="0291E448" w:rsidR="0530E91B" w:rsidRDefault="0530E91B" w:rsidP="6762B360">
            <w:pPr>
              <w:spacing w:line="240" w:lineRule="auto"/>
              <w:rPr>
                <w:color w:val="000000" w:themeColor="text1"/>
                <w:szCs w:val="22"/>
              </w:rPr>
            </w:pPr>
            <w:r w:rsidRPr="6762B360">
              <w:rPr>
                <w:rFonts w:cs="Arial"/>
                <w:color w:val="000000" w:themeColor="text1"/>
                <w:sz w:val="18"/>
                <w:szCs w:val="18"/>
              </w:rPr>
              <w:t>Mental health care patient flag</w:t>
            </w:r>
          </w:p>
        </w:tc>
        <w:tc>
          <w:tcPr>
            <w:tcW w:w="4959" w:type="dxa"/>
            <w:shd w:val="clear" w:color="auto" w:fill="auto"/>
          </w:tcPr>
          <w:p w14:paraId="714B1BD1" w14:textId="72E28340" w:rsidR="0530E91B" w:rsidRPr="00836FC5" w:rsidRDefault="0530E91B"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1 if care type = 11, else 0.</w:t>
            </w:r>
          </w:p>
        </w:tc>
      </w:tr>
      <w:tr w:rsidR="00A90801" w14:paraId="4C424557" w14:textId="77777777" w:rsidTr="10D0206E">
        <w:trPr>
          <w:cantSplit/>
          <w:trHeight w:val="450"/>
        </w:trPr>
        <w:tc>
          <w:tcPr>
            <w:tcW w:w="992" w:type="dxa"/>
            <w:shd w:val="clear" w:color="auto" w:fill="auto"/>
            <w:noWrap/>
          </w:tcPr>
          <w:p w14:paraId="7327E5E3" w14:textId="756CB9D3" w:rsidR="05C042F0" w:rsidRPr="00EF4493" w:rsidRDefault="05C042F0">
            <w:pPr>
              <w:spacing w:line="240" w:lineRule="auto"/>
              <w:rPr>
                <w:color w:val="000000" w:themeColor="text1"/>
                <w:sz w:val="18"/>
                <w:szCs w:val="18"/>
              </w:rPr>
            </w:pPr>
            <w:r w:rsidRPr="00EF4493">
              <w:rPr>
                <w:color w:val="000000" w:themeColor="text1"/>
                <w:sz w:val="18"/>
                <w:szCs w:val="18"/>
              </w:rPr>
              <w:t>M05</w:t>
            </w:r>
          </w:p>
        </w:tc>
        <w:tc>
          <w:tcPr>
            <w:tcW w:w="2128" w:type="dxa"/>
            <w:shd w:val="clear" w:color="auto" w:fill="auto"/>
            <w:noWrap/>
          </w:tcPr>
          <w:p w14:paraId="736E3B9C" w14:textId="717667DD" w:rsidR="05C042F0" w:rsidRPr="00EF4493" w:rsidRDefault="05C042F0" w:rsidP="05C042F0">
            <w:pPr>
              <w:spacing w:line="240" w:lineRule="auto"/>
              <w:rPr>
                <w:color w:val="000000" w:themeColor="text1"/>
                <w:sz w:val="16"/>
                <w:szCs w:val="16"/>
              </w:rPr>
            </w:pPr>
            <w:r w:rsidRPr="00EF4493">
              <w:rPr>
                <w:color w:val="000000" w:themeColor="text1"/>
                <w:sz w:val="18"/>
                <w:szCs w:val="18"/>
              </w:rPr>
              <w:t>_pat_gross_los</w:t>
            </w:r>
          </w:p>
        </w:tc>
        <w:tc>
          <w:tcPr>
            <w:tcW w:w="3120" w:type="dxa"/>
            <w:shd w:val="clear" w:color="auto" w:fill="auto"/>
          </w:tcPr>
          <w:p w14:paraId="18B7DB1C" w14:textId="65B57262" w:rsidR="05C042F0" w:rsidRPr="00EF4493" w:rsidRDefault="05C042F0">
            <w:pPr>
              <w:spacing w:line="240" w:lineRule="auto"/>
              <w:rPr>
                <w:color w:val="000000" w:themeColor="text1"/>
                <w:sz w:val="18"/>
                <w:szCs w:val="18"/>
              </w:rPr>
            </w:pPr>
            <w:r w:rsidRPr="05C042F0">
              <w:rPr>
                <w:color w:val="000000" w:themeColor="text1"/>
                <w:sz w:val="18"/>
                <w:szCs w:val="18"/>
              </w:rPr>
              <w:t>Gross l</w:t>
            </w:r>
            <w:r w:rsidRPr="00EF4493">
              <w:rPr>
                <w:color w:val="000000" w:themeColor="text1"/>
                <w:sz w:val="18"/>
                <w:szCs w:val="18"/>
              </w:rPr>
              <w:t>ength of stay</w:t>
            </w:r>
          </w:p>
        </w:tc>
        <w:tc>
          <w:tcPr>
            <w:tcW w:w="4959" w:type="dxa"/>
            <w:shd w:val="clear" w:color="auto" w:fill="auto"/>
          </w:tcPr>
          <w:p w14:paraId="6901A1AD" w14:textId="2DB4F097" w:rsidR="576E1000" w:rsidRDefault="576E1000" w:rsidP="05C042F0">
            <w:pPr>
              <w:spacing w:line="240" w:lineRule="auto"/>
              <w:rPr>
                <w:color w:val="000000" w:themeColor="text1"/>
                <w:szCs w:val="22"/>
              </w:rPr>
            </w:pPr>
            <w:r w:rsidRPr="05C042F0">
              <w:rPr>
                <w:rFonts w:cs="Arial"/>
                <w:color w:val="000000" w:themeColor="text1"/>
                <w:sz w:val="18"/>
                <w:szCs w:val="18"/>
              </w:rPr>
              <w:t>Max (0, (phase start date) - (phase end date)</w:t>
            </w:r>
            <w:r w:rsidR="00AB5FA3">
              <w:rPr>
                <w:rFonts w:cs="Arial"/>
                <w:color w:val="000000" w:themeColor="text1"/>
                <w:sz w:val="18"/>
                <w:szCs w:val="18"/>
              </w:rPr>
              <w:t>)</w:t>
            </w:r>
          </w:p>
        </w:tc>
      </w:tr>
      <w:tr w:rsidR="00A90801" w:rsidRPr="0090686E" w14:paraId="61B4D05B" w14:textId="77777777" w:rsidTr="10D0206E">
        <w:trPr>
          <w:cantSplit/>
          <w:trHeight w:val="450"/>
        </w:trPr>
        <w:tc>
          <w:tcPr>
            <w:tcW w:w="443" w:type="pct"/>
            <w:shd w:val="clear" w:color="auto" w:fill="auto"/>
            <w:noWrap/>
          </w:tcPr>
          <w:p w14:paraId="76E08398" w14:textId="74B806E7" w:rsidR="000C490B" w:rsidRPr="00EF4493" w:rsidRDefault="6A84C120">
            <w:pPr>
              <w:tabs>
                <w:tab w:val="left" w:pos="1162"/>
              </w:tabs>
              <w:spacing w:line="240" w:lineRule="auto"/>
              <w:rPr>
                <w:rFonts w:eastAsiaTheme="minorEastAsia" w:cs="Arial"/>
                <w:color w:val="000000" w:themeColor="text1"/>
                <w:sz w:val="18"/>
                <w:szCs w:val="18"/>
              </w:rPr>
            </w:pPr>
            <w:r w:rsidRPr="4B69739E">
              <w:rPr>
                <w:rFonts w:eastAsiaTheme="minorEastAsia" w:cs="Arial"/>
                <w:color w:val="000000" w:themeColor="text1"/>
                <w:sz w:val="18"/>
                <w:szCs w:val="18"/>
              </w:rPr>
              <w:t>M06</w:t>
            </w:r>
          </w:p>
        </w:tc>
        <w:tc>
          <w:tcPr>
            <w:tcW w:w="950" w:type="pct"/>
            <w:shd w:val="clear" w:color="auto" w:fill="auto"/>
            <w:noWrap/>
          </w:tcPr>
          <w:p w14:paraId="1E254FF6"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_pat_los</w:t>
            </w:r>
          </w:p>
        </w:tc>
        <w:tc>
          <w:tcPr>
            <w:tcW w:w="1393" w:type="pct"/>
            <w:shd w:val="clear" w:color="auto" w:fill="auto"/>
          </w:tcPr>
          <w:p w14:paraId="18796005"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Length of stay</w:t>
            </w:r>
          </w:p>
        </w:tc>
        <w:tc>
          <w:tcPr>
            <w:tcW w:w="2214" w:type="pct"/>
            <w:shd w:val="clear" w:color="auto" w:fill="auto"/>
          </w:tcPr>
          <w:p w14:paraId="03655685" w14:textId="77777777" w:rsidR="000C490B" w:rsidRPr="005B5348" w:rsidRDefault="000C490B" w:rsidP="003C0686">
            <w:pPr>
              <w:tabs>
                <w:tab w:val="left" w:pos="1162"/>
              </w:tabs>
              <w:spacing w:line="240" w:lineRule="auto"/>
              <w:rPr>
                <w:rFonts w:cs="Arial"/>
                <w:color w:val="000000"/>
                <w:sz w:val="18"/>
                <w:szCs w:val="18"/>
              </w:rPr>
            </w:pPr>
            <w:r w:rsidRPr="00F41C22">
              <w:rPr>
                <w:rFonts w:cs="Arial"/>
                <w:color w:val="000000"/>
                <w:sz w:val="18"/>
                <w:szCs w:val="18"/>
              </w:rPr>
              <w:t>Max (0</w:t>
            </w:r>
            <w:r w:rsidRPr="005B5348">
              <w:rPr>
                <w:rFonts w:cs="Arial"/>
                <w:color w:val="000000"/>
                <w:sz w:val="18"/>
                <w:szCs w:val="18"/>
              </w:rPr>
              <w:t>, (</w:t>
            </w:r>
            <w:r w:rsidRPr="00F41C22">
              <w:rPr>
                <w:rFonts w:cs="Arial"/>
                <w:color w:val="000000"/>
                <w:sz w:val="18"/>
                <w:szCs w:val="18"/>
              </w:rPr>
              <w:t>phase start date</w:t>
            </w:r>
            <w:r w:rsidRPr="005B5348">
              <w:rPr>
                <w:rFonts w:cs="Arial"/>
                <w:color w:val="000000"/>
                <w:sz w:val="18"/>
                <w:szCs w:val="18"/>
              </w:rPr>
              <w:t>) - (</w:t>
            </w:r>
            <w:r w:rsidRPr="00F41C22">
              <w:rPr>
                <w:rFonts w:cs="Arial"/>
                <w:color w:val="000000"/>
                <w:sz w:val="18"/>
                <w:szCs w:val="18"/>
              </w:rPr>
              <w:t>phase end date</w:t>
            </w:r>
            <w:r w:rsidRPr="005B5348">
              <w:rPr>
                <w:rFonts w:cs="Arial"/>
                <w:color w:val="000000"/>
                <w:sz w:val="18"/>
                <w:szCs w:val="18"/>
              </w:rPr>
              <w:t>) - (total leave days</w:t>
            </w:r>
            <w:r w:rsidRPr="00F41C22">
              <w:rPr>
                <w:rFonts w:cs="Arial"/>
                <w:color w:val="000000"/>
                <w:sz w:val="18"/>
                <w:szCs w:val="18"/>
              </w:rPr>
              <w:t xml:space="preserve"> in phase</w:t>
            </w:r>
            <w:r w:rsidRPr="005B5348">
              <w:rPr>
                <w:rFonts w:cs="Arial"/>
                <w:color w:val="000000"/>
                <w:sz w:val="18"/>
                <w:szCs w:val="18"/>
              </w:rPr>
              <w:t xml:space="preserve">)); </w:t>
            </w:r>
          </w:p>
        </w:tc>
      </w:tr>
      <w:tr w:rsidR="00A90801" w:rsidRPr="0090686E" w14:paraId="791ECB19" w14:textId="77777777" w:rsidTr="10D0206E">
        <w:trPr>
          <w:cantSplit/>
          <w:trHeight w:val="450"/>
        </w:trPr>
        <w:tc>
          <w:tcPr>
            <w:tcW w:w="443" w:type="pct"/>
            <w:shd w:val="clear" w:color="auto" w:fill="auto"/>
            <w:noWrap/>
            <w:hideMark/>
          </w:tcPr>
          <w:p w14:paraId="70AA1B0E" w14:textId="52EDBBA3" w:rsidR="000C490B" w:rsidRPr="00F41C22" w:rsidRDefault="0DCA2EB4" w:rsidP="003C0686">
            <w:pPr>
              <w:tabs>
                <w:tab w:val="left" w:pos="1162"/>
              </w:tabs>
              <w:spacing w:line="240" w:lineRule="auto"/>
              <w:rPr>
                <w:rFonts w:eastAsiaTheme="minorEastAsia" w:cs="Arial"/>
                <w:color w:val="000000"/>
                <w:sz w:val="18"/>
                <w:szCs w:val="18"/>
              </w:rPr>
            </w:pPr>
            <w:r w:rsidRPr="0063980D">
              <w:rPr>
                <w:rFonts w:eastAsiaTheme="minorEastAsia" w:cs="Arial"/>
                <w:color w:val="000000" w:themeColor="text1"/>
                <w:sz w:val="18"/>
                <w:szCs w:val="18"/>
              </w:rPr>
              <w:t>M07</w:t>
            </w:r>
          </w:p>
        </w:tc>
        <w:tc>
          <w:tcPr>
            <w:tcW w:w="950" w:type="pct"/>
            <w:shd w:val="clear" w:color="auto" w:fill="auto"/>
            <w:noWrap/>
            <w:hideMark/>
          </w:tcPr>
          <w:p w14:paraId="48DCECC9"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_pat_sameday_flag</w:t>
            </w:r>
          </w:p>
        </w:tc>
        <w:tc>
          <w:tcPr>
            <w:tcW w:w="1393" w:type="pct"/>
            <w:shd w:val="clear" w:color="auto" w:fill="auto"/>
            <w:hideMark/>
          </w:tcPr>
          <w:p w14:paraId="5E74A8DE"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Same-day flag</w:t>
            </w:r>
          </w:p>
        </w:tc>
        <w:tc>
          <w:tcPr>
            <w:tcW w:w="2214" w:type="pct"/>
            <w:shd w:val="clear" w:color="auto" w:fill="auto"/>
            <w:hideMark/>
          </w:tcPr>
          <w:p w14:paraId="3C7F4249"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 xml:space="preserve">1 if </w:t>
            </w:r>
            <w:r w:rsidRPr="00F41C22">
              <w:rPr>
                <w:rFonts w:cs="Arial"/>
                <w:color w:val="000000"/>
                <w:sz w:val="18"/>
                <w:szCs w:val="18"/>
              </w:rPr>
              <w:t xml:space="preserve">phase start </w:t>
            </w:r>
            <w:r w:rsidRPr="005B5348">
              <w:rPr>
                <w:rFonts w:cs="Arial"/>
                <w:color w:val="000000"/>
                <w:sz w:val="18"/>
                <w:szCs w:val="18"/>
              </w:rPr>
              <w:t xml:space="preserve">date = </w:t>
            </w:r>
            <w:r w:rsidRPr="00F41C22">
              <w:rPr>
                <w:rFonts w:cs="Arial"/>
                <w:color w:val="000000"/>
                <w:sz w:val="18"/>
                <w:szCs w:val="18"/>
              </w:rPr>
              <w:t>phase end</w:t>
            </w:r>
            <w:r w:rsidRPr="005B5348">
              <w:rPr>
                <w:rFonts w:cs="Arial"/>
                <w:color w:val="000000"/>
                <w:sz w:val="18"/>
                <w:szCs w:val="18"/>
              </w:rPr>
              <w:t xml:space="preserve"> date; else 0.</w:t>
            </w:r>
          </w:p>
        </w:tc>
      </w:tr>
      <w:tr w:rsidR="00A90801" w:rsidRPr="0090686E" w14:paraId="6152731F" w14:textId="77777777" w:rsidTr="10D0206E">
        <w:trPr>
          <w:cantSplit/>
          <w:trHeight w:val="450"/>
        </w:trPr>
        <w:tc>
          <w:tcPr>
            <w:tcW w:w="443" w:type="pct"/>
            <w:shd w:val="clear" w:color="auto" w:fill="auto"/>
            <w:noWrap/>
            <w:hideMark/>
          </w:tcPr>
          <w:p w14:paraId="18768322" w14:textId="05442F77"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color w:val="000000" w:themeColor="text1"/>
                <w:sz w:val="18"/>
                <w:szCs w:val="18"/>
              </w:rPr>
              <w:t>M08</w:t>
            </w:r>
          </w:p>
        </w:tc>
        <w:tc>
          <w:tcPr>
            <w:tcW w:w="950" w:type="pct"/>
            <w:shd w:val="clear" w:color="auto" w:fill="auto"/>
            <w:noWrap/>
            <w:hideMark/>
          </w:tcPr>
          <w:p w14:paraId="15917809"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_pat_ind_flag</w:t>
            </w:r>
          </w:p>
        </w:tc>
        <w:tc>
          <w:tcPr>
            <w:tcW w:w="1393" w:type="pct"/>
            <w:shd w:val="clear" w:color="auto" w:fill="auto"/>
            <w:hideMark/>
          </w:tcPr>
          <w:p w14:paraId="08B6AC18"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Indigenous patient flag</w:t>
            </w:r>
          </w:p>
        </w:tc>
        <w:tc>
          <w:tcPr>
            <w:tcW w:w="2214" w:type="pct"/>
            <w:shd w:val="clear" w:color="auto" w:fill="auto"/>
            <w:hideMark/>
          </w:tcPr>
          <w:p w14:paraId="52A5A04C" w14:textId="4E0BA808" w:rsidR="000C490B" w:rsidRPr="005B5348" w:rsidRDefault="1174962C" w:rsidP="4F4A50BE">
            <w:pPr>
              <w:tabs>
                <w:tab w:val="left" w:pos="1162"/>
              </w:tabs>
              <w:spacing w:line="240" w:lineRule="auto"/>
              <w:rPr>
                <w:rFonts w:cs="Arial"/>
                <w:color w:val="000000" w:themeColor="text1"/>
                <w:sz w:val="18"/>
                <w:szCs w:val="18"/>
              </w:rPr>
            </w:pPr>
            <w:r w:rsidRPr="4F4A50BE">
              <w:rPr>
                <w:rFonts w:cs="Arial"/>
                <w:color w:val="000000" w:themeColor="text1"/>
                <w:sz w:val="18"/>
                <w:szCs w:val="18"/>
              </w:rPr>
              <w:t xml:space="preserve"> 1 if patient Indigenous status = 1, 2 or 3; else 0.</w:t>
            </w:r>
          </w:p>
          <w:p w14:paraId="62F4B862" w14:textId="639E40D1" w:rsidR="000C490B" w:rsidRPr="005B5348" w:rsidRDefault="000C490B" w:rsidP="003C0686">
            <w:pPr>
              <w:tabs>
                <w:tab w:val="left" w:pos="1162"/>
              </w:tabs>
              <w:spacing w:line="240" w:lineRule="auto"/>
              <w:rPr>
                <w:color w:val="000000"/>
                <w:szCs w:val="22"/>
              </w:rPr>
            </w:pPr>
          </w:p>
        </w:tc>
      </w:tr>
      <w:tr w:rsidR="00A90801" w14:paraId="72A20FA9" w14:textId="77777777" w:rsidTr="10D0206E">
        <w:trPr>
          <w:cantSplit/>
          <w:trHeight w:val="450"/>
        </w:trPr>
        <w:tc>
          <w:tcPr>
            <w:tcW w:w="992" w:type="dxa"/>
            <w:shd w:val="clear" w:color="auto" w:fill="auto"/>
            <w:noWrap/>
            <w:hideMark/>
          </w:tcPr>
          <w:p w14:paraId="74CCB053" w14:textId="303A09A8" w:rsidR="6762B360" w:rsidRDefault="62F1E569" w:rsidP="6762B360">
            <w:pPr>
              <w:tabs>
                <w:tab w:val="left" w:pos="1162"/>
              </w:tabs>
              <w:spacing w:line="240" w:lineRule="auto"/>
              <w:rPr>
                <w:rFonts w:eastAsiaTheme="minorEastAsia" w:cs="Arial"/>
                <w:noProof/>
                <w:color w:val="000000" w:themeColor="text1"/>
                <w:sz w:val="18"/>
                <w:szCs w:val="18"/>
              </w:rPr>
            </w:pPr>
            <w:r w:rsidRPr="0063980D">
              <w:rPr>
                <w:rFonts w:eastAsiaTheme="minorEastAsia" w:cs="Arial"/>
                <w:noProof/>
                <w:color w:val="000000" w:themeColor="text1"/>
                <w:sz w:val="18"/>
                <w:szCs w:val="18"/>
              </w:rPr>
              <w:t>M09</w:t>
            </w:r>
          </w:p>
        </w:tc>
        <w:tc>
          <w:tcPr>
            <w:tcW w:w="2128" w:type="dxa"/>
            <w:shd w:val="clear" w:color="auto" w:fill="auto"/>
            <w:noWrap/>
            <w:hideMark/>
          </w:tcPr>
          <w:p w14:paraId="07A94F02" w14:textId="77777777" w:rsidR="6762B360" w:rsidRDefault="6762B360"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_pat_age_years</w:t>
            </w:r>
          </w:p>
        </w:tc>
        <w:tc>
          <w:tcPr>
            <w:tcW w:w="3120" w:type="dxa"/>
            <w:shd w:val="clear" w:color="auto" w:fill="auto"/>
            <w:hideMark/>
          </w:tcPr>
          <w:p w14:paraId="325DFFB0" w14:textId="77777777" w:rsidR="6762B360" w:rsidRDefault="6762B360"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Age at phase start (in years)</w:t>
            </w:r>
          </w:p>
        </w:tc>
        <w:tc>
          <w:tcPr>
            <w:tcW w:w="4959" w:type="dxa"/>
            <w:shd w:val="clear" w:color="auto" w:fill="auto"/>
            <w:hideMark/>
          </w:tcPr>
          <w:p w14:paraId="3A015A6E" w14:textId="77777777" w:rsidR="6762B360" w:rsidRDefault="6762B360"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Total whole years from date of birth to phase start date.</w:t>
            </w:r>
          </w:p>
        </w:tc>
      </w:tr>
      <w:tr w:rsidR="00A90801" w14:paraId="1EE34DF5" w14:textId="77777777" w:rsidTr="10D0206E">
        <w:trPr>
          <w:cantSplit/>
          <w:trHeight w:val="450"/>
        </w:trPr>
        <w:tc>
          <w:tcPr>
            <w:tcW w:w="992" w:type="dxa"/>
            <w:shd w:val="clear" w:color="auto" w:fill="auto"/>
            <w:noWrap/>
            <w:hideMark/>
          </w:tcPr>
          <w:p w14:paraId="7B8B7BC4" w14:textId="3D914833" w:rsidR="6FA0BFEA" w:rsidRPr="00836FC5" w:rsidRDefault="0C63C6D8">
            <w:pPr>
              <w:spacing w:line="240" w:lineRule="auto"/>
              <w:rPr>
                <w:rFonts w:eastAsiaTheme="minorEastAsia" w:cs="Arial"/>
                <w:color w:val="000000" w:themeColor="text1"/>
                <w:sz w:val="18"/>
                <w:szCs w:val="18"/>
              </w:rPr>
            </w:pPr>
            <w:r w:rsidRPr="0063980D">
              <w:rPr>
                <w:rFonts w:eastAsiaTheme="minorEastAsia" w:cs="Arial"/>
                <w:color w:val="000000" w:themeColor="text1"/>
                <w:sz w:val="18"/>
                <w:szCs w:val="18"/>
              </w:rPr>
              <w:t>M10</w:t>
            </w:r>
          </w:p>
        </w:tc>
        <w:tc>
          <w:tcPr>
            <w:tcW w:w="2128" w:type="dxa"/>
            <w:shd w:val="clear" w:color="auto" w:fill="auto"/>
            <w:noWrap/>
            <w:hideMark/>
          </w:tcPr>
          <w:p w14:paraId="3A0ADA8B" w14:textId="52FE4D0B" w:rsidR="6762B360" w:rsidRDefault="6762B360"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_</w:t>
            </w:r>
            <w:r w:rsidR="76573EA6" w:rsidRPr="6762B360">
              <w:rPr>
                <w:rFonts w:cs="Arial"/>
                <w:color w:val="000000" w:themeColor="text1"/>
                <w:sz w:val="18"/>
                <w:szCs w:val="18"/>
              </w:rPr>
              <w:t>pat_specpaed</w:t>
            </w:r>
          </w:p>
        </w:tc>
        <w:tc>
          <w:tcPr>
            <w:tcW w:w="3120" w:type="dxa"/>
            <w:shd w:val="clear" w:color="auto" w:fill="auto"/>
            <w:hideMark/>
          </w:tcPr>
          <w:p w14:paraId="2FA5451A" w14:textId="77777777" w:rsidR="6762B360" w:rsidRDefault="6762B360"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Paediatric adjustment eligible patient</w:t>
            </w:r>
          </w:p>
        </w:tc>
        <w:tc>
          <w:tcPr>
            <w:tcW w:w="4959" w:type="dxa"/>
            <w:shd w:val="clear" w:color="auto" w:fill="auto"/>
            <w:hideMark/>
          </w:tcPr>
          <w:p w14:paraId="6F1F43EF" w14:textId="77777777" w:rsidR="6762B360" w:rsidRDefault="6762B360"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1 if (_pat_age_years between 0 and 17) and (est_eligible_paed_flag=1); else 0.</w:t>
            </w:r>
          </w:p>
        </w:tc>
      </w:tr>
      <w:tr w:rsidR="00A90801" w:rsidRPr="0090686E" w14:paraId="2042D48A" w14:textId="77777777" w:rsidTr="10D0206E">
        <w:trPr>
          <w:cantSplit/>
          <w:trHeight w:val="450"/>
        </w:trPr>
        <w:tc>
          <w:tcPr>
            <w:tcW w:w="443" w:type="pct"/>
            <w:shd w:val="clear" w:color="auto" w:fill="auto"/>
            <w:noWrap/>
            <w:hideMark/>
          </w:tcPr>
          <w:p w14:paraId="33175F34" w14:textId="098BA206"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color w:val="000000" w:themeColor="text1"/>
                <w:sz w:val="18"/>
                <w:szCs w:val="18"/>
              </w:rPr>
              <w:t>M</w:t>
            </w:r>
            <w:r w:rsidR="72A5B85B" w:rsidRPr="0063980D">
              <w:rPr>
                <w:rFonts w:eastAsiaTheme="minorEastAsia" w:cs="Arial"/>
                <w:color w:val="000000" w:themeColor="text1"/>
                <w:sz w:val="18"/>
                <w:szCs w:val="18"/>
              </w:rPr>
              <w:t>11</w:t>
            </w:r>
          </w:p>
        </w:tc>
        <w:tc>
          <w:tcPr>
            <w:tcW w:w="950" w:type="pct"/>
            <w:shd w:val="clear" w:color="auto" w:fill="auto"/>
            <w:noWrap/>
            <w:hideMark/>
          </w:tcPr>
          <w:p w14:paraId="22AC19CC"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_pat_private_flag</w:t>
            </w:r>
          </w:p>
        </w:tc>
        <w:tc>
          <w:tcPr>
            <w:tcW w:w="1393" w:type="pct"/>
            <w:shd w:val="clear" w:color="auto" w:fill="auto"/>
            <w:hideMark/>
          </w:tcPr>
          <w:p w14:paraId="3F665AA9"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Private patient flag</w:t>
            </w:r>
          </w:p>
        </w:tc>
        <w:tc>
          <w:tcPr>
            <w:tcW w:w="2214" w:type="pct"/>
            <w:shd w:val="clear" w:color="auto" w:fill="auto"/>
            <w:hideMark/>
          </w:tcPr>
          <w:p w14:paraId="54B0DE09"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1 if funding source = 9 or 13 for 2012-13 data and later.</w:t>
            </w:r>
            <w:r w:rsidRPr="005B5348">
              <w:rPr>
                <w:rStyle w:val="FootnoteReference"/>
                <w:rFonts w:cs="Arial"/>
                <w:color w:val="000000"/>
                <w:sz w:val="18"/>
                <w:szCs w:val="18"/>
              </w:rPr>
              <w:footnoteReference w:id="26"/>
            </w:r>
          </w:p>
        </w:tc>
      </w:tr>
      <w:tr w:rsidR="00A90801" w:rsidRPr="0090686E" w14:paraId="3F5992A2" w14:textId="77777777" w:rsidTr="10D0206E">
        <w:trPr>
          <w:cantSplit/>
          <w:trHeight w:val="450"/>
        </w:trPr>
        <w:tc>
          <w:tcPr>
            <w:tcW w:w="443" w:type="pct"/>
            <w:shd w:val="clear" w:color="auto" w:fill="auto"/>
            <w:noWrap/>
            <w:hideMark/>
          </w:tcPr>
          <w:p w14:paraId="3EE080BC" w14:textId="4CD37D52"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color w:val="000000" w:themeColor="text1"/>
                <w:sz w:val="18"/>
                <w:szCs w:val="18"/>
              </w:rPr>
              <w:lastRenderedPageBreak/>
              <w:t>M</w:t>
            </w:r>
            <w:r w:rsidR="13DBBE14" w:rsidRPr="0063980D">
              <w:rPr>
                <w:rFonts w:eastAsiaTheme="minorEastAsia" w:cs="Arial"/>
                <w:color w:val="000000" w:themeColor="text1"/>
                <w:sz w:val="18"/>
                <w:szCs w:val="18"/>
              </w:rPr>
              <w:t>12</w:t>
            </w:r>
          </w:p>
        </w:tc>
        <w:tc>
          <w:tcPr>
            <w:tcW w:w="950" w:type="pct"/>
            <w:shd w:val="clear" w:color="auto" w:fill="auto"/>
            <w:noWrap/>
            <w:hideMark/>
          </w:tcPr>
          <w:p w14:paraId="45B77487"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_pat_public_flag</w:t>
            </w:r>
          </w:p>
        </w:tc>
        <w:tc>
          <w:tcPr>
            <w:tcW w:w="1393" w:type="pct"/>
            <w:shd w:val="clear" w:color="auto" w:fill="auto"/>
            <w:hideMark/>
          </w:tcPr>
          <w:p w14:paraId="29FE3CC8"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Public patient flag</w:t>
            </w:r>
          </w:p>
        </w:tc>
        <w:tc>
          <w:tcPr>
            <w:tcW w:w="2214" w:type="pct"/>
            <w:shd w:val="clear" w:color="auto" w:fill="auto"/>
            <w:hideMark/>
          </w:tcPr>
          <w:p w14:paraId="196E810D"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1 if funding source = 1, 2 or 8 for 2012-13 data and later.</w:t>
            </w:r>
            <w:r w:rsidRPr="005B5348">
              <w:rPr>
                <w:rStyle w:val="FootnoteReference"/>
                <w:rFonts w:cs="Arial"/>
                <w:color w:val="000000"/>
                <w:sz w:val="18"/>
                <w:szCs w:val="18"/>
              </w:rPr>
              <w:footnoteReference w:id="27"/>
            </w:r>
          </w:p>
        </w:tc>
      </w:tr>
      <w:tr w:rsidR="00A90801" w:rsidRPr="0090686E" w14:paraId="2187B5F3" w14:textId="77777777" w:rsidTr="10D0206E">
        <w:trPr>
          <w:cantSplit/>
          <w:trHeight w:val="450"/>
        </w:trPr>
        <w:tc>
          <w:tcPr>
            <w:tcW w:w="443" w:type="pct"/>
            <w:shd w:val="clear" w:color="auto" w:fill="auto"/>
            <w:noWrap/>
            <w:hideMark/>
          </w:tcPr>
          <w:p w14:paraId="6A5B328E" w14:textId="687B9505"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000000" w:themeColor="text1"/>
                <w:sz w:val="18"/>
                <w:szCs w:val="18"/>
              </w:rPr>
              <w:t>M</w:t>
            </w:r>
            <w:r w:rsidR="6E3150BF" w:rsidRPr="0063980D">
              <w:rPr>
                <w:rFonts w:eastAsiaTheme="minorEastAsia" w:cs="Arial"/>
                <w:noProof/>
                <w:color w:val="000000" w:themeColor="text1"/>
                <w:sz w:val="18"/>
                <w:szCs w:val="18"/>
              </w:rPr>
              <w:t>13</w:t>
            </w:r>
          </w:p>
        </w:tc>
        <w:tc>
          <w:tcPr>
            <w:tcW w:w="950" w:type="pct"/>
            <w:shd w:val="clear" w:color="auto" w:fill="auto"/>
            <w:noWrap/>
            <w:hideMark/>
          </w:tcPr>
          <w:p w14:paraId="47AF6C65" w14:textId="77777777" w:rsidR="000C490B" w:rsidRPr="006C30C8" w:rsidRDefault="000C490B" w:rsidP="003C0686">
            <w:pPr>
              <w:tabs>
                <w:tab w:val="left" w:pos="1162"/>
              </w:tabs>
              <w:spacing w:line="240" w:lineRule="auto"/>
              <w:rPr>
                <w:rFonts w:cs="Arial"/>
                <w:color w:val="000000"/>
                <w:sz w:val="18"/>
                <w:szCs w:val="18"/>
              </w:rPr>
            </w:pPr>
            <w:r w:rsidRPr="00F41C22">
              <w:rPr>
                <w:rFonts w:cs="Arial"/>
                <w:color w:val="000000"/>
                <w:sz w:val="18"/>
                <w:szCs w:val="18"/>
              </w:rPr>
              <w:t>amhcc</w:t>
            </w:r>
            <w:r w:rsidRPr="006C30C8">
              <w:rPr>
                <w:rFonts w:cs="Arial"/>
                <w:color w:val="000000"/>
                <w:sz w:val="18"/>
                <w:szCs w:val="18"/>
              </w:rPr>
              <w:t>_inlier_lb</w:t>
            </w:r>
          </w:p>
        </w:tc>
        <w:tc>
          <w:tcPr>
            <w:tcW w:w="1393" w:type="pct"/>
            <w:shd w:val="clear" w:color="auto" w:fill="auto"/>
            <w:hideMark/>
          </w:tcPr>
          <w:p w14:paraId="2FDE2D5E"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Inlier lower bound</w:t>
            </w:r>
          </w:p>
        </w:tc>
        <w:tc>
          <w:tcPr>
            <w:tcW w:w="2214" w:type="pct"/>
            <w:shd w:val="clear" w:color="auto" w:fill="auto"/>
            <w:hideMark/>
          </w:tcPr>
          <w:p w14:paraId="797F3E58"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 xml:space="preserve">Inlier lower bound from NWAU </w:t>
            </w:r>
            <w:r w:rsidRPr="00F41C22">
              <w:rPr>
                <w:rFonts w:cs="Arial"/>
                <w:color w:val="000000"/>
                <w:sz w:val="18"/>
                <w:szCs w:val="18"/>
              </w:rPr>
              <w:t>AMHCC</w:t>
            </w:r>
            <w:r w:rsidRPr="006C30C8">
              <w:rPr>
                <w:rFonts w:cs="Arial"/>
                <w:color w:val="000000"/>
                <w:sz w:val="18"/>
                <w:szCs w:val="18"/>
              </w:rPr>
              <w:t xml:space="preserve"> price weight table.</w:t>
            </w:r>
          </w:p>
        </w:tc>
      </w:tr>
      <w:tr w:rsidR="00A90801" w:rsidRPr="0090686E" w14:paraId="1309F6CE" w14:textId="77777777" w:rsidTr="10D0206E">
        <w:trPr>
          <w:cantSplit/>
          <w:trHeight w:val="450"/>
        </w:trPr>
        <w:tc>
          <w:tcPr>
            <w:tcW w:w="443" w:type="pct"/>
            <w:shd w:val="clear" w:color="auto" w:fill="auto"/>
            <w:noWrap/>
            <w:hideMark/>
          </w:tcPr>
          <w:p w14:paraId="6E5BE80B" w14:textId="6810BFAC"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000000" w:themeColor="text1"/>
                <w:sz w:val="18"/>
                <w:szCs w:val="18"/>
              </w:rPr>
              <w:t>M</w:t>
            </w:r>
            <w:r w:rsidR="4D549BD8" w:rsidRPr="0063980D">
              <w:rPr>
                <w:rFonts w:eastAsiaTheme="minorEastAsia" w:cs="Arial"/>
                <w:noProof/>
                <w:color w:val="000000" w:themeColor="text1"/>
                <w:sz w:val="18"/>
                <w:szCs w:val="18"/>
              </w:rPr>
              <w:t>14</w:t>
            </w:r>
          </w:p>
        </w:tc>
        <w:tc>
          <w:tcPr>
            <w:tcW w:w="950" w:type="pct"/>
            <w:shd w:val="clear" w:color="auto" w:fill="auto"/>
            <w:noWrap/>
            <w:hideMark/>
          </w:tcPr>
          <w:p w14:paraId="56E1D3BF" w14:textId="77777777" w:rsidR="000C490B" w:rsidRPr="006C30C8" w:rsidRDefault="000C490B" w:rsidP="003C0686">
            <w:pPr>
              <w:tabs>
                <w:tab w:val="left" w:pos="1162"/>
              </w:tabs>
              <w:spacing w:line="240" w:lineRule="auto"/>
              <w:rPr>
                <w:rFonts w:cs="Arial"/>
                <w:color w:val="000000"/>
                <w:sz w:val="18"/>
                <w:szCs w:val="18"/>
              </w:rPr>
            </w:pPr>
            <w:r w:rsidRPr="00F41C22">
              <w:rPr>
                <w:rFonts w:cs="Arial"/>
                <w:color w:val="000000"/>
                <w:sz w:val="18"/>
                <w:szCs w:val="18"/>
              </w:rPr>
              <w:t>amhcc</w:t>
            </w:r>
            <w:r w:rsidRPr="006C30C8">
              <w:rPr>
                <w:rFonts w:cs="Arial"/>
                <w:color w:val="000000"/>
                <w:sz w:val="18"/>
                <w:szCs w:val="18"/>
              </w:rPr>
              <w:t>_inlier_ub</w:t>
            </w:r>
          </w:p>
        </w:tc>
        <w:tc>
          <w:tcPr>
            <w:tcW w:w="1393" w:type="pct"/>
            <w:shd w:val="clear" w:color="auto" w:fill="auto"/>
            <w:hideMark/>
          </w:tcPr>
          <w:p w14:paraId="30853A01"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Inlier upper bound</w:t>
            </w:r>
          </w:p>
        </w:tc>
        <w:tc>
          <w:tcPr>
            <w:tcW w:w="2214" w:type="pct"/>
            <w:shd w:val="clear" w:color="auto" w:fill="auto"/>
            <w:hideMark/>
          </w:tcPr>
          <w:p w14:paraId="020EF642"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 xml:space="preserve">Inlier upper bound from NWAU </w:t>
            </w:r>
            <w:r w:rsidRPr="00F41C22">
              <w:rPr>
                <w:rFonts w:cs="Arial"/>
                <w:color w:val="000000"/>
                <w:sz w:val="18"/>
                <w:szCs w:val="18"/>
              </w:rPr>
              <w:t>AMHCC</w:t>
            </w:r>
            <w:r w:rsidRPr="006C30C8">
              <w:rPr>
                <w:rFonts w:cs="Arial"/>
                <w:color w:val="000000"/>
                <w:sz w:val="18"/>
                <w:szCs w:val="18"/>
              </w:rPr>
              <w:t xml:space="preserve"> price weight table.</w:t>
            </w:r>
          </w:p>
        </w:tc>
      </w:tr>
      <w:tr w:rsidR="00A90801" w:rsidRPr="0090686E" w14:paraId="248A2B22" w14:textId="77777777" w:rsidTr="10D0206E">
        <w:trPr>
          <w:cantSplit/>
          <w:trHeight w:val="450"/>
        </w:trPr>
        <w:tc>
          <w:tcPr>
            <w:tcW w:w="443" w:type="pct"/>
            <w:shd w:val="clear" w:color="auto" w:fill="auto"/>
            <w:noWrap/>
          </w:tcPr>
          <w:p w14:paraId="004DF27E" w14:textId="65962809"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000000" w:themeColor="text1"/>
                <w:sz w:val="18"/>
                <w:szCs w:val="18"/>
              </w:rPr>
              <w:t>M</w:t>
            </w:r>
            <w:r w:rsidR="216826BE" w:rsidRPr="0063980D">
              <w:rPr>
                <w:rFonts w:eastAsiaTheme="minorEastAsia" w:cs="Arial"/>
                <w:noProof/>
                <w:color w:val="000000" w:themeColor="text1"/>
                <w:sz w:val="18"/>
                <w:szCs w:val="18"/>
              </w:rPr>
              <w:t>15</w:t>
            </w:r>
          </w:p>
        </w:tc>
        <w:tc>
          <w:tcPr>
            <w:tcW w:w="950" w:type="pct"/>
            <w:shd w:val="clear" w:color="auto" w:fill="auto"/>
            <w:noWrap/>
          </w:tcPr>
          <w:p w14:paraId="495C71FD" w14:textId="77777777" w:rsidR="000C490B" w:rsidRPr="00715487" w:rsidRDefault="000C490B" w:rsidP="003C0686">
            <w:pPr>
              <w:tabs>
                <w:tab w:val="left" w:pos="1162"/>
              </w:tabs>
              <w:spacing w:line="240" w:lineRule="auto"/>
              <w:rPr>
                <w:rFonts w:cs="Arial"/>
                <w:color w:val="000000"/>
                <w:sz w:val="18"/>
                <w:szCs w:val="18"/>
              </w:rPr>
            </w:pPr>
            <w:r w:rsidRPr="00F41C22">
              <w:rPr>
                <w:rFonts w:cs="Arial"/>
                <w:color w:val="000000"/>
                <w:sz w:val="18"/>
                <w:szCs w:val="18"/>
              </w:rPr>
              <w:t>amhcc</w:t>
            </w:r>
            <w:r w:rsidRPr="00715487">
              <w:rPr>
                <w:rFonts w:cs="Arial"/>
                <w:color w:val="000000"/>
                <w:sz w:val="18"/>
                <w:szCs w:val="18"/>
              </w:rPr>
              <w:t>_pw_sso_base</w:t>
            </w:r>
          </w:p>
        </w:tc>
        <w:tc>
          <w:tcPr>
            <w:tcW w:w="1393" w:type="pct"/>
            <w:shd w:val="clear" w:color="auto" w:fill="auto"/>
          </w:tcPr>
          <w:p w14:paraId="7A8DC2D0"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Short-stay outlier base price weight</w:t>
            </w:r>
          </w:p>
        </w:tc>
        <w:tc>
          <w:tcPr>
            <w:tcW w:w="2214" w:type="pct"/>
            <w:shd w:val="clear" w:color="auto" w:fill="auto"/>
          </w:tcPr>
          <w:p w14:paraId="2B778DDD"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 xml:space="preserve">Short-stay outlier base price weight from joined NWAU </w:t>
            </w:r>
            <w:r w:rsidRPr="00F41C22">
              <w:rPr>
                <w:rFonts w:cs="Arial"/>
                <w:color w:val="000000"/>
                <w:sz w:val="18"/>
                <w:szCs w:val="18"/>
              </w:rPr>
              <w:t>AMHCC</w:t>
            </w:r>
            <w:r w:rsidRPr="00715487">
              <w:rPr>
                <w:rFonts w:cs="Arial"/>
                <w:color w:val="000000"/>
                <w:sz w:val="18"/>
                <w:szCs w:val="18"/>
              </w:rPr>
              <w:t xml:space="preserve"> price weight table if not missing; else 0.</w:t>
            </w:r>
          </w:p>
        </w:tc>
      </w:tr>
      <w:tr w:rsidR="00A90801" w:rsidRPr="0090686E" w14:paraId="112A0731" w14:textId="77777777" w:rsidTr="10D0206E">
        <w:trPr>
          <w:cantSplit/>
          <w:trHeight w:val="450"/>
        </w:trPr>
        <w:tc>
          <w:tcPr>
            <w:tcW w:w="443" w:type="pct"/>
            <w:shd w:val="clear" w:color="auto" w:fill="auto"/>
            <w:noWrap/>
          </w:tcPr>
          <w:p w14:paraId="63A574A4" w14:textId="4C8AD974"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000000" w:themeColor="text1"/>
                <w:sz w:val="18"/>
                <w:szCs w:val="18"/>
              </w:rPr>
              <w:t>M</w:t>
            </w:r>
            <w:r w:rsidR="578C9A1D" w:rsidRPr="0063980D">
              <w:rPr>
                <w:rFonts w:eastAsiaTheme="minorEastAsia" w:cs="Arial"/>
                <w:noProof/>
                <w:color w:val="000000" w:themeColor="text1"/>
                <w:sz w:val="18"/>
                <w:szCs w:val="18"/>
              </w:rPr>
              <w:t>16</w:t>
            </w:r>
          </w:p>
        </w:tc>
        <w:tc>
          <w:tcPr>
            <w:tcW w:w="950" w:type="pct"/>
            <w:shd w:val="clear" w:color="auto" w:fill="auto"/>
            <w:noWrap/>
          </w:tcPr>
          <w:p w14:paraId="5D78A7BF" w14:textId="77777777" w:rsidR="000C490B" w:rsidRPr="00715487" w:rsidRDefault="000C490B" w:rsidP="003C0686">
            <w:pPr>
              <w:tabs>
                <w:tab w:val="left" w:pos="1162"/>
              </w:tabs>
              <w:spacing w:line="240" w:lineRule="auto"/>
              <w:rPr>
                <w:rFonts w:cs="Arial"/>
                <w:color w:val="000000"/>
                <w:sz w:val="18"/>
                <w:szCs w:val="18"/>
              </w:rPr>
            </w:pPr>
            <w:r w:rsidRPr="00F41C22">
              <w:rPr>
                <w:rFonts w:cs="Arial"/>
                <w:color w:val="000000"/>
                <w:sz w:val="18"/>
                <w:szCs w:val="18"/>
              </w:rPr>
              <w:t>amhcc</w:t>
            </w:r>
            <w:r w:rsidRPr="00715487">
              <w:rPr>
                <w:rFonts w:cs="Arial"/>
                <w:color w:val="000000"/>
                <w:sz w:val="18"/>
                <w:szCs w:val="18"/>
              </w:rPr>
              <w:t>_pw_sso_perdiem</w:t>
            </w:r>
          </w:p>
        </w:tc>
        <w:tc>
          <w:tcPr>
            <w:tcW w:w="1393" w:type="pct"/>
            <w:shd w:val="clear" w:color="auto" w:fill="auto"/>
          </w:tcPr>
          <w:p w14:paraId="78C82100"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Short-stay outlier per diem price weight</w:t>
            </w:r>
          </w:p>
        </w:tc>
        <w:tc>
          <w:tcPr>
            <w:tcW w:w="2214" w:type="pct"/>
            <w:shd w:val="clear" w:color="auto" w:fill="auto"/>
          </w:tcPr>
          <w:p w14:paraId="30A6FC4E"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Short-stay outlier per diem price weight from joined NWAU A</w:t>
            </w:r>
            <w:r w:rsidRPr="00F41C22">
              <w:rPr>
                <w:rFonts w:cs="Arial"/>
                <w:color w:val="000000"/>
                <w:sz w:val="18"/>
                <w:szCs w:val="18"/>
              </w:rPr>
              <w:t>MHCC</w:t>
            </w:r>
            <w:r w:rsidRPr="00715487">
              <w:rPr>
                <w:rFonts w:cs="Arial"/>
                <w:color w:val="000000"/>
                <w:sz w:val="18"/>
                <w:szCs w:val="18"/>
              </w:rPr>
              <w:t xml:space="preserve"> price weight table if not missing; else 0.</w:t>
            </w:r>
          </w:p>
        </w:tc>
      </w:tr>
      <w:tr w:rsidR="00A90801" w:rsidRPr="0090686E" w14:paraId="194D4361" w14:textId="77777777" w:rsidTr="10D0206E">
        <w:trPr>
          <w:cantSplit/>
          <w:trHeight w:val="450"/>
        </w:trPr>
        <w:tc>
          <w:tcPr>
            <w:tcW w:w="443" w:type="pct"/>
            <w:shd w:val="clear" w:color="auto" w:fill="auto"/>
            <w:noWrap/>
          </w:tcPr>
          <w:p w14:paraId="1462A7E3" w14:textId="05C51E78"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000000" w:themeColor="text1"/>
                <w:sz w:val="18"/>
                <w:szCs w:val="18"/>
              </w:rPr>
              <w:t>M</w:t>
            </w:r>
            <w:r w:rsidR="16D4F872" w:rsidRPr="0063980D">
              <w:rPr>
                <w:rFonts w:eastAsiaTheme="minorEastAsia" w:cs="Arial"/>
                <w:noProof/>
                <w:color w:val="000000" w:themeColor="text1"/>
                <w:sz w:val="18"/>
                <w:szCs w:val="18"/>
              </w:rPr>
              <w:t>17</w:t>
            </w:r>
          </w:p>
        </w:tc>
        <w:tc>
          <w:tcPr>
            <w:tcW w:w="950" w:type="pct"/>
            <w:shd w:val="clear" w:color="auto" w:fill="auto"/>
            <w:noWrap/>
          </w:tcPr>
          <w:p w14:paraId="27CF7513" w14:textId="77777777" w:rsidR="000C490B" w:rsidRPr="00715487" w:rsidRDefault="000C490B" w:rsidP="003C0686">
            <w:pPr>
              <w:tabs>
                <w:tab w:val="left" w:pos="1162"/>
              </w:tabs>
              <w:spacing w:line="240" w:lineRule="auto"/>
              <w:rPr>
                <w:rFonts w:cs="Arial"/>
                <w:color w:val="000000"/>
                <w:sz w:val="18"/>
                <w:szCs w:val="18"/>
              </w:rPr>
            </w:pPr>
            <w:r w:rsidRPr="00F41C22">
              <w:rPr>
                <w:rFonts w:cs="Arial"/>
                <w:color w:val="000000"/>
                <w:sz w:val="18"/>
                <w:szCs w:val="18"/>
              </w:rPr>
              <w:t>amhcc</w:t>
            </w:r>
            <w:r w:rsidRPr="00715487">
              <w:rPr>
                <w:rFonts w:cs="Arial"/>
                <w:color w:val="000000"/>
                <w:sz w:val="18"/>
                <w:szCs w:val="18"/>
              </w:rPr>
              <w:t>_pw_inlier</w:t>
            </w:r>
          </w:p>
        </w:tc>
        <w:tc>
          <w:tcPr>
            <w:tcW w:w="1393" w:type="pct"/>
            <w:shd w:val="clear" w:color="auto" w:fill="auto"/>
          </w:tcPr>
          <w:p w14:paraId="5CCB29ED"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Inlier price weight</w:t>
            </w:r>
          </w:p>
        </w:tc>
        <w:tc>
          <w:tcPr>
            <w:tcW w:w="2214" w:type="pct"/>
            <w:shd w:val="clear" w:color="auto" w:fill="auto"/>
          </w:tcPr>
          <w:p w14:paraId="791442A2"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 xml:space="preserve">Inlier price weight from joined NWAU </w:t>
            </w:r>
            <w:r w:rsidRPr="00F41C22">
              <w:rPr>
                <w:rFonts w:cs="Arial"/>
                <w:color w:val="000000"/>
                <w:sz w:val="18"/>
                <w:szCs w:val="18"/>
              </w:rPr>
              <w:t>AMHCC</w:t>
            </w:r>
            <w:r w:rsidRPr="00715487">
              <w:rPr>
                <w:rFonts w:cs="Arial"/>
                <w:color w:val="000000"/>
                <w:sz w:val="18"/>
                <w:szCs w:val="18"/>
              </w:rPr>
              <w:t xml:space="preserve"> price weight table.</w:t>
            </w:r>
          </w:p>
        </w:tc>
      </w:tr>
      <w:tr w:rsidR="00A90801" w:rsidRPr="0090686E" w14:paraId="1CCF3FCE" w14:textId="77777777" w:rsidTr="10D0206E">
        <w:trPr>
          <w:cantSplit/>
          <w:trHeight w:val="450"/>
        </w:trPr>
        <w:tc>
          <w:tcPr>
            <w:tcW w:w="443" w:type="pct"/>
            <w:shd w:val="clear" w:color="auto" w:fill="auto"/>
            <w:noWrap/>
          </w:tcPr>
          <w:p w14:paraId="441EA3E6" w14:textId="762EA793"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000000" w:themeColor="text1"/>
                <w:sz w:val="18"/>
                <w:szCs w:val="18"/>
              </w:rPr>
              <w:t>M</w:t>
            </w:r>
            <w:r w:rsidR="13CBA4EF" w:rsidRPr="0063980D">
              <w:rPr>
                <w:rFonts w:eastAsiaTheme="minorEastAsia" w:cs="Arial"/>
                <w:noProof/>
                <w:color w:val="000000" w:themeColor="text1"/>
                <w:sz w:val="18"/>
                <w:szCs w:val="18"/>
              </w:rPr>
              <w:t>18</w:t>
            </w:r>
          </w:p>
        </w:tc>
        <w:tc>
          <w:tcPr>
            <w:tcW w:w="950" w:type="pct"/>
            <w:shd w:val="clear" w:color="auto" w:fill="auto"/>
            <w:noWrap/>
          </w:tcPr>
          <w:p w14:paraId="66828937" w14:textId="77777777" w:rsidR="000C490B" w:rsidRPr="00715487" w:rsidRDefault="000C490B" w:rsidP="003C0686">
            <w:pPr>
              <w:tabs>
                <w:tab w:val="left" w:pos="1162"/>
              </w:tabs>
              <w:spacing w:line="240" w:lineRule="auto"/>
              <w:rPr>
                <w:rFonts w:cs="Arial"/>
                <w:color w:val="000000"/>
                <w:sz w:val="18"/>
                <w:szCs w:val="18"/>
              </w:rPr>
            </w:pPr>
            <w:r w:rsidRPr="00F41C22">
              <w:rPr>
                <w:rFonts w:cs="Arial"/>
                <w:color w:val="000000"/>
                <w:sz w:val="18"/>
                <w:szCs w:val="18"/>
              </w:rPr>
              <w:t>amhcc</w:t>
            </w:r>
            <w:r w:rsidRPr="00715487">
              <w:rPr>
                <w:rFonts w:cs="Arial"/>
                <w:color w:val="000000"/>
                <w:sz w:val="18"/>
                <w:szCs w:val="18"/>
              </w:rPr>
              <w:t>_pw_lso_perdiem</w:t>
            </w:r>
          </w:p>
        </w:tc>
        <w:tc>
          <w:tcPr>
            <w:tcW w:w="1393" w:type="pct"/>
            <w:shd w:val="clear" w:color="auto" w:fill="auto"/>
          </w:tcPr>
          <w:p w14:paraId="38D6FAF1"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Long-stay outlier per diem price weight</w:t>
            </w:r>
          </w:p>
        </w:tc>
        <w:tc>
          <w:tcPr>
            <w:tcW w:w="2214" w:type="pct"/>
            <w:shd w:val="clear" w:color="auto" w:fill="auto"/>
          </w:tcPr>
          <w:p w14:paraId="2A65C1F9"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 xml:space="preserve">Long-stay outlier per diem price weight from joined NWAU </w:t>
            </w:r>
            <w:r w:rsidRPr="00F41C22">
              <w:rPr>
                <w:rFonts w:cs="Arial"/>
                <w:color w:val="000000"/>
                <w:sz w:val="18"/>
                <w:szCs w:val="18"/>
              </w:rPr>
              <w:t>AMHCC</w:t>
            </w:r>
            <w:r w:rsidRPr="00715487">
              <w:rPr>
                <w:rFonts w:cs="Arial"/>
                <w:color w:val="000000"/>
                <w:sz w:val="18"/>
                <w:szCs w:val="18"/>
              </w:rPr>
              <w:t xml:space="preserve"> price weight table if not missing; else 0.</w:t>
            </w:r>
          </w:p>
        </w:tc>
      </w:tr>
      <w:tr w:rsidR="00A90801" w14:paraId="542F8093" w14:textId="77777777" w:rsidTr="10D0206E">
        <w:trPr>
          <w:cantSplit/>
          <w:trHeight w:val="450"/>
        </w:trPr>
        <w:tc>
          <w:tcPr>
            <w:tcW w:w="992" w:type="dxa"/>
            <w:shd w:val="clear" w:color="auto" w:fill="auto"/>
            <w:noWrap/>
          </w:tcPr>
          <w:p w14:paraId="79FBDD97" w14:textId="76DFA544" w:rsidR="032502A6" w:rsidRPr="00836FC5" w:rsidRDefault="7F68892B">
            <w:pPr>
              <w:spacing w:line="240" w:lineRule="auto"/>
              <w:rPr>
                <w:rFonts w:cs="Arial"/>
                <w:noProof/>
                <w:color w:val="000000" w:themeColor="text1"/>
                <w:sz w:val="18"/>
                <w:szCs w:val="18"/>
              </w:rPr>
            </w:pPr>
            <w:r w:rsidRPr="0063980D">
              <w:rPr>
                <w:rFonts w:cs="Arial"/>
                <w:noProof/>
                <w:color w:val="000000" w:themeColor="text1"/>
                <w:sz w:val="18"/>
                <w:szCs w:val="18"/>
              </w:rPr>
              <w:t>M19</w:t>
            </w:r>
          </w:p>
        </w:tc>
        <w:tc>
          <w:tcPr>
            <w:tcW w:w="2128" w:type="dxa"/>
            <w:shd w:val="clear" w:color="auto" w:fill="auto"/>
            <w:noWrap/>
          </w:tcPr>
          <w:p w14:paraId="6716D85E" w14:textId="54CA4DAF" w:rsidR="6B847AFF" w:rsidRPr="00836FC5" w:rsidRDefault="6B847AFF">
            <w:pPr>
              <w:spacing w:line="240" w:lineRule="auto"/>
              <w:rPr>
                <w:rFonts w:cs="Arial"/>
                <w:color w:val="000000" w:themeColor="text1"/>
                <w:sz w:val="18"/>
                <w:szCs w:val="18"/>
              </w:rPr>
            </w:pPr>
            <w:r w:rsidRPr="00836FC5">
              <w:rPr>
                <w:rFonts w:cs="Arial"/>
                <w:color w:val="000000" w:themeColor="text1"/>
                <w:sz w:val="18"/>
                <w:szCs w:val="18"/>
              </w:rPr>
              <w:t>Pricecat</w:t>
            </w:r>
          </w:p>
        </w:tc>
        <w:tc>
          <w:tcPr>
            <w:tcW w:w="3120" w:type="dxa"/>
            <w:shd w:val="clear" w:color="auto" w:fill="auto"/>
          </w:tcPr>
          <w:p w14:paraId="33707B81" w14:textId="2A3E7C23" w:rsidR="6B847AFF" w:rsidRPr="00836FC5" w:rsidRDefault="6B847AFF">
            <w:pPr>
              <w:spacing w:line="240" w:lineRule="auto"/>
              <w:rPr>
                <w:rFonts w:cs="Arial"/>
                <w:color w:val="000000" w:themeColor="text1"/>
                <w:sz w:val="18"/>
                <w:szCs w:val="18"/>
              </w:rPr>
            </w:pPr>
            <w:r w:rsidRPr="6762B360">
              <w:rPr>
                <w:rFonts w:cs="Arial"/>
                <w:color w:val="000000" w:themeColor="text1"/>
                <w:sz w:val="18"/>
                <w:szCs w:val="18"/>
              </w:rPr>
              <w:t>_w01 calculation category</w:t>
            </w:r>
          </w:p>
        </w:tc>
        <w:tc>
          <w:tcPr>
            <w:tcW w:w="4959" w:type="dxa"/>
            <w:shd w:val="clear" w:color="auto" w:fill="auto"/>
          </w:tcPr>
          <w:p w14:paraId="1169272D" w14:textId="76B9F102" w:rsidR="6B847AFF" w:rsidRPr="00836FC5" w:rsidRDefault="00B1031E">
            <w:pPr>
              <w:spacing w:line="240" w:lineRule="auto"/>
              <w:rPr>
                <w:rFonts w:cs="Arial"/>
                <w:color w:val="000000" w:themeColor="text1"/>
                <w:sz w:val="18"/>
                <w:szCs w:val="18"/>
              </w:rPr>
            </w:pPr>
            <w:r>
              <w:rPr>
                <w:rFonts w:cs="Arial"/>
                <w:color w:val="000000" w:themeColor="text1"/>
                <w:sz w:val="18"/>
                <w:szCs w:val="18"/>
              </w:rPr>
              <w:t>0</w:t>
            </w:r>
            <w:r w:rsidR="6B847AFF" w:rsidRPr="6762B360">
              <w:rPr>
                <w:rFonts w:cs="Arial"/>
                <w:color w:val="000000" w:themeColor="text1"/>
                <w:sz w:val="18"/>
                <w:szCs w:val="18"/>
              </w:rPr>
              <w:t xml:space="preserve"> for combined AMHCC classes 131, 141; else </w:t>
            </w:r>
            <w:r>
              <w:rPr>
                <w:rFonts w:cs="Arial"/>
                <w:color w:val="000000" w:themeColor="text1"/>
                <w:sz w:val="18"/>
                <w:szCs w:val="18"/>
              </w:rPr>
              <w:t>1</w:t>
            </w:r>
            <w:r w:rsidR="6B847AFF" w:rsidRPr="6762B360">
              <w:rPr>
                <w:rFonts w:cs="Arial"/>
                <w:color w:val="000000" w:themeColor="text1"/>
                <w:sz w:val="18"/>
                <w:szCs w:val="18"/>
              </w:rPr>
              <w:t>.</w:t>
            </w:r>
          </w:p>
        </w:tc>
      </w:tr>
      <w:tr w:rsidR="00A90801" w:rsidRPr="0090686E" w14:paraId="3B52A3B8" w14:textId="77777777" w:rsidTr="10D0206E">
        <w:trPr>
          <w:cantSplit/>
          <w:trHeight w:val="450"/>
        </w:trPr>
        <w:tc>
          <w:tcPr>
            <w:tcW w:w="443" w:type="pct"/>
            <w:shd w:val="clear" w:color="auto" w:fill="auto"/>
            <w:noWrap/>
          </w:tcPr>
          <w:p w14:paraId="55CF8D36" w14:textId="7CD40D12"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000000" w:themeColor="text1"/>
                <w:sz w:val="18"/>
                <w:szCs w:val="18"/>
              </w:rPr>
              <w:t>M20</w:t>
            </w:r>
          </w:p>
        </w:tc>
        <w:tc>
          <w:tcPr>
            <w:tcW w:w="950" w:type="pct"/>
            <w:shd w:val="clear" w:color="auto" w:fill="auto"/>
            <w:noWrap/>
          </w:tcPr>
          <w:p w14:paraId="1669467B" w14:textId="77777777" w:rsidR="000C490B" w:rsidRPr="00F41C22" w:rsidRDefault="000C490B" w:rsidP="003C0686">
            <w:pPr>
              <w:tabs>
                <w:tab w:val="left" w:pos="1162"/>
              </w:tabs>
              <w:spacing w:line="240" w:lineRule="auto"/>
              <w:rPr>
                <w:rFonts w:cs="Arial"/>
                <w:color w:val="000000"/>
                <w:sz w:val="18"/>
                <w:szCs w:val="18"/>
                <w:highlight w:val="yellow"/>
              </w:rPr>
            </w:pPr>
            <w:r w:rsidRPr="00F41C22">
              <w:rPr>
                <w:rFonts w:cs="Arial"/>
                <w:color w:val="000000"/>
                <w:sz w:val="18"/>
                <w:szCs w:val="18"/>
              </w:rPr>
              <w:t>amhcc</w:t>
            </w:r>
            <w:r w:rsidRPr="006C30C8">
              <w:rPr>
                <w:rFonts w:cs="Arial"/>
                <w:color w:val="000000"/>
                <w:sz w:val="18"/>
                <w:szCs w:val="18"/>
              </w:rPr>
              <w:t>_adj_privpat_serv</w:t>
            </w:r>
          </w:p>
        </w:tc>
        <w:tc>
          <w:tcPr>
            <w:tcW w:w="1393" w:type="pct"/>
            <w:shd w:val="clear" w:color="auto" w:fill="auto"/>
          </w:tcPr>
          <w:p w14:paraId="5FC1ABCE"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Private patient service adjustment</w:t>
            </w:r>
          </w:p>
        </w:tc>
        <w:tc>
          <w:tcPr>
            <w:tcW w:w="2214" w:type="pct"/>
            <w:shd w:val="clear" w:color="auto" w:fill="auto"/>
          </w:tcPr>
          <w:p w14:paraId="23E8F6D9" w14:textId="73AE6D4F" w:rsidR="000C490B" w:rsidRPr="00021B50" w:rsidRDefault="000C490B" w:rsidP="003C0686">
            <w:pPr>
              <w:tabs>
                <w:tab w:val="left" w:pos="1162"/>
              </w:tabs>
              <w:spacing w:line="240" w:lineRule="auto"/>
              <w:rPr>
                <w:rFonts w:cs="Arial"/>
                <w:color w:val="000000"/>
                <w:sz w:val="18"/>
                <w:szCs w:val="18"/>
              </w:rPr>
            </w:pPr>
            <w:r w:rsidRPr="79A4EDF0">
              <w:rPr>
                <w:rFonts w:cs="Arial"/>
                <w:color w:val="000000" w:themeColor="text1"/>
                <w:sz w:val="18"/>
                <w:szCs w:val="18"/>
              </w:rPr>
              <w:t>State level private patient service adjustment from joined NWAU AMHCC PPSA table. Determined by the patient’s state and AMHCC.</w:t>
            </w:r>
          </w:p>
        </w:tc>
      </w:tr>
      <w:tr w:rsidR="00A90801" w:rsidRPr="0090686E" w14:paraId="4765E865" w14:textId="77777777" w:rsidTr="10D0206E">
        <w:trPr>
          <w:cantSplit/>
          <w:trHeight w:val="450"/>
        </w:trPr>
        <w:tc>
          <w:tcPr>
            <w:tcW w:w="443" w:type="pct"/>
            <w:shd w:val="clear" w:color="auto" w:fill="auto"/>
            <w:noWrap/>
          </w:tcPr>
          <w:p w14:paraId="6C5FAF38" w14:textId="6E0676FA" w:rsidR="000C490B" w:rsidRDefault="4B25E4A6" w:rsidP="003C0686">
            <w:pPr>
              <w:tabs>
                <w:tab w:val="left" w:pos="1162"/>
              </w:tabs>
              <w:spacing w:line="240" w:lineRule="auto"/>
              <w:rPr>
                <w:rFonts w:eastAsiaTheme="minorEastAsia" w:cs="Arial"/>
                <w:color w:val="000000"/>
                <w:sz w:val="18"/>
                <w:szCs w:val="18"/>
              </w:rPr>
            </w:pPr>
            <w:r w:rsidRPr="0063980D">
              <w:rPr>
                <w:rFonts w:eastAsiaTheme="minorEastAsia" w:cs="Arial"/>
                <w:color w:val="000000" w:themeColor="text1"/>
                <w:sz w:val="18"/>
                <w:szCs w:val="18"/>
              </w:rPr>
              <w:t>M</w:t>
            </w:r>
            <w:r w:rsidR="2DDFC3EE" w:rsidRPr="0063980D">
              <w:rPr>
                <w:rFonts w:eastAsiaTheme="minorEastAsia" w:cs="Arial"/>
                <w:noProof/>
                <w:color w:val="000000" w:themeColor="text1"/>
                <w:sz w:val="18"/>
                <w:szCs w:val="18"/>
              </w:rPr>
              <w:t>21</w:t>
            </w:r>
          </w:p>
        </w:tc>
        <w:tc>
          <w:tcPr>
            <w:tcW w:w="950" w:type="pct"/>
            <w:shd w:val="clear" w:color="auto" w:fill="auto"/>
            <w:noWrap/>
          </w:tcPr>
          <w:p w14:paraId="2DD1EE55" w14:textId="77777777" w:rsidR="000C490B" w:rsidRPr="00F41C22" w:rsidRDefault="000C490B" w:rsidP="003C0686">
            <w:pPr>
              <w:tabs>
                <w:tab w:val="left" w:pos="1162"/>
              </w:tabs>
              <w:spacing w:line="240" w:lineRule="auto"/>
              <w:rPr>
                <w:rFonts w:cs="Arial"/>
                <w:color w:val="000000"/>
                <w:sz w:val="18"/>
                <w:szCs w:val="18"/>
              </w:rPr>
            </w:pPr>
            <w:r>
              <w:rPr>
                <w:rFonts w:cs="Arial"/>
                <w:color w:val="000000"/>
                <w:sz w:val="18"/>
                <w:szCs w:val="18"/>
              </w:rPr>
              <w:t>amhcc_adj_privpatNat</w:t>
            </w:r>
          </w:p>
        </w:tc>
        <w:tc>
          <w:tcPr>
            <w:tcW w:w="1393" w:type="pct"/>
            <w:shd w:val="clear" w:color="auto" w:fill="auto"/>
          </w:tcPr>
          <w:p w14:paraId="69B0F770" w14:textId="77777777" w:rsidR="000C490B" w:rsidRPr="00021B50" w:rsidRDefault="000C490B" w:rsidP="003C0686">
            <w:pPr>
              <w:tabs>
                <w:tab w:val="left" w:pos="1162"/>
              </w:tabs>
              <w:spacing w:line="240" w:lineRule="auto"/>
              <w:rPr>
                <w:rFonts w:cs="Arial"/>
                <w:color w:val="000000"/>
                <w:sz w:val="18"/>
                <w:szCs w:val="18"/>
              </w:rPr>
            </w:pPr>
            <w:r>
              <w:rPr>
                <w:rFonts w:cs="Arial"/>
                <w:color w:val="000000"/>
                <w:sz w:val="18"/>
                <w:szCs w:val="18"/>
              </w:rPr>
              <w:t>National private patient service adjustment</w:t>
            </w:r>
          </w:p>
        </w:tc>
        <w:tc>
          <w:tcPr>
            <w:tcW w:w="2214" w:type="pct"/>
            <w:shd w:val="clear" w:color="auto" w:fill="auto"/>
          </w:tcPr>
          <w:p w14:paraId="4511653F" w14:textId="77777777" w:rsidR="000C490B" w:rsidRPr="00021B50" w:rsidRDefault="000C490B" w:rsidP="003C0686">
            <w:pPr>
              <w:tabs>
                <w:tab w:val="left" w:pos="1162"/>
              </w:tabs>
              <w:spacing w:line="240" w:lineRule="auto"/>
              <w:rPr>
                <w:rFonts w:cs="Arial"/>
                <w:color w:val="000000"/>
                <w:sz w:val="18"/>
                <w:szCs w:val="18"/>
              </w:rPr>
            </w:pPr>
            <w:r>
              <w:rPr>
                <w:rFonts w:cs="Arial"/>
                <w:color w:val="000000"/>
                <w:sz w:val="18"/>
                <w:szCs w:val="18"/>
              </w:rPr>
              <w:t>National private patient service adjustment joined from NWAU AMHCC PPSA table. Determined by the patient’s AMHCC.</w:t>
            </w:r>
          </w:p>
        </w:tc>
      </w:tr>
      <w:tr w:rsidR="00A90801" w:rsidRPr="0090686E" w14:paraId="3704EA15" w14:textId="77777777" w:rsidTr="10D0206E">
        <w:trPr>
          <w:cantSplit/>
          <w:trHeight w:val="450"/>
        </w:trPr>
        <w:tc>
          <w:tcPr>
            <w:tcW w:w="443" w:type="pct"/>
            <w:shd w:val="clear" w:color="auto" w:fill="auto"/>
            <w:noWrap/>
          </w:tcPr>
          <w:p w14:paraId="2B91419C" w14:textId="090F5660"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000000" w:themeColor="text1"/>
                <w:sz w:val="18"/>
                <w:szCs w:val="18"/>
              </w:rPr>
              <w:t>M</w:t>
            </w:r>
            <w:r w:rsidR="60BBF85D" w:rsidRPr="0063980D">
              <w:rPr>
                <w:rFonts w:eastAsiaTheme="minorEastAsia" w:cs="Arial"/>
                <w:noProof/>
                <w:color w:val="000000" w:themeColor="text1"/>
                <w:sz w:val="18"/>
                <w:szCs w:val="18"/>
              </w:rPr>
              <w:t>22</w:t>
            </w:r>
          </w:p>
        </w:tc>
        <w:tc>
          <w:tcPr>
            <w:tcW w:w="950" w:type="pct"/>
            <w:shd w:val="clear" w:color="auto" w:fill="auto"/>
            <w:noWrap/>
          </w:tcPr>
          <w:p w14:paraId="7E8ECC1E"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adj_indigenous</w:t>
            </w:r>
          </w:p>
        </w:tc>
        <w:tc>
          <w:tcPr>
            <w:tcW w:w="1393" w:type="pct"/>
            <w:shd w:val="clear" w:color="auto" w:fill="auto"/>
          </w:tcPr>
          <w:p w14:paraId="4739A1EB"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4" w:type="pct"/>
            <w:shd w:val="clear" w:color="auto" w:fill="auto"/>
          </w:tcPr>
          <w:p w14:paraId="09059A81"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Indigenous adjustment.</w:t>
            </w:r>
          </w:p>
        </w:tc>
      </w:tr>
      <w:tr w:rsidR="00A90801" w:rsidRPr="0090686E" w14:paraId="5442E500" w14:textId="77777777" w:rsidTr="10D0206E">
        <w:trPr>
          <w:cantSplit/>
          <w:trHeight w:val="450"/>
        </w:trPr>
        <w:tc>
          <w:tcPr>
            <w:tcW w:w="443" w:type="pct"/>
            <w:shd w:val="clear" w:color="auto" w:fill="auto"/>
            <w:noWrap/>
          </w:tcPr>
          <w:p w14:paraId="5294E957" w14:textId="2C71569A"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000000" w:themeColor="text1"/>
                <w:sz w:val="18"/>
                <w:szCs w:val="18"/>
              </w:rPr>
              <w:t>M</w:t>
            </w:r>
            <w:r w:rsidR="6CC3256E" w:rsidRPr="0063980D">
              <w:rPr>
                <w:rFonts w:eastAsiaTheme="minorEastAsia" w:cs="Arial"/>
                <w:noProof/>
                <w:color w:val="000000" w:themeColor="text1"/>
                <w:sz w:val="18"/>
                <w:szCs w:val="18"/>
              </w:rPr>
              <w:t>23</w:t>
            </w:r>
          </w:p>
        </w:tc>
        <w:tc>
          <w:tcPr>
            <w:tcW w:w="950" w:type="pct"/>
            <w:shd w:val="clear" w:color="auto" w:fill="auto"/>
            <w:noWrap/>
          </w:tcPr>
          <w:p w14:paraId="35C893E9"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adj_remoteness</w:t>
            </w:r>
          </w:p>
        </w:tc>
        <w:tc>
          <w:tcPr>
            <w:tcW w:w="1393" w:type="pct"/>
            <w:shd w:val="clear" w:color="auto" w:fill="auto"/>
          </w:tcPr>
          <w:p w14:paraId="6ADF1B4C"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4" w:type="pct"/>
            <w:shd w:val="clear" w:color="auto" w:fill="auto"/>
          </w:tcPr>
          <w:p w14:paraId="0C2721A8" w14:textId="77777777" w:rsidR="000C490B" w:rsidRPr="00021B50" w:rsidRDefault="000C490B" w:rsidP="003C0686">
            <w:pPr>
              <w:tabs>
                <w:tab w:val="left" w:pos="1162"/>
              </w:tabs>
              <w:spacing w:line="240" w:lineRule="auto"/>
              <w:rPr>
                <w:rFonts w:cs="Arial"/>
                <w:color w:val="000000"/>
                <w:sz w:val="18"/>
                <w:szCs w:val="18"/>
              </w:rPr>
            </w:pPr>
            <w:r>
              <w:rPr>
                <w:rFonts w:cs="Arial"/>
                <w:color w:val="000000"/>
                <w:sz w:val="18"/>
                <w:szCs w:val="18"/>
              </w:rPr>
              <w:t>Patient residence r</w:t>
            </w:r>
            <w:r w:rsidRPr="00021B50">
              <w:rPr>
                <w:rFonts w:cs="Arial"/>
                <w:color w:val="000000"/>
                <w:sz w:val="18"/>
                <w:szCs w:val="18"/>
              </w:rPr>
              <w:t>emoteness adjustment.</w:t>
            </w:r>
          </w:p>
        </w:tc>
      </w:tr>
      <w:tr w:rsidR="00A90801" w:rsidRPr="0090686E" w14:paraId="523CA100" w14:textId="77777777" w:rsidTr="10D0206E">
        <w:trPr>
          <w:cantSplit/>
          <w:trHeight w:val="450"/>
        </w:trPr>
        <w:tc>
          <w:tcPr>
            <w:tcW w:w="443" w:type="pct"/>
            <w:shd w:val="clear" w:color="auto" w:fill="auto"/>
            <w:noWrap/>
          </w:tcPr>
          <w:p w14:paraId="255808F8" w14:textId="13140E7E" w:rsidR="000C490B" w:rsidRPr="00552BDF" w:rsidRDefault="4A89D7A3" w:rsidP="003C0686">
            <w:pPr>
              <w:tabs>
                <w:tab w:val="left" w:pos="1162"/>
              </w:tabs>
              <w:spacing w:line="240" w:lineRule="auto"/>
              <w:rPr>
                <w:rFonts w:cs="Arial"/>
                <w:color w:val="000000"/>
                <w:sz w:val="18"/>
                <w:szCs w:val="18"/>
              </w:rPr>
            </w:pPr>
            <w:r w:rsidRPr="0063980D">
              <w:rPr>
                <w:rFonts w:cs="Arial"/>
                <w:color w:val="000000" w:themeColor="text1"/>
                <w:sz w:val="18"/>
                <w:szCs w:val="18"/>
              </w:rPr>
              <w:t>M</w:t>
            </w:r>
            <w:r w:rsidR="30F309F0" w:rsidRPr="0063980D">
              <w:rPr>
                <w:rFonts w:cs="Arial"/>
                <w:color w:val="000000" w:themeColor="text1"/>
                <w:sz w:val="18"/>
                <w:szCs w:val="18"/>
              </w:rPr>
              <w:t>24</w:t>
            </w:r>
          </w:p>
        </w:tc>
        <w:tc>
          <w:tcPr>
            <w:tcW w:w="950" w:type="pct"/>
            <w:shd w:val="clear" w:color="auto" w:fill="auto"/>
            <w:noWrap/>
          </w:tcPr>
          <w:p w14:paraId="3D5CCF03"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adj_treat_remoteness</w:t>
            </w:r>
          </w:p>
        </w:tc>
        <w:tc>
          <w:tcPr>
            <w:tcW w:w="1393" w:type="pct"/>
            <w:shd w:val="clear" w:color="auto" w:fill="auto"/>
          </w:tcPr>
          <w:p w14:paraId="2C7E736B"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4" w:type="pct"/>
            <w:shd w:val="clear" w:color="auto" w:fill="auto"/>
          </w:tcPr>
          <w:p w14:paraId="0A1E94BC"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Patient treatment remoteness adjustment.</w:t>
            </w:r>
          </w:p>
        </w:tc>
      </w:tr>
      <w:tr w:rsidR="00A90801" w14:paraId="3106541F" w14:textId="77777777" w:rsidTr="10D0206E">
        <w:trPr>
          <w:cantSplit/>
          <w:trHeight w:val="450"/>
        </w:trPr>
        <w:tc>
          <w:tcPr>
            <w:tcW w:w="992" w:type="dxa"/>
            <w:shd w:val="clear" w:color="auto" w:fill="auto"/>
            <w:noWrap/>
          </w:tcPr>
          <w:p w14:paraId="5A23A244" w14:textId="037CA243" w:rsidR="68B706D1" w:rsidRPr="00836FC5" w:rsidRDefault="1633E71F">
            <w:pPr>
              <w:spacing w:line="240" w:lineRule="auto"/>
              <w:rPr>
                <w:rFonts w:cs="Arial"/>
                <w:noProof/>
                <w:color w:val="000000" w:themeColor="text1"/>
                <w:sz w:val="18"/>
                <w:szCs w:val="18"/>
              </w:rPr>
            </w:pPr>
            <w:r w:rsidRPr="0063980D">
              <w:rPr>
                <w:rFonts w:cs="Arial"/>
                <w:noProof/>
                <w:color w:val="000000" w:themeColor="text1"/>
                <w:sz w:val="18"/>
                <w:szCs w:val="18"/>
              </w:rPr>
              <w:t>M25</w:t>
            </w:r>
          </w:p>
        </w:tc>
        <w:tc>
          <w:tcPr>
            <w:tcW w:w="2128" w:type="dxa"/>
            <w:shd w:val="clear" w:color="auto" w:fill="auto"/>
            <w:noWrap/>
          </w:tcPr>
          <w:p w14:paraId="4DB5659E" w14:textId="2C8E9294" w:rsidR="53707D66" w:rsidRPr="00836FC5" w:rsidRDefault="53707D66">
            <w:pPr>
              <w:spacing w:line="240" w:lineRule="auto"/>
              <w:rPr>
                <w:rFonts w:cs="Arial"/>
                <w:color w:val="000000" w:themeColor="text1"/>
                <w:sz w:val="18"/>
                <w:szCs w:val="18"/>
              </w:rPr>
            </w:pPr>
            <w:r w:rsidRPr="00836FC5">
              <w:rPr>
                <w:rFonts w:cs="Arial"/>
                <w:color w:val="000000" w:themeColor="text1"/>
                <w:sz w:val="18"/>
                <w:szCs w:val="18"/>
              </w:rPr>
              <w:t>adj_specpaed</w:t>
            </w:r>
          </w:p>
        </w:tc>
        <w:tc>
          <w:tcPr>
            <w:tcW w:w="3120" w:type="dxa"/>
            <w:shd w:val="clear" w:color="auto" w:fill="auto"/>
          </w:tcPr>
          <w:p w14:paraId="135936E1" w14:textId="11BD6D21" w:rsidR="524A26F0" w:rsidRPr="00836FC5" w:rsidRDefault="524A26F0">
            <w:pPr>
              <w:spacing w:line="240" w:lineRule="auto"/>
              <w:rPr>
                <w:rFonts w:cs="Arial"/>
                <w:color w:val="000000" w:themeColor="text1"/>
                <w:sz w:val="18"/>
                <w:szCs w:val="18"/>
              </w:rPr>
            </w:pPr>
            <w:r w:rsidRPr="6762B360">
              <w:rPr>
                <w:rFonts w:cs="Arial"/>
                <w:color w:val="000000" w:themeColor="text1"/>
                <w:sz w:val="18"/>
                <w:szCs w:val="18"/>
              </w:rPr>
              <w:t>See definition</w:t>
            </w:r>
          </w:p>
        </w:tc>
        <w:tc>
          <w:tcPr>
            <w:tcW w:w="4959" w:type="dxa"/>
            <w:shd w:val="clear" w:color="auto" w:fill="auto"/>
          </w:tcPr>
          <w:p w14:paraId="4B7F850F" w14:textId="50CDE2BD" w:rsidR="524A26F0" w:rsidRPr="00836FC5" w:rsidRDefault="524A26F0">
            <w:pPr>
              <w:spacing w:line="240" w:lineRule="auto"/>
              <w:rPr>
                <w:rFonts w:cs="Arial"/>
                <w:color w:val="000000" w:themeColor="text1"/>
                <w:sz w:val="18"/>
                <w:szCs w:val="18"/>
              </w:rPr>
            </w:pPr>
            <w:r w:rsidRPr="6762B360">
              <w:rPr>
                <w:rFonts w:cs="Arial"/>
                <w:color w:val="000000" w:themeColor="text1"/>
                <w:sz w:val="18"/>
                <w:szCs w:val="18"/>
              </w:rPr>
              <w:t>Paediatric adjustment.</w:t>
            </w:r>
          </w:p>
        </w:tc>
      </w:tr>
      <w:tr w:rsidR="00A90801" w:rsidRPr="0090686E" w14:paraId="27914FC6" w14:textId="77777777" w:rsidTr="10D0206E">
        <w:trPr>
          <w:cantSplit/>
          <w:trHeight w:val="450"/>
        </w:trPr>
        <w:tc>
          <w:tcPr>
            <w:tcW w:w="443" w:type="pct"/>
            <w:shd w:val="clear" w:color="auto" w:fill="auto"/>
            <w:noWrap/>
          </w:tcPr>
          <w:p w14:paraId="7AF95962" w14:textId="5F699770"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000000" w:themeColor="text1"/>
                <w:sz w:val="18"/>
                <w:szCs w:val="18"/>
              </w:rPr>
              <w:t>M</w:t>
            </w:r>
            <w:r w:rsidR="602DD652" w:rsidRPr="0063980D">
              <w:rPr>
                <w:rFonts w:eastAsiaTheme="minorEastAsia" w:cs="Arial"/>
                <w:noProof/>
                <w:color w:val="000000" w:themeColor="text1"/>
                <w:sz w:val="18"/>
                <w:szCs w:val="18"/>
              </w:rPr>
              <w:t>26</w:t>
            </w:r>
          </w:p>
        </w:tc>
        <w:tc>
          <w:tcPr>
            <w:tcW w:w="950" w:type="pct"/>
            <w:shd w:val="clear" w:color="auto" w:fill="auto"/>
            <w:noWrap/>
          </w:tcPr>
          <w:p w14:paraId="4AE70361"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state_adj_privpat_accomm_sd</w:t>
            </w:r>
          </w:p>
        </w:tc>
        <w:tc>
          <w:tcPr>
            <w:tcW w:w="1393" w:type="pct"/>
            <w:shd w:val="clear" w:color="auto" w:fill="auto"/>
          </w:tcPr>
          <w:p w14:paraId="1B7986F8"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4" w:type="pct"/>
            <w:shd w:val="clear" w:color="auto" w:fill="auto"/>
          </w:tcPr>
          <w:p w14:paraId="203B8CB2"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Private patient accommodation adjustment: same-day rate (state-specific adjustment).</w:t>
            </w:r>
          </w:p>
        </w:tc>
      </w:tr>
      <w:tr w:rsidR="00A90801" w:rsidRPr="0090686E" w14:paraId="441B8BD2" w14:textId="77777777" w:rsidTr="10D0206E">
        <w:trPr>
          <w:cantSplit/>
          <w:trHeight w:val="450"/>
        </w:trPr>
        <w:tc>
          <w:tcPr>
            <w:tcW w:w="443" w:type="pct"/>
            <w:shd w:val="clear" w:color="auto" w:fill="auto"/>
            <w:noWrap/>
          </w:tcPr>
          <w:p w14:paraId="0CAE20DF" w14:textId="70E39F3E"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000000" w:themeColor="text1"/>
                <w:sz w:val="18"/>
                <w:szCs w:val="18"/>
              </w:rPr>
              <w:t>M</w:t>
            </w:r>
            <w:r w:rsidR="1F378ECD" w:rsidRPr="0063980D">
              <w:rPr>
                <w:rFonts w:eastAsiaTheme="minorEastAsia" w:cs="Arial"/>
                <w:noProof/>
                <w:color w:val="000000" w:themeColor="text1"/>
                <w:sz w:val="18"/>
                <w:szCs w:val="18"/>
              </w:rPr>
              <w:t>27</w:t>
            </w:r>
          </w:p>
        </w:tc>
        <w:tc>
          <w:tcPr>
            <w:tcW w:w="950" w:type="pct"/>
            <w:shd w:val="clear" w:color="auto" w:fill="auto"/>
            <w:noWrap/>
          </w:tcPr>
          <w:p w14:paraId="0F2FB87F"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state_adj_privpat_accomm_on</w:t>
            </w:r>
          </w:p>
        </w:tc>
        <w:tc>
          <w:tcPr>
            <w:tcW w:w="1393" w:type="pct"/>
            <w:shd w:val="clear" w:color="auto" w:fill="auto"/>
          </w:tcPr>
          <w:p w14:paraId="34C59D6E"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4" w:type="pct"/>
            <w:shd w:val="clear" w:color="auto" w:fill="auto"/>
          </w:tcPr>
          <w:p w14:paraId="1C354EC5"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Private patient accommodation adjustment: overnight per diem rate (state-specific adjustment).</w:t>
            </w:r>
          </w:p>
        </w:tc>
      </w:tr>
      <w:tr w:rsidR="00A90801" w:rsidRPr="0090686E" w14:paraId="5FC50CFE" w14:textId="77777777" w:rsidTr="10D0206E">
        <w:trPr>
          <w:cantSplit/>
          <w:trHeight w:val="450"/>
        </w:trPr>
        <w:tc>
          <w:tcPr>
            <w:tcW w:w="443" w:type="pct"/>
            <w:shd w:val="clear" w:color="auto" w:fill="auto"/>
            <w:noWrap/>
          </w:tcPr>
          <w:p w14:paraId="6FCFD03A" w14:textId="6760FB84" w:rsidR="000C490B"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000000" w:themeColor="text1"/>
                <w:sz w:val="18"/>
                <w:szCs w:val="18"/>
              </w:rPr>
              <w:t>M28</w:t>
            </w:r>
          </w:p>
        </w:tc>
        <w:tc>
          <w:tcPr>
            <w:tcW w:w="950" w:type="pct"/>
            <w:shd w:val="clear" w:color="auto" w:fill="auto"/>
            <w:noWrap/>
          </w:tcPr>
          <w:p w14:paraId="12743237" w14:textId="77777777" w:rsidR="000C490B" w:rsidRPr="00021B50" w:rsidRDefault="000C490B" w:rsidP="003C0686">
            <w:pPr>
              <w:tabs>
                <w:tab w:val="left" w:pos="1162"/>
              </w:tabs>
              <w:spacing w:line="240" w:lineRule="auto"/>
              <w:rPr>
                <w:rFonts w:cs="Arial"/>
                <w:color w:val="000000"/>
                <w:sz w:val="18"/>
                <w:szCs w:val="18"/>
              </w:rPr>
            </w:pPr>
            <w:r>
              <w:rPr>
                <w:rFonts w:cs="Arial"/>
                <w:color w:val="000000"/>
                <w:sz w:val="18"/>
                <w:szCs w:val="18"/>
              </w:rPr>
              <w:t>error_code</w:t>
            </w:r>
          </w:p>
        </w:tc>
        <w:tc>
          <w:tcPr>
            <w:tcW w:w="1393" w:type="pct"/>
            <w:shd w:val="clear" w:color="auto" w:fill="auto"/>
          </w:tcPr>
          <w:p w14:paraId="0EB72640" w14:textId="77777777" w:rsidR="000C490B" w:rsidRPr="00021B50" w:rsidRDefault="000C490B" w:rsidP="003C0686">
            <w:pPr>
              <w:tabs>
                <w:tab w:val="left" w:pos="1162"/>
              </w:tabs>
              <w:spacing w:line="240" w:lineRule="auto"/>
              <w:rPr>
                <w:rFonts w:cs="Arial"/>
                <w:color w:val="000000"/>
                <w:sz w:val="18"/>
                <w:szCs w:val="18"/>
              </w:rPr>
            </w:pPr>
            <w:r>
              <w:rPr>
                <w:rFonts w:cs="Arial"/>
                <w:color w:val="000000"/>
                <w:sz w:val="18"/>
                <w:szCs w:val="18"/>
              </w:rPr>
              <w:t>See definition</w:t>
            </w:r>
          </w:p>
        </w:tc>
        <w:tc>
          <w:tcPr>
            <w:tcW w:w="2214" w:type="pct"/>
            <w:shd w:val="clear" w:color="auto" w:fill="auto"/>
          </w:tcPr>
          <w:p w14:paraId="2343168E" w14:textId="3923289B" w:rsidR="000C490B" w:rsidRPr="00021B50" w:rsidRDefault="2DDF61BE" w:rsidP="003C0686">
            <w:pPr>
              <w:tabs>
                <w:tab w:val="left" w:pos="1162"/>
              </w:tabs>
              <w:spacing w:line="240" w:lineRule="auto"/>
              <w:rPr>
                <w:rFonts w:cs="Arial"/>
                <w:color w:val="000000"/>
                <w:sz w:val="18"/>
                <w:szCs w:val="18"/>
              </w:rPr>
            </w:pPr>
            <w:r w:rsidRPr="59B535EE">
              <w:rPr>
                <w:rFonts w:cs="Arial"/>
                <w:color w:val="000000" w:themeColor="text1"/>
                <w:sz w:val="18"/>
                <w:szCs w:val="18"/>
              </w:rPr>
              <w:t>Outlines Errors in calculations</w:t>
            </w:r>
          </w:p>
        </w:tc>
      </w:tr>
      <w:tr w:rsidR="00A90801" w:rsidRPr="0090686E" w14:paraId="4F8FEC42" w14:textId="77777777" w:rsidTr="10D0206E">
        <w:trPr>
          <w:cantSplit/>
          <w:trHeight w:val="450"/>
        </w:trPr>
        <w:tc>
          <w:tcPr>
            <w:tcW w:w="443" w:type="pct"/>
            <w:shd w:val="clear" w:color="auto" w:fill="auto"/>
            <w:noWrap/>
          </w:tcPr>
          <w:p w14:paraId="3137010F" w14:textId="4CA9EAE2" w:rsidR="000C490B" w:rsidRPr="00F41C22" w:rsidRDefault="0DCA2EB4"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000000" w:themeColor="text1"/>
                <w:sz w:val="18"/>
                <w:szCs w:val="18"/>
              </w:rPr>
              <w:t>M29</w:t>
            </w:r>
          </w:p>
        </w:tc>
        <w:tc>
          <w:tcPr>
            <w:tcW w:w="950" w:type="pct"/>
            <w:shd w:val="clear" w:color="auto" w:fill="auto"/>
            <w:noWrap/>
          </w:tcPr>
          <w:p w14:paraId="2630625C" w14:textId="77777777" w:rsidR="000C490B" w:rsidRPr="00F41C22" w:rsidRDefault="000C490B" w:rsidP="003C0686">
            <w:pPr>
              <w:tabs>
                <w:tab w:val="left" w:pos="1162"/>
              </w:tabs>
              <w:spacing w:line="240" w:lineRule="auto"/>
              <w:rPr>
                <w:rFonts w:cs="Arial"/>
                <w:color w:val="000000"/>
                <w:sz w:val="18"/>
                <w:szCs w:val="18"/>
                <w:highlight w:val="yellow"/>
              </w:rPr>
            </w:pPr>
            <w:r w:rsidRPr="00715487">
              <w:rPr>
                <w:rFonts w:cs="Arial"/>
                <w:color w:val="000000"/>
                <w:sz w:val="18"/>
                <w:szCs w:val="18"/>
              </w:rPr>
              <w:t>_pat_separation_category</w:t>
            </w:r>
          </w:p>
        </w:tc>
        <w:tc>
          <w:tcPr>
            <w:tcW w:w="1393" w:type="pct"/>
            <w:shd w:val="clear" w:color="auto" w:fill="auto"/>
          </w:tcPr>
          <w:p w14:paraId="293A28F5"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See definition</w:t>
            </w:r>
          </w:p>
        </w:tc>
        <w:tc>
          <w:tcPr>
            <w:tcW w:w="2214" w:type="pct"/>
            <w:shd w:val="clear" w:color="auto" w:fill="auto"/>
          </w:tcPr>
          <w:p w14:paraId="3742080F"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 xml:space="preserve">Patient separation category: </w:t>
            </w:r>
          </w:p>
          <w:p w14:paraId="7B3C051B"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 xml:space="preserve">2: Short-stay outlier patients </w:t>
            </w:r>
          </w:p>
          <w:p w14:paraId="489CDEF5"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3: Inlier patients</w:t>
            </w:r>
          </w:p>
          <w:p w14:paraId="45224A79" w14:textId="77777777" w:rsidR="000C490B" w:rsidRPr="006C30C8" w:rsidRDefault="000C490B" w:rsidP="003C0686">
            <w:pPr>
              <w:tabs>
                <w:tab w:val="left" w:pos="1162"/>
              </w:tabs>
              <w:spacing w:line="240" w:lineRule="auto"/>
            </w:pPr>
            <w:r w:rsidRPr="006C30C8">
              <w:rPr>
                <w:rFonts w:cs="Arial"/>
                <w:color w:val="000000"/>
                <w:sz w:val="18"/>
                <w:szCs w:val="18"/>
              </w:rPr>
              <w:t xml:space="preserve">4: Long-stay outlier patients </w:t>
            </w:r>
          </w:p>
        </w:tc>
      </w:tr>
      <w:tr w:rsidR="00A90801" w:rsidRPr="0090686E" w14:paraId="4887E90A" w14:textId="77777777" w:rsidTr="10D0206E">
        <w:trPr>
          <w:cantSplit/>
          <w:trHeight w:val="450"/>
        </w:trPr>
        <w:tc>
          <w:tcPr>
            <w:tcW w:w="443" w:type="pct"/>
            <w:shd w:val="clear" w:color="auto" w:fill="auto"/>
            <w:noWrap/>
          </w:tcPr>
          <w:p w14:paraId="5F6773D2" w14:textId="246419E1" w:rsidR="000C490B" w:rsidRPr="00F41C22" w:rsidRDefault="0DCA2EB4"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000000" w:themeColor="text1"/>
                <w:sz w:val="18"/>
                <w:szCs w:val="18"/>
              </w:rPr>
              <w:lastRenderedPageBreak/>
              <w:t>M30</w:t>
            </w:r>
          </w:p>
        </w:tc>
        <w:tc>
          <w:tcPr>
            <w:tcW w:w="950" w:type="pct"/>
            <w:shd w:val="clear" w:color="auto" w:fill="auto"/>
            <w:noWrap/>
          </w:tcPr>
          <w:p w14:paraId="1ED322F2"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_w01</w:t>
            </w:r>
          </w:p>
        </w:tc>
        <w:tc>
          <w:tcPr>
            <w:tcW w:w="1393" w:type="pct"/>
            <w:shd w:val="clear" w:color="auto" w:fill="auto"/>
          </w:tcPr>
          <w:p w14:paraId="24F067B8" w14:textId="77777777" w:rsidR="000C490B" w:rsidRPr="00715487" w:rsidRDefault="000C490B" w:rsidP="003C0686">
            <w:pPr>
              <w:tabs>
                <w:tab w:val="left" w:pos="1162"/>
              </w:tabs>
              <w:spacing w:line="240" w:lineRule="auto"/>
              <w:rPr>
                <w:rFonts w:cs="Arial"/>
                <w:color w:val="000000"/>
                <w:sz w:val="18"/>
                <w:szCs w:val="18"/>
              </w:rPr>
            </w:pPr>
            <w:r w:rsidRPr="00F41C22">
              <w:rPr>
                <w:rFonts w:cs="Arial"/>
                <w:color w:val="000000"/>
                <w:sz w:val="18"/>
                <w:szCs w:val="18"/>
              </w:rPr>
              <w:t xml:space="preserve">AMHCC </w:t>
            </w:r>
            <w:r w:rsidRPr="00715487">
              <w:rPr>
                <w:rFonts w:cs="Arial"/>
                <w:color w:val="000000"/>
                <w:sz w:val="18"/>
                <w:szCs w:val="18"/>
              </w:rPr>
              <w:t>by inlier/outlier weight</w:t>
            </w:r>
          </w:p>
        </w:tc>
        <w:tc>
          <w:tcPr>
            <w:tcW w:w="2214" w:type="pct"/>
            <w:shd w:val="clear" w:color="auto" w:fill="auto"/>
          </w:tcPr>
          <w:p w14:paraId="35C7D476" w14:textId="14D99A21" w:rsidR="000C490B" w:rsidRPr="00F41C22" w:rsidRDefault="000C490B" w:rsidP="003C0686">
            <w:pPr>
              <w:tabs>
                <w:tab w:val="left" w:pos="1162"/>
              </w:tabs>
              <w:spacing w:before="80" w:after="80" w:line="240" w:lineRule="auto"/>
              <w:rPr>
                <w:rFonts w:cs="Arial"/>
                <w:color w:val="000000"/>
                <w:sz w:val="18"/>
                <w:szCs w:val="18"/>
              </w:rPr>
            </w:pPr>
            <w:r w:rsidRPr="6762B360">
              <w:rPr>
                <w:rFonts w:cs="Arial"/>
                <w:color w:val="000000" w:themeColor="text1"/>
                <w:sz w:val="18"/>
                <w:szCs w:val="18"/>
              </w:rPr>
              <w:t>For combined AMHCC classes 131 and 141: amhcc_pw_sso_base + _pat_los * amhcc_lso_perdiem</w:t>
            </w:r>
          </w:p>
          <w:p w14:paraId="4E2E8BCE" w14:textId="77777777" w:rsidR="000C490B" w:rsidRPr="00715487" w:rsidRDefault="000C490B" w:rsidP="003C0686">
            <w:pPr>
              <w:tabs>
                <w:tab w:val="left" w:pos="1162"/>
              </w:tabs>
              <w:spacing w:before="80" w:after="80" w:line="240" w:lineRule="auto"/>
              <w:rPr>
                <w:rFonts w:cs="Arial"/>
                <w:color w:val="000000"/>
                <w:sz w:val="18"/>
                <w:szCs w:val="18"/>
              </w:rPr>
            </w:pPr>
            <w:r w:rsidRPr="00F41C22">
              <w:rPr>
                <w:rFonts w:cs="Arial"/>
                <w:color w:val="000000"/>
                <w:sz w:val="18"/>
                <w:szCs w:val="18"/>
              </w:rPr>
              <w:t>Otherwise, b</w:t>
            </w:r>
            <w:r w:rsidRPr="00715487">
              <w:rPr>
                <w:rFonts w:cs="Arial"/>
                <w:color w:val="000000"/>
                <w:sz w:val="18"/>
                <w:szCs w:val="18"/>
              </w:rPr>
              <w:t>ased off _pat_separation_category:</w:t>
            </w:r>
          </w:p>
          <w:p w14:paraId="6AB64EFA" w14:textId="7AFA92F7" w:rsidR="000C490B" w:rsidRPr="00715487" w:rsidRDefault="000C490B" w:rsidP="003C0686">
            <w:pPr>
              <w:tabs>
                <w:tab w:val="left" w:pos="1162"/>
              </w:tabs>
              <w:spacing w:before="80" w:after="80" w:line="240" w:lineRule="auto"/>
              <w:rPr>
                <w:rFonts w:cs="Arial"/>
                <w:color w:val="000000"/>
                <w:sz w:val="18"/>
                <w:szCs w:val="18"/>
              </w:rPr>
            </w:pPr>
            <w:r w:rsidRPr="00715487">
              <w:rPr>
                <w:rFonts w:cs="Arial"/>
                <w:color w:val="000000"/>
                <w:sz w:val="18"/>
                <w:szCs w:val="18"/>
              </w:rPr>
              <w:t xml:space="preserve">2: </w:t>
            </w:r>
            <w:r w:rsidRPr="00F41C22">
              <w:rPr>
                <w:rFonts w:cs="Arial"/>
                <w:color w:val="000000"/>
                <w:sz w:val="18"/>
                <w:szCs w:val="18"/>
              </w:rPr>
              <w:t>amhcc</w:t>
            </w:r>
            <w:r w:rsidRPr="00715487">
              <w:rPr>
                <w:rFonts w:cs="Arial"/>
                <w:color w:val="000000"/>
                <w:sz w:val="18"/>
                <w:szCs w:val="18"/>
              </w:rPr>
              <w:t xml:space="preserve">_pw_sso_base + </w:t>
            </w:r>
            <w:r w:rsidRPr="00F41C22">
              <w:rPr>
                <w:rFonts w:cs="Arial"/>
                <w:color w:val="000000"/>
                <w:sz w:val="18"/>
                <w:szCs w:val="18"/>
              </w:rPr>
              <w:t>amhcc</w:t>
            </w:r>
            <w:r w:rsidRPr="00715487">
              <w:rPr>
                <w:rFonts w:cs="Arial"/>
                <w:color w:val="000000"/>
                <w:sz w:val="18"/>
                <w:szCs w:val="18"/>
              </w:rPr>
              <w:t xml:space="preserve">_pw_sso_perdiem * </w:t>
            </w:r>
            <w:r w:rsidRPr="00F41C22">
              <w:rPr>
                <w:rFonts w:cs="Arial"/>
                <w:color w:val="000000"/>
                <w:sz w:val="18"/>
                <w:szCs w:val="18"/>
              </w:rPr>
              <w:t>_</w:t>
            </w:r>
            <w:r w:rsidRPr="00715487">
              <w:rPr>
                <w:rFonts w:cs="Arial"/>
                <w:color w:val="000000"/>
                <w:sz w:val="18"/>
                <w:szCs w:val="18"/>
              </w:rPr>
              <w:t xml:space="preserve">pat_los </w:t>
            </w:r>
          </w:p>
          <w:p w14:paraId="6F00B14C" w14:textId="77777777" w:rsidR="000C490B" w:rsidRPr="00715487" w:rsidRDefault="000C490B" w:rsidP="003C0686">
            <w:pPr>
              <w:tabs>
                <w:tab w:val="left" w:pos="1162"/>
              </w:tabs>
              <w:spacing w:before="80" w:after="80" w:line="240" w:lineRule="auto"/>
              <w:rPr>
                <w:rFonts w:cs="Arial"/>
                <w:color w:val="000000"/>
                <w:sz w:val="18"/>
                <w:szCs w:val="18"/>
              </w:rPr>
            </w:pPr>
            <w:r w:rsidRPr="00715487">
              <w:rPr>
                <w:rFonts w:cs="Arial"/>
                <w:color w:val="000000"/>
                <w:sz w:val="18"/>
                <w:szCs w:val="18"/>
              </w:rPr>
              <w:t xml:space="preserve">3: </w:t>
            </w:r>
            <w:r w:rsidRPr="00F41C22">
              <w:rPr>
                <w:rFonts w:cs="Arial"/>
                <w:color w:val="000000"/>
                <w:sz w:val="18"/>
                <w:szCs w:val="18"/>
              </w:rPr>
              <w:t>amhcc</w:t>
            </w:r>
            <w:r w:rsidRPr="00715487">
              <w:rPr>
                <w:rFonts w:cs="Arial"/>
                <w:color w:val="000000"/>
                <w:sz w:val="18"/>
                <w:szCs w:val="18"/>
              </w:rPr>
              <w:t>_pw_inlier</w:t>
            </w:r>
          </w:p>
          <w:p w14:paraId="089EA0B5" w14:textId="79E509A9"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 xml:space="preserve">4: </w:t>
            </w:r>
            <w:r w:rsidRPr="00F41C22">
              <w:rPr>
                <w:rFonts w:cs="Arial"/>
                <w:color w:val="000000"/>
                <w:sz w:val="18"/>
                <w:szCs w:val="18"/>
              </w:rPr>
              <w:t>amhcc</w:t>
            </w:r>
            <w:r w:rsidRPr="00715487">
              <w:rPr>
                <w:rFonts w:cs="Arial"/>
                <w:color w:val="000000"/>
                <w:sz w:val="18"/>
                <w:szCs w:val="18"/>
              </w:rPr>
              <w:t>_pw_inlier + (</w:t>
            </w:r>
            <w:r w:rsidRPr="00F41C22">
              <w:rPr>
                <w:rFonts w:cs="Arial"/>
                <w:color w:val="000000"/>
                <w:sz w:val="18"/>
                <w:szCs w:val="18"/>
              </w:rPr>
              <w:t>_</w:t>
            </w:r>
            <w:r w:rsidRPr="00715487">
              <w:rPr>
                <w:rFonts w:cs="Arial"/>
                <w:color w:val="000000"/>
                <w:sz w:val="18"/>
                <w:szCs w:val="18"/>
              </w:rPr>
              <w:t xml:space="preserve">pat_los - </w:t>
            </w:r>
            <w:r w:rsidRPr="00F41C22">
              <w:rPr>
                <w:rFonts w:cs="Arial"/>
                <w:color w:val="000000"/>
                <w:sz w:val="18"/>
                <w:szCs w:val="18"/>
              </w:rPr>
              <w:t>amhcc</w:t>
            </w:r>
            <w:r w:rsidRPr="00715487">
              <w:rPr>
                <w:rFonts w:cs="Arial"/>
                <w:color w:val="000000"/>
                <w:sz w:val="18"/>
                <w:szCs w:val="18"/>
              </w:rPr>
              <w:t xml:space="preserve">_inlier_ub) * </w:t>
            </w:r>
            <w:r w:rsidRPr="00F41C22">
              <w:rPr>
                <w:rFonts w:cs="Arial"/>
                <w:color w:val="000000"/>
                <w:sz w:val="18"/>
                <w:szCs w:val="18"/>
              </w:rPr>
              <w:t>amhcc</w:t>
            </w:r>
            <w:r w:rsidRPr="00715487">
              <w:rPr>
                <w:rFonts w:cs="Arial"/>
                <w:color w:val="000000"/>
                <w:sz w:val="18"/>
                <w:szCs w:val="18"/>
              </w:rPr>
              <w:t xml:space="preserve">_pw_lso_perdiem </w:t>
            </w:r>
          </w:p>
        </w:tc>
      </w:tr>
      <w:tr w:rsidR="00A90801" w:rsidRPr="0090686E" w14:paraId="309DEB6D" w14:textId="77777777" w:rsidTr="10D0206E">
        <w:trPr>
          <w:cantSplit/>
          <w:trHeight w:val="450"/>
        </w:trPr>
        <w:tc>
          <w:tcPr>
            <w:tcW w:w="443" w:type="pct"/>
            <w:shd w:val="clear" w:color="auto" w:fill="auto"/>
            <w:noWrap/>
          </w:tcPr>
          <w:p w14:paraId="210401B2" w14:textId="2F418F5A" w:rsidR="000C490B" w:rsidRPr="00F41C22" w:rsidRDefault="0DCA2EB4" w:rsidP="003C0686">
            <w:pPr>
              <w:tabs>
                <w:tab w:val="left" w:pos="1162"/>
              </w:tabs>
              <w:spacing w:line="240" w:lineRule="auto"/>
              <w:rPr>
                <w:rFonts w:eastAsiaTheme="minorEastAsia" w:cs="Arial"/>
                <w:color w:val="000000"/>
                <w:sz w:val="18"/>
                <w:szCs w:val="18"/>
              </w:rPr>
            </w:pPr>
            <w:r w:rsidRPr="69F037DE">
              <w:rPr>
                <w:rFonts w:eastAsiaTheme="minorEastAsia" w:cs="Arial"/>
                <w:noProof/>
                <w:color w:val="000000" w:themeColor="text1"/>
                <w:sz w:val="18"/>
                <w:szCs w:val="18"/>
              </w:rPr>
              <w:t>M</w:t>
            </w:r>
            <w:r w:rsidR="2BB8F09C" w:rsidRPr="69F037DE">
              <w:rPr>
                <w:rFonts w:eastAsiaTheme="minorEastAsia" w:cs="Arial"/>
                <w:noProof/>
                <w:color w:val="000000" w:themeColor="text1"/>
                <w:sz w:val="18"/>
                <w:szCs w:val="18"/>
              </w:rPr>
              <w:t>31</w:t>
            </w:r>
          </w:p>
        </w:tc>
        <w:tc>
          <w:tcPr>
            <w:tcW w:w="950" w:type="pct"/>
            <w:shd w:val="clear" w:color="auto" w:fill="auto"/>
            <w:noWrap/>
          </w:tcPr>
          <w:p w14:paraId="31C1D412" w14:textId="23D8DE5B" w:rsidR="000C490B" w:rsidRPr="00715487" w:rsidRDefault="3BCEB7DE" w:rsidP="003C0686">
            <w:pPr>
              <w:tabs>
                <w:tab w:val="left" w:pos="1162"/>
              </w:tabs>
              <w:spacing w:line="240" w:lineRule="auto"/>
              <w:rPr>
                <w:color w:val="000000"/>
                <w:szCs w:val="22"/>
              </w:rPr>
            </w:pPr>
            <w:r w:rsidRPr="6762B360">
              <w:rPr>
                <w:rFonts w:cs="Arial"/>
                <w:color w:val="000000" w:themeColor="text1"/>
                <w:sz w:val="18"/>
                <w:szCs w:val="18"/>
              </w:rPr>
              <w:t>GWAU22</w:t>
            </w:r>
          </w:p>
        </w:tc>
        <w:tc>
          <w:tcPr>
            <w:tcW w:w="1393" w:type="pct"/>
            <w:shd w:val="clear" w:color="auto" w:fill="auto"/>
          </w:tcPr>
          <w:p w14:paraId="33C1A6EE" w14:textId="2081FF2F" w:rsidR="000C490B" w:rsidRPr="00715487" w:rsidRDefault="7F06DCDD" w:rsidP="6762B360">
            <w:pPr>
              <w:tabs>
                <w:tab w:val="left" w:pos="1162"/>
              </w:tabs>
              <w:spacing w:line="240" w:lineRule="auto"/>
              <w:rPr>
                <w:rFonts w:cs="Arial"/>
                <w:color w:val="000000" w:themeColor="text1"/>
                <w:sz w:val="18"/>
                <w:szCs w:val="18"/>
              </w:rPr>
            </w:pPr>
            <w:r w:rsidRPr="6762B360">
              <w:rPr>
                <w:rFonts w:cs="Arial"/>
                <w:color w:val="000000" w:themeColor="text1"/>
                <w:sz w:val="18"/>
                <w:szCs w:val="18"/>
              </w:rPr>
              <w:t xml:space="preserve"> Gross Weighted Activity Unit</w:t>
            </w:r>
          </w:p>
          <w:p w14:paraId="73F1782C" w14:textId="358FF71B" w:rsidR="000C490B" w:rsidRPr="00715487" w:rsidRDefault="000C490B" w:rsidP="003C0686">
            <w:pPr>
              <w:tabs>
                <w:tab w:val="left" w:pos="1162"/>
              </w:tabs>
              <w:spacing w:line="240" w:lineRule="auto"/>
              <w:rPr>
                <w:color w:val="000000"/>
                <w:szCs w:val="22"/>
              </w:rPr>
            </w:pPr>
          </w:p>
        </w:tc>
        <w:tc>
          <w:tcPr>
            <w:tcW w:w="2214" w:type="pct"/>
            <w:shd w:val="clear" w:color="auto" w:fill="auto"/>
          </w:tcPr>
          <w:p w14:paraId="119C34AF" w14:textId="304FB6FF" w:rsidR="000C490B" w:rsidRPr="00715487" w:rsidRDefault="000C490B" w:rsidP="003C0686">
            <w:pPr>
              <w:tabs>
                <w:tab w:val="left" w:pos="1162"/>
              </w:tabs>
              <w:spacing w:before="80" w:after="80" w:line="240" w:lineRule="auto"/>
              <w:rPr>
                <w:rFonts w:cs="Arial"/>
                <w:color w:val="000000"/>
                <w:sz w:val="18"/>
                <w:szCs w:val="18"/>
              </w:rPr>
            </w:pPr>
            <w:r w:rsidRPr="6762B360">
              <w:rPr>
                <w:rFonts w:cs="Arial"/>
                <w:color w:val="000000" w:themeColor="text1"/>
                <w:sz w:val="18"/>
                <w:szCs w:val="18"/>
              </w:rPr>
              <w:t>_w01 * (</w:t>
            </w:r>
            <w:r w:rsidR="7E75682A" w:rsidRPr="6762B360">
              <w:rPr>
                <w:rFonts w:cs="Arial"/>
                <w:color w:val="000000" w:themeColor="text1"/>
                <w:sz w:val="18"/>
                <w:szCs w:val="18"/>
              </w:rPr>
              <w:t xml:space="preserve">adj_specpaed) * </w:t>
            </w:r>
            <w:r w:rsidRPr="6762B360">
              <w:rPr>
                <w:rFonts w:cs="Arial"/>
                <w:color w:val="000000" w:themeColor="text1"/>
                <w:sz w:val="18"/>
                <w:szCs w:val="18"/>
              </w:rPr>
              <w:t>(1+adj_indigenous + adj_remoteness) * (1 + adj_treat_remoteness)</w:t>
            </w:r>
          </w:p>
        </w:tc>
      </w:tr>
      <w:tr w:rsidR="00A90801" w:rsidRPr="0090686E" w14:paraId="50297A22" w14:textId="77777777" w:rsidTr="10D0206E">
        <w:trPr>
          <w:cantSplit/>
          <w:trHeight w:val="450"/>
        </w:trPr>
        <w:tc>
          <w:tcPr>
            <w:tcW w:w="443" w:type="pct"/>
            <w:shd w:val="clear" w:color="auto" w:fill="auto"/>
            <w:noWrap/>
          </w:tcPr>
          <w:p w14:paraId="196F00E9" w14:textId="01253588" w:rsidR="000C490B" w:rsidRPr="00F41C22" w:rsidRDefault="0DCA2EB4" w:rsidP="003C0686">
            <w:pPr>
              <w:tabs>
                <w:tab w:val="left" w:pos="1162"/>
              </w:tabs>
              <w:spacing w:line="240" w:lineRule="auto"/>
              <w:rPr>
                <w:rFonts w:eastAsiaTheme="minorEastAsia" w:cs="Arial"/>
                <w:color w:val="000000"/>
                <w:sz w:val="18"/>
                <w:szCs w:val="18"/>
              </w:rPr>
            </w:pPr>
            <w:r w:rsidRPr="69F037DE">
              <w:rPr>
                <w:rFonts w:eastAsiaTheme="minorEastAsia" w:cs="Arial"/>
                <w:color w:val="000000" w:themeColor="text1"/>
                <w:sz w:val="18"/>
                <w:szCs w:val="18"/>
              </w:rPr>
              <w:t>M32</w:t>
            </w:r>
          </w:p>
        </w:tc>
        <w:tc>
          <w:tcPr>
            <w:tcW w:w="950" w:type="pct"/>
            <w:shd w:val="clear" w:color="auto" w:fill="auto"/>
            <w:noWrap/>
          </w:tcPr>
          <w:p w14:paraId="5282AFCD" w14:textId="77777777" w:rsidR="000C490B" w:rsidRPr="00006CC0" w:rsidRDefault="000C490B" w:rsidP="003C0686">
            <w:pPr>
              <w:tabs>
                <w:tab w:val="left" w:pos="1162"/>
              </w:tabs>
              <w:spacing w:line="240" w:lineRule="auto"/>
              <w:rPr>
                <w:rFonts w:cs="Arial"/>
                <w:color w:val="000000"/>
                <w:sz w:val="18"/>
                <w:szCs w:val="18"/>
              </w:rPr>
            </w:pPr>
            <w:r w:rsidRPr="00006CC0">
              <w:rPr>
                <w:rFonts w:cs="Arial"/>
                <w:color w:val="000000"/>
                <w:sz w:val="18"/>
                <w:szCs w:val="18"/>
              </w:rPr>
              <w:t>_adj_privpat_serv</w:t>
            </w:r>
          </w:p>
        </w:tc>
        <w:tc>
          <w:tcPr>
            <w:tcW w:w="1393" w:type="pct"/>
            <w:shd w:val="clear" w:color="auto" w:fill="auto"/>
          </w:tcPr>
          <w:p w14:paraId="7A9F3E69" w14:textId="77777777" w:rsidR="000C490B" w:rsidRPr="00006CC0" w:rsidRDefault="000C490B" w:rsidP="003C0686">
            <w:pPr>
              <w:tabs>
                <w:tab w:val="left" w:pos="1162"/>
              </w:tabs>
              <w:spacing w:line="240" w:lineRule="auto"/>
              <w:rPr>
                <w:rFonts w:cs="Arial"/>
                <w:color w:val="000000"/>
                <w:sz w:val="18"/>
                <w:szCs w:val="18"/>
              </w:rPr>
            </w:pPr>
            <w:r w:rsidRPr="00006CC0">
              <w:rPr>
                <w:rFonts w:cs="Arial"/>
                <w:color w:val="000000"/>
                <w:sz w:val="18"/>
                <w:szCs w:val="18"/>
              </w:rPr>
              <w:t>Private patient service adjustment</w:t>
            </w:r>
          </w:p>
        </w:tc>
        <w:tc>
          <w:tcPr>
            <w:tcW w:w="2214" w:type="pct"/>
            <w:shd w:val="clear" w:color="auto" w:fill="auto"/>
          </w:tcPr>
          <w:p w14:paraId="4A2A3469" w14:textId="78990104" w:rsidR="000C490B" w:rsidRPr="00006CC0" w:rsidRDefault="000C490B" w:rsidP="003C0686">
            <w:pPr>
              <w:tabs>
                <w:tab w:val="left" w:pos="1162"/>
              </w:tabs>
              <w:spacing w:before="80" w:after="80" w:line="240" w:lineRule="auto"/>
              <w:rPr>
                <w:rFonts w:cs="Arial"/>
                <w:color w:val="000000"/>
                <w:sz w:val="18"/>
                <w:szCs w:val="18"/>
              </w:rPr>
            </w:pPr>
            <w:r w:rsidRPr="00006CC0">
              <w:rPr>
                <w:rFonts w:cs="Arial"/>
                <w:color w:val="000000"/>
                <w:sz w:val="18"/>
                <w:szCs w:val="18"/>
              </w:rPr>
              <w:t xml:space="preserve">_pat_private_flag * </w:t>
            </w:r>
            <w:r w:rsidRPr="00F41C22">
              <w:rPr>
                <w:rFonts w:cs="Arial"/>
                <w:color w:val="000000"/>
                <w:sz w:val="18"/>
                <w:szCs w:val="18"/>
              </w:rPr>
              <w:t>amhcc</w:t>
            </w:r>
            <w:r w:rsidRPr="00006CC0">
              <w:rPr>
                <w:rFonts w:cs="Arial"/>
                <w:color w:val="000000"/>
                <w:sz w:val="18"/>
                <w:szCs w:val="18"/>
              </w:rPr>
              <w:t>_adj_privapat_serv*(_w01)</w:t>
            </w:r>
            <w:r w:rsidRPr="00006CC0" w:rsidDel="00712BAD">
              <w:rPr>
                <w:rFonts w:cs="Arial"/>
                <w:color w:val="000000"/>
                <w:sz w:val="18"/>
                <w:szCs w:val="18"/>
              </w:rPr>
              <w:t xml:space="preserve"> </w:t>
            </w:r>
          </w:p>
        </w:tc>
      </w:tr>
      <w:tr w:rsidR="00A90801" w:rsidRPr="0090686E" w14:paraId="7F6B791C" w14:textId="77777777" w:rsidTr="10D0206E">
        <w:trPr>
          <w:cantSplit/>
          <w:trHeight w:val="450"/>
        </w:trPr>
        <w:tc>
          <w:tcPr>
            <w:tcW w:w="443" w:type="pct"/>
            <w:shd w:val="clear" w:color="auto" w:fill="auto"/>
            <w:noWrap/>
          </w:tcPr>
          <w:p w14:paraId="623F49F5" w14:textId="0B8360FA" w:rsidR="000C490B" w:rsidRPr="00F41C22" w:rsidRDefault="0DCA2EB4" w:rsidP="003C0686">
            <w:pPr>
              <w:tabs>
                <w:tab w:val="left" w:pos="1162"/>
              </w:tabs>
              <w:spacing w:line="240" w:lineRule="auto"/>
              <w:rPr>
                <w:rFonts w:eastAsiaTheme="minorEastAsia" w:cs="Arial"/>
                <w:color w:val="000000"/>
                <w:sz w:val="18"/>
                <w:szCs w:val="18"/>
              </w:rPr>
            </w:pPr>
            <w:r w:rsidRPr="69F037DE">
              <w:rPr>
                <w:rFonts w:eastAsiaTheme="minorEastAsia" w:cs="Arial"/>
                <w:color w:val="000000" w:themeColor="text1"/>
                <w:sz w:val="18"/>
                <w:szCs w:val="18"/>
              </w:rPr>
              <w:t>M33</w:t>
            </w:r>
          </w:p>
        </w:tc>
        <w:tc>
          <w:tcPr>
            <w:tcW w:w="950" w:type="pct"/>
            <w:shd w:val="clear" w:color="auto" w:fill="auto"/>
            <w:noWrap/>
          </w:tcPr>
          <w:p w14:paraId="31053384"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_adj_privpat_accom</w:t>
            </w:r>
          </w:p>
        </w:tc>
        <w:tc>
          <w:tcPr>
            <w:tcW w:w="1393" w:type="pct"/>
            <w:shd w:val="clear" w:color="auto" w:fill="auto"/>
          </w:tcPr>
          <w:p w14:paraId="2F961DEE"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Private Patient Accommodation adjustment</w:t>
            </w:r>
          </w:p>
        </w:tc>
        <w:tc>
          <w:tcPr>
            <w:tcW w:w="2214" w:type="pct"/>
            <w:shd w:val="clear" w:color="auto" w:fill="auto"/>
          </w:tcPr>
          <w:p w14:paraId="2D06F82C" w14:textId="77777777" w:rsidR="000C490B" w:rsidRPr="00021B50" w:rsidRDefault="000C490B" w:rsidP="003C0686">
            <w:pPr>
              <w:tabs>
                <w:tab w:val="left" w:pos="1162"/>
              </w:tabs>
              <w:spacing w:before="80" w:after="80" w:line="240" w:lineRule="auto"/>
              <w:rPr>
                <w:rFonts w:cs="Arial"/>
                <w:color w:val="000000"/>
                <w:sz w:val="18"/>
                <w:szCs w:val="18"/>
              </w:rPr>
            </w:pPr>
            <w:r w:rsidRPr="00021B50">
              <w:rPr>
                <w:rFonts w:cs="Arial"/>
                <w:color w:val="000000"/>
                <w:sz w:val="18"/>
                <w:szCs w:val="18"/>
              </w:rPr>
              <w:t>_pat_private_flag*(_pat_same-day_flag*state_adj_private_accom_sd+ (1-_pat_same-day_flag)*_pat_los*state_adj_privpat_accomm_on)</w:t>
            </w:r>
          </w:p>
        </w:tc>
      </w:tr>
      <w:tr w:rsidR="00A90801" w:rsidRPr="00C525F3" w14:paraId="7FC3897B" w14:textId="77777777" w:rsidTr="10D0206E">
        <w:trPr>
          <w:cantSplit/>
          <w:trHeight w:val="450"/>
        </w:trPr>
        <w:tc>
          <w:tcPr>
            <w:tcW w:w="443" w:type="pct"/>
            <w:shd w:val="clear" w:color="auto" w:fill="auto"/>
            <w:noWrap/>
          </w:tcPr>
          <w:p w14:paraId="5912322A" w14:textId="4A2BFDA2" w:rsidR="000C490B" w:rsidRPr="00552BDF" w:rsidRDefault="0DCA2EB4" w:rsidP="003C0686">
            <w:pPr>
              <w:tabs>
                <w:tab w:val="left" w:pos="1162"/>
              </w:tabs>
              <w:spacing w:line="240" w:lineRule="auto"/>
              <w:rPr>
                <w:rFonts w:cs="Arial"/>
                <w:color w:val="000000"/>
                <w:sz w:val="18"/>
                <w:szCs w:val="18"/>
              </w:rPr>
            </w:pPr>
            <w:r w:rsidRPr="69F037DE">
              <w:rPr>
                <w:rFonts w:cs="Arial"/>
                <w:color w:val="000000" w:themeColor="text1"/>
                <w:sz w:val="18"/>
                <w:szCs w:val="18"/>
              </w:rPr>
              <w:t>M34</w:t>
            </w:r>
          </w:p>
        </w:tc>
        <w:tc>
          <w:tcPr>
            <w:tcW w:w="950" w:type="pct"/>
            <w:shd w:val="clear" w:color="auto" w:fill="auto"/>
            <w:noWrap/>
          </w:tcPr>
          <w:p w14:paraId="2A1B4D00" w14:textId="6AA7BA55" w:rsidR="000C490B" w:rsidRPr="00006CC0" w:rsidRDefault="00E74C1C" w:rsidP="003C0686">
            <w:pPr>
              <w:tabs>
                <w:tab w:val="left" w:pos="1162"/>
              </w:tabs>
              <w:spacing w:line="240" w:lineRule="auto"/>
              <w:rPr>
                <w:rFonts w:cs="Arial"/>
                <w:color w:val="000000"/>
                <w:sz w:val="18"/>
                <w:szCs w:val="18"/>
              </w:rPr>
            </w:pPr>
            <w:r w:rsidRPr="00006CC0">
              <w:rPr>
                <w:rFonts w:cs="Arial"/>
                <w:color w:val="000000" w:themeColor="text1"/>
                <w:sz w:val="18"/>
                <w:szCs w:val="18"/>
              </w:rPr>
              <w:t>NWAU2</w:t>
            </w:r>
            <w:r>
              <w:rPr>
                <w:rFonts w:cs="Arial"/>
                <w:color w:val="000000" w:themeColor="text1"/>
                <w:sz w:val="18"/>
                <w:szCs w:val="18"/>
              </w:rPr>
              <w:t>2</w:t>
            </w:r>
          </w:p>
        </w:tc>
        <w:tc>
          <w:tcPr>
            <w:tcW w:w="1393" w:type="pct"/>
            <w:shd w:val="clear" w:color="auto" w:fill="auto"/>
          </w:tcPr>
          <w:p w14:paraId="7465C75F" w14:textId="77777777" w:rsidR="000C490B" w:rsidRPr="00006CC0" w:rsidRDefault="000C490B" w:rsidP="003C0686">
            <w:pPr>
              <w:tabs>
                <w:tab w:val="left" w:pos="1162"/>
              </w:tabs>
              <w:spacing w:line="240" w:lineRule="auto"/>
              <w:rPr>
                <w:rFonts w:cs="Arial"/>
                <w:color w:val="000000"/>
                <w:sz w:val="18"/>
                <w:szCs w:val="18"/>
              </w:rPr>
            </w:pPr>
            <w:r w:rsidRPr="00006CC0">
              <w:rPr>
                <w:rFonts w:cs="Arial"/>
                <w:color w:val="000000"/>
                <w:sz w:val="18"/>
                <w:szCs w:val="18"/>
              </w:rPr>
              <w:t>National Weighted Activity Unit</w:t>
            </w:r>
          </w:p>
        </w:tc>
        <w:tc>
          <w:tcPr>
            <w:tcW w:w="2214" w:type="pct"/>
            <w:shd w:val="clear" w:color="auto" w:fill="auto"/>
          </w:tcPr>
          <w:p w14:paraId="7F9E8790" w14:textId="16D22042" w:rsidR="000C490B" w:rsidRPr="00006CC0" w:rsidRDefault="000C490B" w:rsidP="003C0686">
            <w:pPr>
              <w:tabs>
                <w:tab w:val="left" w:pos="1162"/>
              </w:tabs>
              <w:spacing w:before="80" w:after="80" w:line="240" w:lineRule="auto"/>
              <w:rPr>
                <w:rFonts w:cs="Arial"/>
                <w:color w:val="000000"/>
                <w:sz w:val="18"/>
                <w:szCs w:val="18"/>
              </w:rPr>
            </w:pPr>
            <w:r w:rsidRPr="00006CC0">
              <w:rPr>
                <w:rFonts w:cs="Arial"/>
                <w:color w:val="000000"/>
                <w:sz w:val="18"/>
                <w:szCs w:val="18"/>
              </w:rPr>
              <w:t>Max(0,</w:t>
            </w:r>
            <w:r w:rsidRPr="00F41C22">
              <w:rPr>
                <w:rFonts w:cs="Arial"/>
                <w:color w:val="000000"/>
                <w:sz w:val="18"/>
                <w:szCs w:val="18"/>
              </w:rPr>
              <w:t xml:space="preserve"> </w:t>
            </w:r>
            <w:r w:rsidR="00E74C1C" w:rsidRPr="00F41C22">
              <w:rPr>
                <w:rFonts w:cs="Arial"/>
                <w:color w:val="000000"/>
                <w:sz w:val="18"/>
                <w:szCs w:val="18"/>
              </w:rPr>
              <w:t>GWAU2</w:t>
            </w:r>
            <w:r w:rsidR="00E74C1C">
              <w:rPr>
                <w:rFonts w:cs="Arial"/>
                <w:color w:val="000000"/>
                <w:sz w:val="18"/>
                <w:szCs w:val="18"/>
              </w:rPr>
              <w:t>2</w:t>
            </w:r>
            <w:r w:rsidR="00E74C1C" w:rsidRPr="00F41C22">
              <w:rPr>
                <w:rFonts w:cs="Arial"/>
                <w:color w:val="000000"/>
                <w:sz w:val="18"/>
                <w:szCs w:val="18"/>
              </w:rPr>
              <w:t xml:space="preserve"> </w:t>
            </w:r>
            <w:r w:rsidRPr="00F41C22">
              <w:rPr>
                <w:rFonts w:cs="Arial"/>
                <w:color w:val="000000"/>
                <w:sz w:val="18"/>
                <w:szCs w:val="18"/>
              </w:rPr>
              <w:t>- _adj_privpat_serv - _adjprivpat_acomm</w:t>
            </w:r>
            <w:r w:rsidRPr="00006CC0">
              <w:rPr>
                <w:rFonts w:cs="Arial"/>
                <w:color w:val="000000"/>
                <w:sz w:val="18"/>
                <w:szCs w:val="18"/>
              </w:rPr>
              <w:t>) for only in-scope funding sources, set as necessary in the template.</w:t>
            </w:r>
          </w:p>
        </w:tc>
      </w:tr>
    </w:tbl>
    <w:p w14:paraId="7A9B4325" w14:textId="77777777" w:rsidR="000C490B" w:rsidRDefault="000C490B" w:rsidP="00836FC5">
      <w:pPr>
        <w:pStyle w:val="TableHeading"/>
      </w:pPr>
    </w:p>
    <w:p w14:paraId="0D32337E" w14:textId="0CBE464A" w:rsidR="00561E6C" w:rsidRPr="00B325D8" w:rsidRDefault="00561E6C" w:rsidP="00836FC5">
      <w:pPr>
        <w:pStyle w:val="TableHeading"/>
      </w:pPr>
      <w:r w:rsidRPr="00B325D8">
        <w:t xml:space="preserve">Table </w:t>
      </w:r>
      <w:r w:rsidR="00176BB4">
        <w:rPr>
          <w:noProof/>
        </w:rPr>
        <w:t>2</w:t>
      </w:r>
      <w:r w:rsidR="00105BEF">
        <w:rPr>
          <w:noProof/>
        </w:rPr>
        <w:t>5</w:t>
      </w:r>
      <w:r w:rsidRPr="00B325D8">
        <w:t xml:space="preserve">: </w:t>
      </w:r>
      <w:r>
        <w:t>Subacute admitted patients: variable definitions</w:t>
      </w:r>
    </w:p>
    <w:tbl>
      <w:tblPr>
        <w:tblW w:w="10773"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Table 24: Sub-acute admitted patients: variable definitions."/>
        <w:tblDescription w:val="Table 12 assigns the National Weighted Activity Unit (NWAU) to subacute and non-acute admitted patient data"/>
      </w:tblPr>
      <w:tblGrid>
        <w:gridCol w:w="988"/>
        <w:gridCol w:w="2409"/>
        <w:gridCol w:w="2835"/>
        <w:gridCol w:w="4541"/>
      </w:tblGrid>
      <w:tr w:rsidR="00C36A9E" w:rsidRPr="00496274" w14:paraId="58E14755" w14:textId="77777777" w:rsidTr="004A03A2">
        <w:trPr>
          <w:cantSplit/>
          <w:trHeight w:val="225"/>
          <w:tblHeader/>
          <w:jc w:val="center"/>
        </w:trPr>
        <w:tc>
          <w:tcPr>
            <w:tcW w:w="988" w:type="dxa"/>
            <w:shd w:val="clear" w:color="auto" w:fill="288A32"/>
            <w:noWrap/>
            <w:vAlign w:val="center"/>
            <w:hideMark/>
          </w:tcPr>
          <w:p w14:paraId="59EE1774"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Variable</w:t>
            </w:r>
          </w:p>
        </w:tc>
        <w:tc>
          <w:tcPr>
            <w:tcW w:w="2409" w:type="dxa"/>
            <w:shd w:val="clear" w:color="auto" w:fill="288A32"/>
            <w:noWrap/>
            <w:vAlign w:val="center"/>
            <w:hideMark/>
          </w:tcPr>
          <w:p w14:paraId="1E069D33"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Name</w:t>
            </w:r>
          </w:p>
        </w:tc>
        <w:tc>
          <w:tcPr>
            <w:tcW w:w="2835" w:type="dxa"/>
            <w:shd w:val="clear" w:color="auto" w:fill="288A32"/>
            <w:vAlign w:val="center"/>
            <w:hideMark/>
          </w:tcPr>
          <w:p w14:paraId="7EC9821E"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Description</w:t>
            </w:r>
          </w:p>
        </w:tc>
        <w:tc>
          <w:tcPr>
            <w:tcW w:w="4541" w:type="dxa"/>
            <w:shd w:val="clear" w:color="auto" w:fill="288A32"/>
            <w:vAlign w:val="center"/>
            <w:hideMark/>
          </w:tcPr>
          <w:p w14:paraId="1391BBE0"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Definition</w:t>
            </w:r>
          </w:p>
        </w:tc>
      </w:tr>
      <w:tr w:rsidR="00C36A9E" w:rsidRPr="00496274" w14:paraId="27F50180" w14:textId="77777777" w:rsidTr="004A03A2">
        <w:trPr>
          <w:cantSplit/>
          <w:trHeight w:val="450"/>
          <w:jc w:val="center"/>
        </w:trPr>
        <w:tc>
          <w:tcPr>
            <w:tcW w:w="988" w:type="dxa"/>
            <w:shd w:val="clear" w:color="auto" w:fill="auto"/>
            <w:noWrap/>
          </w:tcPr>
          <w:p w14:paraId="557A623E" w14:textId="77777777" w:rsidR="007E4A2F" w:rsidRPr="001729CF" w:rsidRDefault="007E4A2F" w:rsidP="007E4A2F">
            <w:pPr>
              <w:tabs>
                <w:tab w:val="left" w:pos="1162"/>
              </w:tabs>
              <w:spacing w:line="240" w:lineRule="auto"/>
              <w:ind w:left="-119" w:firstLine="100"/>
              <w:rPr>
                <w:rFonts w:cs="Arial"/>
                <w:color w:val="000000"/>
                <w:sz w:val="18"/>
                <w:szCs w:val="18"/>
              </w:rPr>
            </w:pPr>
            <w:r>
              <w:rPr>
                <w:rFonts w:cs="Arial"/>
                <w:color w:val="000000"/>
                <w:sz w:val="18"/>
                <w:szCs w:val="18"/>
              </w:rPr>
              <w:t>S01</w:t>
            </w:r>
          </w:p>
        </w:tc>
        <w:tc>
          <w:tcPr>
            <w:tcW w:w="2409" w:type="dxa"/>
            <w:shd w:val="clear" w:color="auto" w:fill="auto"/>
            <w:noWrap/>
          </w:tcPr>
          <w:p w14:paraId="5317C09C"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_pat_radiotherapy_flag</w:t>
            </w:r>
          </w:p>
        </w:tc>
        <w:tc>
          <w:tcPr>
            <w:tcW w:w="2835" w:type="dxa"/>
            <w:shd w:val="clear" w:color="auto" w:fill="auto"/>
          </w:tcPr>
          <w:p w14:paraId="51450394" w14:textId="77777777" w:rsidR="007E4A2F" w:rsidRDefault="00CE2FDC" w:rsidP="007E4A2F">
            <w:pPr>
              <w:tabs>
                <w:tab w:val="left" w:pos="1162"/>
              </w:tabs>
              <w:spacing w:line="240" w:lineRule="auto"/>
              <w:rPr>
                <w:rFonts w:cs="Arial"/>
                <w:color w:val="000000"/>
                <w:sz w:val="18"/>
                <w:szCs w:val="18"/>
              </w:rPr>
            </w:pPr>
            <w:r>
              <w:rPr>
                <w:rFonts w:cs="Arial"/>
                <w:color w:val="000000"/>
                <w:sz w:val="18"/>
                <w:szCs w:val="18"/>
              </w:rPr>
              <w:t>Flag indicating a patient with a radiotherapy procedure code</w:t>
            </w:r>
            <w:r w:rsidR="007E4A2F" w:rsidRPr="00822178">
              <w:rPr>
                <w:rFonts w:cs="Arial"/>
                <w:color w:val="000000"/>
                <w:sz w:val="18"/>
                <w:szCs w:val="18"/>
              </w:rPr>
              <w:t>. Either supplied in the input dataset or derived from the list of supplied procedure codes.</w:t>
            </w:r>
          </w:p>
        </w:tc>
        <w:tc>
          <w:tcPr>
            <w:tcW w:w="4541" w:type="dxa"/>
            <w:shd w:val="clear" w:color="auto" w:fill="auto"/>
          </w:tcPr>
          <w:p w14:paraId="5FA7159D" w14:textId="77777777" w:rsidR="007E4A2F" w:rsidRPr="00A43198"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1 if patient had radiotherapy related treatment or planning procedure</w:t>
            </w:r>
            <w:r>
              <w:rPr>
                <w:rFonts w:cs="Arial"/>
                <w:color w:val="000000"/>
                <w:sz w:val="18"/>
                <w:szCs w:val="18"/>
              </w:rPr>
              <w:t>; else 0.</w:t>
            </w:r>
          </w:p>
        </w:tc>
      </w:tr>
      <w:tr w:rsidR="00C36A9E" w:rsidRPr="00496274" w14:paraId="04CFE2DB" w14:textId="77777777" w:rsidTr="004A03A2">
        <w:trPr>
          <w:cantSplit/>
          <w:trHeight w:val="450"/>
          <w:jc w:val="center"/>
        </w:trPr>
        <w:tc>
          <w:tcPr>
            <w:tcW w:w="988" w:type="dxa"/>
            <w:shd w:val="clear" w:color="auto" w:fill="auto"/>
            <w:noWrap/>
          </w:tcPr>
          <w:p w14:paraId="7D4760B1" w14:textId="77777777" w:rsidR="007E4A2F" w:rsidRPr="001729CF" w:rsidRDefault="007E4A2F" w:rsidP="007E4A2F">
            <w:pPr>
              <w:tabs>
                <w:tab w:val="left" w:pos="1162"/>
              </w:tabs>
              <w:spacing w:line="240" w:lineRule="auto"/>
              <w:ind w:left="-119" w:firstLine="100"/>
              <w:rPr>
                <w:rFonts w:cs="Arial"/>
                <w:color w:val="000000"/>
                <w:sz w:val="18"/>
                <w:szCs w:val="18"/>
              </w:rPr>
            </w:pPr>
            <w:r>
              <w:rPr>
                <w:rFonts w:cs="Arial"/>
                <w:color w:val="000000"/>
                <w:sz w:val="18"/>
                <w:szCs w:val="18"/>
              </w:rPr>
              <w:t>S02</w:t>
            </w:r>
          </w:p>
        </w:tc>
        <w:tc>
          <w:tcPr>
            <w:tcW w:w="2409" w:type="dxa"/>
            <w:shd w:val="clear" w:color="auto" w:fill="auto"/>
            <w:noWrap/>
          </w:tcPr>
          <w:p w14:paraId="3655544C"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_pat_dialysis_flag</w:t>
            </w:r>
          </w:p>
        </w:tc>
        <w:tc>
          <w:tcPr>
            <w:tcW w:w="2835" w:type="dxa"/>
            <w:shd w:val="clear" w:color="auto" w:fill="auto"/>
          </w:tcPr>
          <w:p w14:paraId="028FB3F7" w14:textId="77777777" w:rsidR="007E4A2F" w:rsidRDefault="00CE2FDC" w:rsidP="007E4A2F">
            <w:pPr>
              <w:tabs>
                <w:tab w:val="left" w:pos="1162"/>
              </w:tabs>
              <w:spacing w:line="240" w:lineRule="auto"/>
              <w:rPr>
                <w:rFonts w:cs="Arial"/>
                <w:color w:val="000000"/>
                <w:sz w:val="18"/>
                <w:szCs w:val="18"/>
              </w:rPr>
            </w:pPr>
            <w:r>
              <w:rPr>
                <w:rFonts w:cs="Arial"/>
                <w:color w:val="000000"/>
                <w:sz w:val="18"/>
                <w:szCs w:val="18"/>
              </w:rPr>
              <w:t>Flag indicating a patient with dialysis procedure code</w:t>
            </w:r>
            <w:r w:rsidR="007E4A2F" w:rsidRPr="00822178">
              <w:rPr>
                <w:rFonts w:cs="Arial"/>
                <w:color w:val="000000"/>
                <w:sz w:val="18"/>
                <w:szCs w:val="18"/>
              </w:rPr>
              <w:t>. Either supplied in the input dataset or derived from the list of supplied procedure codes.</w:t>
            </w:r>
          </w:p>
        </w:tc>
        <w:tc>
          <w:tcPr>
            <w:tcW w:w="4541" w:type="dxa"/>
            <w:shd w:val="clear" w:color="auto" w:fill="auto"/>
          </w:tcPr>
          <w:p w14:paraId="5DF7C1BA" w14:textId="77777777" w:rsidR="007E4A2F" w:rsidRPr="00A43198"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 xml:space="preserve">1 if patient had a </w:t>
            </w:r>
            <w:r>
              <w:rPr>
                <w:rFonts w:cs="Arial"/>
                <w:color w:val="000000"/>
                <w:sz w:val="18"/>
                <w:szCs w:val="18"/>
              </w:rPr>
              <w:t>dialysis procedure; else 0.</w:t>
            </w:r>
          </w:p>
        </w:tc>
      </w:tr>
      <w:tr w:rsidR="00C36A9E" w:rsidRPr="00496274" w14:paraId="4D1988CC" w14:textId="77777777" w:rsidTr="004A03A2">
        <w:trPr>
          <w:cantSplit/>
          <w:trHeight w:val="450"/>
          <w:jc w:val="center"/>
        </w:trPr>
        <w:tc>
          <w:tcPr>
            <w:tcW w:w="988" w:type="dxa"/>
            <w:shd w:val="clear" w:color="auto" w:fill="auto"/>
            <w:noWrap/>
          </w:tcPr>
          <w:p w14:paraId="363E8D5A" w14:textId="77777777" w:rsidR="007E4A2F" w:rsidRPr="001729CF" w:rsidRDefault="007E4A2F" w:rsidP="007E4A2F">
            <w:pPr>
              <w:tabs>
                <w:tab w:val="left" w:pos="1162"/>
              </w:tabs>
              <w:spacing w:line="240" w:lineRule="auto"/>
              <w:ind w:left="-119" w:firstLine="100"/>
              <w:rPr>
                <w:rFonts w:cs="Arial"/>
                <w:color w:val="000000"/>
                <w:sz w:val="18"/>
                <w:szCs w:val="18"/>
              </w:rPr>
            </w:pPr>
            <w:r>
              <w:rPr>
                <w:rFonts w:cs="Arial"/>
                <w:color w:val="000000"/>
                <w:sz w:val="18"/>
                <w:szCs w:val="18"/>
              </w:rPr>
              <w:t>S03</w:t>
            </w:r>
          </w:p>
        </w:tc>
        <w:tc>
          <w:tcPr>
            <w:tcW w:w="2409" w:type="dxa"/>
            <w:shd w:val="clear" w:color="auto" w:fill="auto"/>
            <w:noWrap/>
          </w:tcPr>
          <w:p w14:paraId="18C18C77"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_treat_remoteness</w:t>
            </w:r>
          </w:p>
        </w:tc>
        <w:tc>
          <w:tcPr>
            <w:tcW w:w="2835" w:type="dxa"/>
            <w:shd w:val="clear" w:color="auto" w:fill="auto"/>
          </w:tcPr>
          <w:p w14:paraId="543671BE"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Patient treatment remoteness area</w:t>
            </w:r>
          </w:p>
        </w:tc>
        <w:tc>
          <w:tcPr>
            <w:tcW w:w="4541" w:type="dxa"/>
            <w:shd w:val="clear" w:color="auto" w:fill="auto"/>
          </w:tcPr>
          <w:p w14:paraId="47B66EEC" w14:textId="77777777" w:rsidR="007E4A2F" w:rsidRDefault="007E4A2F" w:rsidP="007E4A2F">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3CCA38F7"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34F81E6B"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2DB3BBAD"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6333964A" w14:textId="77777777" w:rsidR="007E4A2F" w:rsidRPr="00A43198"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C36A9E" w:rsidRPr="00496274" w14:paraId="29C43274" w14:textId="77777777" w:rsidTr="004A03A2">
        <w:trPr>
          <w:cantSplit/>
          <w:trHeight w:val="450"/>
          <w:jc w:val="center"/>
        </w:trPr>
        <w:tc>
          <w:tcPr>
            <w:tcW w:w="988" w:type="dxa"/>
            <w:shd w:val="clear" w:color="auto" w:fill="auto"/>
            <w:noWrap/>
            <w:hideMark/>
          </w:tcPr>
          <w:p w14:paraId="67A1D3DF" w14:textId="77777777" w:rsidR="007E4A2F" w:rsidRPr="001729CF" w:rsidRDefault="007E4A2F" w:rsidP="007E4A2F">
            <w:pPr>
              <w:tabs>
                <w:tab w:val="left" w:pos="1162"/>
              </w:tabs>
              <w:spacing w:line="240" w:lineRule="auto"/>
              <w:ind w:left="-119" w:firstLine="100"/>
              <w:rPr>
                <w:rFonts w:cs="Arial"/>
                <w:color w:val="000000"/>
                <w:sz w:val="18"/>
                <w:szCs w:val="18"/>
              </w:rPr>
            </w:pPr>
            <w:r w:rsidRPr="001729CF">
              <w:rPr>
                <w:rFonts w:cs="Arial"/>
                <w:color w:val="000000"/>
                <w:sz w:val="18"/>
                <w:szCs w:val="18"/>
              </w:rPr>
              <w:lastRenderedPageBreak/>
              <w:t>S0</w:t>
            </w:r>
            <w:r>
              <w:rPr>
                <w:rFonts w:cs="Arial"/>
                <w:color w:val="000000"/>
                <w:sz w:val="18"/>
                <w:szCs w:val="18"/>
              </w:rPr>
              <w:t>4</w:t>
            </w:r>
          </w:p>
        </w:tc>
        <w:tc>
          <w:tcPr>
            <w:tcW w:w="2409" w:type="dxa"/>
            <w:shd w:val="clear" w:color="auto" w:fill="auto"/>
            <w:noWrap/>
            <w:hideMark/>
          </w:tcPr>
          <w:p w14:paraId="464A0314"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_pat</w:t>
            </w:r>
            <w:r w:rsidRPr="00822178">
              <w:rPr>
                <w:rFonts w:cs="Arial"/>
                <w:color w:val="000000"/>
                <w:sz w:val="18"/>
                <w:szCs w:val="18"/>
              </w:rPr>
              <w:t>_remoteness</w:t>
            </w:r>
          </w:p>
        </w:tc>
        <w:tc>
          <w:tcPr>
            <w:tcW w:w="2835" w:type="dxa"/>
            <w:shd w:val="clear" w:color="auto" w:fill="auto"/>
            <w:hideMark/>
          </w:tcPr>
          <w:p w14:paraId="2064F3C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w:t>
            </w:r>
            <w:r>
              <w:rPr>
                <w:rFonts w:cs="Arial"/>
                <w:color w:val="000000"/>
                <w:sz w:val="18"/>
                <w:szCs w:val="18"/>
              </w:rPr>
              <w:t>r</w:t>
            </w:r>
            <w:r w:rsidRPr="00822178">
              <w:rPr>
                <w:rFonts w:cs="Arial"/>
                <w:color w:val="000000"/>
                <w:sz w:val="18"/>
                <w:szCs w:val="18"/>
              </w:rPr>
              <w:t xml:space="preserve">emoteness </w:t>
            </w:r>
            <w:r>
              <w:rPr>
                <w:rFonts w:cs="Arial"/>
                <w:color w:val="000000"/>
                <w:sz w:val="18"/>
                <w:szCs w:val="18"/>
              </w:rPr>
              <w:t>a</w:t>
            </w:r>
            <w:r w:rsidRPr="00822178">
              <w:rPr>
                <w:rFonts w:cs="Arial"/>
                <w:color w:val="000000"/>
                <w:sz w:val="18"/>
                <w:szCs w:val="18"/>
              </w:rPr>
              <w:t>rea</w:t>
            </w:r>
          </w:p>
        </w:tc>
        <w:tc>
          <w:tcPr>
            <w:tcW w:w="4541" w:type="dxa"/>
            <w:shd w:val="clear" w:color="auto" w:fill="auto"/>
            <w:hideMark/>
          </w:tcPr>
          <w:p w14:paraId="5BE8E724" w14:textId="77777777" w:rsidR="007E4A2F" w:rsidRDefault="007E4A2F" w:rsidP="007E4A2F">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location taken from</w:t>
            </w:r>
            <w:r>
              <w:rPr>
                <w:rFonts w:cs="Arial"/>
                <w:color w:val="000000"/>
                <w:sz w:val="18"/>
                <w:szCs w:val="18"/>
              </w:rPr>
              <w:t xml:space="preserve"> the episode's geographical information in ranked order of preference: SA2, postcode, or </w:t>
            </w:r>
            <w:r w:rsidRPr="00822178">
              <w:rPr>
                <w:rFonts w:cs="Arial"/>
                <w:color w:val="000000"/>
                <w:sz w:val="18"/>
                <w:szCs w:val="18"/>
              </w:rPr>
              <w:t>the hospital geographical indicator variable</w:t>
            </w:r>
            <w:r>
              <w:rPr>
                <w:rFonts w:cs="Arial"/>
                <w:color w:val="000000"/>
                <w:sz w:val="18"/>
                <w:szCs w:val="18"/>
              </w:rPr>
              <w:t xml:space="preserve"> where: </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0F845B8"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1F975E11"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0D006AD3"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640EE06A"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C36A9E" w:rsidRPr="00496274" w14:paraId="5810A8CC" w14:textId="77777777" w:rsidTr="004A03A2">
        <w:trPr>
          <w:cantSplit/>
          <w:trHeight w:val="225"/>
          <w:jc w:val="center"/>
        </w:trPr>
        <w:tc>
          <w:tcPr>
            <w:tcW w:w="988" w:type="dxa"/>
            <w:shd w:val="clear" w:color="auto" w:fill="auto"/>
            <w:noWrap/>
          </w:tcPr>
          <w:p w14:paraId="66D04DDA"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S05</w:t>
            </w:r>
          </w:p>
        </w:tc>
        <w:tc>
          <w:tcPr>
            <w:tcW w:w="2409" w:type="dxa"/>
            <w:shd w:val="clear" w:color="auto" w:fill="auto"/>
            <w:noWrap/>
            <w:hideMark/>
          </w:tcPr>
          <w:p w14:paraId="6047897F"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r w:rsidRPr="001729CF">
              <w:rPr>
                <w:rFonts w:cs="Arial"/>
                <w:color w:val="000000"/>
                <w:sz w:val="18"/>
                <w:szCs w:val="18"/>
              </w:rPr>
              <w:t>pat_subacute_flag</w:t>
            </w:r>
          </w:p>
        </w:tc>
        <w:tc>
          <w:tcPr>
            <w:tcW w:w="2835" w:type="dxa"/>
            <w:shd w:val="clear" w:color="auto" w:fill="auto"/>
            <w:hideMark/>
          </w:tcPr>
          <w:p w14:paraId="3372BD28"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Subacute and non-acute patient flag</w:t>
            </w:r>
          </w:p>
        </w:tc>
        <w:tc>
          <w:tcPr>
            <w:tcW w:w="4541" w:type="dxa"/>
            <w:shd w:val="clear" w:color="auto" w:fill="auto"/>
            <w:hideMark/>
          </w:tcPr>
          <w:p w14:paraId="53CF7036" w14:textId="74213547" w:rsidR="007E4A2F" w:rsidRPr="001729CF" w:rsidRDefault="007E4A2F" w:rsidP="007E4A2F">
            <w:pPr>
              <w:tabs>
                <w:tab w:val="left" w:pos="1162"/>
              </w:tabs>
              <w:spacing w:line="240" w:lineRule="auto"/>
              <w:rPr>
                <w:rFonts w:cs="Arial"/>
                <w:color w:val="000000"/>
                <w:sz w:val="18"/>
                <w:szCs w:val="18"/>
              </w:rPr>
            </w:pPr>
            <w:r w:rsidRPr="50E92014">
              <w:rPr>
                <w:rFonts w:cs="Arial"/>
                <w:color w:val="000000" w:themeColor="text1"/>
                <w:sz w:val="18"/>
                <w:szCs w:val="18"/>
              </w:rPr>
              <w:t>1 if care type = 2, 3, 4, 5, 6 or 88, else 0.</w:t>
            </w:r>
          </w:p>
        </w:tc>
      </w:tr>
      <w:tr w:rsidR="00C36A9E" w:rsidRPr="00496274" w14:paraId="44FEF727" w14:textId="77777777" w:rsidTr="004A03A2">
        <w:trPr>
          <w:cantSplit/>
          <w:trHeight w:val="450"/>
          <w:jc w:val="center"/>
        </w:trPr>
        <w:tc>
          <w:tcPr>
            <w:tcW w:w="988" w:type="dxa"/>
            <w:shd w:val="clear" w:color="auto" w:fill="auto"/>
            <w:noWrap/>
          </w:tcPr>
          <w:p w14:paraId="12288A81"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6</w:t>
            </w:r>
          </w:p>
        </w:tc>
        <w:tc>
          <w:tcPr>
            <w:tcW w:w="2409" w:type="dxa"/>
            <w:shd w:val="clear" w:color="auto" w:fill="auto"/>
            <w:noWrap/>
          </w:tcPr>
          <w:p w14:paraId="38563C06"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pat_los</w:t>
            </w:r>
          </w:p>
        </w:tc>
        <w:tc>
          <w:tcPr>
            <w:tcW w:w="2835" w:type="dxa"/>
            <w:shd w:val="clear" w:color="auto" w:fill="auto"/>
          </w:tcPr>
          <w:p w14:paraId="5F497EC1"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Length of stay</w:t>
            </w:r>
          </w:p>
        </w:tc>
        <w:tc>
          <w:tcPr>
            <w:tcW w:w="4541" w:type="dxa"/>
            <w:shd w:val="clear" w:color="auto" w:fill="auto"/>
          </w:tcPr>
          <w:p w14:paraId="2190A462" w14:textId="77777777" w:rsidR="007E4A2F" w:rsidRPr="00822178" w:rsidRDefault="007E4A2F" w:rsidP="007E4A2F">
            <w:pPr>
              <w:tabs>
                <w:tab w:val="left" w:pos="1162"/>
              </w:tabs>
              <w:spacing w:line="240" w:lineRule="auto"/>
              <w:rPr>
                <w:rFonts w:cs="Arial"/>
                <w:color w:val="000000"/>
                <w:sz w:val="18"/>
                <w:szCs w:val="18"/>
              </w:rPr>
            </w:pPr>
            <w:r w:rsidRPr="00822178">
              <w:rPr>
                <w:rFonts w:cs="Arial"/>
                <w:color w:val="000000"/>
                <w:sz w:val="18"/>
                <w:szCs w:val="18"/>
              </w:rPr>
              <w:t>Max</w:t>
            </w:r>
            <w:r>
              <w:rPr>
                <w:rFonts w:cs="Arial"/>
                <w:color w:val="000000"/>
                <w:sz w:val="18"/>
                <w:szCs w:val="18"/>
              </w:rPr>
              <w:t xml:space="preserve"> (1, (date of separation) - (d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w:t>
            </w:r>
            <w:r>
              <w:rPr>
                <w:rFonts w:cs="Arial"/>
                <w:color w:val="000000"/>
                <w:sz w:val="18"/>
                <w:szCs w:val="18"/>
              </w:rPr>
              <w:t xml:space="preserve">n) - (total leave days) ). </w:t>
            </w:r>
          </w:p>
        </w:tc>
      </w:tr>
      <w:tr w:rsidR="00C36A9E" w:rsidRPr="00496274" w14:paraId="46D7A56D" w14:textId="77777777" w:rsidTr="004A03A2">
        <w:trPr>
          <w:cantSplit/>
          <w:trHeight w:val="450"/>
          <w:jc w:val="center"/>
        </w:trPr>
        <w:tc>
          <w:tcPr>
            <w:tcW w:w="988" w:type="dxa"/>
            <w:shd w:val="clear" w:color="auto" w:fill="auto"/>
            <w:noWrap/>
          </w:tcPr>
          <w:p w14:paraId="045C6BD0"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7</w:t>
            </w:r>
          </w:p>
        </w:tc>
        <w:tc>
          <w:tcPr>
            <w:tcW w:w="2409" w:type="dxa"/>
            <w:shd w:val="clear" w:color="auto" w:fill="auto"/>
            <w:noWrap/>
            <w:hideMark/>
          </w:tcPr>
          <w:p w14:paraId="68A0B97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r w:rsidRPr="001729CF">
              <w:rPr>
                <w:rFonts w:cs="Arial"/>
                <w:color w:val="000000"/>
                <w:sz w:val="18"/>
                <w:szCs w:val="18"/>
              </w:rPr>
              <w:t>pat_</w:t>
            </w:r>
            <w:r>
              <w:rPr>
                <w:rFonts w:cs="Arial"/>
                <w:color w:val="000000"/>
                <w:sz w:val="18"/>
                <w:szCs w:val="18"/>
              </w:rPr>
              <w:t>sameday</w:t>
            </w:r>
            <w:r w:rsidRPr="001729CF">
              <w:rPr>
                <w:rFonts w:cs="Arial"/>
                <w:color w:val="000000"/>
                <w:sz w:val="18"/>
                <w:szCs w:val="18"/>
              </w:rPr>
              <w:t>_flag</w:t>
            </w:r>
          </w:p>
        </w:tc>
        <w:tc>
          <w:tcPr>
            <w:tcW w:w="2835" w:type="dxa"/>
            <w:shd w:val="clear" w:color="auto" w:fill="auto"/>
            <w:hideMark/>
          </w:tcPr>
          <w:p w14:paraId="78F7FF31"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Patient same-day flag</w:t>
            </w:r>
          </w:p>
        </w:tc>
        <w:tc>
          <w:tcPr>
            <w:tcW w:w="4541" w:type="dxa"/>
            <w:shd w:val="clear" w:color="auto" w:fill="auto"/>
            <w:hideMark/>
          </w:tcPr>
          <w:p w14:paraId="5D05E965"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 xml:space="preserve">dmission =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s</w:t>
            </w:r>
            <w:r w:rsidRPr="00822178">
              <w:rPr>
                <w:rFonts w:cs="Arial"/>
                <w:color w:val="000000"/>
                <w:sz w:val="18"/>
                <w:szCs w:val="18"/>
              </w:rPr>
              <w:t>eparation; else</w:t>
            </w:r>
            <w:r>
              <w:rPr>
                <w:rFonts w:cs="Arial"/>
                <w:color w:val="000000"/>
                <w:sz w:val="18"/>
                <w:szCs w:val="18"/>
              </w:rPr>
              <w:t xml:space="preserve"> </w:t>
            </w:r>
            <w:r w:rsidRPr="00822178">
              <w:rPr>
                <w:rFonts w:cs="Arial"/>
                <w:color w:val="000000"/>
                <w:sz w:val="18"/>
                <w:szCs w:val="18"/>
              </w:rPr>
              <w:t>0</w:t>
            </w:r>
            <w:r>
              <w:rPr>
                <w:rFonts w:cs="Arial"/>
                <w:color w:val="000000"/>
                <w:sz w:val="18"/>
                <w:szCs w:val="18"/>
              </w:rPr>
              <w:t>.</w:t>
            </w:r>
          </w:p>
        </w:tc>
      </w:tr>
      <w:tr w:rsidR="00C36A9E" w:rsidRPr="00496274" w14:paraId="54D1F70B" w14:textId="77777777" w:rsidTr="004A03A2">
        <w:trPr>
          <w:cantSplit/>
          <w:trHeight w:val="450"/>
          <w:jc w:val="center"/>
        </w:trPr>
        <w:tc>
          <w:tcPr>
            <w:tcW w:w="988" w:type="dxa"/>
            <w:shd w:val="clear" w:color="auto" w:fill="auto"/>
            <w:noWrap/>
          </w:tcPr>
          <w:p w14:paraId="59F2295A"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8</w:t>
            </w:r>
          </w:p>
        </w:tc>
        <w:tc>
          <w:tcPr>
            <w:tcW w:w="2409" w:type="dxa"/>
            <w:shd w:val="clear" w:color="auto" w:fill="auto"/>
            <w:noWrap/>
            <w:hideMark/>
          </w:tcPr>
          <w:p w14:paraId="3A294AF8"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pat_age_years</w:t>
            </w:r>
          </w:p>
        </w:tc>
        <w:tc>
          <w:tcPr>
            <w:tcW w:w="2835" w:type="dxa"/>
            <w:shd w:val="clear" w:color="auto" w:fill="auto"/>
            <w:hideMark/>
          </w:tcPr>
          <w:p w14:paraId="5D2DEDCC"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Age at admission (in years)</w:t>
            </w:r>
          </w:p>
        </w:tc>
        <w:tc>
          <w:tcPr>
            <w:tcW w:w="4541" w:type="dxa"/>
            <w:shd w:val="clear" w:color="auto" w:fill="auto"/>
            <w:hideMark/>
          </w:tcPr>
          <w:p w14:paraId="4608A5EB"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years from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b</w:t>
            </w:r>
            <w:r w:rsidRPr="00822178">
              <w:rPr>
                <w:rFonts w:cs="Arial"/>
                <w:color w:val="000000"/>
                <w:sz w:val="18"/>
                <w:szCs w:val="18"/>
              </w:rPr>
              <w:t xml:space="preserve">irth to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w:t>
            </w:r>
            <w:r>
              <w:rPr>
                <w:rFonts w:cs="Arial"/>
                <w:color w:val="000000"/>
                <w:sz w:val="18"/>
                <w:szCs w:val="18"/>
              </w:rPr>
              <w:t>.</w:t>
            </w:r>
          </w:p>
        </w:tc>
      </w:tr>
      <w:tr w:rsidR="00C36A9E" w:rsidRPr="00496274" w14:paraId="309997E2" w14:textId="77777777" w:rsidTr="004A03A2">
        <w:trPr>
          <w:cantSplit/>
          <w:trHeight w:val="450"/>
          <w:jc w:val="center"/>
        </w:trPr>
        <w:tc>
          <w:tcPr>
            <w:tcW w:w="988" w:type="dxa"/>
            <w:shd w:val="clear" w:color="auto" w:fill="auto"/>
            <w:noWrap/>
          </w:tcPr>
          <w:p w14:paraId="15FF5690"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9</w:t>
            </w:r>
          </w:p>
        </w:tc>
        <w:tc>
          <w:tcPr>
            <w:tcW w:w="2409" w:type="dxa"/>
            <w:shd w:val="clear" w:color="auto" w:fill="auto"/>
            <w:noWrap/>
            <w:hideMark/>
          </w:tcPr>
          <w:p w14:paraId="7FA8858F"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pat_ind_flag</w:t>
            </w:r>
          </w:p>
        </w:tc>
        <w:tc>
          <w:tcPr>
            <w:tcW w:w="2835" w:type="dxa"/>
            <w:shd w:val="clear" w:color="auto" w:fill="auto"/>
            <w:hideMark/>
          </w:tcPr>
          <w:p w14:paraId="7F18C870"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Indigenous patient flag</w:t>
            </w:r>
          </w:p>
        </w:tc>
        <w:tc>
          <w:tcPr>
            <w:tcW w:w="4541" w:type="dxa"/>
            <w:shd w:val="clear" w:color="auto" w:fill="auto"/>
            <w:hideMark/>
          </w:tcPr>
          <w:p w14:paraId="74CE7CE0" w14:textId="2EDC6252" w:rsidR="007E4A2F" w:rsidRPr="001729CF" w:rsidRDefault="007E4A2F" w:rsidP="4F4A50BE">
            <w:pPr>
              <w:tabs>
                <w:tab w:val="left" w:pos="1162"/>
              </w:tabs>
              <w:spacing w:before="80" w:after="80" w:line="240" w:lineRule="auto"/>
              <w:rPr>
                <w:rFonts w:cs="Arial"/>
                <w:color w:val="000000"/>
                <w:sz w:val="18"/>
                <w:szCs w:val="18"/>
              </w:rPr>
            </w:pPr>
            <w:r w:rsidRPr="6BF6A6A2">
              <w:rPr>
                <w:rFonts w:cs="Arial"/>
                <w:color w:val="000000" w:themeColor="text1"/>
                <w:sz w:val="18"/>
                <w:szCs w:val="18"/>
              </w:rPr>
              <w:t>1 if patient Indigenous status = 1, 2 or 3; else 0.</w:t>
            </w:r>
          </w:p>
        </w:tc>
      </w:tr>
      <w:tr w:rsidR="00C36A9E" w:rsidRPr="00496274" w14:paraId="6228817F" w14:textId="77777777" w:rsidTr="004A03A2">
        <w:trPr>
          <w:cantSplit/>
          <w:trHeight w:val="450"/>
          <w:jc w:val="center"/>
        </w:trPr>
        <w:tc>
          <w:tcPr>
            <w:tcW w:w="988" w:type="dxa"/>
            <w:shd w:val="clear" w:color="auto" w:fill="auto"/>
            <w:noWrap/>
          </w:tcPr>
          <w:p w14:paraId="0F649258"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w:t>
            </w:r>
            <w:r>
              <w:rPr>
                <w:rFonts w:cs="Arial"/>
                <w:color w:val="000000"/>
                <w:sz w:val="18"/>
                <w:szCs w:val="18"/>
              </w:rPr>
              <w:t>10</w:t>
            </w:r>
          </w:p>
        </w:tc>
        <w:tc>
          <w:tcPr>
            <w:tcW w:w="2409" w:type="dxa"/>
            <w:shd w:val="clear" w:color="auto" w:fill="auto"/>
            <w:noWrap/>
            <w:hideMark/>
          </w:tcPr>
          <w:p w14:paraId="204EFA42" w14:textId="77777777" w:rsidR="007E4A2F" w:rsidRPr="001729CF" w:rsidRDefault="005C2975" w:rsidP="007E4A2F">
            <w:pPr>
              <w:tabs>
                <w:tab w:val="left" w:pos="1162"/>
              </w:tabs>
              <w:spacing w:line="240" w:lineRule="auto"/>
              <w:rPr>
                <w:rFonts w:cs="Arial"/>
                <w:color w:val="000000"/>
                <w:sz w:val="18"/>
                <w:szCs w:val="18"/>
              </w:rPr>
            </w:pPr>
            <w:r>
              <w:rPr>
                <w:rFonts w:cs="Arial"/>
                <w:color w:val="000000"/>
                <w:sz w:val="18"/>
                <w:szCs w:val="18"/>
              </w:rPr>
              <w:t>_</w:t>
            </w:r>
            <w:r w:rsidR="007E4A2F" w:rsidRPr="00822178">
              <w:rPr>
                <w:rFonts w:cs="Arial"/>
                <w:color w:val="000000"/>
                <w:sz w:val="18"/>
                <w:szCs w:val="18"/>
              </w:rPr>
              <w:t>pat_private_flag</w:t>
            </w:r>
          </w:p>
        </w:tc>
        <w:tc>
          <w:tcPr>
            <w:tcW w:w="2835" w:type="dxa"/>
            <w:shd w:val="clear" w:color="auto" w:fill="auto"/>
            <w:hideMark/>
          </w:tcPr>
          <w:p w14:paraId="10E389F9"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Private patient flag</w:t>
            </w:r>
          </w:p>
        </w:tc>
        <w:tc>
          <w:tcPr>
            <w:tcW w:w="4541" w:type="dxa"/>
            <w:shd w:val="clear" w:color="auto" w:fill="auto"/>
            <w:hideMark/>
          </w:tcPr>
          <w:p w14:paraId="0430E0B0" w14:textId="28936E0C" w:rsidR="007E4A2F" w:rsidRPr="001729CF" w:rsidRDefault="007E4A2F" w:rsidP="007E4A2F">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9 or 13 for </w:t>
            </w:r>
            <w:r w:rsidR="00AC54D5">
              <w:rPr>
                <w:rFonts w:cs="Arial"/>
                <w:color w:val="000000"/>
                <w:sz w:val="18"/>
                <w:szCs w:val="18"/>
              </w:rPr>
              <w:t>2012</w:t>
            </w:r>
            <w:r>
              <w:rPr>
                <w:rFonts w:cs="Arial"/>
                <w:color w:val="000000"/>
                <w:sz w:val="18"/>
                <w:szCs w:val="18"/>
              </w:rPr>
              <w:t>–</w:t>
            </w:r>
            <w:r w:rsidR="00AC54D5">
              <w:rPr>
                <w:rFonts w:cs="Arial"/>
                <w:color w:val="000000"/>
                <w:sz w:val="18"/>
                <w:szCs w:val="18"/>
              </w:rPr>
              <w:t>13</w:t>
            </w:r>
            <w:r w:rsidR="00AC54D5" w:rsidRPr="006E13C4">
              <w:rPr>
                <w:rFonts w:cs="Arial"/>
                <w:color w:val="000000"/>
                <w:sz w:val="18"/>
                <w:szCs w:val="18"/>
              </w:rPr>
              <w:t xml:space="preserve"> </w:t>
            </w:r>
            <w:r w:rsidRPr="006E13C4">
              <w:rPr>
                <w:rFonts w:cs="Arial"/>
                <w:color w:val="000000"/>
                <w:sz w:val="18"/>
                <w:szCs w:val="18"/>
              </w:rPr>
              <w:t>data and later</w:t>
            </w:r>
            <w:r>
              <w:rPr>
                <w:rFonts w:cs="Arial"/>
                <w:color w:val="000000"/>
                <w:sz w:val="18"/>
                <w:szCs w:val="18"/>
              </w:rPr>
              <w:t>.</w:t>
            </w:r>
            <w:r w:rsidRPr="006E13C4">
              <w:rPr>
                <w:rStyle w:val="FootnoteReference"/>
                <w:rFonts w:cs="Arial"/>
                <w:color w:val="000000"/>
                <w:sz w:val="18"/>
                <w:szCs w:val="18"/>
              </w:rPr>
              <w:footnoteReference w:id="28"/>
            </w:r>
          </w:p>
        </w:tc>
      </w:tr>
      <w:tr w:rsidR="00C36A9E" w:rsidRPr="00496274" w14:paraId="78B5C88C" w14:textId="77777777" w:rsidTr="004A03A2">
        <w:trPr>
          <w:cantSplit/>
          <w:trHeight w:val="388"/>
          <w:jc w:val="center"/>
        </w:trPr>
        <w:tc>
          <w:tcPr>
            <w:tcW w:w="988" w:type="dxa"/>
            <w:shd w:val="clear" w:color="auto" w:fill="auto"/>
            <w:noWrap/>
          </w:tcPr>
          <w:p w14:paraId="46FCE2DE"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S11</w:t>
            </w:r>
          </w:p>
        </w:tc>
        <w:tc>
          <w:tcPr>
            <w:tcW w:w="2409" w:type="dxa"/>
            <w:shd w:val="clear" w:color="auto" w:fill="auto"/>
            <w:noWrap/>
            <w:hideMark/>
          </w:tcPr>
          <w:p w14:paraId="6E98308B" w14:textId="77777777" w:rsidR="007E4A2F" w:rsidRPr="001729CF" w:rsidRDefault="005C2975" w:rsidP="007E4A2F">
            <w:pPr>
              <w:tabs>
                <w:tab w:val="left" w:pos="1162"/>
              </w:tabs>
              <w:spacing w:line="240" w:lineRule="auto"/>
              <w:rPr>
                <w:rFonts w:cs="Arial"/>
                <w:color w:val="000000"/>
                <w:sz w:val="18"/>
                <w:szCs w:val="18"/>
              </w:rPr>
            </w:pPr>
            <w:r>
              <w:rPr>
                <w:rFonts w:cs="Arial"/>
                <w:color w:val="000000"/>
                <w:sz w:val="18"/>
                <w:szCs w:val="18"/>
              </w:rPr>
              <w:t>_</w:t>
            </w:r>
            <w:r w:rsidR="007E4A2F" w:rsidRPr="00822178">
              <w:rPr>
                <w:rFonts w:cs="Arial"/>
                <w:color w:val="000000"/>
                <w:sz w:val="18"/>
                <w:szCs w:val="18"/>
              </w:rPr>
              <w:t>pat_public_flag</w:t>
            </w:r>
          </w:p>
        </w:tc>
        <w:tc>
          <w:tcPr>
            <w:tcW w:w="2835" w:type="dxa"/>
            <w:shd w:val="clear" w:color="auto" w:fill="auto"/>
            <w:hideMark/>
          </w:tcPr>
          <w:p w14:paraId="5F8B32CA"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Public patient flag</w:t>
            </w:r>
          </w:p>
        </w:tc>
        <w:tc>
          <w:tcPr>
            <w:tcW w:w="4541" w:type="dxa"/>
            <w:shd w:val="clear" w:color="auto" w:fill="auto"/>
            <w:hideMark/>
          </w:tcPr>
          <w:p w14:paraId="7A28579B" w14:textId="602D377F" w:rsidR="007E4A2F" w:rsidRPr="001729CF" w:rsidRDefault="007E4A2F" w:rsidP="007E4A2F">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1, 2, 3 or 8 for </w:t>
            </w:r>
            <w:r w:rsidR="00AC54D5">
              <w:rPr>
                <w:rFonts w:cs="Arial"/>
                <w:color w:val="000000"/>
                <w:sz w:val="18"/>
                <w:szCs w:val="18"/>
              </w:rPr>
              <w:t>2012</w:t>
            </w:r>
            <w:r>
              <w:rPr>
                <w:rFonts w:cs="Arial"/>
                <w:color w:val="000000"/>
                <w:sz w:val="18"/>
                <w:szCs w:val="18"/>
              </w:rPr>
              <w:t>–</w:t>
            </w:r>
            <w:r w:rsidR="00AC54D5">
              <w:rPr>
                <w:rFonts w:cs="Arial"/>
                <w:color w:val="000000"/>
                <w:sz w:val="18"/>
                <w:szCs w:val="18"/>
              </w:rPr>
              <w:t>13</w:t>
            </w:r>
            <w:r w:rsidR="00AC54D5" w:rsidRPr="006E13C4">
              <w:rPr>
                <w:rFonts w:cs="Arial"/>
                <w:color w:val="000000"/>
                <w:sz w:val="18"/>
                <w:szCs w:val="18"/>
              </w:rPr>
              <w:t xml:space="preserve"> </w:t>
            </w:r>
            <w:r w:rsidRPr="006E13C4">
              <w:rPr>
                <w:rFonts w:cs="Arial"/>
                <w:color w:val="000000"/>
                <w:sz w:val="18"/>
                <w:szCs w:val="18"/>
              </w:rPr>
              <w:t>data and later</w:t>
            </w:r>
            <w:r>
              <w:rPr>
                <w:rFonts w:cs="Arial"/>
                <w:color w:val="000000"/>
                <w:sz w:val="18"/>
                <w:szCs w:val="18"/>
              </w:rPr>
              <w:t>.</w:t>
            </w:r>
            <w:r w:rsidRPr="006E13C4">
              <w:rPr>
                <w:rStyle w:val="FootnoteReference"/>
                <w:rFonts w:cs="Arial"/>
                <w:color w:val="000000"/>
                <w:sz w:val="18"/>
                <w:szCs w:val="18"/>
              </w:rPr>
              <w:footnoteReference w:id="29"/>
            </w:r>
          </w:p>
        </w:tc>
      </w:tr>
      <w:tr w:rsidR="00C36A9E" w:rsidRPr="00496274" w14:paraId="1A42054E" w14:textId="77777777" w:rsidTr="004A03A2">
        <w:trPr>
          <w:cantSplit/>
          <w:trHeight w:val="450"/>
          <w:jc w:val="center"/>
        </w:trPr>
        <w:tc>
          <w:tcPr>
            <w:tcW w:w="988" w:type="dxa"/>
            <w:shd w:val="clear" w:color="auto" w:fill="auto"/>
            <w:noWrap/>
          </w:tcPr>
          <w:p w14:paraId="70DB8AC8"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S12</w:t>
            </w:r>
          </w:p>
        </w:tc>
        <w:tc>
          <w:tcPr>
            <w:tcW w:w="2409" w:type="dxa"/>
            <w:shd w:val="clear" w:color="auto" w:fill="auto"/>
            <w:noWrap/>
          </w:tcPr>
          <w:p w14:paraId="31681876"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ansnap_type</w:t>
            </w:r>
          </w:p>
        </w:tc>
        <w:tc>
          <w:tcPr>
            <w:tcW w:w="2835" w:type="dxa"/>
            <w:shd w:val="clear" w:color="auto" w:fill="auto"/>
          </w:tcPr>
          <w:p w14:paraId="017F3FD0"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09BFB2FB" w14:textId="4249D9B1"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 xml:space="preserve">AN-SNAP class type, as set out in </w:t>
            </w:r>
            <w:r w:rsidRPr="00EC1F9C">
              <w:rPr>
                <w:rFonts w:cs="Arial"/>
                <w:b/>
                <w:color w:val="000000"/>
                <w:sz w:val="18"/>
                <w:szCs w:val="18"/>
              </w:rPr>
              <w:t>Appendix I</w:t>
            </w:r>
            <w:r>
              <w:rPr>
                <w:rFonts w:cs="Arial"/>
                <w:color w:val="000000"/>
                <w:sz w:val="18"/>
                <w:szCs w:val="18"/>
              </w:rPr>
              <w:t xml:space="preserve"> of the </w:t>
            </w:r>
            <w:r w:rsidRPr="00475F1F">
              <w:rPr>
                <w:rFonts w:cs="Arial"/>
                <w:i/>
                <w:color w:val="000000"/>
                <w:sz w:val="18"/>
                <w:szCs w:val="18"/>
              </w:rPr>
              <w:t xml:space="preserve">National Efficient Price Determination </w:t>
            </w:r>
            <w:r w:rsidR="00AC54D5" w:rsidRPr="00475F1F">
              <w:rPr>
                <w:rFonts w:cs="Arial"/>
                <w:i/>
                <w:color w:val="000000"/>
                <w:sz w:val="18"/>
                <w:szCs w:val="18"/>
              </w:rPr>
              <w:t>202</w:t>
            </w:r>
            <w:r w:rsidR="00AC54D5">
              <w:rPr>
                <w:rFonts w:cs="Arial"/>
                <w:i/>
                <w:color w:val="000000"/>
                <w:sz w:val="18"/>
                <w:szCs w:val="18"/>
              </w:rPr>
              <w:t>2</w:t>
            </w:r>
            <w:r w:rsidRPr="00475F1F">
              <w:rPr>
                <w:rFonts w:cs="Arial"/>
                <w:i/>
                <w:color w:val="000000"/>
                <w:sz w:val="18"/>
                <w:szCs w:val="18"/>
              </w:rPr>
              <w:t>–</w:t>
            </w:r>
            <w:r w:rsidR="00AC54D5">
              <w:rPr>
                <w:rFonts w:cs="Arial"/>
                <w:i/>
                <w:color w:val="000000"/>
                <w:sz w:val="18"/>
                <w:szCs w:val="18"/>
              </w:rPr>
              <w:t>23</w:t>
            </w:r>
            <w:r>
              <w:rPr>
                <w:rFonts w:cs="Arial"/>
                <w:i/>
                <w:color w:val="000000"/>
                <w:sz w:val="18"/>
                <w:szCs w:val="18"/>
              </w:rPr>
              <w:t>.</w:t>
            </w:r>
          </w:p>
        </w:tc>
      </w:tr>
      <w:tr w:rsidR="00C36A9E" w:rsidRPr="00496274" w14:paraId="2FF6FE28" w14:textId="77777777" w:rsidTr="004A03A2">
        <w:trPr>
          <w:cantSplit/>
          <w:trHeight w:val="450"/>
          <w:jc w:val="center"/>
        </w:trPr>
        <w:tc>
          <w:tcPr>
            <w:tcW w:w="988" w:type="dxa"/>
            <w:shd w:val="clear" w:color="auto" w:fill="auto"/>
            <w:noWrap/>
          </w:tcPr>
          <w:p w14:paraId="71D23033"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S13</w:t>
            </w:r>
          </w:p>
        </w:tc>
        <w:tc>
          <w:tcPr>
            <w:tcW w:w="2409" w:type="dxa"/>
            <w:shd w:val="clear" w:color="auto" w:fill="auto"/>
            <w:noWrap/>
          </w:tcPr>
          <w:p w14:paraId="27901931"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ansnap_samedaylist_flag</w:t>
            </w:r>
          </w:p>
        </w:tc>
        <w:tc>
          <w:tcPr>
            <w:tcW w:w="2835" w:type="dxa"/>
            <w:shd w:val="clear" w:color="auto" w:fill="auto"/>
          </w:tcPr>
          <w:p w14:paraId="5E232405"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Same-day price list flag</w:t>
            </w:r>
            <w:r w:rsidRPr="00822178" w:rsidDel="00B62E07">
              <w:rPr>
                <w:rFonts w:cs="Arial"/>
                <w:color w:val="000000"/>
                <w:sz w:val="18"/>
                <w:szCs w:val="18"/>
              </w:rPr>
              <w:t xml:space="preserve"> </w:t>
            </w:r>
          </w:p>
        </w:tc>
        <w:tc>
          <w:tcPr>
            <w:tcW w:w="4541" w:type="dxa"/>
            <w:shd w:val="clear" w:color="auto" w:fill="auto"/>
          </w:tcPr>
          <w:p w14:paraId="0529CF01"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s</w:t>
            </w:r>
            <w:r w:rsidRPr="00822178">
              <w:rPr>
                <w:rFonts w:cs="Arial"/>
                <w:color w:val="000000"/>
                <w:sz w:val="18"/>
                <w:szCs w:val="18"/>
              </w:rPr>
              <w:t>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w:t>
            </w:r>
            <w:r w:rsidRPr="00822178">
              <w:rPr>
                <w:rFonts w:cs="Arial"/>
                <w:color w:val="000000"/>
                <w:sz w:val="18"/>
                <w:szCs w:val="18"/>
              </w:rPr>
              <w:t xml:space="preserve">rice </w:t>
            </w:r>
            <w:r>
              <w:rPr>
                <w:rFonts w:cs="Arial"/>
                <w:color w:val="000000"/>
                <w:sz w:val="18"/>
                <w:szCs w:val="18"/>
              </w:rPr>
              <w:t>l</w:t>
            </w:r>
            <w:r w:rsidRPr="00822178">
              <w:rPr>
                <w:rFonts w:cs="Arial"/>
                <w:color w:val="000000"/>
                <w:sz w:val="18"/>
                <w:szCs w:val="18"/>
              </w:rPr>
              <w:t>ist variable from joined NWAU A</w:t>
            </w:r>
            <w:r>
              <w:rPr>
                <w:rFonts w:cs="Arial"/>
                <w:color w:val="000000"/>
                <w:sz w:val="18"/>
                <w:szCs w:val="18"/>
              </w:rPr>
              <w:t>N-SNAP</w:t>
            </w:r>
            <w:r w:rsidRPr="00822178">
              <w:rPr>
                <w:rFonts w:cs="Arial"/>
                <w:color w:val="000000"/>
                <w:sz w:val="18"/>
                <w:szCs w:val="18"/>
              </w:rPr>
              <w:t xml:space="preserve"> </w:t>
            </w:r>
            <w:r>
              <w:rPr>
                <w:rFonts w:cs="Arial"/>
                <w:color w:val="000000"/>
                <w:sz w:val="18"/>
                <w:szCs w:val="18"/>
              </w:rPr>
              <w:t>price weight</w:t>
            </w:r>
            <w:r w:rsidRPr="00822178">
              <w:rPr>
                <w:rFonts w:cs="Arial"/>
                <w:color w:val="000000"/>
                <w:sz w:val="18"/>
                <w:szCs w:val="18"/>
              </w:rPr>
              <w:t xml:space="preserve"> table equals 'Yes'; else</w:t>
            </w:r>
            <w:r>
              <w:rPr>
                <w:rFonts w:cs="Arial"/>
                <w:color w:val="000000"/>
                <w:sz w:val="18"/>
                <w:szCs w:val="18"/>
              </w:rPr>
              <w:t xml:space="preserve"> </w:t>
            </w:r>
            <w:r w:rsidRPr="00822178">
              <w:rPr>
                <w:rFonts w:cs="Arial"/>
                <w:color w:val="000000"/>
                <w:sz w:val="18"/>
                <w:szCs w:val="18"/>
              </w:rPr>
              <w:t>0</w:t>
            </w:r>
            <w:r>
              <w:rPr>
                <w:rFonts w:cs="Arial"/>
                <w:color w:val="000000"/>
                <w:sz w:val="18"/>
                <w:szCs w:val="18"/>
              </w:rPr>
              <w:t>.</w:t>
            </w:r>
          </w:p>
        </w:tc>
      </w:tr>
      <w:tr w:rsidR="00C36A9E" w:rsidRPr="00496274" w14:paraId="15578277" w14:textId="77777777" w:rsidTr="004A03A2">
        <w:trPr>
          <w:cantSplit/>
          <w:trHeight w:val="450"/>
          <w:jc w:val="center"/>
        </w:trPr>
        <w:tc>
          <w:tcPr>
            <w:tcW w:w="988" w:type="dxa"/>
            <w:shd w:val="clear" w:color="auto" w:fill="auto"/>
            <w:noWrap/>
          </w:tcPr>
          <w:p w14:paraId="3180FF20"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S14</w:t>
            </w:r>
          </w:p>
        </w:tc>
        <w:tc>
          <w:tcPr>
            <w:tcW w:w="2409" w:type="dxa"/>
            <w:shd w:val="clear" w:color="auto" w:fill="auto"/>
            <w:noWrap/>
          </w:tcPr>
          <w:p w14:paraId="3CC84A1D"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ansnap_inlier_lb</w:t>
            </w:r>
          </w:p>
        </w:tc>
        <w:tc>
          <w:tcPr>
            <w:tcW w:w="2835" w:type="dxa"/>
            <w:shd w:val="clear" w:color="auto" w:fill="auto"/>
          </w:tcPr>
          <w:p w14:paraId="6AD00C0E"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Inlier lower bound</w:t>
            </w:r>
          </w:p>
        </w:tc>
        <w:tc>
          <w:tcPr>
            <w:tcW w:w="4541" w:type="dxa"/>
            <w:shd w:val="clear" w:color="auto" w:fill="auto"/>
          </w:tcPr>
          <w:p w14:paraId="4A6B66E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lower bound from NWAU </w:t>
            </w:r>
            <w:r>
              <w:rPr>
                <w:rFonts w:cs="Arial"/>
                <w:color w:val="000000"/>
                <w:sz w:val="18"/>
                <w:szCs w:val="18"/>
              </w:rPr>
              <w:t>AN-SNAP price weight</w:t>
            </w:r>
            <w:r w:rsidRPr="00822178">
              <w:rPr>
                <w:rFonts w:cs="Arial"/>
                <w:color w:val="000000"/>
                <w:sz w:val="18"/>
                <w:szCs w:val="18"/>
              </w:rPr>
              <w:t xml:space="preserve"> table</w:t>
            </w:r>
            <w:r>
              <w:rPr>
                <w:rFonts w:cs="Arial"/>
                <w:color w:val="000000"/>
                <w:sz w:val="18"/>
                <w:szCs w:val="18"/>
              </w:rPr>
              <w:t>.</w:t>
            </w:r>
          </w:p>
        </w:tc>
      </w:tr>
      <w:tr w:rsidR="00C36A9E" w:rsidRPr="00496274" w14:paraId="1FE5C1BA" w14:textId="77777777" w:rsidTr="004A03A2">
        <w:trPr>
          <w:cantSplit/>
          <w:trHeight w:val="450"/>
          <w:jc w:val="center"/>
        </w:trPr>
        <w:tc>
          <w:tcPr>
            <w:tcW w:w="988" w:type="dxa"/>
            <w:shd w:val="clear" w:color="auto" w:fill="auto"/>
            <w:noWrap/>
          </w:tcPr>
          <w:p w14:paraId="5934BAD6"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S15</w:t>
            </w:r>
          </w:p>
        </w:tc>
        <w:tc>
          <w:tcPr>
            <w:tcW w:w="2409" w:type="dxa"/>
            <w:shd w:val="clear" w:color="auto" w:fill="auto"/>
            <w:noWrap/>
          </w:tcPr>
          <w:p w14:paraId="56F09901"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ansnap_inlier_ub</w:t>
            </w:r>
          </w:p>
        </w:tc>
        <w:tc>
          <w:tcPr>
            <w:tcW w:w="2835" w:type="dxa"/>
            <w:shd w:val="clear" w:color="auto" w:fill="auto"/>
          </w:tcPr>
          <w:p w14:paraId="672A9F77"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Inlier upper bound</w:t>
            </w:r>
          </w:p>
        </w:tc>
        <w:tc>
          <w:tcPr>
            <w:tcW w:w="4541" w:type="dxa"/>
            <w:shd w:val="clear" w:color="auto" w:fill="auto"/>
          </w:tcPr>
          <w:p w14:paraId="69348BD8"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Inlier upper bound from NWAU AN-SNAP</w:t>
            </w:r>
            <w:r w:rsidRPr="00822178">
              <w:rPr>
                <w:rFonts w:cs="Arial"/>
                <w:color w:val="000000"/>
                <w:sz w:val="18"/>
                <w:szCs w:val="18"/>
              </w:rPr>
              <w:t xml:space="preserve"> </w:t>
            </w:r>
            <w:r>
              <w:rPr>
                <w:rFonts w:cs="Arial"/>
                <w:color w:val="000000"/>
                <w:sz w:val="18"/>
                <w:szCs w:val="18"/>
              </w:rPr>
              <w:t>price weight</w:t>
            </w:r>
            <w:r w:rsidRPr="00822178">
              <w:rPr>
                <w:rFonts w:cs="Arial"/>
                <w:color w:val="000000"/>
                <w:sz w:val="18"/>
                <w:szCs w:val="18"/>
              </w:rPr>
              <w:t xml:space="preserve"> table</w:t>
            </w:r>
            <w:r>
              <w:rPr>
                <w:rFonts w:cs="Arial"/>
                <w:color w:val="000000"/>
                <w:sz w:val="18"/>
                <w:szCs w:val="18"/>
              </w:rPr>
              <w:t>.</w:t>
            </w:r>
          </w:p>
        </w:tc>
      </w:tr>
      <w:tr w:rsidR="00C36A9E" w:rsidRPr="00496274" w14:paraId="0DDD0124" w14:textId="77777777" w:rsidTr="004A03A2">
        <w:trPr>
          <w:cantSplit/>
          <w:trHeight w:val="675"/>
          <w:jc w:val="center"/>
        </w:trPr>
        <w:tc>
          <w:tcPr>
            <w:tcW w:w="988" w:type="dxa"/>
            <w:shd w:val="clear" w:color="auto" w:fill="auto"/>
            <w:noWrap/>
          </w:tcPr>
          <w:p w14:paraId="4C45B165"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S16</w:t>
            </w:r>
          </w:p>
        </w:tc>
        <w:tc>
          <w:tcPr>
            <w:tcW w:w="2409" w:type="dxa"/>
            <w:shd w:val="clear" w:color="auto" w:fill="auto"/>
            <w:noWrap/>
          </w:tcPr>
          <w:p w14:paraId="28B34BB5"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ansnap_pw_sd</w:t>
            </w:r>
          </w:p>
        </w:tc>
        <w:tc>
          <w:tcPr>
            <w:tcW w:w="2835" w:type="dxa"/>
            <w:shd w:val="clear" w:color="auto" w:fill="auto"/>
          </w:tcPr>
          <w:p w14:paraId="016C1455"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Same</w:t>
            </w:r>
            <w:r>
              <w:rPr>
                <w:rFonts w:cs="Arial"/>
                <w:color w:val="000000"/>
                <w:sz w:val="18"/>
                <w:szCs w:val="18"/>
              </w:rPr>
              <w:t>-d</w:t>
            </w:r>
            <w:r w:rsidRPr="001729CF">
              <w:rPr>
                <w:rFonts w:cs="Arial"/>
                <w:color w:val="000000"/>
                <w:sz w:val="18"/>
                <w:szCs w:val="18"/>
              </w:rPr>
              <w:t xml:space="preserve">ay </w:t>
            </w:r>
            <w:r>
              <w:rPr>
                <w:rFonts w:cs="Arial"/>
                <w:color w:val="000000"/>
                <w:sz w:val="18"/>
                <w:szCs w:val="18"/>
              </w:rPr>
              <w:t>p</w:t>
            </w:r>
            <w:r w:rsidRPr="001729CF">
              <w:rPr>
                <w:rFonts w:cs="Arial"/>
                <w:color w:val="000000"/>
                <w:sz w:val="18"/>
                <w:szCs w:val="18"/>
              </w:rPr>
              <w:t>rice Weight</w:t>
            </w:r>
          </w:p>
        </w:tc>
        <w:tc>
          <w:tcPr>
            <w:tcW w:w="4541" w:type="dxa"/>
            <w:shd w:val="clear" w:color="auto" w:fill="auto"/>
          </w:tcPr>
          <w:p w14:paraId="2A54AF7C"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If the patient belongs to a same-day AN-SNAP Version 4.0 class then this is the same-day price weight obtained from the NWAU AN-SNAP price weight table. If the patient does not belong to such a class then this value is missing.</w:t>
            </w:r>
          </w:p>
        </w:tc>
      </w:tr>
      <w:tr w:rsidR="00C36A9E" w:rsidRPr="00496274" w14:paraId="36826D04" w14:textId="77777777" w:rsidTr="004A03A2">
        <w:trPr>
          <w:cantSplit/>
          <w:trHeight w:val="450"/>
          <w:jc w:val="center"/>
        </w:trPr>
        <w:tc>
          <w:tcPr>
            <w:tcW w:w="988" w:type="dxa"/>
            <w:shd w:val="clear" w:color="auto" w:fill="auto"/>
            <w:noWrap/>
          </w:tcPr>
          <w:p w14:paraId="72817FEE"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lastRenderedPageBreak/>
              <w:t>S17</w:t>
            </w:r>
          </w:p>
        </w:tc>
        <w:tc>
          <w:tcPr>
            <w:tcW w:w="2409" w:type="dxa"/>
            <w:shd w:val="clear" w:color="auto" w:fill="auto"/>
            <w:noWrap/>
          </w:tcPr>
          <w:p w14:paraId="6D15B858"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ansnap_</w:t>
            </w:r>
            <w:r w:rsidR="005C2975">
              <w:rPr>
                <w:rFonts w:cs="Arial"/>
                <w:color w:val="000000"/>
                <w:sz w:val="18"/>
                <w:szCs w:val="18"/>
              </w:rPr>
              <w:t>pw_</w:t>
            </w:r>
            <w:r>
              <w:rPr>
                <w:rFonts w:cs="Arial"/>
                <w:color w:val="000000"/>
                <w:sz w:val="18"/>
                <w:szCs w:val="18"/>
              </w:rPr>
              <w:t>sso</w:t>
            </w:r>
            <w:r w:rsidRPr="001729CF">
              <w:rPr>
                <w:rFonts w:cs="Arial"/>
                <w:color w:val="000000"/>
                <w:sz w:val="18"/>
                <w:szCs w:val="18"/>
              </w:rPr>
              <w:t>_</w:t>
            </w:r>
            <w:r>
              <w:rPr>
                <w:rFonts w:cs="Arial"/>
                <w:color w:val="000000"/>
                <w:sz w:val="18"/>
                <w:szCs w:val="18"/>
              </w:rPr>
              <w:t>perdiem</w:t>
            </w:r>
          </w:p>
        </w:tc>
        <w:tc>
          <w:tcPr>
            <w:tcW w:w="2835" w:type="dxa"/>
            <w:shd w:val="clear" w:color="auto" w:fill="auto"/>
          </w:tcPr>
          <w:p w14:paraId="754DF955"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Short-stay outlier per diem price weight</w:t>
            </w:r>
          </w:p>
        </w:tc>
        <w:tc>
          <w:tcPr>
            <w:tcW w:w="4541" w:type="dxa"/>
            <w:shd w:val="clear" w:color="auto" w:fill="auto"/>
          </w:tcPr>
          <w:p w14:paraId="4B632B56"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If the patient does not belong to a same-day AN-SNAP Version 4.0 class then this is the short-stay outlier price weight obtained from the NWAU AN-SNAP price weight table. If the patient does belong to such a class then this value is missing.</w:t>
            </w:r>
          </w:p>
        </w:tc>
      </w:tr>
      <w:tr w:rsidR="00C36A9E" w:rsidRPr="00496274" w14:paraId="6537B14D" w14:textId="77777777" w:rsidTr="004A03A2">
        <w:trPr>
          <w:cantSplit/>
          <w:trHeight w:val="450"/>
          <w:jc w:val="center"/>
        </w:trPr>
        <w:tc>
          <w:tcPr>
            <w:tcW w:w="988" w:type="dxa"/>
            <w:shd w:val="clear" w:color="auto" w:fill="auto"/>
            <w:noWrap/>
          </w:tcPr>
          <w:p w14:paraId="449D0613"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S18</w:t>
            </w:r>
          </w:p>
        </w:tc>
        <w:tc>
          <w:tcPr>
            <w:tcW w:w="2409" w:type="dxa"/>
            <w:shd w:val="clear" w:color="auto" w:fill="auto"/>
            <w:noWrap/>
          </w:tcPr>
          <w:p w14:paraId="56FED5A7"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ansnap_pw_inlier</w:t>
            </w:r>
          </w:p>
        </w:tc>
        <w:tc>
          <w:tcPr>
            <w:tcW w:w="2835" w:type="dxa"/>
            <w:shd w:val="clear" w:color="auto" w:fill="auto"/>
          </w:tcPr>
          <w:p w14:paraId="09573DD7"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 xml:space="preserve">Inlier </w:t>
            </w:r>
            <w:r>
              <w:rPr>
                <w:rFonts w:cs="Arial"/>
                <w:color w:val="000000"/>
                <w:sz w:val="18"/>
                <w:szCs w:val="18"/>
              </w:rPr>
              <w:t>price weight</w:t>
            </w:r>
          </w:p>
        </w:tc>
        <w:tc>
          <w:tcPr>
            <w:tcW w:w="4541" w:type="dxa"/>
            <w:shd w:val="clear" w:color="auto" w:fill="auto"/>
          </w:tcPr>
          <w:p w14:paraId="72EC103C"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If the patient does not belong to a same-day AN-SNAP Version 4.0 class then this is the inlier price weight obtained from the NWAU AN-SNAP price weight table. If the patient does belong to such a class then this value is missing.</w:t>
            </w:r>
          </w:p>
        </w:tc>
      </w:tr>
      <w:tr w:rsidR="00C36A9E" w:rsidRPr="00496274" w14:paraId="404F91D7" w14:textId="77777777" w:rsidTr="004A03A2">
        <w:trPr>
          <w:cantSplit/>
          <w:trHeight w:val="450"/>
          <w:jc w:val="center"/>
        </w:trPr>
        <w:tc>
          <w:tcPr>
            <w:tcW w:w="988" w:type="dxa"/>
            <w:shd w:val="clear" w:color="auto" w:fill="auto"/>
            <w:noWrap/>
          </w:tcPr>
          <w:p w14:paraId="2499B935"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S19</w:t>
            </w:r>
          </w:p>
        </w:tc>
        <w:tc>
          <w:tcPr>
            <w:tcW w:w="2409" w:type="dxa"/>
            <w:shd w:val="clear" w:color="auto" w:fill="auto"/>
            <w:noWrap/>
          </w:tcPr>
          <w:p w14:paraId="3862DEC0"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ansnap_pw_lso_perdiem</w:t>
            </w:r>
          </w:p>
        </w:tc>
        <w:tc>
          <w:tcPr>
            <w:tcW w:w="2835" w:type="dxa"/>
            <w:shd w:val="clear" w:color="auto" w:fill="auto"/>
          </w:tcPr>
          <w:p w14:paraId="440843F1"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Long-stay outlier per diem price weight</w:t>
            </w:r>
          </w:p>
        </w:tc>
        <w:tc>
          <w:tcPr>
            <w:tcW w:w="4541" w:type="dxa"/>
            <w:shd w:val="clear" w:color="auto" w:fill="auto"/>
          </w:tcPr>
          <w:p w14:paraId="0C234660"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If the patient does not belong to a same-day AN-SNAP Version 4.0 class then this is long-stay outlier price weight obtained from the NWAU AN-SNAP price weight table. If the patient does belong to such a class then this value is missing.</w:t>
            </w:r>
          </w:p>
        </w:tc>
      </w:tr>
      <w:tr w:rsidR="00C36A9E" w:rsidRPr="00496274" w14:paraId="033E9F7D" w14:textId="77777777" w:rsidTr="004A03A2">
        <w:trPr>
          <w:cantSplit/>
          <w:trHeight w:val="450"/>
          <w:jc w:val="center"/>
        </w:trPr>
        <w:tc>
          <w:tcPr>
            <w:tcW w:w="988" w:type="dxa"/>
            <w:shd w:val="clear" w:color="auto" w:fill="auto"/>
            <w:noWrap/>
          </w:tcPr>
          <w:p w14:paraId="479AAB17"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S20</w:t>
            </w:r>
          </w:p>
        </w:tc>
        <w:tc>
          <w:tcPr>
            <w:tcW w:w="2409" w:type="dxa"/>
            <w:shd w:val="clear" w:color="auto" w:fill="auto"/>
            <w:noWrap/>
          </w:tcPr>
          <w:p w14:paraId="13A25DDC"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adj_indigenous</w:t>
            </w:r>
          </w:p>
        </w:tc>
        <w:tc>
          <w:tcPr>
            <w:tcW w:w="2835" w:type="dxa"/>
            <w:shd w:val="clear" w:color="auto" w:fill="auto"/>
          </w:tcPr>
          <w:p w14:paraId="56F785DB"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70D7009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w:t>
            </w:r>
            <w:r w:rsidRPr="001729CF">
              <w:rPr>
                <w:rFonts w:cs="Arial"/>
                <w:color w:val="000000"/>
                <w:sz w:val="18"/>
                <w:szCs w:val="18"/>
              </w:rPr>
              <w:t>ndigenous adjustment</w:t>
            </w:r>
            <w:r>
              <w:rPr>
                <w:rFonts w:cs="Arial"/>
                <w:color w:val="000000"/>
                <w:sz w:val="18"/>
                <w:szCs w:val="18"/>
              </w:rPr>
              <w:t>.</w:t>
            </w:r>
          </w:p>
        </w:tc>
      </w:tr>
      <w:tr w:rsidR="00C36A9E" w:rsidRPr="00496274" w14:paraId="7F1F4206" w14:textId="77777777" w:rsidTr="004A03A2">
        <w:trPr>
          <w:cantSplit/>
          <w:trHeight w:val="450"/>
          <w:jc w:val="center"/>
        </w:trPr>
        <w:tc>
          <w:tcPr>
            <w:tcW w:w="988" w:type="dxa"/>
            <w:shd w:val="clear" w:color="auto" w:fill="auto"/>
            <w:noWrap/>
          </w:tcPr>
          <w:p w14:paraId="147930FD"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S21</w:t>
            </w:r>
          </w:p>
        </w:tc>
        <w:tc>
          <w:tcPr>
            <w:tcW w:w="2409" w:type="dxa"/>
            <w:shd w:val="clear" w:color="auto" w:fill="auto"/>
            <w:noWrap/>
          </w:tcPr>
          <w:p w14:paraId="085924B2"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adj_remoteness</w:t>
            </w:r>
          </w:p>
        </w:tc>
        <w:tc>
          <w:tcPr>
            <w:tcW w:w="2835" w:type="dxa"/>
            <w:shd w:val="clear" w:color="auto" w:fill="auto"/>
          </w:tcPr>
          <w:p w14:paraId="5EE16F6B"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097C42E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Remoteness adjustment.</w:t>
            </w:r>
          </w:p>
        </w:tc>
      </w:tr>
      <w:tr w:rsidR="00C36A9E" w:rsidRPr="00496274" w14:paraId="03FCFC4D" w14:textId="77777777" w:rsidTr="004A03A2">
        <w:trPr>
          <w:cantSplit/>
          <w:trHeight w:val="450"/>
          <w:jc w:val="center"/>
        </w:trPr>
        <w:tc>
          <w:tcPr>
            <w:tcW w:w="988" w:type="dxa"/>
            <w:shd w:val="clear" w:color="auto" w:fill="auto"/>
            <w:noWrap/>
          </w:tcPr>
          <w:p w14:paraId="6D34E387"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S22</w:t>
            </w:r>
          </w:p>
        </w:tc>
        <w:tc>
          <w:tcPr>
            <w:tcW w:w="2409" w:type="dxa"/>
            <w:shd w:val="clear" w:color="auto" w:fill="auto"/>
            <w:noWrap/>
          </w:tcPr>
          <w:p w14:paraId="21099BEB"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adj_treat_remoteness</w:t>
            </w:r>
          </w:p>
        </w:tc>
        <w:tc>
          <w:tcPr>
            <w:tcW w:w="2835" w:type="dxa"/>
            <w:shd w:val="clear" w:color="auto" w:fill="auto"/>
          </w:tcPr>
          <w:p w14:paraId="08AF532D"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49169FCB"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Hospital treatment remoteness adjustment.</w:t>
            </w:r>
          </w:p>
        </w:tc>
      </w:tr>
      <w:tr w:rsidR="00C36A9E" w:rsidRPr="00496274" w14:paraId="6B5C3337" w14:textId="77777777" w:rsidTr="004A03A2">
        <w:trPr>
          <w:cantSplit/>
          <w:trHeight w:val="450"/>
          <w:jc w:val="center"/>
        </w:trPr>
        <w:tc>
          <w:tcPr>
            <w:tcW w:w="988" w:type="dxa"/>
            <w:shd w:val="clear" w:color="auto" w:fill="auto"/>
            <w:noWrap/>
          </w:tcPr>
          <w:p w14:paraId="1B67C960"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S23</w:t>
            </w:r>
          </w:p>
        </w:tc>
        <w:tc>
          <w:tcPr>
            <w:tcW w:w="2409" w:type="dxa"/>
            <w:shd w:val="clear" w:color="auto" w:fill="auto"/>
            <w:noWrap/>
          </w:tcPr>
          <w:p w14:paraId="77A53293"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adj_radiotherapy</w:t>
            </w:r>
          </w:p>
        </w:tc>
        <w:tc>
          <w:tcPr>
            <w:tcW w:w="2835" w:type="dxa"/>
            <w:shd w:val="clear" w:color="auto" w:fill="auto"/>
          </w:tcPr>
          <w:p w14:paraId="17923547"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4541" w:type="dxa"/>
            <w:shd w:val="clear" w:color="auto" w:fill="auto"/>
          </w:tcPr>
          <w:p w14:paraId="5F12B2A4" w14:textId="7D823DA7" w:rsidR="007E4A2F" w:rsidRDefault="007E4A2F" w:rsidP="007E4A2F">
            <w:pPr>
              <w:tabs>
                <w:tab w:val="left" w:pos="1162"/>
              </w:tabs>
              <w:spacing w:line="240" w:lineRule="auto"/>
              <w:rPr>
                <w:rFonts w:cs="Arial"/>
                <w:color w:val="000000"/>
                <w:sz w:val="18"/>
                <w:szCs w:val="18"/>
              </w:rPr>
            </w:pPr>
            <w:r w:rsidRPr="4BA15303">
              <w:rPr>
                <w:rFonts w:cs="Arial"/>
                <w:color w:val="000000" w:themeColor="text1"/>
                <w:sz w:val="18"/>
                <w:szCs w:val="18"/>
              </w:rPr>
              <w:t>Radiotherapy adjustment.</w:t>
            </w:r>
          </w:p>
        </w:tc>
      </w:tr>
      <w:tr w:rsidR="00C36A9E" w:rsidRPr="00496274" w14:paraId="68097DA1" w14:textId="77777777" w:rsidTr="004A03A2">
        <w:trPr>
          <w:cantSplit/>
          <w:trHeight w:val="450"/>
          <w:jc w:val="center"/>
        </w:trPr>
        <w:tc>
          <w:tcPr>
            <w:tcW w:w="988" w:type="dxa"/>
            <w:shd w:val="clear" w:color="auto" w:fill="auto"/>
            <w:noWrap/>
          </w:tcPr>
          <w:p w14:paraId="4B25A590"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S24</w:t>
            </w:r>
          </w:p>
        </w:tc>
        <w:tc>
          <w:tcPr>
            <w:tcW w:w="2409" w:type="dxa"/>
            <w:shd w:val="clear" w:color="auto" w:fill="auto"/>
            <w:noWrap/>
          </w:tcPr>
          <w:p w14:paraId="7E4D6465"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adj_dialysis</w:t>
            </w:r>
          </w:p>
        </w:tc>
        <w:tc>
          <w:tcPr>
            <w:tcW w:w="2835" w:type="dxa"/>
            <w:shd w:val="clear" w:color="auto" w:fill="auto"/>
          </w:tcPr>
          <w:p w14:paraId="7A1163C9"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4541" w:type="dxa"/>
            <w:shd w:val="clear" w:color="auto" w:fill="auto"/>
          </w:tcPr>
          <w:p w14:paraId="082E01D8" w14:textId="7C0B298A" w:rsidR="007E4A2F" w:rsidRDefault="007E4A2F" w:rsidP="007E4A2F">
            <w:pPr>
              <w:tabs>
                <w:tab w:val="left" w:pos="1162"/>
              </w:tabs>
              <w:spacing w:line="240" w:lineRule="auto"/>
              <w:rPr>
                <w:rFonts w:cs="Arial"/>
                <w:color w:val="000000"/>
                <w:sz w:val="18"/>
                <w:szCs w:val="18"/>
              </w:rPr>
            </w:pPr>
            <w:r w:rsidRPr="6346E14E">
              <w:rPr>
                <w:rFonts w:cs="Arial"/>
                <w:color w:val="000000" w:themeColor="text1"/>
                <w:sz w:val="18"/>
                <w:szCs w:val="18"/>
              </w:rPr>
              <w:t>Dialysis adjustment.</w:t>
            </w:r>
          </w:p>
        </w:tc>
      </w:tr>
      <w:tr w:rsidR="00C36A9E" w:rsidRPr="00496274" w14:paraId="64589CB4" w14:textId="77777777" w:rsidTr="004A03A2">
        <w:trPr>
          <w:cantSplit/>
          <w:trHeight w:val="450"/>
          <w:jc w:val="center"/>
        </w:trPr>
        <w:tc>
          <w:tcPr>
            <w:tcW w:w="988" w:type="dxa"/>
            <w:shd w:val="clear" w:color="auto" w:fill="auto"/>
            <w:noWrap/>
          </w:tcPr>
          <w:p w14:paraId="4F25723D"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S25</w:t>
            </w:r>
          </w:p>
        </w:tc>
        <w:tc>
          <w:tcPr>
            <w:tcW w:w="2409" w:type="dxa"/>
            <w:shd w:val="clear" w:color="auto" w:fill="auto"/>
            <w:noWrap/>
          </w:tcPr>
          <w:p w14:paraId="6A9C6573"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caretype_adj_privpat_serv</w:t>
            </w:r>
          </w:p>
        </w:tc>
        <w:tc>
          <w:tcPr>
            <w:tcW w:w="2835" w:type="dxa"/>
            <w:shd w:val="clear" w:color="auto" w:fill="auto"/>
          </w:tcPr>
          <w:p w14:paraId="0CECDE13"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7610249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service adjustment (</w:t>
            </w:r>
            <w:r>
              <w:rPr>
                <w:rFonts w:cs="Arial"/>
                <w:color w:val="000000"/>
                <w:sz w:val="18"/>
                <w:szCs w:val="18"/>
              </w:rPr>
              <w:t>adjustment specific to care type and state</w:t>
            </w:r>
            <w:r w:rsidRPr="001729CF">
              <w:rPr>
                <w:rFonts w:cs="Arial"/>
                <w:color w:val="000000"/>
                <w:sz w:val="18"/>
                <w:szCs w:val="18"/>
              </w:rPr>
              <w:t>)</w:t>
            </w:r>
            <w:r>
              <w:rPr>
                <w:rFonts w:cs="Arial"/>
                <w:color w:val="000000"/>
                <w:sz w:val="18"/>
                <w:szCs w:val="18"/>
              </w:rPr>
              <w:t>.</w:t>
            </w:r>
          </w:p>
        </w:tc>
      </w:tr>
      <w:tr w:rsidR="00C36A9E" w:rsidRPr="00496274" w14:paraId="6B1635E8" w14:textId="77777777" w:rsidTr="004A03A2">
        <w:trPr>
          <w:cantSplit/>
          <w:trHeight w:val="450"/>
          <w:jc w:val="center"/>
        </w:trPr>
        <w:tc>
          <w:tcPr>
            <w:tcW w:w="988" w:type="dxa"/>
            <w:shd w:val="clear" w:color="auto" w:fill="auto"/>
            <w:noWrap/>
          </w:tcPr>
          <w:p w14:paraId="36809C4D"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S26</w:t>
            </w:r>
          </w:p>
        </w:tc>
        <w:tc>
          <w:tcPr>
            <w:tcW w:w="2409" w:type="dxa"/>
            <w:shd w:val="clear" w:color="auto" w:fill="auto"/>
            <w:noWrap/>
          </w:tcPr>
          <w:p w14:paraId="7EF919EC"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caretype_adj_privpat_serv_state</w:t>
            </w:r>
          </w:p>
        </w:tc>
        <w:tc>
          <w:tcPr>
            <w:tcW w:w="2835" w:type="dxa"/>
            <w:shd w:val="clear" w:color="auto" w:fill="auto"/>
          </w:tcPr>
          <w:p w14:paraId="35647EC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6B605E80"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Private patient service adjustment (adjustment specific to care type and state).</w:t>
            </w:r>
          </w:p>
        </w:tc>
      </w:tr>
      <w:tr w:rsidR="00C36A9E" w:rsidRPr="00496274" w14:paraId="74B3754C" w14:textId="77777777" w:rsidTr="004A03A2">
        <w:trPr>
          <w:cantSplit/>
          <w:trHeight w:val="450"/>
          <w:jc w:val="center"/>
        </w:trPr>
        <w:tc>
          <w:tcPr>
            <w:tcW w:w="988" w:type="dxa"/>
            <w:shd w:val="clear" w:color="auto" w:fill="auto"/>
            <w:noWrap/>
          </w:tcPr>
          <w:p w14:paraId="4E1EE437"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S2</w:t>
            </w:r>
            <w:r>
              <w:rPr>
                <w:rFonts w:cs="Arial"/>
                <w:color w:val="000000"/>
                <w:sz w:val="18"/>
                <w:szCs w:val="18"/>
              </w:rPr>
              <w:t>7</w:t>
            </w:r>
          </w:p>
        </w:tc>
        <w:tc>
          <w:tcPr>
            <w:tcW w:w="2409" w:type="dxa"/>
            <w:shd w:val="clear" w:color="auto" w:fill="auto"/>
            <w:noWrap/>
          </w:tcPr>
          <w:p w14:paraId="1225F138"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state_adj_privpat_accomm_sd</w:t>
            </w:r>
          </w:p>
        </w:tc>
        <w:tc>
          <w:tcPr>
            <w:tcW w:w="2835" w:type="dxa"/>
            <w:shd w:val="clear" w:color="auto" w:fill="auto"/>
          </w:tcPr>
          <w:p w14:paraId="54A39FA6"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243086E3"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accommodation adjustment: same-day rate (state-specific adjustment)</w:t>
            </w:r>
            <w:r>
              <w:rPr>
                <w:rFonts w:cs="Arial"/>
                <w:color w:val="000000"/>
                <w:sz w:val="18"/>
                <w:szCs w:val="18"/>
              </w:rPr>
              <w:t>.</w:t>
            </w:r>
          </w:p>
        </w:tc>
      </w:tr>
      <w:tr w:rsidR="00C36A9E" w:rsidRPr="00496274" w14:paraId="1E51F4E2" w14:textId="77777777" w:rsidTr="004A03A2">
        <w:trPr>
          <w:cantSplit/>
          <w:trHeight w:val="450"/>
          <w:jc w:val="center"/>
        </w:trPr>
        <w:tc>
          <w:tcPr>
            <w:tcW w:w="988" w:type="dxa"/>
            <w:tcBorders>
              <w:bottom w:val="single" w:sz="4" w:space="0" w:color="auto"/>
            </w:tcBorders>
            <w:shd w:val="clear" w:color="auto" w:fill="auto"/>
            <w:noWrap/>
          </w:tcPr>
          <w:p w14:paraId="23A7E5B6"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S28</w:t>
            </w:r>
          </w:p>
        </w:tc>
        <w:tc>
          <w:tcPr>
            <w:tcW w:w="2409" w:type="dxa"/>
            <w:shd w:val="clear" w:color="auto" w:fill="auto"/>
            <w:noWrap/>
            <w:hideMark/>
          </w:tcPr>
          <w:p w14:paraId="7B244FC1"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state_adj_privpat_accomm_on</w:t>
            </w:r>
          </w:p>
        </w:tc>
        <w:tc>
          <w:tcPr>
            <w:tcW w:w="2835" w:type="dxa"/>
            <w:shd w:val="clear" w:color="auto" w:fill="auto"/>
            <w:hideMark/>
          </w:tcPr>
          <w:p w14:paraId="3B149ABF"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hideMark/>
          </w:tcPr>
          <w:p w14:paraId="20816023"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accommodation adjustment: overnight per diem rate (state-specific adjustment)</w:t>
            </w:r>
          </w:p>
        </w:tc>
      </w:tr>
      <w:tr w:rsidR="00C36A9E" w:rsidRPr="00496274" w14:paraId="44B88A0D"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492C5798"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S29</w:t>
            </w:r>
          </w:p>
        </w:tc>
        <w:tc>
          <w:tcPr>
            <w:tcW w:w="2409" w:type="dxa"/>
            <w:shd w:val="clear" w:color="auto" w:fill="auto"/>
            <w:noWrap/>
          </w:tcPr>
          <w:p w14:paraId="452945B9"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Error_code</w:t>
            </w:r>
          </w:p>
        </w:tc>
        <w:tc>
          <w:tcPr>
            <w:tcW w:w="2835" w:type="dxa"/>
            <w:shd w:val="clear" w:color="auto" w:fill="auto"/>
          </w:tcPr>
          <w:p w14:paraId="5B64AC70"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4038238C"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Outlines errors in calculations</w:t>
            </w:r>
          </w:p>
        </w:tc>
      </w:tr>
      <w:tr w:rsidR="00C36A9E" w:rsidRPr="00496274" w14:paraId="768BCECB"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7694E68B"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30</w:t>
            </w:r>
          </w:p>
        </w:tc>
        <w:tc>
          <w:tcPr>
            <w:tcW w:w="2409" w:type="dxa"/>
            <w:shd w:val="clear" w:color="auto" w:fill="auto"/>
            <w:noWrap/>
          </w:tcPr>
          <w:p w14:paraId="495D49D2"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_pat_separation_category</w:t>
            </w:r>
          </w:p>
        </w:tc>
        <w:tc>
          <w:tcPr>
            <w:tcW w:w="2835" w:type="dxa"/>
            <w:shd w:val="clear" w:color="auto" w:fill="auto"/>
          </w:tcPr>
          <w:p w14:paraId="1AE5E9B6"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0143BE97"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 xml:space="preserve">Patient separation category: </w:t>
            </w:r>
          </w:p>
          <w:p w14:paraId="1EF367AC" w14:textId="77777777" w:rsidR="007E4A2F" w:rsidRPr="00F60424" w:rsidRDefault="007E4A2F" w:rsidP="007E4A2F">
            <w:pPr>
              <w:tabs>
                <w:tab w:val="left" w:pos="1162"/>
              </w:tabs>
              <w:spacing w:line="240" w:lineRule="auto"/>
              <w:rPr>
                <w:rFonts w:cs="Arial"/>
                <w:color w:val="000000"/>
                <w:sz w:val="18"/>
                <w:szCs w:val="18"/>
              </w:rPr>
            </w:pPr>
            <w:r>
              <w:rPr>
                <w:rFonts w:cs="Arial"/>
                <w:color w:val="000000"/>
                <w:sz w:val="18"/>
                <w:szCs w:val="18"/>
              </w:rPr>
              <w:t>1:  Patients belonging to a same day AN-SNAP Version 4.0 class.</w:t>
            </w:r>
          </w:p>
          <w:p w14:paraId="7ADCE987" w14:textId="77777777" w:rsidR="007E4A2F" w:rsidRDefault="007E4A2F" w:rsidP="007E4A2F">
            <w:pPr>
              <w:tabs>
                <w:tab w:val="left" w:pos="1162"/>
              </w:tabs>
              <w:spacing w:line="240" w:lineRule="auto"/>
              <w:rPr>
                <w:rFonts w:cs="Arial"/>
                <w:color w:val="000000"/>
                <w:sz w:val="18"/>
                <w:szCs w:val="18"/>
              </w:rPr>
            </w:pPr>
            <w:r w:rsidRPr="00F60424">
              <w:rPr>
                <w:rFonts w:cs="Arial"/>
                <w:color w:val="000000"/>
                <w:sz w:val="18"/>
                <w:szCs w:val="18"/>
              </w:rPr>
              <w:t>2</w:t>
            </w:r>
            <w:r>
              <w:rPr>
                <w:rFonts w:cs="Arial"/>
                <w:color w:val="000000"/>
                <w:sz w:val="18"/>
                <w:szCs w:val="18"/>
              </w:rPr>
              <w:t>:</w:t>
            </w:r>
            <w:r w:rsidRPr="00F60424">
              <w:rPr>
                <w:rFonts w:cs="Arial"/>
                <w:color w:val="000000"/>
                <w:sz w:val="18"/>
                <w:szCs w:val="18"/>
              </w:rPr>
              <w:t xml:space="preserve"> </w:t>
            </w:r>
            <w:r>
              <w:rPr>
                <w:rFonts w:cs="Arial"/>
                <w:color w:val="000000"/>
                <w:sz w:val="18"/>
                <w:szCs w:val="18"/>
              </w:rPr>
              <w:t xml:space="preserve">Short-stay outlier patients </w:t>
            </w:r>
          </w:p>
          <w:p w14:paraId="07F7E6A8" w14:textId="77777777" w:rsidR="007E4A2F" w:rsidRPr="00F60424" w:rsidRDefault="007E4A2F" w:rsidP="007E4A2F">
            <w:pPr>
              <w:tabs>
                <w:tab w:val="left" w:pos="1162"/>
              </w:tabs>
              <w:spacing w:line="240" w:lineRule="auto"/>
              <w:rPr>
                <w:rFonts w:cs="Arial"/>
                <w:color w:val="000000"/>
                <w:sz w:val="18"/>
                <w:szCs w:val="18"/>
              </w:rPr>
            </w:pPr>
            <w:r w:rsidRPr="00F60424">
              <w:rPr>
                <w:rFonts w:cs="Arial"/>
                <w:color w:val="000000"/>
                <w:sz w:val="18"/>
                <w:szCs w:val="18"/>
              </w:rPr>
              <w:t>3</w:t>
            </w:r>
            <w:r>
              <w:rPr>
                <w:rFonts w:cs="Arial"/>
                <w:color w:val="000000"/>
                <w:sz w:val="18"/>
                <w:szCs w:val="18"/>
              </w:rPr>
              <w:t>:</w:t>
            </w:r>
            <w:r w:rsidRPr="00F60424">
              <w:rPr>
                <w:rFonts w:cs="Arial"/>
                <w:color w:val="000000"/>
                <w:sz w:val="18"/>
                <w:szCs w:val="18"/>
              </w:rPr>
              <w:t xml:space="preserve"> Inlier patients</w:t>
            </w:r>
          </w:p>
          <w:p w14:paraId="4C58679D" w14:textId="77777777" w:rsidR="007E4A2F" w:rsidRPr="001729CF" w:rsidRDefault="007E4A2F" w:rsidP="007E4A2F">
            <w:pPr>
              <w:tabs>
                <w:tab w:val="left" w:pos="1162"/>
              </w:tabs>
              <w:spacing w:line="240" w:lineRule="auto"/>
              <w:rPr>
                <w:rFonts w:cs="Arial"/>
                <w:color w:val="000000"/>
                <w:sz w:val="18"/>
                <w:szCs w:val="18"/>
              </w:rPr>
            </w:pPr>
            <w:r w:rsidRPr="00F60424">
              <w:rPr>
                <w:rFonts w:cs="Arial"/>
                <w:color w:val="000000"/>
                <w:sz w:val="18"/>
                <w:szCs w:val="18"/>
              </w:rPr>
              <w:t>4</w:t>
            </w:r>
            <w:r>
              <w:rPr>
                <w:rFonts w:cs="Arial"/>
                <w:color w:val="000000"/>
                <w:sz w:val="18"/>
                <w:szCs w:val="18"/>
              </w:rPr>
              <w:t>:</w:t>
            </w:r>
            <w:r w:rsidRPr="00F60424">
              <w:rPr>
                <w:rFonts w:cs="Arial"/>
                <w:color w:val="000000"/>
                <w:sz w:val="18"/>
                <w:szCs w:val="18"/>
              </w:rPr>
              <w:t xml:space="preserve"> </w:t>
            </w:r>
            <w:r>
              <w:rPr>
                <w:rFonts w:cs="Arial"/>
                <w:color w:val="000000"/>
                <w:sz w:val="18"/>
                <w:szCs w:val="18"/>
              </w:rPr>
              <w:t>Long-stay</w:t>
            </w:r>
            <w:r w:rsidRPr="00F60424">
              <w:rPr>
                <w:rFonts w:cs="Arial"/>
                <w:color w:val="000000"/>
                <w:sz w:val="18"/>
                <w:szCs w:val="18"/>
              </w:rPr>
              <w:t xml:space="preserve"> outlier patients</w:t>
            </w:r>
          </w:p>
        </w:tc>
      </w:tr>
      <w:tr w:rsidR="00C36A9E" w:rsidRPr="00496274" w14:paraId="58AE74AB"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6C893D00" w14:textId="77777777" w:rsidR="007E4A2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lastRenderedPageBreak/>
              <w:t>S31</w:t>
            </w:r>
          </w:p>
        </w:tc>
        <w:tc>
          <w:tcPr>
            <w:tcW w:w="2409" w:type="dxa"/>
            <w:tcBorders>
              <w:bottom w:val="single" w:sz="4" w:space="0" w:color="auto"/>
            </w:tcBorders>
            <w:shd w:val="clear" w:color="auto" w:fill="auto"/>
            <w:noWrap/>
          </w:tcPr>
          <w:p w14:paraId="67F6218F"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r w:rsidRPr="00D873B6">
              <w:rPr>
                <w:rFonts w:cs="Arial"/>
                <w:color w:val="000000"/>
                <w:sz w:val="18"/>
                <w:szCs w:val="18"/>
              </w:rPr>
              <w:t>w01</w:t>
            </w:r>
          </w:p>
        </w:tc>
        <w:tc>
          <w:tcPr>
            <w:tcW w:w="2835" w:type="dxa"/>
            <w:tcBorders>
              <w:bottom w:val="single" w:sz="4" w:space="0" w:color="auto"/>
            </w:tcBorders>
            <w:shd w:val="clear" w:color="auto" w:fill="auto"/>
          </w:tcPr>
          <w:p w14:paraId="68724ED4" w14:textId="77777777" w:rsidR="007E4A2F" w:rsidRDefault="007E4A2F" w:rsidP="007E4A2F">
            <w:pPr>
              <w:tabs>
                <w:tab w:val="left" w:pos="1162"/>
              </w:tabs>
              <w:spacing w:line="240" w:lineRule="auto"/>
              <w:rPr>
                <w:rFonts w:cs="Arial"/>
                <w:color w:val="000000"/>
                <w:sz w:val="18"/>
                <w:szCs w:val="18"/>
              </w:rPr>
            </w:pPr>
            <w:r w:rsidRPr="00D873B6">
              <w:rPr>
                <w:rFonts w:cs="Arial"/>
                <w:color w:val="000000"/>
                <w:sz w:val="18"/>
                <w:szCs w:val="18"/>
              </w:rPr>
              <w:t>AN-SNAP inlier/outlier weight</w:t>
            </w:r>
          </w:p>
        </w:tc>
        <w:tc>
          <w:tcPr>
            <w:tcW w:w="4541" w:type="dxa"/>
            <w:tcBorders>
              <w:bottom w:val="single" w:sz="4" w:space="0" w:color="auto"/>
            </w:tcBorders>
            <w:shd w:val="clear" w:color="auto" w:fill="auto"/>
          </w:tcPr>
          <w:p w14:paraId="0446F9BB"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Based off _pat_separation_category:</w:t>
            </w:r>
          </w:p>
          <w:p w14:paraId="31E71ED3"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1: ansnap_pw_sd</w:t>
            </w:r>
          </w:p>
          <w:p w14:paraId="0A965EB8"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 xml:space="preserve">2: ansnap_pw_sso_perdiem * pat_los </w:t>
            </w:r>
          </w:p>
          <w:p w14:paraId="45BC790F" w14:textId="77777777" w:rsidR="007E4A2F" w:rsidRPr="00FA3851" w:rsidRDefault="007E4A2F" w:rsidP="007E4A2F">
            <w:pPr>
              <w:tabs>
                <w:tab w:val="left" w:pos="1162"/>
              </w:tabs>
              <w:spacing w:before="80" w:after="80" w:line="240" w:lineRule="auto"/>
              <w:ind w:right="836"/>
              <w:rPr>
                <w:rFonts w:cs="Arial"/>
                <w:color w:val="000000"/>
                <w:sz w:val="18"/>
                <w:szCs w:val="18"/>
              </w:rPr>
            </w:pPr>
            <w:r w:rsidRPr="00FA3851">
              <w:rPr>
                <w:rFonts w:cs="Arial"/>
                <w:color w:val="000000"/>
                <w:sz w:val="18"/>
                <w:szCs w:val="18"/>
              </w:rPr>
              <w:t>3: ansnap_pw_inlier</w:t>
            </w:r>
          </w:p>
          <w:p w14:paraId="6A7D0179" w14:textId="77777777" w:rsidR="007E4A2F" w:rsidRDefault="007E4A2F" w:rsidP="007E4A2F">
            <w:pPr>
              <w:tabs>
                <w:tab w:val="left" w:pos="1162"/>
              </w:tabs>
              <w:spacing w:line="240" w:lineRule="auto"/>
              <w:rPr>
                <w:rFonts w:cs="Arial"/>
                <w:color w:val="000000"/>
                <w:sz w:val="18"/>
                <w:szCs w:val="18"/>
              </w:rPr>
            </w:pPr>
            <w:r w:rsidRPr="00FA3851">
              <w:rPr>
                <w:rFonts w:cs="Arial"/>
                <w:color w:val="000000"/>
                <w:sz w:val="18"/>
                <w:szCs w:val="18"/>
              </w:rPr>
              <w:t>4: ansnap_pw_inlier + ( pat_los - ansnap_inlier_ub ) * ansnap_pw_lso_perdiem</w:t>
            </w:r>
          </w:p>
        </w:tc>
      </w:tr>
      <w:tr w:rsidR="00C36A9E" w:rsidRPr="00496274" w14:paraId="0922ADC7"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37BEABAC" w14:textId="77777777" w:rsidR="007E4A2F" w:rsidRPr="00D873B6" w:rsidRDefault="007E4A2F" w:rsidP="007E4A2F">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32</w:t>
            </w:r>
          </w:p>
        </w:tc>
        <w:tc>
          <w:tcPr>
            <w:tcW w:w="2409" w:type="dxa"/>
            <w:tcBorders>
              <w:bottom w:val="single" w:sz="4" w:space="0" w:color="auto"/>
            </w:tcBorders>
            <w:shd w:val="clear" w:color="auto" w:fill="auto"/>
            <w:noWrap/>
          </w:tcPr>
          <w:p w14:paraId="28CCC060" w14:textId="59D87E80" w:rsidR="007E4A2F" w:rsidRDefault="00A77141" w:rsidP="007E4A2F">
            <w:pPr>
              <w:tabs>
                <w:tab w:val="left" w:pos="1162"/>
              </w:tabs>
              <w:spacing w:line="240" w:lineRule="auto"/>
              <w:rPr>
                <w:rFonts w:cs="Arial"/>
                <w:color w:val="000000"/>
                <w:sz w:val="18"/>
                <w:szCs w:val="18"/>
              </w:rPr>
            </w:pPr>
            <w:r>
              <w:rPr>
                <w:rFonts w:cs="Arial"/>
                <w:color w:val="000000"/>
                <w:sz w:val="18"/>
                <w:szCs w:val="18"/>
              </w:rPr>
              <w:t>GWAU22</w:t>
            </w:r>
          </w:p>
        </w:tc>
        <w:tc>
          <w:tcPr>
            <w:tcW w:w="2835" w:type="dxa"/>
            <w:tcBorders>
              <w:bottom w:val="single" w:sz="4" w:space="0" w:color="auto"/>
            </w:tcBorders>
            <w:shd w:val="clear" w:color="auto" w:fill="auto"/>
          </w:tcPr>
          <w:p w14:paraId="51FCE303" w14:textId="77777777" w:rsidR="007E4A2F" w:rsidRPr="00D873B6" w:rsidRDefault="007E4A2F" w:rsidP="007E4A2F">
            <w:pPr>
              <w:tabs>
                <w:tab w:val="left" w:pos="1162"/>
              </w:tabs>
              <w:spacing w:line="240" w:lineRule="auto"/>
              <w:rPr>
                <w:rFonts w:cs="Arial"/>
                <w:color w:val="000000"/>
                <w:sz w:val="18"/>
                <w:szCs w:val="18"/>
              </w:rPr>
            </w:pPr>
            <w:r>
              <w:rPr>
                <w:rFonts w:cs="Arial"/>
                <w:color w:val="000000"/>
                <w:sz w:val="18"/>
                <w:szCs w:val="18"/>
              </w:rPr>
              <w:t>Gross weighted activity unit</w:t>
            </w:r>
          </w:p>
        </w:tc>
        <w:tc>
          <w:tcPr>
            <w:tcW w:w="4541" w:type="dxa"/>
            <w:tcBorders>
              <w:bottom w:val="single" w:sz="4" w:space="0" w:color="auto"/>
            </w:tcBorders>
            <w:shd w:val="clear" w:color="auto" w:fill="auto"/>
          </w:tcPr>
          <w:p w14:paraId="6D9DD682"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_w01*(1+adj_indigenous+adj_remoteness</w:t>
            </w:r>
            <w:r w:rsidRPr="006744FD">
              <w:rPr>
                <w:rFonts w:cs="Arial"/>
                <w:color w:val="000000"/>
                <w:sz w:val="18"/>
                <w:szCs w:val="18"/>
              </w:rPr>
              <w:t>+adj_radiotherapy+adj_dialysis)*</w:t>
            </w:r>
          </w:p>
          <w:p w14:paraId="5B3B330F" w14:textId="77777777" w:rsidR="007E4A2F" w:rsidRPr="00FA3851" w:rsidRDefault="007E4A2F" w:rsidP="007E4A2F">
            <w:pPr>
              <w:tabs>
                <w:tab w:val="left" w:pos="1162"/>
              </w:tabs>
              <w:spacing w:before="80" w:after="80" w:line="240" w:lineRule="auto"/>
              <w:rPr>
                <w:rFonts w:cs="Arial"/>
                <w:color w:val="000000"/>
                <w:sz w:val="18"/>
                <w:szCs w:val="18"/>
              </w:rPr>
            </w:pPr>
            <w:r w:rsidRPr="006744FD">
              <w:rPr>
                <w:rFonts w:cs="Arial"/>
                <w:color w:val="000000"/>
                <w:sz w:val="18"/>
                <w:szCs w:val="18"/>
              </w:rPr>
              <w:t>(1+adj_treat_remoteness</w:t>
            </w:r>
            <w:r>
              <w:rPr>
                <w:rFonts w:cs="Arial"/>
                <w:color w:val="000000"/>
                <w:sz w:val="18"/>
                <w:szCs w:val="18"/>
              </w:rPr>
              <w:t>)</w:t>
            </w:r>
          </w:p>
        </w:tc>
      </w:tr>
      <w:tr w:rsidR="00C36A9E" w:rsidRPr="00496274" w14:paraId="6453BCBF"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12717147" w14:textId="77777777" w:rsidR="007E4A2F" w:rsidRDefault="007E4A2F" w:rsidP="007E4A2F">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33</w:t>
            </w:r>
          </w:p>
        </w:tc>
        <w:tc>
          <w:tcPr>
            <w:tcW w:w="2409" w:type="dxa"/>
            <w:tcBorders>
              <w:bottom w:val="single" w:sz="4" w:space="0" w:color="auto"/>
            </w:tcBorders>
            <w:shd w:val="clear" w:color="auto" w:fill="auto"/>
            <w:noWrap/>
          </w:tcPr>
          <w:p w14:paraId="25137D4C" w14:textId="77777777" w:rsidR="007E4A2F" w:rsidRDefault="007E4A2F" w:rsidP="007E4A2F">
            <w:pPr>
              <w:tabs>
                <w:tab w:val="left" w:pos="1162"/>
              </w:tabs>
              <w:spacing w:line="240" w:lineRule="auto"/>
              <w:rPr>
                <w:rFonts w:cs="Arial"/>
                <w:color w:val="000000"/>
                <w:sz w:val="18"/>
                <w:szCs w:val="18"/>
              </w:rPr>
            </w:pPr>
            <w:r w:rsidRPr="00FA3851">
              <w:rPr>
                <w:rFonts w:cs="Arial"/>
                <w:color w:val="000000"/>
                <w:sz w:val="18"/>
                <w:szCs w:val="18"/>
              </w:rPr>
              <w:t>_adj_privpat_serv</w:t>
            </w:r>
          </w:p>
        </w:tc>
        <w:tc>
          <w:tcPr>
            <w:tcW w:w="2835" w:type="dxa"/>
            <w:tcBorders>
              <w:bottom w:val="single" w:sz="4" w:space="0" w:color="auto"/>
            </w:tcBorders>
            <w:shd w:val="clear" w:color="auto" w:fill="auto"/>
          </w:tcPr>
          <w:p w14:paraId="77BA918A" w14:textId="77777777" w:rsidR="007E4A2F" w:rsidRDefault="007E4A2F" w:rsidP="007E4A2F">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s</w:t>
            </w:r>
            <w:r w:rsidRPr="00FA3851">
              <w:rPr>
                <w:rFonts w:cs="Arial"/>
                <w:color w:val="000000"/>
                <w:sz w:val="18"/>
                <w:szCs w:val="18"/>
              </w:rPr>
              <w:t>ervice adjustment</w:t>
            </w:r>
          </w:p>
        </w:tc>
        <w:tc>
          <w:tcPr>
            <w:tcW w:w="4541" w:type="dxa"/>
            <w:tcBorders>
              <w:bottom w:val="single" w:sz="4" w:space="0" w:color="auto"/>
            </w:tcBorders>
            <w:shd w:val="clear" w:color="auto" w:fill="auto"/>
          </w:tcPr>
          <w:p w14:paraId="4B6E5F88" w14:textId="77777777" w:rsidR="007E4A2F"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_pat_private_flag *</w:t>
            </w:r>
            <w:r w:rsidRPr="001729CF">
              <w:rPr>
                <w:rFonts w:cs="Arial"/>
                <w:color w:val="000000"/>
                <w:sz w:val="18"/>
                <w:szCs w:val="18"/>
              </w:rPr>
              <w:t>caretype_adj_privpat_serv</w:t>
            </w:r>
            <w:r w:rsidRPr="00FA3851">
              <w:rPr>
                <w:rFonts w:cs="Arial"/>
                <w:color w:val="000000"/>
                <w:sz w:val="18"/>
                <w:szCs w:val="18"/>
              </w:rPr>
              <w:t>*(_w01)</w:t>
            </w:r>
            <w:r w:rsidRPr="00FA3851" w:rsidDel="00712BAD">
              <w:rPr>
                <w:rFonts w:cs="Arial"/>
                <w:color w:val="000000"/>
                <w:sz w:val="18"/>
                <w:szCs w:val="18"/>
              </w:rPr>
              <w:t xml:space="preserve"> </w:t>
            </w:r>
          </w:p>
        </w:tc>
      </w:tr>
      <w:tr w:rsidR="00C36A9E" w:rsidRPr="00496274" w14:paraId="61428367"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7B7CCB24" w14:textId="77777777" w:rsidR="007E4A2F" w:rsidRPr="00D873B6"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S34</w:t>
            </w:r>
          </w:p>
        </w:tc>
        <w:tc>
          <w:tcPr>
            <w:tcW w:w="2409" w:type="dxa"/>
            <w:tcBorders>
              <w:bottom w:val="single" w:sz="4" w:space="0" w:color="auto"/>
            </w:tcBorders>
            <w:shd w:val="clear" w:color="auto" w:fill="auto"/>
            <w:noWrap/>
          </w:tcPr>
          <w:p w14:paraId="7D8A2986" w14:textId="77777777" w:rsidR="007E4A2F" w:rsidRPr="00FA3851" w:rsidRDefault="007E4A2F" w:rsidP="007E4A2F">
            <w:pPr>
              <w:tabs>
                <w:tab w:val="left" w:pos="1162"/>
              </w:tabs>
              <w:spacing w:line="240" w:lineRule="auto"/>
              <w:rPr>
                <w:rFonts w:cs="Arial"/>
                <w:color w:val="000000"/>
                <w:sz w:val="18"/>
                <w:szCs w:val="18"/>
              </w:rPr>
            </w:pPr>
            <w:r w:rsidRPr="00FA3851">
              <w:rPr>
                <w:rFonts w:cs="Arial"/>
                <w:color w:val="000000"/>
                <w:sz w:val="18"/>
                <w:szCs w:val="18"/>
              </w:rPr>
              <w:t>_adj_privpat_accom</w:t>
            </w:r>
          </w:p>
        </w:tc>
        <w:tc>
          <w:tcPr>
            <w:tcW w:w="2835" w:type="dxa"/>
            <w:tcBorders>
              <w:bottom w:val="single" w:sz="4" w:space="0" w:color="auto"/>
            </w:tcBorders>
            <w:shd w:val="clear" w:color="auto" w:fill="auto"/>
          </w:tcPr>
          <w:p w14:paraId="3867E6DA" w14:textId="77777777" w:rsidR="007E4A2F" w:rsidRPr="00FA3851" w:rsidRDefault="007E4A2F" w:rsidP="007E4A2F">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a</w:t>
            </w:r>
            <w:r w:rsidRPr="00FA3851">
              <w:rPr>
                <w:rFonts w:cs="Arial"/>
                <w:color w:val="000000"/>
                <w:sz w:val="18"/>
                <w:szCs w:val="18"/>
              </w:rPr>
              <w:t>ccommodation adjustment</w:t>
            </w:r>
          </w:p>
        </w:tc>
        <w:tc>
          <w:tcPr>
            <w:tcW w:w="4541" w:type="dxa"/>
            <w:tcBorders>
              <w:bottom w:val="single" w:sz="4" w:space="0" w:color="auto"/>
            </w:tcBorders>
            <w:shd w:val="clear" w:color="auto" w:fill="auto"/>
          </w:tcPr>
          <w:p w14:paraId="051005B3"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_pat_private_flag*(_pat_</w:t>
            </w:r>
            <w:r>
              <w:rPr>
                <w:rFonts w:cs="Arial"/>
                <w:color w:val="000000"/>
                <w:sz w:val="18"/>
                <w:szCs w:val="18"/>
              </w:rPr>
              <w:t>same-day</w:t>
            </w:r>
            <w:r w:rsidRPr="00FA3851">
              <w:rPr>
                <w:rFonts w:cs="Arial"/>
                <w:color w:val="000000"/>
                <w:sz w:val="18"/>
                <w:szCs w:val="18"/>
              </w:rPr>
              <w:t>_flag*state_adj_private_accom_sd+</w:t>
            </w:r>
          </w:p>
          <w:p w14:paraId="52B768F6"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(1-_pat_</w:t>
            </w:r>
            <w:r>
              <w:rPr>
                <w:rFonts w:cs="Arial"/>
                <w:color w:val="000000"/>
                <w:sz w:val="18"/>
                <w:szCs w:val="18"/>
              </w:rPr>
              <w:t>same-day</w:t>
            </w:r>
            <w:r w:rsidRPr="00FA3851">
              <w:rPr>
                <w:rFonts w:cs="Arial"/>
                <w:color w:val="000000"/>
                <w:sz w:val="18"/>
                <w:szCs w:val="18"/>
              </w:rPr>
              <w:t>_flag)*_pat_los*state_adj_privpat_accomm_on)</w:t>
            </w:r>
          </w:p>
        </w:tc>
      </w:tr>
      <w:tr w:rsidR="00C36A9E" w:rsidRPr="00496274" w14:paraId="7EBB47D4"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4FB7DEAF" w14:textId="77777777" w:rsidR="007E4A2F" w:rsidRPr="00B777B6" w:rsidRDefault="007E4A2F" w:rsidP="007E4A2F">
            <w:pPr>
              <w:tabs>
                <w:tab w:val="left" w:pos="1162"/>
              </w:tabs>
              <w:spacing w:line="240" w:lineRule="auto"/>
              <w:rPr>
                <w:rFonts w:eastAsiaTheme="minorHAnsi" w:cs="Arial"/>
                <w:b/>
                <w:noProof/>
                <w:color w:val="000000"/>
                <w:sz w:val="18"/>
                <w:szCs w:val="18"/>
              </w:rPr>
            </w:pPr>
            <w:r w:rsidRPr="00B777B6">
              <w:rPr>
                <w:rFonts w:cs="Arial"/>
                <w:color w:val="000000"/>
                <w:sz w:val="18"/>
                <w:szCs w:val="18"/>
              </w:rPr>
              <w:t>S3</w:t>
            </w:r>
            <w:r>
              <w:rPr>
                <w:rFonts w:cs="Arial"/>
                <w:color w:val="000000"/>
                <w:sz w:val="18"/>
                <w:szCs w:val="18"/>
              </w:rPr>
              <w:t>5</w:t>
            </w:r>
          </w:p>
        </w:tc>
        <w:tc>
          <w:tcPr>
            <w:tcW w:w="2409" w:type="dxa"/>
            <w:tcBorders>
              <w:bottom w:val="single" w:sz="4" w:space="0" w:color="auto"/>
            </w:tcBorders>
            <w:shd w:val="clear" w:color="auto" w:fill="auto"/>
            <w:noWrap/>
          </w:tcPr>
          <w:p w14:paraId="5BE6B85D" w14:textId="11617A7A" w:rsidR="007E4A2F" w:rsidRPr="00B777B6" w:rsidRDefault="00A77141" w:rsidP="007E4A2F">
            <w:pPr>
              <w:tabs>
                <w:tab w:val="left" w:pos="1162"/>
              </w:tabs>
              <w:spacing w:line="240" w:lineRule="auto"/>
              <w:rPr>
                <w:rFonts w:cs="Arial"/>
                <w:color w:val="000000"/>
                <w:sz w:val="18"/>
                <w:szCs w:val="18"/>
              </w:rPr>
            </w:pPr>
            <w:r>
              <w:rPr>
                <w:rFonts w:cs="Arial"/>
                <w:color w:val="000000"/>
                <w:sz w:val="18"/>
                <w:szCs w:val="18"/>
              </w:rPr>
              <w:t>NWAU22</w:t>
            </w:r>
          </w:p>
        </w:tc>
        <w:tc>
          <w:tcPr>
            <w:tcW w:w="2835" w:type="dxa"/>
            <w:tcBorders>
              <w:bottom w:val="single" w:sz="4" w:space="0" w:color="auto"/>
            </w:tcBorders>
            <w:shd w:val="clear" w:color="auto" w:fill="auto"/>
          </w:tcPr>
          <w:p w14:paraId="3D3BAAFE" w14:textId="77777777" w:rsidR="007E4A2F" w:rsidRPr="00B777B6" w:rsidRDefault="007E4A2F" w:rsidP="007E4A2F">
            <w:pPr>
              <w:tabs>
                <w:tab w:val="left" w:pos="1162"/>
              </w:tabs>
              <w:spacing w:line="240" w:lineRule="auto"/>
              <w:rPr>
                <w:rFonts w:cs="Arial"/>
                <w:color w:val="000000"/>
                <w:sz w:val="18"/>
                <w:szCs w:val="18"/>
              </w:rPr>
            </w:pPr>
            <w:r w:rsidRPr="00B777B6">
              <w:rPr>
                <w:rFonts w:cs="Arial"/>
                <w:color w:val="000000"/>
                <w:sz w:val="18"/>
                <w:szCs w:val="18"/>
              </w:rPr>
              <w:t>National weighted activity unit</w:t>
            </w:r>
          </w:p>
        </w:tc>
        <w:tc>
          <w:tcPr>
            <w:tcW w:w="4541" w:type="dxa"/>
            <w:tcBorders>
              <w:bottom w:val="single" w:sz="4" w:space="0" w:color="auto"/>
            </w:tcBorders>
            <w:shd w:val="clear" w:color="auto" w:fill="auto"/>
          </w:tcPr>
          <w:p w14:paraId="351B98A2" w14:textId="03C99C7F" w:rsidR="007E4A2F" w:rsidRPr="00B777B6" w:rsidRDefault="007E4A2F" w:rsidP="007E4A2F">
            <w:pPr>
              <w:tabs>
                <w:tab w:val="left" w:pos="1162"/>
              </w:tabs>
              <w:spacing w:before="80" w:after="80" w:line="240" w:lineRule="auto"/>
              <w:rPr>
                <w:rFonts w:cs="Arial"/>
                <w:color w:val="000000"/>
                <w:sz w:val="18"/>
                <w:szCs w:val="18"/>
              </w:rPr>
            </w:pPr>
            <w:r w:rsidRPr="00B777B6">
              <w:rPr>
                <w:rFonts w:cs="Arial"/>
                <w:color w:val="000000"/>
                <w:sz w:val="18"/>
                <w:szCs w:val="18"/>
              </w:rPr>
              <w:t xml:space="preserve">Max( 0, </w:t>
            </w:r>
            <w:r w:rsidR="00A77141">
              <w:rPr>
                <w:rFonts w:cs="Arial"/>
                <w:color w:val="000000"/>
                <w:sz w:val="18"/>
                <w:szCs w:val="18"/>
              </w:rPr>
              <w:t>GWAU22</w:t>
            </w:r>
            <w:r w:rsidR="00836FC5">
              <w:rPr>
                <w:rFonts w:cs="Arial"/>
                <w:color w:val="000000"/>
                <w:sz w:val="18"/>
                <w:szCs w:val="18"/>
              </w:rPr>
              <w:t xml:space="preserve"> </w:t>
            </w:r>
            <w:r w:rsidRPr="00B777B6">
              <w:rPr>
                <w:rFonts w:cs="Arial"/>
                <w:color w:val="000000"/>
                <w:sz w:val="18"/>
                <w:szCs w:val="18"/>
              </w:rPr>
              <w:t>- _adj_privpat_serv-_adj_privpat_accomm) for only in-scope funding sources</w:t>
            </w:r>
            <w:r>
              <w:rPr>
                <w:rFonts w:cs="Arial"/>
                <w:color w:val="000000"/>
                <w:sz w:val="18"/>
                <w:szCs w:val="18"/>
              </w:rPr>
              <w:t>, set as necessary in the template.</w:t>
            </w:r>
          </w:p>
        </w:tc>
      </w:tr>
    </w:tbl>
    <w:p w14:paraId="71BF8D11" w14:textId="77777777" w:rsidR="00561E6C" w:rsidRDefault="00561E6C">
      <w:pPr>
        <w:spacing w:before="0" w:after="0" w:line="240" w:lineRule="auto"/>
        <w:rPr>
          <w:b/>
        </w:rPr>
      </w:pPr>
    </w:p>
    <w:p w14:paraId="5C93CB85" w14:textId="77777777" w:rsidR="00561E6C" w:rsidRPr="00B325D8" w:rsidRDefault="00561E6C" w:rsidP="004D15C4">
      <w:pPr>
        <w:keepNext/>
        <w:spacing w:line="240" w:lineRule="auto"/>
        <w:rPr>
          <w:b/>
        </w:rPr>
      </w:pPr>
      <w:r w:rsidRPr="00B325D8">
        <w:rPr>
          <w:b/>
        </w:rPr>
        <w:t xml:space="preserve">Table </w:t>
      </w:r>
      <w:r w:rsidR="00176BB4">
        <w:rPr>
          <w:b/>
          <w:noProof/>
        </w:rPr>
        <w:t>2</w:t>
      </w:r>
      <w:r w:rsidR="00DE3F2F">
        <w:rPr>
          <w:b/>
          <w:noProof/>
        </w:rPr>
        <w:t>6</w:t>
      </w:r>
      <w:r w:rsidRPr="00B325D8">
        <w:rPr>
          <w:b/>
        </w:rPr>
        <w:t xml:space="preserve">: </w:t>
      </w:r>
      <w:r>
        <w:rPr>
          <w:b/>
        </w:rPr>
        <w:t>Emergency department: variable definitions</w:t>
      </w:r>
    </w:p>
    <w:tbl>
      <w:tblPr>
        <w:tblW w:w="10773" w:type="dxa"/>
        <w:tblInd w:w="-57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Table 25: Emergency department: variable definitions."/>
      </w:tblPr>
      <w:tblGrid>
        <w:gridCol w:w="1134"/>
        <w:gridCol w:w="1985"/>
        <w:gridCol w:w="3118"/>
        <w:gridCol w:w="4536"/>
      </w:tblGrid>
      <w:tr w:rsidR="00000669" w:rsidRPr="00BA577C" w14:paraId="176D3181" w14:textId="77777777" w:rsidTr="10D0206E">
        <w:trPr>
          <w:cantSplit/>
          <w:trHeight w:val="245"/>
          <w:tblHeader/>
        </w:trPr>
        <w:tc>
          <w:tcPr>
            <w:tcW w:w="1134" w:type="dxa"/>
            <w:shd w:val="clear" w:color="auto" w:fill="288A32"/>
            <w:noWrap/>
            <w:vAlign w:val="center"/>
            <w:hideMark/>
          </w:tcPr>
          <w:p w14:paraId="2CF3A162" w14:textId="77777777" w:rsidR="00561E6C" w:rsidRPr="00BA577C" w:rsidRDefault="00561E6C" w:rsidP="00E050EA">
            <w:pPr>
              <w:tabs>
                <w:tab w:val="left" w:pos="1162"/>
              </w:tabs>
              <w:spacing w:before="80" w:after="80" w:line="240" w:lineRule="auto"/>
              <w:rPr>
                <w:rFonts w:cs="Arial"/>
                <w:b/>
                <w:bCs/>
                <w:color w:val="FFFFFF" w:themeColor="background1"/>
                <w:sz w:val="20"/>
                <w:szCs w:val="20"/>
              </w:rPr>
            </w:pPr>
            <w:r w:rsidRPr="00BA577C">
              <w:rPr>
                <w:rFonts w:cs="Arial"/>
                <w:b/>
                <w:bCs/>
                <w:color w:val="FFFFFF" w:themeColor="background1"/>
                <w:sz w:val="20"/>
                <w:szCs w:val="20"/>
              </w:rPr>
              <w:t>Variable</w:t>
            </w:r>
          </w:p>
        </w:tc>
        <w:tc>
          <w:tcPr>
            <w:tcW w:w="1985" w:type="dxa"/>
            <w:shd w:val="clear" w:color="auto" w:fill="288A32"/>
            <w:noWrap/>
            <w:vAlign w:val="center"/>
            <w:hideMark/>
          </w:tcPr>
          <w:p w14:paraId="1982EDF1" w14:textId="77777777" w:rsidR="00561E6C" w:rsidRPr="00BA577C" w:rsidRDefault="00561E6C" w:rsidP="00E050EA">
            <w:pPr>
              <w:tabs>
                <w:tab w:val="left" w:pos="1162"/>
              </w:tabs>
              <w:spacing w:before="80" w:after="80" w:line="240" w:lineRule="auto"/>
              <w:rPr>
                <w:rFonts w:cs="Arial"/>
                <w:b/>
                <w:bCs/>
                <w:color w:val="FFFFFF" w:themeColor="background1"/>
                <w:sz w:val="20"/>
                <w:szCs w:val="20"/>
              </w:rPr>
            </w:pPr>
            <w:r w:rsidRPr="00BA577C">
              <w:rPr>
                <w:rFonts w:cs="Arial"/>
                <w:b/>
                <w:bCs/>
                <w:color w:val="FFFFFF" w:themeColor="background1"/>
                <w:sz w:val="20"/>
                <w:szCs w:val="20"/>
              </w:rPr>
              <w:t>Name</w:t>
            </w:r>
          </w:p>
        </w:tc>
        <w:tc>
          <w:tcPr>
            <w:tcW w:w="3118" w:type="dxa"/>
            <w:shd w:val="clear" w:color="auto" w:fill="288A32"/>
            <w:vAlign w:val="center"/>
            <w:hideMark/>
          </w:tcPr>
          <w:p w14:paraId="4EEEF903" w14:textId="77777777" w:rsidR="00561E6C" w:rsidRPr="00BA577C" w:rsidRDefault="00561E6C" w:rsidP="00E050EA">
            <w:pPr>
              <w:tabs>
                <w:tab w:val="left" w:pos="1162"/>
              </w:tabs>
              <w:spacing w:before="80" w:after="80" w:line="240" w:lineRule="auto"/>
              <w:rPr>
                <w:rFonts w:cs="Arial"/>
                <w:b/>
                <w:bCs/>
                <w:color w:val="FFFFFF" w:themeColor="background1"/>
                <w:sz w:val="20"/>
                <w:szCs w:val="20"/>
              </w:rPr>
            </w:pPr>
            <w:r w:rsidRPr="00BA577C">
              <w:rPr>
                <w:rFonts w:cs="Arial"/>
                <w:b/>
                <w:bCs/>
                <w:color w:val="FFFFFF" w:themeColor="background1"/>
                <w:sz w:val="20"/>
                <w:szCs w:val="20"/>
              </w:rPr>
              <w:t>Description</w:t>
            </w:r>
          </w:p>
        </w:tc>
        <w:tc>
          <w:tcPr>
            <w:tcW w:w="4536" w:type="dxa"/>
            <w:shd w:val="clear" w:color="auto" w:fill="288A32"/>
            <w:vAlign w:val="center"/>
            <w:hideMark/>
          </w:tcPr>
          <w:p w14:paraId="40D3C65A" w14:textId="77777777" w:rsidR="00561E6C" w:rsidRPr="00BA577C" w:rsidRDefault="00561E6C" w:rsidP="00E050EA">
            <w:pPr>
              <w:tabs>
                <w:tab w:val="left" w:pos="1162"/>
              </w:tabs>
              <w:spacing w:before="80" w:after="80" w:line="240" w:lineRule="auto"/>
              <w:rPr>
                <w:rFonts w:cs="Arial"/>
                <w:b/>
                <w:bCs/>
                <w:color w:val="FFFFFF" w:themeColor="background1"/>
                <w:sz w:val="20"/>
                <w:szCs w:val="20"/>
              </w:rPr>
            </w:pPr>
            <w:r w:rsidRPr="00BA577C">
              <w:rPr>
                <w:rFonts w:cs="Arial"/>
                <w:b/>
                <w:bCs/>
                <w:color w:val="FFFFFF" w:themeColor="background1"/>
                <w:sz w:val="20"/>
                <w:szCs w:val="20"/>
              </w:rPr>
              <w:t>Definition</w:t>
            </w:r>
          </w:p>
        </w:tc>
      </w:tr>
      <w:tr w:rsidR="008C4F86" w:rsidRPr="00587976" w14:paraId="44B842D1" w14:textId="77777777" w:rsidTr="10D0206E">
        <w:trPr>
          <w:cantSplit/>
          <w:trHeight w:val="490"/>
        </w:trPr>
        <w:tc>
          <w:tcPr>
            <w:tcW w:w="1134" w:type="dxa"/>
            <w:tcBorders>
              <w:top w:val="single" w:sz="4" w:space="0" w:color="auto"/>
              <w:bottom w:val="single" w:sz="4" w:space="0" w:color="auto"/>
            </w:tcBorders>
            <w:shd w:val="clear" w:color="auto" w:fill="auto"/>
            <w:noWrap/>
          </w:tcPr>
          <w:p w14:paraId="5310EE4A"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E01</w:t>
            </w:r>
          </w:p>
        </w:tc>
        <w:tc>
          <w:tcPr>
            <w:tcW w:w="1985" w:type="dxa"/>
            <w:shd w:val="clear" w:color="auto" w:fill="auto"/>
            <w:noWrap/>
          </w:tcPr>
          <w:p w14:paraId="4B927136"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_treat_remoteness</w:t>
            </w:r>
          </w:p>
        </w:tc>
        <w:tc>
          <w:tcPr>
            <w:tcW w:w="3118" w:type="dxa"/>
            <w:shd w:val="clear" w:color="auto" w:fill="auto"/>
            <w:noWrap/>
          </w:tcPr>
          <w:p w14:paraId="4C0E06C6"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 treatment remoteness area</w:t>
            </w:r>
          </w:p>
        </w:tc>
        <w:tc>
          <w:tcPr>
            <w:tcW w:w="4536" w:type="dxa"/>
            <w:shd w:val="clear" w:color="auto" w:fill="auto"/>
          </w:tcPr>
          <w:p w14:paraId="5126B1D2" w14:textId="77777777" w:rsidR="007E4A2F" w:rsidRDefault="007E4A2F" w:rsidP="007E4A2F">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5480A19A"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65C46264"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39FF812D"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1A0B75F0" w14:textId="77777777" w:rsidR="007E4A2F" w:rsidRPr="00822178"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8C4F86" w:rsidRPr="00587976" w14:paraId="4238933F" w14:textId="77777777" w:rsidTr="10D0206E">
        <w:trPr>
          <w:cantSplit/>
          <w:trHeight w:val="490"/>
        </w:trPr>
        <w:tc>
          <w:tcPr>
            <w:tcW w:w="1134" w:type="dxa"/>
            <w:tcBorders>
              <w:top w:val="single" w:sz="4" w:space="0" w:color="auto"/>
              <w:bottom w:val="single" w:sz="4" w:space="0" w:color="auto"/>
            </w:tcBorders>
            <w:shd w:val="clear" w:color="auto" w:fill="auto"/>
            <w:noWrap/>
          </w:tcPr>
          <w:p w14:paraId="6BE82277"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E02</w:t>
            </w:r>
          </w:p>
        </w:tc>
        <w:tc>
          <w:tcPr>
            <w:tcW w:w="1985" w:type="dxa"/>
            <w:shd w:val="clear" w:color="auto" w:fill="auto"/>
            <w:noWrap/>
          </w:tcPr>
          <w:p w14:paraId="437F2791"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_pat</w:t>
            </w:r>
            <w:r w:rsidRPr="00822178">
              <w:rPr>
                <w:rFonts w:cs="Arial"/>
                <w:color w:val="000000"/>
                <w:sz w:val="18"/>
                <w:szCs w:val="18"/>
              </w:rPr>
              <w:t>_remoteness</w:t>
            </w:r>
          </w:p>
        </w:tc>
        <w:tc>
          <w:tcPr>
            <w:tcW w:w="3118" w:type="dxa"/>
            <w:shd w:val="clear" w:color="auto" w:fill="auto"/>
            <w:noWrap/>
          </w:tcPr>
          <w:p w14:paraId="001DB4BB" w14:textId="77777777" w:rsidR="007E4A2F" w:rsidRPr="00822178"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Remoteness Area</w:t>
            </w:r>
          </w:p>
        </w:tc>
        <w:tc>
          <w:tcPr>
            <w:tcW w:w="4536" w:type="dxa"/>
            <w:shd w:val="clear" w:color="auto" w:fill="auto"/>
          </w:tcPr>
          <w:p w14:paraId="0EAB0F40"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201</w:t>
            </w:r>
            <w:r>
              <w:rPr>
                <w:rFonts w:cs="Arial"/>
                <w:color w:val="000000"/>
                <w:sz w:val="18"/>
                <w:szCs w:val="18"/>
              </w:rPr>
              <w:t>6</w:t>
            </w:r>
            <w:r w:rsidRPr="00822178">
              <w:rPr>
                <w:rFonts w:cs="Arial"/>
                <w:color w:val="000000"/>
                <w:sz w:val="18"/>
                <w:szCs w:val="18"/>
              </w:rPr>
              <w:t xml:space="preserve"> ASGS </w:t>
            </w:r>
            <w:r>
              <w:rPr>
                <w:rFonts w:cs="Arial"/>
                <w:color w:val="000000"/>
                <w:sz w:val="18"/>
                <w:szCs w:val="18"/>
              </w:rPr>
              <w:t>r</w:t>
            </w:r>
            <w:r w:rsidRPr="00822178">
              <w:rPr>
                <w:rFonts w:cs="Arial"/>
                <w:color w:val="000000"/>
                <w:sz w:val="18"/>
                <w:szCs w:val="18"/>
              </w:rPr>
              <w:t xml:space="preserve">emoteness </w:t>
            </w:r>
            <w:r>
              <w:rPr>
                <w:rFonts w:cs="Arial"/>
                <w:color w:val="000000"/>
                <w:sz w:val="18"/>
                <w:szCs w:val="18"/>
              </w:rPr>
              <w:t>a</w:t>
            </w:r>
            <w:r w:rsidRPr="00822178">
              <w:rPr>
                <w:rFonts w:cs="Arial"/>
                <w:color w:val="000000"/>
                <w:sz w:val="18"/>
                <w:szCs w:val="18"/>
              </w:rPr>
              <w:t xml:space="preserve">rea category of the establishment location taken from </w:t>
            </w:r>
            <w:r>
              <w:rPr>
                <w:rFonts w:cs="Arial"/>
                <w:color w:val="000000"/>
                <w:sz w:val="18"/>
                <w:szCs w:val="18"/>
              </w:rPr>
              <w:t xml:space="preserve">patient postcode, ASGS, or </w:t>
            </w:r>
            <w:r w:rsidRPr="00822178">
              <w:rPr>
                <w:rFonts w:cs="Arial"/>
                <w:color w:val="000000"/>
                <w:sz w:val="18"/>
                <w:szCs w:val="18"/>
              </w:rPr>
              <w:t>the hospital geographical indicator variable,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5374CF42"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43400A59"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0AD9CF8D"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60FC182E"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8C4F86" w:rsidRPr="00587976" w14:paraId="54855ADB" w14:textId="77777777" w:rsidTr="10D0206E">
        <w:trPr>
          <w:cantSplit/>
          <w:trHeight w:val="490"/>
        </w:trPr>
        <w:tc>
          <w:tcPr>
            <w:tcW w:w="1134" w:type="dxa"/>
            <w:tcBorders>
              <w:top w:val="single" w:sz="4" w:space="0" w:color="auto"/>
              <w:bottom w:val="single" w:sz="4" w:space="0" w:color="auto"/>
            </w:tcBorders>
            <w:shd w:val="clear" w:color="auto" w:fill="auto"/>
            <w:noWrap/>
          </w:tcPr>
          <w:p w14:paraId="0F75BF5E"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E03</w:t>
            </w:r>
          </w:p>
        </w:tc>
        <w:tc>
          <w:tcPr>
            <w:tcW w:w="1985" w:type="dxa"/>
            <w:shd w:val="clear" w:color="auto" w:fill="auto"/>
            <w:noWrap/>
          </w:tcPr>
          <w:p w14:paraId="333B26B5" w14:textId="23BDD79F" w:rsidR="007E4A2F" w:rsidRDefault="007E4A2F" w:rsidP="007E4A2F">
            <w:pPr>
              <w:tabs>
                <w:tab w:val="left" w:pos="1162"/>
              </w:tabs>
              <w:spacing w:before="80" w:after="80" w:line="240" w:lineRule="auto"/>
              <w:rPr>
                <w:rFonts w:cs="Arial"/>
                <w:color w:val="000000"/>
                <w:sz w:val="18"/>
                <w:szCs w:val="18"/>
              </w:rPr>
            </w:pPr>
            <w:r w:rsidRPr="6762B360">
              <w:rPr>
                <w:rFonts w:cs="Arial"/>
                <w:color w:val="000000" w:themeColor="text1"/>
                <w:sz w:val="18"/>
                <w:szCs w:val="18"/>
              </w:rPr>
              <w:t>UDG</w:t>
            </w:r>
          </w:p>
        </w:tc>
        <w:tc>
          <w:tcPr>
            <w:tcW w:w="3118" w:type="dxa"/>
            <w:shd w:val="clear" w:color="auto" w:fill="auto"/>
            <w:noWrap/>
          </w:tcPr>
          <w:p w14:paraId="7F48B203"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UDG Version 1.3</w:t>
            </w:r>
          </w:p>
        </w:tc>
        <w:tc>
          <w:tcPr>
            <w:tcW w:w="4536" w:type="dxa"/>
            <w:shd w:val="clear" w:color="auto" w:fill="auto"/>
          </w:tcPr>
          <w:p w14:paraId="22E20923" w14:textId="77777777" w:rsidR="007E4A2F" w:rsidRPr="00822178" w:rsidRDefault="007E4A2F" w:rsidP="007E4A2F">
            <w:pPr>
              <w:tabs>
                <w:tab w:val="left" w:pos="1162"/>
              </w:tabs>
              <w:spacing w:before="80" w:after="80" w:line="240" w:lineRule="auto"/>
              <w:rPr>
                <w:rFonts w:cs="Arial"/>
                <w:color w:val="000000"/>
                <w:sz w:val="18"/>
                <w:szCs w:val="18"/>
              </w:rPr>
            </w:pPr>
            <w:r>
              <w:rPr>
                <w:rFonts w:cs="Arial"/>
                <w:color w:val="000000"/>
                <w:sz w:val="18"/>
                <w:szCs w:val="18"/>
              </w:rPr>
              <w:t>A classification system which may be used to assign a price weight to an emergency department episode of care. This variable may either be supplied by the user or derived from DSS variables: type of visit to emergency care, triage category, and episode end status. See IHPA website for details.</w:t>
            </w:r>
          </w:p>
        </w:tc>
      </w:tr>
      <w:tr w:rsidR="008C4F86" w:rsidRPr="00587976" w14:paraId="03AA70EA" w14:textId="77777777" w:rsidTr="10D0206E">
        <w:trPr>
          <w:cantSplit/>
          <w:trHeight w:val="490"/>
        </w:trPr>
        <w:tc>
          <w:tcPr>
            <w:tcW w:w="1134" w:type="dxa"/>
            <w:tcBorders>
              <w:top w:val="single" w:sz="4" w:space="0" w:color="auto"/>
              <w:bottom w:val="single" w:sz="4" w:space="0" w:color="auto"/>
            </w:tcBorders>
            <w:shd w:val="clear" w:color="auto" w:fill="auto"/>
            <w:noWrap/>
          </w:tcPr>
          <w:p w14:paraId="1AFB66EB"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lastRenderedPageBreak/>
              <w:t>E04</w:t>
            </w:r>
          </w:p>
        </w:tc>
        <w:tc>
          <w:tcPr>
            <w:tcW w:w="1985" w:type="dxa"/>
            <w:shd w:val="clear" w:color="auto" w:fill="auto"/>
            <w:noWrap/>
          </w:tcPr>
          <w:p w14:paraId="39A7F34E" w14:textId="4505A71C" w:rsidR="007E4A2F" w:rsidRDefault="007E4A2F" w:rsidP="007E4A2F">
            <w:pPr>
              <w:tabs>
                <w:tab w:val="left" w:pos="1162"/>
              </w:tabs>
              <w:spacing w:before="80" w:after="80" w:line="240" w:lineRule="auto"/>
              <w:rPr>
                <w:rFonts w:cs="Arial"/>
                <w:color w:val="000000"/>
                <w:sz w:val="18"/>
                <w:szCs w:val="18"/>
              </w:rPr>
            </w:pPr>
            <w:r w:rsidRPr="6762B360">
              <w:rPr>
                <w:rFonts w:cs="Arial"/>
                <w:color w:val="000000" w:themeColor="text1"/>
                <w:sz w:val="18"/>
                <w:szCs w:val="18"/>
              </w:rPr>
              <w:t>AECC</w:t>
            </w:r>
          </w:p>
        </w:tc>
        <w:tc>
          <w:tcPr>
            <w:tcW w:w="3118" w:type="dxa"/>
            <w:shd w:val="clear" w:color="auto" w:fill="auto"/>
            <w:noWrap/>
          </w:tcPr>
          <w:p w14:paraId="7B2DB812" w14:textId="77777777" w:rsidR="007E4A2F" w:rsidRDefault="00565FFE" w:rsidP="007E4A2F">
            <w:pPr>
              <w:tabs>
                <w:tab w:val="left" w:pos="1162"/>
              </w:tabs>
              <w:spacing w:before="80" w:after="80" w:line="240" w:lineRule="auto"/>
              <w:rPr>
                <w:rFonts w:cs="Arial"/>
                <w:color w:val="000000"/>
                <w:sz w:val="18"/>
                <w:szCs w:val="18"/>
              </w:rPr>
            </w:pPr>
            <w:r>
              <w:rPr>
                <w:rFonts w:cs="Arial"/>
                <w:color w:val="000000"/>
                <w:sz w:val="18"/>
                <w:szCs w:val="18"/>
              </w:rPr>
              <w:t>AECC Version 1.</w:t>
            </w:r>
            <w:r w:rsidR="0005021D">
              <w:rPr>
                <w:rFonts w:cs="Arial"/>
                <w:color w:val="000000"/>
                <w:sz w:val="18"/>
                <w:szCs w:val="18"/>
              </w:rPr>
              <w:t>0</w:t>
            </w:r>
          </w:p>
        </w:tc>
        <w:tc>
          <w:tcPr>
            <w:tcW w:w="4536" w:type="dxa"/>
            <w:shd w:val="clear" w:color="auto" w:fill="auto"/>
          </w:tcPr>
          <w:p w14:paraId="23FB8859" w14:textId="77777777" w:rsidR="007E4A2F" w:rsidRPr="00822178" w:rsidRDefault="007E4A2F" w:rsidP="007E4A2F">
            <w:pPr>
              <w:tabs>
                <w:tab w:val="left" w:pos="1162"/>
              </w:tabs>
              <w:spacing w:before="80" w:after="80" w:line="240" w:lineRule="auto"/>
              <w:rPr>
                <w:rFonts w:cs="Arial"/>
                <w:color w:val="000000"/>
                <w:sz w:val="18"/>
                <w:szCs w:val="18"/>
              </w:rPr>
            </w:pPr>
            <w:r>
              <w:rPr>
                <w:rFonts w:cs="Arial"/>
                <w:color w:val="000000"/>
                <w:sz w:val="18"/>
                <w:szCs w:val="18"/>
              </w:rPr>
              <w:t>A classification system which may be used to assign a price weight to an emergency department episode of care. This variable must be supplied by the user.</w:t>
            </w:r>
          </w:p>
        </w:tc>
      </w:tr>
      <w:tr w:rsidR="008C4F86" w:rsidRPr="00587976" w14:paraId="72A232D6" w14:textId="77777777" w:rsidTr="10D0206E">
        <w:trPr>
          <w:cantSplit/>
          <w:trHeight w:val="490"/>
        </w:trPr>
        <w:tc>
          <w:tcPr>
            <w:tcW w:w="1134" w:type="dxa"/>
            <w:tcBorders>
              <w:top w:val="single" w:sz="4" w:space="0" w:color="auto"/>
              <w:bottom w:val="single" w:sz="4" w:space="0" w:color="auto"/>
            </w:tcBorders>
            <w:shd w:val="clear" w:color="auto" w:fill="auto"/>
            <w:noWrap/>
          </w:tcPr>
          <w:p w14:paraId="3CBA656C"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E05</w:t>
            </w:r>
          </w:p>
        </w:tc>
        <w:tc>
          <w:tcPr>
            <w:tcW w:w="1985" w:type="dxa"/>
            <w:shd w:val="clear" w:color="auto" w:fill="auto"/>
            <w:noWrap/>
          </w:tcPr>
          <w:p w14:paraId="55D1C4B6"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_pat_ind_flag</w:t>
            </w:r>
          </w:p>
        </w:tc>
        <w:tc>
          <w:tcPr>
            <w:tcW w:w="3118" w:type="dxa"/>
            <w:shd w:val="clear" w:color="auto" w:fill="auto"/>
            <w:noWrap/>
          </w:tcPr>
          <w:p w14:paraId="6B746A35"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Indigenous patient flag</w:t>
            </w:r>
          </w:p>
        </w:tc>
        <w:tc>
          <w:tcPr>
            <w:tcW w:w="4536" w:type="dxa"/>
            <w:shd w:val="clear" w:color="auto" w:fill="auto"/>
          </w:tcPr>
          <w:p w14:paraId="083D3764" w14:textId="362EE347" w:rsidR="007E4A2F" w:rsidRPr="00822178" w:rsidRDefault="1174962C" w:rsidP="6BFE2E86">
            <w:pPr>
              <w:tabs>
                <w:tab w:val="left" w:pos="1162"/>
              </w:tabs>
              <w:spacing w:before="80" w:after="80" w:line="240" w:lineRule="auto"/>
              <w:rPr>
                <w:rFonts w:cs="Arial"/>
                <w:color w:val="000000" w:themeColor="text1"/>
                <w:sz w:val="18"/>
                <w:szCs w:val="18"/>
              </w:rPr>
            </w:pPr>
            <w:r w:rsidRPr="6BFE2E86">
              <w:rPr>
                <w:rFonts w:cs="Arial"/>
                <w:color w:val="000000" w:themeColor="text1"/>
                <w:sz w:val="18"/>
                <w:szCs w:val="18"/>
              </w:rPr>
              <w:t>1 if patient Indigenous status = 1, 2 or 3; else 0.</w:t>
            </w:r>
          </w:p>
          <w:p w14:paraId="6C1B6943" w14:textId="7A92A726" w:rsidR="007E4A2F" w:rsidRPr="00822178" w:rsidRDefault="007E4A2F" w:rsidP="007E4A2F">
            <w:pPr>
              <w:tabs>
                <w:tab w:val="left" w:pos="1162"/>
              </w:tabs>
              <w:spacing w:before="80" w:after="80" w:line="240" w:lineRule="auto"/>
              <w:rPr>
                <w:color w:val="000000"/>
                <w:szCs w:val="22"/>
              </w:rPr>
            </w:pPr>
          </w:p>
        </w:tc>
      </w:tr>
      <w:tr w:rsidR="008C4F86" w:rsidRPr="00587976" w14:paraId="2F66B438" w14:textId="77777777" w:rsidTr="10D0206E">
        <w:trPr>
          <w:cantSplit/>
          <w:trHeight w:val="490"/>
        </w:trPr>
        <w:tc>
          <w:tcPr>
            <w:tcW w:w="1134" w:type="dxa"/>
            <w:tcBorders>
              <w:top w:val="single" w:sz="4" w:space="0" w:color="auto"/>
            </w:tcBorders>
            <w:shd w:val="clear" w:color="auto" w:fill="auto"/>
            <w:noWrap/>
            <w:hideMark/>
          </w:tcPr>
          <w:p w14:paraId="5385338D" w14:textId="77777777" w:rsidR="007E4A2F" w:rsidRPr="009B707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E06</w:t>
            </w:r>
          </w:p>
        </w:tc>
        <w:tc>
          <w:tcPr>
            <w:tcW w:w="1985" w:type="dxa"/>
            <w:shd w:val="clear" w:color="auto" w:fill="auto"/>
            <w:noWrap/>
            <w:hideMark/>
          </w:tcPr>
          <w:p w14:paraId="38179325"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UDG_PW</w:t>
            </w:r>
          </w:p>
        </w:tc>
        <w:tc>
          <w:tcPr>
            <w:tcW w:w="3118" w:type="dxa"/>
            <w:vMerge w:val="restart"/>
            <w:shd w:val="clear" w:color="auto" w:fill="auto"/>
            <w:noWrap/>
          </w:tcPr>
          <w:p w14:paraId="7B74D3FF"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Price weight depending on choice of classification</w:t>
            </w:r>
          </w:p>
        </w:tc>
        <w:tc>
          <w:tcPr>
            <w:tcW w:w="4536" w:type="dxa"/>
            <w:shd w:val="clear" w:color="auto" w:fill="auto"/>
            <w:hideMark/>
          </w:tcPr>
          <w:p w14:paraId="4BF5CA82" w14:textId="2F91CAF8" w:rsidR="007E4A2F" w:rsidRPr="009B707F" w:rsidRDefault="007E4A2F" w:rsidP="007E4A2F">
            <w:pPr>
              <w:tabs>
                <w:tab w:val="left" w:pos="1162"/>
              </w:tabs>
              <w:spacing w:before="80" w:after="80" w:line="240" w:lineRule="auto"/>
              <w:rPr>
                <w:rFonts w:cs="Arial"/>
                <w:color w:val="000000"/>
                <w:sz w:val="18"/>
                <w:szCs w:val="18"/>
              </w:rPr>
            </w:pPr>
            <w:r w:rsidRPr="6BFE2E86">
              <w:rPr>
                <w:rFonts w:cs="Arial"/>
                <w:color w:val="000000" w:themeColor="text1"/>
                <w:sz w:val="18"/>
                <w:szCs w:val="18"/>
              </w:rPr>
              <w:t>UDG price weight, taken from the NWAU UDG price weight table.</w:t>
            </w:r>
          </w:p>
        </w:tc>
      </w:tr>
      <w:tr w:rsidR="00A90801" w:rsidRPr="00587976" w14:paraId="2D49BD0A" w14:textId="77777777" w:rsidTr="10D0206E">
        <w:trPr>
          <w:cantSplit/>
          <w:trHeight w:val="245"/>
        </w:trPr>
        <w:tc>
          <w:tcPr>
            <w:tcW w:w="1134" w:type="dxa"/>
            <w:shd w:val="clear" w:color="auto" w:fill="auto"/>
            <w:noWrap/>
          </w:tcPr>
          <w:p w14:paraId="121C9DC4" w14:textId="77777777" w:rsidR="007E4A2F" w:rsidRDefault="007E4A2F" w:rsidP="00C36A9E">
            <w:pPr>
              <w:tabs>
                <w:tab w:val="left" w:pos="1162"/>
              </w:tabs>
              <w:spacing w:before="80" w:after="80" w:line="240" w:lineRule="auto"/>
              <w:rPr>
                <w:rFonts w:cs="Arial"/>
                <w:color w:val="000000"/>
                <w:sz w:val="18"/>
                <w:szCs w:val="18"/>
              </w:rPr>
            </w:pPr>
            <w:r>
              <w:rPr>
                <w:rFonts w:cs="Arial"/>
                <w:color w:val="000000"/>
                <w:sz w:val="18"/>
                <w:szCs w:val="18"/>
              </w:rPr>
              <w:t>E0</w:t>
            </w:r>
            <w:r w:rsidR="00C36A9E">
              <w:rPr>
                <w:rFonts w:cs="Arial"/>
                <w:color w:val="000000"/>
                <w:sz w:val="18"/>
                <w:szCs w:val="18"/>
              </w:rPr>
              <w:t>7</w:t>
            </w:r>
          </w:p>
        </w:tc>
        <w:tc>
          <w:tcPr>
            <w:tcW w:w="1985" w:type="dxa"/>
            <w:shd w:val="clear" w:color="auto" w:fill="auto"/>
            <w:noWrap/>
          </w:tcPr>
          <w:p w14:paraId="6EDD1E60"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AECC_PW</w:t>
            </w:r>
          </w:p>
        </w:tc>
        <w:tc>
          <w:tcPr>
            <w:tcW w:w="3118" w:type="dxa"/>
            <w:vMerge/>
            <w:noWrap/>
          </w:tcPr>
          <w:p w14:paraId="33E32F3A" w14:textId="77777777" w:rsidR="007E4A2F" w:rsidRPr="009B707F" w:rsidRDefault="007E4A2F" w:rsidP="007E4A2F">
            <w:pPr>
              <w:tabs>
                <w:tab w:val="left" w:pos="1162"/>
              </w:tabs>
              <w:spacing w:before="80" w:after="80" w:line="240" w:lineRule="auto"/>
              <w:rPr>
                <w:rFonts w:cs="Arial"/>
                <w:color w:val="000000"/>
                <w:sz w:val="18"/>
                <w:szCs w:val="18"/>
              </w:rPr>
            </w:pPr>
          </w:p>
        </w:tc>
        <w:tc>
          <w:tcPr>
            <w:tcW w:w="4536" w:type="dxa"/>
            <w:shd w:val="clear" w:color="auto" w:fill="auto"/>
            <w:noWrap/>
          </w:tcPr>
          <w:p w14:paraId="2D97A2B5" w14:textId="07246988" w:rsidR="007E4A2F" w:rsidRPr="009B707F" w:rsidRDefault="007E4A2F" w:rsidP="007E4A2F">
            <w:pPr>
              <w:tabs>
                <w:tab w:val="left" w:pos="1162"/>
              </w:tabs>
              <w:spacing w:before="80" w:after="80" w:line="240" w:lineRule="auto"/>
              <w:rPr>
                <w:rFonts w:cs="Arial"/>
                <w:color w:val="000000"/>
                <w:sz w:val="18"/>
                <w:szCs w:val="18"/>
              </w:rPr>
            </w:pPr>
            <w:r w:rsidRPr="3D0911E0">
              <w:rPr>
                <w:rFonts w:cs="Arial"/>
                <w:color w:val="000000" w:themeColor="text1"/>
                <w:sz w:val="18"/>
                <w:szCs w:val="18"/>
              </w:rPr>
              <w:t xml:space="preserve">Australian Emergency Care Classification </w:t>
            </w:r>
            <w:r w:rsidR="00026E8F" w:rsidRPr="3D0911E0">
              <w:rPr>
                <w:rFonts w:cs="Arial"/>
                <w:color w:val="000000" w:themeColor="text1"/>
                <w:sz w:val="18"/>
                <w:szCs w:val="18"/>
              </w:rPr>
              <w:t xml:space="preserve">(AECC) </w:t>
            </w:r>
            <w:r w:rsidRPr="3D0911E0">
              <w:rPr>
                <w:rFonts w:cs="Arial"/>
                <w:color w:val="000000" w:themeColor="text1"/>
                <w:sz w:val="18"/>
                <w:szCs w:val="18"/>
              </w:rPr>
              <w:t>Version 1.0 price weight, taken from the NWAU AECC price weight table.</w:t>
            </w:r>
          </w:p>
        </w:tc>
      </w:tr>
      <w:tr w:rsidR="00A90801" w:rsidRPr="00587976" w14:paraId="4CE50A08" w14:textId="77777777" w:rsidTr="10D0206E">
        <w:trPr>
          <w:cantSplit/>
          <w:trHeight w:val="245"/>
        </w:trPr>
        <w:tc>
          <w:tcPr>
            <w:tcW w:w="1134" w:type="dxa"/>
            <w:shd w:val="clear" w:color="auto" w:fill="auto"/>
            <w:noWrap/>
            <w:hideMark/>
          </w:tcPr>
          <w:p w14:paraId="00E606D2" w14:textId="77777777" w:rsidR="007E4A2F" w:rsidRPr="009B707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E08</w:t>
            </w:r>
          </w:p>
        </w:tc>
        <w:tc>
          <w:tcPr>
            <w:tcW w:w="1985" w:type="dxa"/>
            <w:shd w:val="clear" w:color="auto" w:fill="auto"/>
            <w:noWrap/>
            <w:hideMark/>
          </w:tcPr>
          <w:p w14:paraId="13A06622"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adj_</w:t>
            </w:r>
            <w:r w:rsidRPr="009B707F">
              <w:rPr>
                <w:rFonts w:cs="Arial"/>
                <w:color w:val="000000"/>
                <w:sz w:val="18"/>
                <w:szCs w:val="18"/>
              </w:rPr>
              <w:t>indigenous</w:t>
            </w:r>
            <w:r w:rsidRPr="009B707F" w:rsidDel="00AC6897">
              <w:rPr>
                <w:rFonts w:cs="Arial"/>
                <w:color w:val="000000"/>
                <w:sz w:val="18"/>
                <w:szCs w:val="18"/>
              </w:rPr>
              <w:t xml:space="preserve"> </w:t>
            </w:r>
          </w:p>
        </w:tc>
        <w:tc>
          <w:tcPr>
            <w:tcW w:w="3118" w:type="dxa"/>
            <w:shd w:val="clear" w:color="auto" w:fill="auto"/>
            <w:noWrap/>
          </w:tcPr>
          <w:p w14:paraId="0B7AD08A" w14:textId="77777777" w:rsidR="007E4A2F" w:rsidRPr="009B707F" w:rsidRDefault="007E4A2F" w:rsidP="007E4A2F">
            <w:pPr>
              <w:tabs>
                <w:tab w:val="left" w:pos="1162"/>
              </w:tabs>
              <w:spacing w:before="80" w:after="80" w:line="240" w:lineRule="auto"/>
              <w:rPr>
                <w:rFonts w:cs="Arial"/>
                <w:color w:val="000000"/>
                <w:sz w:val="18"/>
                <w:szCs w:val="18"/>
              </w:rPr>
            </w:pPr>
            <w:r w:rsidRPr="009B707F">
              <w:rPr>
                <w:rFonts w:cs="Arial"/>
                <w:color w:val="000000"/>
                <w:sz w:val="18"/>
                <w:szCs w:val="18"/>
              </w:rPr>
              <w:t>See definition</w:t>
            </w:r>
          </w:p>
        </w:tc>
        <w:tc>
          <w:tcPr>
            <w:tcW w:w="4536" w:type="dxa"/>
            <w:shd w:val="clear" w:color="auto" w:fill="auto"/>
            <w:noWrap/>
          </w:tcPr>
          <w:p w14:paraId="019F073B" w14:textId="3FD1FB00" w:rsidR="007E4A2F" w:rsidRPr="009B707F" w:rsidRDefault="007E4A2F" w:rsidP="007E4A2F">
            <w:pPr>
              <w:tabs>
                <w:tab w:val="left" w:pos="1162"/>
              </w:tabs>
              <w:spacing w:before="80" w:after="80" w:line="240" w:lineRule="auto"/>
              <w:rPr>
                <w:rFonts w:cs="Arial"/>
                <w:color w:val="000000"/>
                <w:sz w:val="18"/>
                <w:szCs w:val="18"/>
              </w:rPr>
            </w:pPr>
            <w:r w:rsidRPr="6346E14E">
              <w:rPr>
                <w:rFonts w:cs="Arial"/>
                <w:color w:val="000000" w:themeColor="text1"/>
                <w:sz w:val="18"/>
                <w:szCs w:val="18"/>
              </w:rPr>
              <w:t>Indigenous adjustment.</w:t>
            </w:r>
          </w:p>
        </w:tc>
      </w:tr>
      <w:tr w:rsidR="00A90801" w:rsidRPr="00587976" w14:paraId="3DDAE40A" w14:textId="77777777" w:rsidTr="10D0206E">
        <w:trPr>
          <w:cantSplit/>
          <w:trHeight w:val="490"/>
        </w:trPr>
        <w:tc>
          <w:tcPr>
            <w:tcW w:w="1134" w:type="dxa"/>
            <w:shd w:val="clear" w:color="auto" w:fill="auto"/>
            <w:noWrap/>
          </w:tcPr>
          <w:p w14:paraId="09BEC1D2"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E09</w:t>
            </w:r>
          </w:p>
        </w:tc>
        <w:tc>
          <w:tcPr>
            <w:tcW w:w="1985" w:type="dxa"/>
            <w:shd w:val="clear" w:color="auto" w:fill="auto"/>
            <w:noWrap/>
          </w:tcPr>
          <w:p w14:paraId="761E41A5"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adj_remoteness</w:t>
            </w:r>
          </w:p>
        </w:tc>
        <w:tc>
          <w:tcPr>
            <w:tcW w:w="3118" w:type="dxa"/>
            <w:shd w:val="clear" w:color="auto" w:fill="auto"/>
            <w:noWrap/>
          </w:tcPr>
          <w:p w14:paraId="01C9452A" w14:textId="77777777" w:rsidR="007E4A2F" w:rsidRPr="009B707F" w:rsidRDefault="007E4A2F" w:rsidP="007E4A2F">
            <w:pPr>
              <w:tabs>
                <w:tab w:val="left" w:pos="1162"/>
              </w:tabs>
              <w:spacing w:before="80" w:after="80" w:line="240" w:lineRule="auto"/>
              <w:rPr>
                <w:rFonts w:cs="Arial"/>
                <w:color w:val="000000"/>
                <w:sz w:val="18"/>
                <w:szCs w:val="18"/>
              </w:rPr>
            </w:pPr>
            <w:r w:rsidRPr="001729CF">
              <w:rPr>
                <w:rFonts w:cs="Arial"/>
                <w:color w:val="000000"/>
                <w:sz w:val="18"/>
                <w:szCs w:val="18"/>
              </w:rPr>
              <w:t>See definition</w:t>
            </w:r>
          </w:p>
        </w:tc>
        <w:tc>
          <w:tcPr>
            <w:tcW w:w="4536" w:type="dxa"/>
            <w:shd w:val="clear" w:color="auto" w:fill="auto"/>
          </w:tcPr>
          <w:p w14:paraId="216F173B"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 residence remoteness adjustment.</w:t>
            </w:r>
          </w:p>
        </w:tc>
      </w:tr>
      <w:tr w:rsidR="00A90801" w:rsidRPr="00587976" w14:paraId="301DA755" w14:textId="77777777" w:rsidTr="10D0206E">
        <w:trPr>
          <w:cantSplit/>
          <w:trHeight w:val="490"/>
        </w:trPr>
        <w:tc>
          <w:tcPr>
            <w:tcW w:w="1134" w:type="dxa"/>
            <w:shd w:val="clear" w:color="auto" w:fill="auto"/>
            <w:noWrap/>
          </w:tcPr>
          <w:p w14:paraId="116B278E"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E10</w:t>
            </w:r>
          </w:p>
        </w:tc>
        <w:tc>
          <w:tcPr>
            <w:tcW w:w="1985" w:type="dxa"/>
            <w:shd w:val="clear" w:color="auto" w:fill="auto"/>
            <w:noWrap/>
          </w:tcPr>
          <w:p w14:paraId="56D936D8" w14:textId="77777777" w:rsidR="007E4A2F" w:rsidRDefault="007E4A2F" w:rsidP="007E4A2F">
            <w:pPr>
              <w:tabs>
                <w:tab w:val="left" w:pos="1162"/>
              </w:tabs>
              <w:spacing w:before="80" w:after="80" w:line="240" w:lineRule="auto"/>
              <w:rPr>
                <w:rFonts w:cs="Arial"/>
                <w:color w:val="000000"/>
                <w:sz w:val="18"/>
                <w:szCs w:val="18"/>
              </w:rPr>
            </w:pPr>
            <w:r w:rsidRPr="00635094">
              <w:rPr>
                <w:rFonts w:cs="Arial"/>
                <w:color w:val="000000"/>
                <w:sz w:val="18"/>
                <w:szCs w:val="18"/>
              </w:rPr>
              <w:t>adj_treat_remoteness</w:t>
            </w:r>
          </w:p>
        </w:tc>
        <w:tc>
          <w:tcPr>
            <w:tcW w:w="3118" w:type="dxa"/>
            <w:shd w:val="clear" w:color="auto" w:fill="auto"/>
            <w:noWrap/>
          </w:tcPr>
          <w:p w14:paraId="6619E883"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tcPr>
          <w:p w14:paraId="0AF9E6F3"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 treatment remoteness adjustment.</w:t>
            </w:r>
          </w:p>
        </w:tc>
      </w:tr>
      <w:tr w:rsidR="00A90801" w:rsidRPr="00587976" w14:paraId="1E1F1AFC" w14:textId="77777777" w:rsidTr="10D0206E">
        <w:trPr>
          <w:cantSplit/>
          <w:trHeight w:val="490"/>
        </w:trPr>
        <w:tc>
          <w:tcPr>
            <w:tcW w:w="1134" w:type="dxa"/>
            <w:shd w:val="clear" w:color="auto" w:fill="auto"/>
            <w:noWrap/>
            <w:hideMark/>
          </w:tcPr>
          <w:p w14:paraId="7CA94469" w14:textId="77777777" w:rsidR="007E4A2F" w:rsidRPr="009B707F" w:rsidRDefault="007E4A2F"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1</w:t>
            </w:r>
          </w:p>
        </w:tc>
        <w:tc>
          <w:tcPr>
            <w:tcW w:w="1985" w:type="dxa"/>
            <w:shd w:val="clear" w:color="auto" w:fill="auto"/>
            <w:noWrap/>
            <w:hideMark/>
          </w:tcPr>
          <w:p w14:paraId="04B27CDD"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Error_Code</w:t>
            </w:r>
          </w:p>
        </w:tc>
        <w:tc>
          <w:tcPr>
            <w:tcW w:w="3118" w:type="dxa"/>
            <w:shd w:val="clear" w:color="auto" w:fill="auto"/>
            <w:noWrap/>
            <w:hideMark/>
          </w:tcPr>
          <w:p w14:paraId="4E6CE28E"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hideMark/>
          </w:tcPr>
          <w:p w14:paraId="423C4B3C"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Outlines errors in calculations.</w:t>
            </w:r>
          </w:p>
        </w:tc>
      </w:tr>
      <w:tr w:rsidR="00A90801" w:rsidRPr="00587976" w14:paraId="41BE8639" w14:textId="77777777" w:rsidTr="10D0206E">
        <w:trPr>
          <w:cantSplit/>
          <w:trHeight w:val="490"/>
        </w:trPr>
        <w:tc>
          <w:tcPr>
            <w:tcW w:w="1134" w:type="dxa"/>
            <w:shd w:val="clear" w:color="auto" w:fill="auto"/>
            <w:noWrap/>
          </w:tcPr>
          <w:p w14:paraId="2A5AF563" w14:textId="77777777" w:rsidR="007E4A2F" w:rsidRPr="009B707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2</w:t>
            </w:r>
          </w:p>
        </w:tc>
        <w:tc>
          <w:tcPr>
            <w:tcW w:w="1985" w:type="dxa"/>
            <w:shd w:val="clear" w:color="auto" w:fill="auto"/>
            <w:noWrap/>
          </w:tcPr>
          <w:p w14:paraId="7E84A782"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_w01</w:t>
            </w:r>
          </w:p>
        </w:tc>
        <w:tc>
          <w:tcPr>
            <w:tcW w:w="3118" w:type="dxa"/>
            <w:shd w:val="clear" w:color="auto" w:fill="auto"/>
            <w:noWrap/>
          </w:tcPr>
          <w:p w14:paraId="421B308B" w14:textId="77777777" w:rsidR="007E4A2F"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Base predicted</w:t>
            </w:r>
          </w:p>
        </w:tc>
        <w:tc>
          <w:tcPr>
            <w:tcW w:w="4536" w:type="dxa"/>
            <w:shd w:val="clear" w:color="auto" w:fill="auto"/>
          </w:tcPr>
          <w:p w14:paraId="28222A53"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Adopt UDG_PW, or AECC_PW depending on classification selection.</w:t>
            </w:r>
          </w:p>
        </w:tc>
      </w:tr>
      <w:tr w:rsidR="00A90801" w:rsidRPr="00587976" w14:paraId="0773F75C" w14:textId="77777777" w:rsidTr="10D0206E">
        <w:trPr>
          <w:cantSplit/>
          <w:trHeight w:val="490"/>
        </w:trPr>
        <w:tc>
          <w:tcPr>
            <w:tcW w:w="1134" w:type="dxa"/>
            <w:shd w:val="clear" w:color="auto" w:fill="auto"/>
            <w:noWrap/>
          </w:tcPr>
          <w:p w14:paraId="45300AE7" w14:textId="77777777" w:rsidR="007E4A2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3</w:t>
            </w:r>
          </w:p>
        </w:tc>
        <w:tc>
          <w:tcPr>
            <w:tcW w:w="1985" w:type="dxa"/>
            <w:shd w:val="clear" w:color="auto" w:fill="auto"/>
            <w:noWrap/>
          </w:tcPr>
          <w:p w14:paraId="5F1F23B9" w14:textId="4F64FC5E" w:rsidR="007E4A2F" w:rsidRDefault="00CE3156" w:rsidP="007E4A2F">
            <w:pPr>
              <w:tabs>
                <w:tab w:val="left" w:pos="1162"/>
              </w:tabs>
              <w:spacing w:before="80" w:after="80" w:line="240" w:lineRule="auto"/>
              <w:rPr>
                <w:rFonts w:cs="Arial"/>
                <w:color w:val="000000"/>
                <w:sz w:val="18"/>
                <w:szCs w:val="18"/>
              </w:rPr>
            </w:pPr>
            <w:r>
              <w:rPr>
                <w:rFonts w:cs="Arial"/>
                <w:color w:val="000000"/>
                <w:sz w:val="18"/>
                <w:szCs w:val="18"/>
              </w:rPr>
              <w:t>GWAU22</w:t>
            </w:r>
          </w:p>
        </w:tc>
        <w:tc>
          <w:tcPr>
            <w:tcW w:w="3118" w:type="dxa"/>
            <w:shd w:val="clear" w:color="auto" w:fill="auto"/>
            <w:noWrap/>
          </w:tcPr>
          <w:p w14:paraId="48AA47F3" w14:textId="77777777" w:rsidR="007E4A2F" w:rsidRPr="00E33EAE"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 xml:space="preserve">Gross </w:t>
            </w:r>
            <w:r>
              <w:rPr>
                <w:rFonts w:cs="Arial"/>
                <w:color w:val="000000"/>
                <w:sz w:val="18"/>
                <w:szCs w:val="18"/>
              </w:rPr>
              <w:t>w</w:t>
            </w:r>
            <w:r w:rsidRPr="00E33EAE">
              <w:rPr>
                <w:rFonts w:cs="Arial"/>
                <w:color w:val="000000"/>
                <w:sz w:val="18"/>
                <w:szCs w:val="18"/>
              </w:rPr>
              <w:t>eighted</w:t>
            </w:r>
            <w:r>
              <w:rPr>
                <w:rFonts w:cs="Arial"/>
                <w:color w:val="000000"/>
                <w:sz w:val="18"/>
                <w:szCs w:val="18"/>
              </w:rPr>
              <w:t xml:space="preserve"> a</w:t>
            </w:r>
            <w:r w:rsidRPr="00E33EAE">
              <w:rPr>
                <w:rFonts w:cs="Arial"/>
                <w:color w:val="000000"/>
                <w:sz w:val="18"/>
                <w:szCs w:val="18"/>
              </w:rPr>
              <w:t xml:space="preserve">ctivity </w:t>
            </w:r>
            <w:r>
              <w:rPr>
                <w:rFonts w:cs="Arial"/>
                <w:color w:val="000000"/>
                <w:sz w:val="18"/>
                <w:szCs w:val="18"/>
              </w:rPr>
              <w:t>u</w:t>
            </w:r>
            <w:r w:rsidRPr="00E33EAE">
              <w:rPr>
                <w:rFonts w:cs="Arial"/>
                <w:color w:val="000000"/>
                <w:sz w:val="18"/>
                <w:szCs w:val="18"/>
              </w:rPr>
              <w:t>nit</w:t>
            </w:r>
          </w:p>
        </w:tc>
        <w:tc>
          <w:tcPr>
            <w:tcW w:w="4536" w:type="dxa"/>
            <w:shd w:val="clear" w:color="auto" w:fill="auto"/>
          </w:tcPr>
          <w:p w14:paraId="479703A7" w14:textId="3A691810"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_w01*(1+adj_indigenous+adj_remoteness)*</w:t>
            </w:r>
            <w:r w:rsidRPr="0006173E">
              <w:rPr>
                <w:rFonts w:cs="Arial"/>
                <w:color w:val="000000"/>
                <w:sz w:val="18"/>
                <w:szCs w:val="18"/>
              </w:rPr>
              <w:t>(1+adj_treat_remoteness)</w:t>
            </w:r>
            <w:r>
              <w:rPr>
                <w:rFonts w:cs="Arial"/>
                <w:color w:val="000000"/>
                <w:sz w:val="18"/>
                <w:szCs w:val="18"/>
              </w:rPr>
              <w:t>.</w:t>
            </w:r>
          </w:p>
        </w:tc>
      </w:tr>
      <w:tr w:rsidR="00A90801" w:rsidRPr="00587976" w14:paraId="190B0A8C" w14:textId="77777777" w:rsidTr="10D0206E">
        <w:trPr>
          <w:cantSplit/>
          <w:trHeight w:val="490"/>
        </w:trPr>
        <w:tc>
          <w:tcPr>
            <w:tcW w:w="1134" w:type="dxa"/>
            <w:shd w:val="clear" w:color="auto" w:fill="auto"/>
            <w:noWrap/>
          </w:tcPr>
          <w:p w14:paraId="06E54829" w14:textId="77777777" w:rsidR="007E4A2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4</w:t>
            </w:r>
          </w:p>
        </w:tc>
        <w:tc>
          <w:tcPr>
            <w:tcW w:w="1985" w:type="dxa"/>
            <w:shd w:val="clear" w:color="auto" w:fill="auto"/>
            <w:noWrap/>
          </w:tcPr>
          <w:p w14:paraId="250E082A" w14:textId="76037E84" w:rsidR="007E4A2F" w:rsidRDefault="00CE3156" w:rsidP="007E4A2F">
            <w:pPr>
              <w:tabs>
                <w:tab w:val="left" w:pos="1162"/>
              </w:tabs>
              <w:spacing w:before="80" w:after="80" w:line="240" w:lineRule="auto"/>
              <w:rPr>
                <w:rFonts w:cs="Arial"/>
                <w:color w:val="000000"/>
                <w:sz w:val="18"/>
                <w:szCs w:val="18"/>
              </w:rPr>
            </w:pPr>
            <w:r>
              <w:rPr>
                <w:rFonts w:cs="Arial"/>
                <w:color w:val="000000"/>
                <w:sz w:val="18"/>
                <w:szCs w:val="18"/>
              </w:rPr>
              <w:t>NWAU22</w:t>
            </w:r>
          </w:p>
        </w:tc>
        <w:tc>
          <w:tcPr>
            <w:tcW w:w="3118" w:type="dxa"/>
            <w:shd w:val="clear" w:color="auto" w:fill="auto"/>
            <w:noWrap/>
          </w:tcPr>
          <w:p w14:paraId="265C00BC" w14:textId="77777777" w:rsidR="007E4A2F" w:rsidRPr="00E33EAE"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 xml:space="preserve">National </w:t>
            </w:r>
            <w:r>
              <w:rPr>
                <w:rFonts w:cs="Arial"/>
                <w:color w:val="000000"/>
                <w:sz w:val="18"/>
                <w:szCs w:val="18"/>
              </w:rPr>
              <w:t>w</w:t>
            </w:r>
            <w:r w:rsidRPr="00E33EAE">
              <w:rPr>
                <w:rFonts w:cs="Arial"/>
                <w:color w:val="000000"/>
                <w:sz w:val="18"/>
                <w:szCs w:val="18"/>
              </w:rPr>
              <w:t xml:space="preserve">eighted </w:t>
            </w:r>
            <w:r>
              <w:rPr>
                <w:rFonts w:cs="Arial"/>
                <w:color w:val="000000"/>
                <w:sz w:val="18"/>
                <w:szCs w:val="18"/>
              </w:rPr>
              <w:t>a</w:t>
            </w:r>
            <w:r w:rsidRPr="00E33EAE">
              <w:rPr>
                <w:rFonts w:cs="Arial"/>
                <w:color w:val="000000"/>
                <w:sz w:val="18"/>
                <w:szCs w:val="18"/>
              </w:rPr>
              <w:t xml:space="preserve">ctivity </w:t>
            </w:r>
            <w:r>
              <w:rPr>
                <w:rFonts w:cs="Arial"/>
                <w:color w:val="000000"/>
                <w:sz w:val="18"/>
                <w:szCs w:val="18"/>
              </w:rPr>
              <w:t>u</w:t>
            </w:r>
            <w:r w:rsidRPr="00E33EAE">
              <w:rPr>
                <w:rFonts w:cs="Arial"/>
                <w:color w:val="000000"/>
                <w:sz w:val="18"/>
                <w:szCs w:val="18"/>
              </w:rPr>
              <w:t>nit</w:t>
            </w:r>
          </w:p>
        </w:tc>
        <w:tc>
          <w:tcPr>
            <w:tcW w:w="4536" w:type="dxa"/>
            <w:shd w:val="clear" w:color="auto" w:fill="auto"/>
          </w:tcPr>
          <w:p w14:paraId="3294FF18" w14:textId="73C0ED92" w:rsidR="007E4A2F" w:rsidRDefault="00A77141" w:rsidP="007E4A2F">
            <w:pPr>
              <w:tabs>
                <w:tab w:val="left" w:pos="1162"/>
              </w:tabs>
              <w:spacing w:before="80" w:after="80" w:line="240" w:lineRule="auto"/>
              <w:rPr>
                <w:rFonts w:cs="Arial"/>
                <w:color w:val="000000"/>
                <w:sz w:val="18"/>
                <w:szCs w:val="18"/>
              </w:rPr>
            </w:pPr>
            <w:r w:rsidRPr="2D7C7652">
              <w:rPr>
                <w:rFonts w:cs="Arial"/>
                <w:color w:val="000000" w:themeColor="text1"/>
                <w:sz w:val="18"/>
                <w:szCs w:val="18"/>
              </w:rPr>
              <w:t>GWAU22</w:t>
            </w:r>
            <w:r w:rsidR="007E4A2F" w:rsidRPr="2D7C7652">
              <w:rPr>
                <w:rFonts w:cs="Arial"/>
                <w:color w:val="000000" w:themeColor="text1"/>
                <w:sz w:val="18"/>
                <w:szCs w:val="18"/>
              </w:rPr>
              <w:t xml:space="preserve"> for in-scope patients only (that is, non Department of Veterans’ Affairs and compensable patients).</w:t>
            </w:r>
          </w:p>
        </w:tc>
      </w:tr>
    </w:tbl>
    <w:p w14:paraId="57A053A1" w14:textId="77777777" w:rsidR="00561E6C" w:rsidRDefault="00561E6C" w:rsidP="00561E6C">
      <w:pPr>
        <w:spacing w:after="0" w:line="240" w:lineRule="auto"/>
        <w:rPr>
          <w:rFonts w:asciiTheme="minorHAnsi" w:hAnsiTheme="minorHAnsi" w:cstheme="minorHAnsi"/>
          <w:noProof/>
          <w:color w:val="000000"/>
          <w:szCs w:val="22"/>
        </w:rPr>
      </w:pPr>
    </w:p>
    <w:p w14:paraId="3CB53F39" w14:textId="77777777" w:rsidR="00561E6C" w:rsidRPr="00B325D8" w:rsidRDefault="00561E6C" w:rsidP="008D127A">
      <w:pPr>
        <w:keepNext/>
        <w:spacing w:line="240" w:lineRule="auto"/>
        <w:rPr>
          <w:b/>
        </w:rPr>
      </w:pPr>
      <w:r w:rsidRPr="00B325D8">
        <w:rPr>
          <w:b/>
        </w:rPr>
        <w:t xml:space="preserve">Table </w:t>
      </w:r>
      <w:r w:rsidR="00105BEF">
        <w:rPr>
          <w:b/>
          <w:noProof/>
        </w:rPr>
        <w:t>2</w:t>
      </w:r>
      <w:r w:rsidR="00DE3F2F">
        <w:rPr>
          <w:b/>
          <w:noProof/>
        </w:rPr>
        <w:t>7</w:t>
      </w:r>
      <w:r w:rsidRPr="00B325D8">
        <w:rPr>
          <w:b/>
        </w:rPr>
        <w:t xml:space="preserve">: </w:t>
      </w:r>
      <w:r>
        <w:rPr>
          <w:b/>
        </w:rPr>
        <w:t>Non-admitted: variable definitions</w:t>
      </w:r>
    </w:p>
    <w:tbl>
      <w:tblPr>
        <w:tblW w:w="10773" w:type="dxa"/>
        <w:tblInd w:w="-57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Table 26: Non-admitted: variable definitions."/>
        <w:tblDescription w:val="A summary of table 12  is outlined in the text prior to this table."/>
      </w:tblPr>
      <w:tblGrid>
        <w:gridCol w:w="993"/>
        <w:gridCol w:w="2126"/>
        <w:gridCol w:w="3118"/>
        <w:gridCol w:w="4536"/>
      </w:tblGrid>
      <w:tr w:rsidR="00000669" w:rsidRPr="00BA577C" w14:paraId="67FFC770" w14:textId="77777777" w:rsidTr="10D0206E">
        <w:trPr>
          <w:cantSplit/>
          <w:trHeight w:val="225"/>
          <w:tblHeader/>
        </w:trPr>
        <w:tc>
          <w:tcPr>
            <w:tcW w:w="993" w:type="dxa"/>
            <w:shd w:val="clear" w:color="auto" w:fill="288A32"/>
            <w:noWrap/>
            <w:vAlign w:val="center"/>
            <w:hideMark/>
          </w:tcPr>
          <w:p w14:paraId="10475197"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Variable</w:t>
            </w:r>
          </w:p>
        </w:tc>
        <w:tc>
          <w:tcPr>
            <w:tcW w:w="2126" w:type="dxa"/>
            <w:shd w:val="clear" w:color="auto" w:fill="288A32"/>
            <w:noWrap/>
            <w:vAlign w:val="center"/>
            <w:hideMark/>
          </w:tcPr>
          <w:p w14:paraId="1B11C634"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Name</w:t>
            </w:r>
          </w:p>
        </w:tc>
        <w:tc>
          <w:tcPr>
            <w:tcW w:w="3118" w:type="dxa"/>
            <w:shd w:val="clear" w:color="auto" w:fill="288A32"/>
            <w:vAlign w:val="center"/>
            <w:hideMark/>
          </w:tcPr>
          <w:p w14:paraId="13ED8326"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Description</w:t>
            </w:r>
          </w:p>
        </w:tc>
        <w:tc>
          <w:tcPr>
            <w:tcW w:w="4536" w:type="dxa"/>
            <w:shd w:val="clear" w:color="auto" w:fill="288A32"/>
            <w:vAlign w:val="center"/>
            <w:hideMark/>
          </w:tcPr>
          <w:p w14:paraId="19CCFC82"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Definition</w:t>
            </w:r>
          </w:p>
        </w:tc>
      </w:tr>
      <w:tr w:rsidR="00A90801" w:rsidRPr="00587976" w:rsidDel="00C36A9E" w14:paraId="20786BBE" w14:textId="77777777" w:rsidTr="10D0206E">
        <w:trPr>
          <w:cantSplit/>
          <w:trHeight w:val="225"/>
        </w:trPr>
        <w:tc>
          <w:tcPr>
            <w:tcW w:w="993" w:type="dxa"/>
            <w:shd w:val="clear" w:color="auto" w:fill="auto"/>
            <w:noWrap/>
          </w:tcPr>
          <w:p w14:paraId="5A930713"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N01</w:t>
            </w:r>
          </w:p>
        </w:tc>
        <w:tc>
          <w:tcPr>
            <w:tcW w:w="2126" w:type="dxa"/>
            <w:shd w:val="clear" w:color="auto" w:fill="auto"/>
            <w:noWrap/>
          </w:tcPr>
          <w:p w14:paraId="5583599D"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clinic_pw</w:t>
            </w:r>
          </w:p>
        </w:tc>
        <w:tc>
          <w:tcPr>
            <w:tcW w:w="3118" w:type="dxa"/>
            <w:shd w:val="clear" w:color="auto" w:fill="auto"/>
            <w:noWrap/>
          </w:tcPr>
          <w:p w14:paraId="2B11C396"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noWrap/>
          </w:tcPr>
          <w:p w14:paraId="63892C61" w14:textId="77777777" w:rsidR="00C36A9E" w:rsidRPr="00A43198"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Tier 2 class price weight, taken from NWAU price weight table.</w:t>
            </w:r>
          </w:p>
        </w:tc>
      </w:tr>
      <w:tr w:rsidR="00A90801" w:rsidRPr="00587976" w:rsidDel="00C36A9E" w14:paraId="51B8D5B5" w14:textId="77777777" w:rsidTr="10D0206E">
        <w:trPr>
          <w:cantSplit/>
          <w:trHeight w:val="225"/>
        </w:trPr>
        <w:tc>
          <w:tcPr>
            <w:tcW w:w="993" w:type="dxa"/>
            <w:shd w:val="clear" w:color="auto" w:fill="auto"/>
            <w:noWrap/>
          </w:tcPr>
          <w:p w14:paraId="46CA1E15"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N02</w:t>
            </w:r>
          </w:p>
        </w:tc>
        <w:tc>
          <w:tcPr>
            <w:tcW w:w="2126" w:type="dxa"/>
            <w:shd w:val="clear" w:color="auto" w:fill="auto"/>
            <w:noWrap/>
          </w:tcPr>
          <w:p w14:paraId="52F0DF19"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Tier2_adj_paed</w:t>
            </w:r>
          </w:p>
        </w:tc>
        <w:tc>
          <w:tcPr>
            <w:tcW w:w="3118" w:type="dxa"/>
            <w:shd w:val="clear" w:color="auto" w:fill="auto"/>
            <w:noWrap/>
          </w:tcPr>
          <w:p w14:paraId="7DABA941"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Paediatric loading</w:t>
            </w:r>
          </w:p>
        </w:tc>
        <w:tc>
          <w:tcPr>
            <w:tcW w:w="4536" w:type="dxa"/>
            <w:shd w:val="clear" w:color="auto" w:fill="auto"/>
            <w:noWrap/>
          </w:tcPr>
          <w:p w14:paraId="3D892763" w14:textId="77777777" w:rsidR="00C36A9E" w:rsidRPr="00A43198"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Tier 2 class paediatric loading, taken from NWAU price weight table.</w:t>
            </w:r>
          </w:p>
        </w:tc>
      </w:tr>
      <w:tr w:rsidR="00A90801" w:rsidRPr="00587976" w14:paraId="36E6E240" w14:textId="77777777" w:rsidTr="10D0206E">
        <w:trPr>
          <w:cantSplit/>
          <w:trHeight w:val="225"/>
        </w:trPr>
        <w:tc>
          <w:tcPr>
            <w:tcW w:w="993" w:type="dxa"/>
            <w:shd w:val="clear" w:color="auto" w:fill="auto"/>
            <w:noWrap/>
          </w:tcPr>
          <w:p w14:paraId="3AEB6B4D" w14:textId="77777777" w:rsidR="00C36A9E" w:rsidRPr="00771DEF" w:rsidRDefault="00C36A9E" w:rsidP="00C36A9E">
            <w:pPr>
              <w:tabs>
                <w:tab w:val="left" w:pos="1162"/>
              </w:tabs>
              <w:spacing w:before="80" w:after="80" w:line="240" w:lineRule="auto"/>
              <w:rPr>
                <w:rFonts w:cs="Arial"/>
                <w:color w:val="000000"/>
                <w:sz w:val="18"/>
                <w:szCs w:val="18"/>
              </w:rPr>
            </w:pPr>
            <w:r>
              <w:rPr>
                <w:rFonts w:cs="Arial"/>
                <w:color w:val="000000"/>
                <w:sz w:val="18"/>
                <w:szCs w:val="18"/>
              </w:rPr>
              <w:t>N03</w:t>
            </w:r>
          </w:p>
        </w:tc>
        <w:tc>
          <w:tcPr>
            <w:tcW w:w="2126" w:type="dxa"/>
            <w:shd w:val="clear" w:color="auto" w:fill="auto"/>
            <w:noWrap/>
          </w:tcPr>
          <w:p w14:paraId="74804E0C" w14:textId="77777777" w:rsidR="00C36A9E" w:rsidRPr="00771DEF" w:rsidRDefault="00C36A9E" w:rsidP="00C36A9E">
            <w:pPr>
              <w:tabs>
                <w:tab w:val="left" w:pos="1162"/>
              </w:tabs>
              <w:spacing w:before="80" w:after="80" w:line="240" w:lineRule="auto"/>
              <w:rPr>
                <w:rFonts w:cs="Arial"/>
                <w:color w:val="000000"/>
                <w:sz w:val="18"/>
                <w:szCs w:val="18"/>
              </w:rPr>
            </w:pPr>
            <w:r>
              <w:rPr>
                <w:rFonts w:cs="Arial"/>
                <w:color w:val="000000"/>
                <w:sz w:val="18"/>
                <w:szCs w:val="18"/>
              </w:rPr>
              <w:t>_treat_remoteness</w:t>
            </w:r>
          </w:p>
        </w:tc>
        <w:tc>
          <w:tcPr>
            <w:tcW w:w="3118" w:type="dxa"/>
            <w:shd w:val="clear" w:color="auto" w:fill="auto"/>
            <w:noWrap/>
          </w:tcPr>
          <w:p w14:paraId="793F23D5" w14:textId="77777777" w:rsidR="00C36A9E" w:rsidRPr="00497236"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treatment remoteness area</w:t>
            </w:r>
          </w:p>
        </w:tc>
        <w:tc>
          <w:tcPr>
            <w:tcW w:w="4536" w:type="dxa"/>
            <w:shd w:val="clear" w:color="auto" w:fill="auto"/>
            <w:noWrap/>
          </w:tcPr>
          <w:p w14:paraId="064E9DCA" w14:textId="77777777" w:rsidR="00C36A9E" w:rsidRDefault="00C36A9E" w:rsidP="00C36A9E">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1080828"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7C2D9BBA"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7CBC2D6C"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5A277601" w14:textId="77777777" w:rsidR="00C36A9E" w:rsidRPr="00497236"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A90801" w:rsidRPr="00587976" w14:paraId="3D35B7D6" w14:textId="77777777" w:rsidTr="10D0206E">
        <w:trPr>
          <w:cantSplit/>
          <w:trHeight w:val="225"/>
        </w:trPr>
        <w:tc>
          <w:tcPr>
            <w:tcW w:w="993" w:type="dxa"/>
            <w:shd w:val="clear" w:color="auto" w:fill="auto"/>
            <w:noWrap/>
          </w:tcPr>
          <w:p w14:paraId="52827B94"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N04</w:t>
            </w:r>
          </w:p>
        </w:tc>
        <w:tc>
          <w:tcPr>
            <w:tcW w:w="2126" w:type="dxa"/>
            <w:shd w:val="clear" w:color="auto" w:fill="auto"/>
            <w:noWrap/>
          </w:tcPr>
          <w:p w14:paraId="72CBBDCC" w14:textId="77777777" w:rsidR="00C36A9E" w:rsidRDefault="00C36A9E" w:rsidP="00C36A9E">
            <w:pPr>
              <w:tabs>
                <w:tab w:val="left" w:pos="1162"/>
              </w:tabs>
              <w:spacing w:before="80" w:after="80" w:line="240" w:lineRule="auto"/>
              <w:rPr>
                <w:rFonts w:cs="Arial"/>
                <w:color w:val="000000"/>
                <w:sz w:val="18"/>
                <w:szCs w:val="18"/>
              </w:rPr>
            </w:pPr>
            <w:r w:rsidRPr="00635094">
              <w:rPr>
                <w:rFonts w:cs="Arial"/>
                <w:color w:val="000000"/>
                <w:sz w:val="18"/>
                <w:szCs w:val="18"/>
              </w:rPr>
              <w:t>adj_treat_remoteness</w:t>
            </w:r>
          </w:p>
        </w:tc>
        <w:tc>
          <w:tcPr>
            <w:tcW w:w="3118" w:type="dxa"/>
            <w:shd w:val="clear" w:color="auto" w:fill="auto"/>
            <w:noWrap/>
          </w:tcPr>
          <w:p w14:paraId="0D3D1D92"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noWrap/>
          </w:tcPr>
          <w:p w14:paraId="7CA41139" w14:textId="77777777" w:rsidR="00C36A9E" w:rsidRPr="00A43198"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treatment remoteness adjustment.</w:t>
            </w:r>
          </w:p>
        </w:tc>
      </w:tr>
      <w:tr w:rsidR="00A90801" w:rsidRPr="00587976" w14:paraId="5DBAFBB7" w14:textId="77777777" w:rsidTr="10D0206E">
        <w:trPr>
          <w:cantSplit/>
          <w:trHeight w:val="225"/>
        </w:trPr>
        <w:tc>
          <w:tcPr>
            <w:tcW w:w="993" w:type="dxa"/>
            <w:shd w:val="clear" w:color="auto" w:fill="auto"/>
            <w:noWrap/>
          </w:tcPr>
          <w:p w14:paraId="50DA5798"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lastRenderedPageBreak/>
              <w:t>N05</w:t>
            </w:r>
          </w:p>
        </w:tc>
        <w:tc>
          <w:tcPr>
            <w:tcW w:w="2126" w:type="dxa"/>
            <w:shd w:val="clear" w:color="auto" w:fill="auto"/>
            <w:noWrap/>
          </w:tcPr>
          <w:p w14:paraId="635F4DAA"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_pat_remoteness</w:t>
            </w:r>
          </w:p>
        </w:tc>
        <w:tc>
          <w:tcPr>
            <w:tcW w:w="3118" w:type="dxa"/>
            <w:shd w:val="clear" w:color="auto" w:fill="auto"/>
            <w:noWrap/>
          </w:tcPr>
          <w:p w14:paraId="5A335EBA"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residential remoteness area</w:t>
            </w:r>
          </w:p>
        </w:tc>
        <w:tc>
          <w:tcPr>
            <w:tcW w:w="4536" w:type="dxa"/>
            <w:shd w:val="clear" w:color="auto" w:fill="auto"/>
            <w:noWrap/>
          </w:tcPr>
          <w:p w14:paraId="7FC5FBF4"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2016 ASGS remoteness area category of the patient’s residence as inferred from the following variables, ranked in descending order of preference: SA2, postcode, _treat_remoteness. The values of this variable are:</w:t>
            </w:r>
          </w:p>
          <w:p w14:paraId="695FBF8B"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94413BC"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63B5DDC6"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5309E3E6"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3D78C8C5" w14:textId="77777777" w:rsidR="00C36A9E" w:rsidRPr="00A43198"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A90801" w:rsidRPr="00587976" w14:paraId="4F516AE1" w14:textId="77777777" w:rsidTr="10D0206E">
        <w:trPr>
          <w:cantSplit/>
          <w:trHeight w:val="225"/>
        </w:trPr>
        <w:tc>
          <w:tcPr>
            <w:tcW w:w="993" w:type="dxa"/>
            <w:shd w:val="clear" w:color="auto" w:fill="auto"/>
            <w:noWrap/>
          </w:tcPr>
          <w:p w14:paraId="695786A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N06</w:t>
            </w:r>
          </w:p>
        </w:tc>
        <w:tc>
          <w:tcPr>
            <w:tcW w:w="2126" w:type="dxa"/>
            <w:shd w:val="clear" w:color="auto" w:fill="auto"/>
            <w:noWrap/>
          </w:tcPr>
          <w:p w14:paraId="5DD49E96"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_est_eligible_paed_flag</w:t>
            </w:r>
          </w:p>
        </w:tc>
        <w:tc>
          <w:tcPr>
            <w:tcW w:w="3118" w:type="dxa"/>
            <w:shd w:val="clear" w:color="auto" w:fill="auto"/>
            <w:noWrap/>
          </w:tcPr>
          <w:p w14:paraId="40D4C10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Specialist paediatric flag</w:t>
            </w:r>
          </w:p>
        </w:tc>
        <w:tc>
          <w:tcPr>
            <w:tcW w:w="4536" w:type="dxa"/>
            <w:shd w:val="clear" w:color="auto" w:fill="auto"/>
            <w:noWrap/>
          </w:tcPr>
          <w:p w14:paraId="3CFCF50B" w14:textId="77777777" w:rsidR="00C36A9E" w:rsidRPr="00A43198" w:rsidRDefault="00C36A9E" w:rsidP="00C36A9E">
            <w:pPr>
              <w:tabs>
                <w:tab w:val="left" w:pos="1162"/>
              </w:tabs>
              <w:spacing w:before="80" w:after="80" w:line="240" w:lineRule="auto"/>
              <w:rPr>
                <w:rFonts w:cs="Arial"/>
                <w:color w:val="000000"/>
                <w:sz w:val="18"/>
                <w:szCs w:val="18"/>
              </w:rPr>
            </w:pPr>
            <w:r>
              <w:rPr>
                <w:rFonts w:cs="Arial"/>
                <w:color w:val="000000"/>
                <w:sz w:val="18"/>
                <w:szCs w:val="18"/>
              </w:rPr>
              <w:t>1 if the hospital is on the specialist paediatric list, as per the NEP Determination, else 0.</w:t>
            </w:r>
          </w:p>
        </w:tc>
      </w:tr>
      <w:tr w:rsidR="00A90801" w:rsidRPr="00587976" w14:paraId="328E9BC0" w14:textId="77777777" w:rsidTr="10D0206E">
        <w:trPr>
          <w:cantSplit/>
          <w:trHeight w:val="225"/>
        </w:trPr>
        <w:tc>
          <w:tcPr>
            <w:tcW w:w="993" w:type="dxa"/>
            <w:shd w:val="clear" w:color="auto" w:fill="auto"/>
            <w:noWrap/>
          </w:tcPr>
          <w:p w14:paraId="017E295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N07</w:t>
            </w:r>
          </w:p>
        </w:tc>
        <w:tc>
          <w:tcPr>
            <w:tcW w:w="2126" w:type="dxa"/>
            <w:shd w:val="clear" w:color="auto" w:fill="auto"/>
            <w:noWrap/>
          </w:tcPr>
          <w:p w14:paraId="600380EE" w14:textId="77777777" w:rsidR="00C36A9E" w:rsidRDefault="00C36A9E" w:rsidP="00C36A9E">
            <w:pPr>
              <w:tabs>
                <w:tab w:val="left" w:pos="1162"/>
              </w:tabs>
              <w:spacing w:before="80" w:after="80" w:line="240" w:lineRule="auto"/>
              <w:rPr>
                <w:rFonts w:cs="Arial"/>
                <w:color w:val="000000"/>
                <w:sz w:val="18"/>
                <w:szCs w:val="18"/>
              </w:rPr>
            </w:pPr>
            <w:r w:rsidRPr="005E7E39">
              <w:rPr>
                <w:rFonts w:cs="Arial"/>
                <w:color w:val="000000"/>
                <w:sz w:val="18"/>
                <w:szCs w:val="18"/>
              </w:rPr>
              <w:t>_pat_eligible_paed_flag</w:t>
            </w:r>
          </w:p>
        </w:tc>
        <w:tc>
          <w:tcPr>
            <w:tcW w:w="3118" w:type="dxa"/>
            <w:shd w:val="clear" w:color="auto" w:fill="auto"/>
            <w:noWrap/>
          </w:tcPr>
          <w:p w14:paraId="0176246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paediatric flag</w:t>
            </w:r>
          </w:p>
        </w:tc>
        <w:tc>
          <w:tcPr>
            <w:tcW w:w="4536" w:type="dxa"/>
            <w:shd w:val="clear" w:color="auto" w:fill="auto"/>
            <w:noWrap/>
          </w:tcPr>
          <w:p w14:paraId="2C5E23C2" w14:textId="49BE2538" w:rsidR="00C36A9E" w:rsidRPr="00A43198" w:rsidRDefault="00C36A9E" w:rsidP="00C36A9E">
            <w:pPr>
              <w:tabs>
                <w:tab w:val="left" w:pos="1162"/>
              </w:tabs>
              <w:spacing w:before="80" w:after="80" w:line="240" w:lineRule="auto"/>
              <w:rPr>
                <w:rFonts w:cs="Arial"/>
                <w:color w:val="000000"/>
                <w:sz w:val="18"/>
                <w:szCs w:val="18"/>
              </w:rPr>
            </w:pPr>
            <w:r w:rsidRPr="774D86FE">
              <w:rPr>
                <w:rFonts w:cs="Arial"/>
                <w:color w:val="000000" w:themeColor="text1"/>
                <w:sz w:val="18"/>
                <w:szCs w:val="18"/>
              </w:rPr>
              <w:t xml:space="preserve">1 if </w:t>
            </w:r>
            <w:r w:rsidR="343AA094" w:rsidRPr="774D86FE">
              <w:rPr>
                <w:rFonts w:cs="Arial"/>
                <w:color w:val="000000" w:themeColor="text1"/>
                <w:sz w:val="18"/>
                <w:szCs w:val="18"/>
              </w:rPr>
              <w:t>_est_eligible_paed_flag</w:t>
            </w:r>
            <w:r w:rsidR="00AC54D5" w:rsidRPr="774D86FE">
              <w:rPr>
                <w:rFonts w:cs="Arial"/>
                <w:color w:val="000000" w:themeColor="text1"/>
                <w:sz w:val="18"/>
                <w:szCs w:val="18"/>
              </w:rPr>
              <w:t xml:space="preserve"> </w:t>
            </w:r>
            <w:r w:rsidRPr="774D86FE">
              <w:rPr>
                <w:rFonts w:cs="Arial"/>
                <w:color w:val="000000" w:themeColor="text1"/>
                <w:sz w:val="18"/>
                <w:szCs w:val="18"/>
              </w:rPr>
              <w:t>is 1 and patient age &lt; 18, else 0.</w:t>
            </w:r>
          </w:p>
        </w:tc>
      </w:tr>
      <w:tr w:rsidR="00A90801" w:rsidRPr="00587976" w14:paraId="6680D0AB" w14:textId="77777777" w:rsidTr="10D0206E">
        <w:trPr>
          <w:cantSplit/>
          <w:trHeight w:val="225"/>
        </w:trPr>
        <w:tc>
          <w:tcPr>
            <w:tcW w:w="993" w:type="dxa"/>
            <w:shd w:val="clear" w:color="auto" w:fill="auto"/>
            <w:noWrap/>
          </w:tcPr>
          <w:p w14:paraId="23F9E4AA"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N08</w:t>
            </w:r>
          </w:p>
        </w:tc>
        <w:tc>
          <w:tcPr>
            <w:tcW w:w="2126" w:type="dxa"/>
            <w:shd w:val="clear" w:color="auto" w:fill="auto"/>
            <w:noWrap/>
          </w:tcPr>
          <w:p w14:paraId="44C609AA" w14:textId="77777777" w:rsidR="00C36A9E" w:rsidRPr="005E7E39" w:rsidRDefault="00C36A9E" w:rsidP="00C36A9E">
            <w:pPr>
              <w:tabs>
                <w:tab w:val="left" w:pos="1162"/>
              </w:tabs>
              <w:spacing w:before="80" w:after="80" w:line="240" w:lineRule="auto"/>
              <w:rPr>
                <w:rFonts w:cs="Arial"/>
                <w:color w:val="000000"/>
                <w:sz w:val="18"/>
                <w:szCs w:val="18"/>
              </w:rPr>
            </w:pPr>
            <w:r>
              <w:rPr>
                <w:rFonts w:cs="Arial"/>
                <w:color w:val="000000"/>
                <w:sz w:val="18"/>
                <w:szCs w:val="18"/>
              </w:rPr>
              <w:t>_pat_ind_flag</w:t>
            </w:r>
          </w:p>
        </w:tc>
        <w:tc>
          <w:tcPr>
            <w:tcW w:w="3118" w:type="dxa"/>
            <w:shd w:val="clear" w:color="auto" w:fill="auto"/>
            <w:noWrap/>
          </w:tcPr>
          <w:p w14:paraId="7C6D8DEB"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Indigenous patient flag</w:t>
            </w:r>
          </w:p>
        </w:tc>
        <w:tc>
          <w:tcPr>
            <w:tcW w:w="4536" w:type="dxa"/>
            <w:shd w:val="clear" w:color="auto" w:fill="auto"/>
            <w:noWrap/>
          </w:tcPr>
          <w:p w14:paraId="55218A76" w14:textId="75971187" w:rsidR="00C36A9E" w:rsidRDefault="1174962C" w:rsidP="6BFE2E86">
            <w:pPr>
              <w:tabs>
                <w:tab w:val="left" w:pos="1162"/>
              </w:tabs>
              <w:spacing w:before="80" w:after="80" w:line="240" w:lineRule="auto"/>
              <w:rPr>
                <w:rFonts w:cs="Arial"/>
                <w:color w:val="000000" w:themeColor="text1"/>
                <w:sz w:val="18"/>
                <w:szCs w:val="18"/>
              </w:rPr>
            </w:pPr>
            <w:r w:rsidRPr="6BFE2E86">
              <w:rPr>
                <w:rFonts w:cs="Arial"/>
                <w:color w:val="000000" w:themeColor="text1"/>
                <w:sz w:val="18"/>
                <w:szCs w:val="18"/>
              </w:rPr>
              <w:t xml:space="preserve"> 1 if patient Indigenous status = 1, 2 or 3; else 0.</w:t>
            </w:r>
          </w:p>
          <w:p w14:paraId="11EA59B9" w14:textId="21775C99" w:rsidR="00C36A9E" w:rsidRDefault="00C36A9E" w:rsidP="00C36A9E">
            <w:pPr>
              <w:tabs>
                <w:tab w:val="left" w:pos="1162"/>
              </w:tabs>
              <w:spacing w:before="80" w:after="80" w:line="240" w:lineRule="auto"/>
              <w:rPr>
                <w:color w:val="000000"/>
                <w:szCs w:val="22"/>
              </w:rPr>
            </w:pPr>
          </w:p>
        </w:tc>
      </w:tr>
      <w:tr w:rsidR="008C4F86" w:rsidRPr="00587976" w14:paraId="62EB5710" w14:textId="77777777" w:rsidTr="10D0206E">
        <w:trPr>
          <w:cantSplit/>
          <w:trHeight w:val="225"/>
        </w:trPr>
        <w:tc>
          <w:tcPr>
            <w:tcW w:w="993" w:type="dxa"/>
            <w:tcBorders>
              <w:bottom w:val="single" w:sz="4" w:space="0" w:color="595959" w:themeColor="text1" w:themeTint="A6"/>
            </w:tcBorders>
            <w:shd w:val="clear" w:color="auto" w:fill="auto"/>
            <w:noWrap/>
            <w:hideMark/>
          </w:tcPr>
          <w:p w14:paraId="76D20E61" w14:textId="77777777" w:rsidR="00C36A9E" w:rsidRPr="00163EB6" w:rsidRDefault="00C36A9E" w:rsidP="00C36A9E">
            <w:pPr>
              <w:tabs>
                <w:tab w:val="left" w:pos="1162"/>
              </w:tabs>
              <w:spacing w:before="80" w:after="80" w:line="240" w:lineRule="auto"/>
              <w:rPr>
                <w:rFonts w:eastAsiaTheme="minorHAnsi" w:cs="Arial"/>
                <w:b/>
                <w:noProof/>
                <w:color w:val="000000"/>
                <w:sz w:val="18"/>
                <w:szCs w:val="18"/>
              </w:rPr>
            </w:pPr>
            <w:r w:rsidRPr="00163EB6">
              <w:rPr>
                <w:rFonts w:cs="Arial"/>
                <w:color w:val="000000"/>
                <w:sz w:val="18"/>
                <w:szCs w:val="18"/>
              </w:rPr>
              <w:t>N0</w:t>
            </w:r>
            <w:r>
              <w:rPr>
                <w:rFonts w:cs="Arial"/>
                <w:color w:val="000000"/>
                <w:sz w:val="18"/>
                <w:szCs w:val="18"/>
              </w:rPr>
              <w:t>9</w:t>
            </w:r>
          </w:p>
        </w:tc>
        <w:tc>
          <w:tcPr>
            <w:tcW w:w="2126" w:type="dxa"/>
            <w:shd w:val="clear" w:color="auto" w:fill="auto"/>
            <w:noWrap/>
            <w:hideMark/>
          </w:tcPr>
          <w:p w14:paraId="737E8C68" w14:textId="77777777" w:rsidR="00C36A9E" w:rsidRPr="00163EB6" w:rsidRDefault="00C36A9E" w:rsidP="00C36A9E">
            <w:pPr>
              <w:tabs>
                <w:tab w:val="left" w:pos="1162"/>
              </w:tabs>
              <w:spacing w:before="80" w:after="80" w:line="240" w:lineRule="auto"/>
              <w:rPr>
                <w:rFonts w:cs="Arial"/>
                <w:color w:val="000000"/>
                <w:sz w:val="18"/>
                <w:szCs w:val="18"/>
              </w:rPr>
            </w:pPr>
            <w:r w:rsidRPr="00163EB6">
              <w:rPr>
                <w:rFonts w:cs="Arial"/>
                <w:color w:val="000000"/>
                <w:sz w:val="18"/>
                <w:szCs w:val="18"/>
              </w:rPr>
              <w:t>adj_indigenous</w:t>
            </w:r>
          </w:p>
        </w:tc>
        <w:tc>
          <w:tcPr>
            <w:tcW w:w="3118" w:type="dxa"/>
            <w:shd w:val="clear" w:color="auto" w:fill="auto"/>
            <w:noWrap/>
            <w:hideMark/>
          </w:tcPr>
          <w:p w14:paraId="58DD64A5" w14:textId="77777777" w:rsidR="00C36A9E" w:rsidRPr="00163EB6" w:rsidRDefault="00C36A9E" w:rsidP="00C36A9E">
            <w:pPr>
              <w:tabs>
                <w:tab w:val="left" w:pos="1162"/>
              </w:tabs>
              <w:spacing w:before="80" w:after="80" w:line="240" w:lineRule="auto"/>
              <w:rPr>
                <w:rFonts w:cs="Arial"/>
                <w:color w:val="000000"/>
                <w:sz w:val="18"/>
                <w:szCs w:val="18"/>
              </w:rPr>
            </w:pPr>
            <w:r w:rsidRPr="00163EB6">
              <w:rPr>
                <w:rFonts w:cs="Arial"/>
                <w:color w:val="000000"/>
                <w:sz w:val="18"/>
                <w:szCs w:val="18"/>
              </w:rPr>
              <w:t>See definition</w:t>
            </w:r>
          </w:p>
        </w:tc>
        <w:tc>
          <w:tcPr>
            <w:tcW w:w="4536" w:type="dxa"/>
            <w:shd w:val="clear" w:color="auto" w:fill="auto"/>
            <w:noWrap/>
            <w:hideMark/>
          </w:tcPr>
          <w:p w14:paraId="406AF950" w14:textId="70FF71F5" w:rsidR="00C36A9E" w:rsidRPr="00163EB6" w:rsidRDefault="00C36A9E" w:rsidP="00C36A9E">
            <w:pPr>
              <w:tabs>
                <w:tab w:val="left" w:pos="1162"/>
              </w:tabs>
              <w:spacing w:before="80" w:after="80" w:line="240" w:lineRule="auto"/>
              <w:rPr>
                <w:rFonts w:cs="Arial"/>
                <w:color w:val="000000"/>
                <w:sz w:val="18"/>
                <w:szCs w:val="18"/>
              </w:rPr>
            </w:pPr>
            <w:r w:rsidRPr="3D0911E0">
              <w:rPr>
                <w:rFonts w:cs="Arial"/>
                <w:color w:val="000000" w:themeColor="text1"/>
                <w:sz w:val="18"/>
                <w:szCs w:val="18"/>
              </w:rPr>
              <w:t>Indigenous adjustment</w:t>
            </w:r>
            <w:r w:rsidR="08D6EAC9" w:rsidRPr="6346E14E">
              <w:rPr>
                <w:rFonts w:cs="Arial"/>
                <w:color w:val="000000" w:themeColor="text1"/>
                <w:sz w:val="18"/>
                <w:szCs w:val="18"/>
              </w:rPr>
              <w:t>.</w:t>
            </w:r>
          </w:p>
        </w:tc>
      </w:tr>
      <w:tr w:rsidR="008C4F86" w:rsidRPr="00587976" w14:paraId="7B02A2B3" w14:textId="77777777" w:rsidTr="10D0206E">
        <w:trPr>
          <w:cantSplit/>
          <w:trHeight w:val="225"/>
        </w:trPr>
        <w:tc>
          <w:tcPr>
            <w:tcW w:w="993" w:type="dxa"/>
            <w:tcBorders>
              <w:bottom w:val="single" w:sz="4" w:space="0" w:color="auto"/>
            </w:tcBorders>
            <w:shd w:val="clear" w:color="auto" w:fill="auto"/>
            <w:noWrap/>
          </w:tcPr>
          <w:p w14:paraId="7977FB51" w14:textId="77777777" w:rsidR="00C36A9E" w:rsidRPr="00771DEF" w:rsidDel="000C1248" w:rsidRDefault="00C36A9E" w:rsidP="00C36A9E">
            <w:pPr>
              <w:tabs>
                <w:tab w:val="left" w:pos="1162"/>
              </w:tabs>
              <w:spacing w:before="80" w:after="80" w:line="240" w:lineRule="auto"/>
              <w:rPr>
                <w:rFonts w:cs="Arial"/>
                <w:color w:val="000000"/>
                <w:sz w:val="18"/>
                <w:szCs w:val="18"/>
              </w:rPr>
            </w:pPr>
            <w:r>
              <w:rPr>
                <w:rFonts w:cs="Arial"/>
                <w:color w:val="000000"/>
                <w:sz w:val="18"/>
                <w:szCs w:val="18"/>
              </w:rPr>
              <w:t>N10</w:t>
            </w:r>
          </w:p>
        </w:tc>
        <w:tc>
          <w:tcPr>
            <w:tcW w:w="2126" w:type="dxa"/>
            <w:shd w:val="clear" w:color="auto" w:fill="auto"/>
            <w:noWrap/>
          </w:tcPr>
          <w:p w14:paraId="0AF151F5" w14:textId="77777777" w:rsidR="00C36A9E" w:rsidRPr="00497236" w:rsidRDefault="00C36A9E" w:rsidP="00C36A9E">
            <w:pPr>
              <w:tabs>
                <w:tab w:val="left" w:pos="1162"/>
              </w:tabs>
              <w:spacing w:before="80" w:after="80" w:line="240" w:lineRule="auto"/>
              <w:rPr>
                <w:rFonts w:cs="Arial"/>
                <w:color w:val="000000"/>
                <w:sz w:val="18"/>
                <w:szCs w:val="18"/>
              </w:rPr>
            </w:pPr>
            <w:r>
              <w:rPr>
                <w:rFonts w:cs="Arial"/>
                <w:color w:val="000000"/>
                <w:sz w:val="18"/>
                <w:szCs w:val="18"/>
              </w:rPr>
              <w:t>adj_remoteness</w:t>
            </w:r>
          </w:p>
        </w:tc>
        <w:tc>
          <w:tcPr>
            <w:tcW w:w="3118" w:type="dxa"/>
            <w:shd w:val="clear" w:color="auto" w:fill="auto"/>
            <w:noWrap/>
          </w:tcPr>
          <w:p w14:paraId="66E1DD79" w14:textId="77777777" w:rsidR="00C36A9E" w:rsidRPr="00497236"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See definition</w:t>
            </w:r>
          </w:p>
        </w:tc>
        <w:tc>
          <w:tcPr>
            <w:tcW w:w="4536" w:type="dxa"/>
            <w:shd w:val="clear" w:color="auto" w:fill="auto"/>
          </w:tcPr>
          <w:p w14:paraId="01FA5103" w14:textId="77777777" w:rsidR="00C36A9E" w:rsidRPr="00497236"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residence remoteness</w:t>
            </w:r>
            <w:r w:rsidRPr="00822178">
              <w:rPr>
                <w:rFonts w:cs="Arial"/>
                <w:color w:val="000000"/>
                <w:sz w:val="18"/>
                <w:szCs w:val="18"/>
              </w:rPr>
              <w:t xml:space="preserve"> adjustment</w:t>
            </w:r>
            <w:r>
              <w:rPr>
                <w:rFonts w:cs="Arial"/>
                <w:color w:val="000000"/>
                <w:sz w:val="18"/>
                <w:szCs w:val="18"/>
              </w:rPr>
              <w:t>.</w:t>
            </w:r>
          </w:p>
        </w:tc>
      </w:tr>
      <w:tr w:rsidR="008C4F86" w:rsidRPr="00587976" w14:paraId="592C57CB" w14:textId="77777777" w:rsidTr="10D0206E">
        <w:trPr>
          <w:cantSplit/>
          <w:trHeight w:val="225"/>
        </w:trPr>
        <w:tc>
          <w:tcPr>
            <w:tcW w:w="993" w:type="dxa"/>
            <w:tcBorders>
              <w:bottom w:val="single" w:sz="4" w:space="0" w:color="auto"/>
            </w:tcBorders>
            <w:shd w:val="clear" w:color="auto" w:fill="auto"/>
            <w:noWrap/>
          </w:tcPr>
          <w:p w14:paraId="2F28993A" w14:textId="77777777" w:rsidR="00C36A9E" w:rsidRPr="00771DEF" w:rsidRDefault="00C36A9E"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N11</w:t>
            </w:r>
          </w:p>
        </w:tc>
        <w:tc>
          <w:tcPr>
            <w:tcW w:w="2126" w:type="dxa"/>
            <w:shd w:val="clear" w:color="auto" w:fill="auto"/>
            <w:noWrap/>
            <w:hideMark/>
          </w:tcPr>
          <w:p w14:paraId="438B1BB7" w14:textId="77777777" w:rsidR="00C36A9E" w:rsidRPr="00497236" w:rsidRDefault="00C36A9E" w:rsidP="00C36A9E">
            <w:pPr>
              <w:tabs>
                <w:tab w:val="left" w:pos="1162"/>
              </w:tabs>
              <w:spacing w:before="80" w:after="80" w:line="240" w:lineRule="auto"/>
              <w:rPr>
                <w:rFonts w:cs="Arial"/>
                <w:color w:val="000000"/>
                <w:sz w:val="18"/>
                <w:szCs w:val="18"/>
              </w:rPr>
            </w:pPr>
            <w:r w:rsidRPr="00497236">
              <w:rPr>
                <w:rFonts w:cs="Arial"/>
                <w:color w:val="000000"/>
                <w:sz w:val="18"/>
                <w:szCs w:val="18"/>
              </w:rPr>
              <w:t>Error_</w:t>
            </w:r>
            <w:r>
              <w:rPr>
                <w:rFonts w:cs="Arial"/>
                <w:color w:val="000000"/>
                <w:sz w:val="18"/>
                <w:szCs w:val="18"/>
              </w:rPr>
              <w:t>c</w:t>
            </w:r>
            <w:r w:rsidRPr="00497236">
              <w:rPr>
                <w:rFonts w:cs="Arial"/>
                <w:color w:val="000000"/>
                <w:sz w:val="18"/>
                <w:szCs w:val="18"/>
              </w:rPr>
              <w:t>ode</w:t>
            </w:r>
          </w:p>
        </w:tc>
        <w:tc>
          <w:tcPr>
            <w:tcW w:w="3118" w:type="dxa"/>
            <w:shd w:val="clear" w:color="auto" w:fill="auto"/>
            <w:noWrap/>
            <w:hideMark/>
          </w:tcPr>
          <w:p w14:paraId="4AB3068F" w14:textId="77777777" w:rsidR="00C36A9E" w:rsidRPr="00497236" w:rsidRDefault="00C36A9E" w:rsidP="00C36A9E">
            <w:pPr>
              <w:tabs>
                <w:tab w:val="left" w:pos="1162"/>
              </w:tabs>
              <w:spacing w:before="80" w:after="80" w:line="240" w:lineRule="auto"/>
              <w:rPr>
                <w:rFonts w:cs="Arial"/>
                <w:color w:val="000000"/>
                <w:sz w:val="18"/>
                <w:szCs w:val="18"/>
              </w:rPr>
            </w:pPr>
            <w:r w:rsidRPr="00497236">
              <w:rPr>
                <w:rFonts w:cs="Arial"/>
                <w:color w:val="000000"/>
                <w:sz w:val="18"/>
                <w:szCs w:val="18"/>
              </w:rPr>
              <w:t>See definition</w:t>
            </w:r>
          </w:p>
        </w:tc>
        <w:tc>
          <w:tcPr>
            <w:tcW w:w="4536" w:type="dxa"/>
            <w:shd w:val="clear" w:color="auto" w:fill="auto"/>
            <w:hideMark/>
          </w:tcPr>
          <w:p w14:paraId="510F75F0" w14:textId="77777777" w:rsidR="00C36A9E" w:rsidRPr="00497236" w:rsidRDefault="00C36A9E" w:rsidP="00C36A9E">
            <w:pPr>
              <w:tabs>
                <w:tab w:val="left" w:pos="1162"/>
              </w:tabs>
              <w:spacing w:before="80" w:after="80" w:line="240" w:lineRule="auto"/>
              <w:rPr>
                <w:rFonts w:cs="Arial"/>
                <w:color w:val="000000"/>
                <w:sz w:val="18"/>
                <w:szCs w:val="18"/>
              </w:rPr>
            </w:pPr>
            <w:r w:rsidRPr="00497236">
              <w:rPr>
                <w:rFonts w:cs="Arial"/>
                <w:color w:val="000000"/>
                <w:sz w:val="18"/>
                <w:szCs w:val="18"/>
              </w:rPr>
              <w:t xml:space="preserve">Outlines </w:t>
            </w:r>
            <w:r>
              <w:rPr>
                <w:rFonts w:cs="Arial"/>
                <w:color w:val="000000"/>
                <w:sz w:val="18"/>
                <w:szCs w:val="18"/>
              </w:rPr>
              <w:t>e</w:t>
            </w:r>
            <w:r w:rsidRPr="00497236">
              <w:rPr>
                <w:rFonts w:cs="Arial"/>
                <w:color w:val="000000"/>
                <w:sz w:val="18"/>
                <w:szCs w:val="18"/>
              </w:rPr>
              <w:t>rrors in calculations</w:t>
            </w:r>
            <w:r>
              <w:rPr>
                <w:rFonts w:cs="Arial"/>
                <w:color w:val="000000"/>
                <w:sz w:val="18"/>
                <w:szCs w:val="18"/>
              </w:rPr>
              <w:t>.</w:t>
            </w:r>
          </w:p>
        </w:tc>
      </w:tr>
      <w:tr w:rsidR="008C4F86" w:rsidRPr="00587976" w14:paraId="0E1A1410" w14:textId="77777777" w:rsidTr="10D0206E">
        <w:trPr>
          <w:cantSplit/>
          <w:trHeight w:val="225"/>
        </w:trPr>
        <w:tc>
          <w:tcPr>
            <w:tcW w:w="993" w:type="dxa"/>
            <w:tcBorders>
              <w:top w:val="single" w:sz="4" w:space="0" w:color="auto"/>
              <w:bottom w:val="single" w:sz="4" w:space="0" w:color="auto"/>
            </w:tcBorders>
            <w:shd w:val="clear" w:color="auto" w:fill="auto"/>
            <w:noWrap/>
          </w:tcPr>
          <w:p w14:paraId="1530FE42" w14:textId="77777777" w:rsidR="00C36A9E" w:rsidRPr="00BA577C" w:rsidRDefault="00C36A9E"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N12</w:t>
            </w:r>
          </w:p>
        </w:tc>
        <w:tc>
          <w:tcPr>
            <w:tcW w:w="2126" w:type="dxa"/>
            <w:shd w:val="clear" w:color="auto" w:fill="auto"/>
            <w:noWrap/>
          </w:tcPr>
          <w:p w14:paraId="1396F8F4" w14:textId="676907D2" w:rsidR="00C36A9E" w:rsidRPr="00BA577C" w:rsidRDefault="00A77141" w:rsidP="00C36A9E">
            <w:pPr>
              <w:tabs>
                <w:tab w:val="left" w:pos="1162"/>
              </w:tabs>
              <w:spacing w:before="80" w:after="80" w:line="240" w:lineRule="auto"/>
              <w:rPr>
                <w:rFonts w:cs="Arial"/>
                <w:color w:val="000000"/>
                <w:sz w:val="18"/>
                <w:szCs w:val="18"/>
              </w:rPr>
            </w:pPr>
            <w:r>
              <w:rPr>
                <w:rFonts w:cs="Arial"/>
                <w:color w:val="000000"/>
                <w:sz w:val="18"/>
                <w:szCs w:val="18"/>
              </w:rPr>
              <w:t>GWAU22</w:t>
            </w:r>
          </w:p>
        </w:tc>
        <w:tc>
          <w:tcPr>
            <w:tcW w:w="3118" w:type="dxa"/>
            <w:shd w:val="clear" w:color="auto" w:fill="auto"/>
            <w:noWrap/>
          </w:tcPr>
          <w:p w14:paraId="21D96D5A" w14:textId="77777777" w:rsidR="00C36A9E" w:rsidRPr="00BA577C" w:rsidRDefault="00C36A9E" w:rsidP="00C36A9E">
            <w:pPr>
              <w:tabs>
                <w:tab w:val="left" w:pos="1162"/>
              </w:tabs>
              <w:spacing w:before="80" w:after="80" w:line="240" w:lineRule="auto"/>
              <w:rPr>
                <w:rFonts w:cs="Arial"/>
                <w:color w:val="000000"/>
                <w:sz w:val="18"/>
                <w:szCs w:val="18"/>
              </w:rPr>
            </w:pPr>
            <w:r w:rsidRPr="00BA577C">
              <w:rPr>
                <w:rFonts w:cs="Arial"/>
                <w:color w:val="000000"/>
                <w:sz w:val="18"/>
                <w:szCs w:val="20"/>
              </w:rPr>
              <w:t xml:space="preserve">Gross </w:t>
            </w:r>
            <w:r>
              <w:rPr>
                <w:rFonts w:cs="Arial"/>
                <w:color w:val="000000"/>
                <w:sz w:val="18"/>
                <w:szCs w:val="20"/>
              </w:rPr>
              <w:t>w</w:t>
            </w:r>
            <w:r w:rsidRPr="00BA577C">
              <w:rPr>
                <w:rFonts w:cs="Arial"/>
                <w:color w:val="000000"/>
                <w:sz w:val="18"/>
                <w:szCs w:val="20"/>
              </w:rPr>
              <w:t xml:space="preserve">eighted </w:t>
            </w:r>
            <w:r>
              <w:rPr>
                <w:rFonts w:cs="Arial"/>
                <w:color w:val="000000"/>
                <w:sz w:val="18"/>
                <w:szCs w:val="20"/>
              </w:rPr>
              <w:t>a</w:t>
            </w:r>
            <w:r w:rsidRPr="00BA577C">
              <w:rPr>
                <w:rFonts w:cs="Arial"/>
                <w:color w:val="000000"/>
                <w:sz w:val="18"/>
                <w:szCs w:val="20"/>
              </w:rPr>
              <w:t xml:space="preserve">ctivity </w:t>
            </w:r>
            <w:r>
              <w:rPr>
                <w:rFonts w:cs="Arial"/>
                <w:color w:val="000000"/>
                <w:sz w:val="18"/>
                <w:szCs w:val="20"/>
              </w:rPr>
              <w:t>u</w:t>
            </w:r>
            <w:r w:rsidRPr="00BA577C">
              <w:rPr>
                <w:rFonts w:cs="Arial"/>
                <w:color w:val="000000"/>
                <w:sz w:val="18"/>
                <w:szCs w:val="20"/>
              </w:rPr>
              <w:t>nit</w:t>
            </w:r>
          </w:p>
        </w:tc>
        <w:tc>
          <w:tcPr>
            <w:tcW w:w="4536" w:type="dxa"/>
            <w:shd w:val="clear" w:color="auto" w:fill="auto"/>
          </w:tcPr>
          <w:p w14:paraId="2D44DED4" w14:textId="77777777" w:rsidR="00C36A9E" w:rsidRDefault="00C36A9E" w:rsidP="00C36A9E">
            <w:pPr>
              <w:tabs>
                <w:tab w:val="left" w:pos="1162"/>
              </w:tabs>
              <w:spacing w:before="80" w:after="80" w:line="240" w:lineRule="auto"/>
              <w:rPr>
                <w:rFonts w:cs="Arial"/>
                <w:color w:val="000000"/>
                <w:sz w:val="18"/>
                <w:szCs w:val="18"/>
              </w:rPr>
            </w:pPr>
            <w:r w:rsidRPr="00BA577C">
              <w:rPr>
                <w:rFonts w:cs="Arial"/>
                <w:color w:val="000000"/>
                <w:sz w:val="18"/>
                <w:szCs w:val="18"/>
              </w:rPr>
              <w:t>clinic_pw*</w:t>
            </w:r>
            <w:r w:rsidRPr="005E7E39">
              <w:rPr>
                <w:rFonts w:cs="Arial"/>
                <w:color w:val="000000"/>
                <w:sz w:val="18"/>
                <w:szCs w:val="18"/>
              </w:rPr>
              <w:t>tier2_adj_paed</w:t>
            </w:r>
            <w:r>
              <w:rPr>
                <w:rFonts w:cs="Arial"/>
                <w:color w:val="000000"/>
                <w:sz w:val="18"/>
                <w:szCs w:val="18"/>
              </w:rPr>
              <w:t>*</w:t>
            </w:r>
            <w:r w:rsidRPr="007312A0">
              <w:rPr>
                <w:rFonts w:cs="Arial"/>
                <w:color w:val="000000"/>
                <w:sz w:val="18"/>
                <w:szCs w:val="18"/>
              </w:rPr>
              <w:t>(1</w:t>
            </w:r>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r w:rsidRPr="007312A0">
              <w:rPr>
                <w:rFonts w:cs="Arial"/>
                <w:color w:val="000000"/>
                <w:sz w:val="18"/>
                <w:szCs w:val="18"/>
              </w:rPr>
              <w:t>adj_indigenous</w:t>
            </w:r>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r w:rsidRPr="007312A0">
              <w:rPr>
                <w:rFonts w:cs="Arial"/>
                <w:color w:val="000000"/>
                <w:sz w:val="18"/>
                <w:szCs w:val="18"/>
              </w:rPr>
              <w:t>adj_remoteness</w:t>
            </w:r>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r w:rsidRPr="007312A0">
              <w:rPr>
                <w:rFonts w:cs="Arial"/>
                <w:color w:val="000000"/>
                <w:sz w:val="18"/>
                <w:szCs w:val="18"/>
              </w:rPr>
              <w:t>adj_multiprov)*(1</w:t>
            </w:r>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r w:rsidRPr="007312A0">
              <w:rPr>
                <w:rFonts w:cs="Arial"/>
                <w:color w:val="000000"/>
                <w:sz w:val="18"/>
                <w:szCs w:val="18"/>
              </w:rPr>
              <w:t>adj_treat_remoteness)</w:t>
            </w:r>
            <w:r w:rsidRPr="007312A0" w:rsidDel="007312A0">
              <w:rPr>
                <w:rFonts w:cs="Arial"/>
                <w:color w:val="000000"/>
                <w:sz w:val="18"/>
                <w:szCs w:val="18"/>
              </w:rPr>
              <w:t xml:space="preserve"> </w:t>
            </w:r>
          </w:p>
          <w:p w14:paraId="46252948" w14:textId="77777777" w:rsidR="00C36A9E" w:rsidRDefault="00C36A9E" w:rsidP="00C36A9E">
            <w:pPr>
              <w:tabs>
                <w:tab w:val="left" w:pos="1162"/>
              </w:tabs>
              <w:spacing w:before="80" w:after="80" w:line="240" w:lineRule="auto"/>
              <w:rPr>
                <w:rFonts w:cs="Arial"/>
                <w:color w:val="000000"/>
                <w:sz w:val="18"/>
                <w:szCs w:val="18"/>
              </w:rPr>
            </w:pPr>
          </w:p>
          <w:p w14:paraId="1AAD86D3" w14:textId="18556322" w:rsidR="00C36A9E" w:rsidRPr="00BA577C" w:rsidRDefault="00C36A9E" w:rsidP="00C36A9E">
            <w:pPr>
              <w:tabs>
                <w:tab w:val="left" w:pos="1162"/>
              </w:tabs>
              <w:spacing w:before="80" w:after="80" w:line="240" w:lineRule="auto"/>
              <w:rPr>
                <w:rFonts w:cs="Arial"/>
                <w:color w:val="000000"/>
                <w:sz w:val="18"/>
                <w:szCs w:val="18"/>
              </w:rPr>
            </w:pPr>
            <w:r w:rsidRPr="760FD5E9">
              <w:rPr>
                <w:rFonts w:cs="Arial"/>
                <w:color w:val="000000" w:themeColor="text1"/>
                <w:sz w:val="18"/>
                <w:szCs w:val="18"/>
              </w:rPr>
              <w:t xml:space="preserve">Where tier2_adj_paed only applies when </w:t>
            </w:r>
            <w:r w:rsidR="2E3F45CD" w:rsidRPr="760FD5E9">
              <w:rPr>
                <w:rFonts w:cs="Arial"/>
                <w:color w:val="000000" w:themeColor="text1"/>
                <w:sz w:val="18"/>
                <w:szCs w:val="18"/>
              </w:rPr>
              <w:t>_pat_eligible_paed_flag</w:t>
            </w:r>
            <w:r w:rsidR="00AC54D5" w:rsidRPr="760FD5E9">
              <w:rPr>
                <w:rFonts w:cs="Arial"/>
                <w:color w:val="000000" w:themeColor="text1"/>
                <w:sz w:val="18"/>
                <w:szCs w:val="18"/>
              </w:rPr>
              <w:t xml:space="preserve"> </w:t>
            </w:r>
            <w:r w:rsidRPr="760FD5E9">
              <w:rPr>
                <w:rFonts w:cs="Arial"/>
                <w:color w:val="000000" w:themeColor="text1"/>
                <w:sz w:val="18"/>
                <w:szCs w:val="18"/>
              </w:rPr>
              <w:t>= 1, and adj_multiprov only applies when event has multiprovider indicator.</w:t>
            </w:r>
          </w:p>
        </w:tc>
      </w:tr>
      <w:tr w:rsidR="008C4F86" w:rsidRPr="00587976" w14:paraId="353B946A" w14:textId="77777777" w:rsidTr="10D0206E">
        <w:trPr>
          <w:cantSplit/>
          <w:trHeight w:val="225"/>
        </w:trPr>
        <w:tc>
          <w:tcPr>
            <w:tcW w:w="993" w:type="dxa"/>
            <w:tcBorders>
              <w:top w:val="single" w:sz="4" w:space="0" w:color="auto"/>
            </w:tcBorders>
            <w:shd w:val="clear" w:color="auto" w:fill="auto"/>
            <w:noWrap/>
          </w:tcPr>
          <w:p w14:paraId="19806143" w14:textId="77777777" w:rsidR="00C36A9E" w:rsidRPr="00BA577C" w:rsidRDefault="00C36A9E"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N13</w:t>
            </w:r>
          </w:p>
        </w:tc>
        <w:tc>
          <w:tcPr>
            <w:tcW w:w="2126" w:type="dxa"/>
            <w:shd w:val="clear" w:color="auto" w:fill="auto"/>
            <w:noWrap/>
          </w:tcPr>
          <w:p w14:paraId="6D200AB3" w14:textId="57D656BC" w:rsidR="00C36A9E" w:rsidRPr="00BA577C" w:rsidRDefault="00A77141" w:rsidP="00C36A9E">
            <w:pPr>
              <w:tabs>
                <w:tab w:val="left" w:pos="1162"/>
              </w:tabs>
              <w:spacing w:before="80" w:after="80" w:line="240" w:lineRule="auto"/>
              <w:rPr>
                <w:rFonts w:cs="Arial"/>
                <w:color w:val="000000"/>
                <w:sz w:val="18"/>
                <w:szCs w:val="18"/>
              </w:rPr>
            </w:pPr>
            <w:r>
              <w:rPr>
                <w:rFonts w:cs="Arial"/>
                <w:color w:val="000000"/>
                <w:sz w:val="18"/>
                <w:szCs w:val="18"/>
              </w:rPr>
              <w:t>NWAU22</w:t>
            </w:r>
          </w:p>
        </w:tc>
        <w:tc>
          <w:tcPr>
            <w:tcW w:w="3118" w:type="dxa"/>
            <w:shd w:val="clear" w:color="auto" w:fill="auto"/>
            <w:noWrap/>
          </w:tcPr>
          <w:p w14:paraId="01475A2F" w14:textId="77777777" w:rsidR="00C36A9E" w:rsidRPr="00BA577C" w:rsidRDefault="00C36A9E" w:rsidP="00C36A9E">
            <w:pPr>
              <w:tabs>
                <w:tab w:val="left" w:pos="1162"/>
              </w:tabs>
              <w:spacing w:before="80" w:after="80" w:line="240" w:lineRule="auto"/>
              <w:rPr>
                <w:rFonts w:cs="Arial"/>
                <w:color w:val="000000"/>
                <w:sz w:val="18"/>
                <w:szCs w:val="18"/>
              </w:rPr>
            </w:pPr>
            <w:r w:rsidRPr="00BA577C">
              <w:rPr>
                <w:rFonts w:cs="Arial"/>
                <w:color w:val="000000"/>
                <w:sz w:val="18"/>
                <w:szCs w:val="20"/>
              </w:rPr>
              <w:t xml:space="preserve">National </w:t>
            </w:r>
            <w:r>
              <w:rPr>
                <w:rFonts w:cs="Arial"/>
                <w:color w:val="000000"/>
                <w:sz w:val="18"/>
                <w:szCs w:val="20"/>
              </w:rPr>
              <w:t>w</w:t>
            </w:r>
            <w:r w:rsidRPr="00BA577C">
              <w:rPr>
                <w:rFonts w:cs="Arial"/>
                <w:color w:val="000000"/>
                <w:sz w:val="18"/>
                <w:szCs w:val="20"/>
              </w:rPr>
              <w:t xml:space="preserve">eighted </w:t>
            </w:r>
            <w:r>
              <w:rPr>
                <w:rFonts w:cs="Arial"/>
                <w:color w:val="000000"/>
                <w:sz w:val="18"/>
                <w:szCs w:val="20"/>
              </w:rPr>
              <w:t>a</w:t>
            </w:r>
            <w:r w:rsidRPr="00BA577C">
              <w:rPr>
                <w:rFonts w:cs="Arial"/>
                <w:color w:val="000000"/>
                <w:sz w:val="18"/>
                <w:szCs w:val="20"/>
              </w:rPr>
              <w:t xml:space="preserve">ctivity </w:t>
            </w:r>
            <w:r>
              <w:rPr>
                <w:rFonts w:cs="Arial"/>
                <w:color w:val="000000"/>
                <w:sz w:val="18"/>
                <w:szCs w:val="20"/>
              </w:rPr>
              <w:t>u</w:t>
            </w:r>
            <w:r w:rsidRPr="00BA577C">
              <w:rPr>
                <w:rFonts w:cs="Arial"/>
                <w:color w:val="000000"/>
                <w:sz w:val="18"/>
                <w:szCs w:val="20"/>
              </w:rPr>
              <w:t>nit</w:t>
            </w:r>
          </w:p>
        </w:tc>
        <w:tc>
          <w:tcPr>
            <w:tcW w:w="4536" w:type="dxa"/>
            <w:shd w:val="clear" w:color="auto" w:fill="auto"/>
          </w:tcPr>
          <w:p w14:paraId="295B78F2" w14:textId="09E93483" w:rsidR="00C36A9E" w:rsidRPr="00BA577C" w:rsidRDefault="00A77141" w:rsidP="00C36A9E">
            <w:pPr>
              <w:tabs>
                <w:tab w:val="left" w:pos="1162"/>
              </w:tabs>
              <w:spacing w:before="80" w:after="80" w:line="240" w:lineRule="auto"/>
              <w:rPr>
                <w:rFonts w:cs="Arial"/>
                <w:color w:val="000000"/>
                <w:sz w:val="18"/>
                <w:szCs w:val="18"/>
              </w:rPr>
            </w:pPr>
            <w:r>
              <w:rPr>
                <w:rFonts w:cs="Arial"/>
                <w:color w:val="000000"/>
                <w:sz w:val="18"/>
                <w:szCs w:val="18"/>
              </w:rPr>
              <w:t>GWAU22</w:t>
            </w:r>
            <w:r w:rsidRPr="00BA577C">
              <w:rPr>
                <w:rFonts w:cs="Arial"/>
                <w:color w:val="000000"/>
                <w:sz w:val="18"/>
                <w:szCs w:val="18"/>
              </w:rPr>
              <w:t xml:space="preserve"> </w:t>
            </w:r>
            <w:r w:rsidR="00C36A9E" w:rsidRPr="00BA577C">
              <w:rPr>
                <w:rFonts w:cs="Arial"/>
                <w:color w:val="000000"/>
                <w:sz w:val="18"/>
                <w:szCs w:val="18"/>
              </w:rPr>
              <w:t>for in-scope funding sources</w:t>
            </w:r>
            <w:r w:rsidR="00C36A9E">
              <w:rPr>
                <w:rFonts w:cs="Arial"/>
                <w:color w:val="000000"/>
                <w:sz w:val="18"/>
                <w:szCs w:val="18"/>
              </w:rPr>
              <w:t xml:space="preserve"> set as necessary in the template.</w:t>
            </w:r>
          </w:p>
        </w:tc>
      </w:tr>
    </w:tbl>
    <w:p w14:paraId="6837E936" w14:textId="77777777" w:rsidR="00E91F11" w:rsidRDefault="00E91F11">
      <w:pPr>
        <w:spacing w:before="0" w:after="0" w:line="240" w:lineRule="auto"/>
        <w:rPr>
          <w:b/>
          <w:sz w:val="64"/>
          <w:szCs w:val="64"/>
        </w:rPr>
      </w:pPr>
      <w:bookmarkStart w:id="415" w:name="_Toc468374373"/>
      <w:bookmarkStart w:id="416" w:name="_Toc499221020"/>
      <w:bookmarkStart w:id="417" w:name="_Toc499290980"/>
      <w:bookmarkStart w:id="418" w:name="_Toc26278358"/>
      <w:bookmarkStart w:id="419" w:name="_Toc26370536"/>
      <w:r>
        <w:rPr>
          <w:b/>
          <w:sz w:val="64"/>
          <w:szCs w:val="64"/>
        </w:rPr>
        <w:br w:type="page"/>
      </w:r>
    </w:p>
    <w:p w14:paraId="43FAA451" w14:textId="4F0BEA5C" w:rsidR="00561E6C" w:rsidRPr="008672C9" w:rsidRDefault="00561E6C" w:rsidP="00424C8B">
      <w:pPr>
        <w:pStyle w:val="AppendixH1"/>
      </w:pPr>
      <w:bookmarkStart w:id="420" w:name="_Toc65145971"/>
      <w:bookmarkStart w:id="421" w:name="_Toc98882320"/>
      <w:r w:rsidRPr="008672C9">
        <w:lastRenderedPageBreak/>
        <w:t>Appendix C: Summary of input data</w:t>
      </w:r>
      <w:bookmarkEnd w:id="415"/>
      <w:bookmarkEnd w:id="416"/>
      <w:bookmarkEnd w:id="417"/>
      <w:bookmarkEnd w:id="418"/>
      <w:bookmarkEnd w:id="419"/>
      <w:bookmarkEnd w:id="420"/>
      <w:bookmarkEnd w:id="421"/>
    </w:p>
    <w:p w14:paraId="017EA041" w14:textId="3DB5E976" w:rsidR="00561E6C" w:rsidRPr="00DE5CDD" w:rsidRDefault="00561E6C" w:rsidP="00836FC5">
      <w:pPr>
        <w:pStyle w:val="TableHeading"/>
      </w:pPr>
      <w:r w:rsidRPr="00DE5CDD">
        <w:t xml:space="preserve">Table </w:t>
      </w:r>
      <w:r w:rsidR="00105BEF">
        <w:t>2</w:t>
      </w:r>
      <w:r w:rsidR="00DE3F2F">
        <w:t>8</w:t>
      </w:r>
      <w:r>
        <w:t>:</w:t>
      </w:r>
      <w:r w:rsidRPr="00DE5CDD">
        <w:t xml:space="preserve"> Summary of </w:t>
      </w:r>
      <w:r w:rsidR="003407D9">
        <w:t>2018</w:t>
      </w:r>
      <w:r>
        <w:t>–</w:t>
      </w:r>
      <w:r w:rsidR="003407D9">
        <w:t>19</w:t>
      </w:r>
      <w:r w:rsidR="003407D9" w:rsidRPr="00DE5CDD">
        <w:t xml:space="preserve"> </w:t>
      </w:r>
      <w:r w:rsidR="002A0EFB">
        <w:t xml:space="preserve">and </w:t>
      </w:r>
      <w:r w:rsidR="003407D9">
        <w:t>2019</w:t>
      </w:r>
      <w:r w:rsidR="00836FC5">
        <w:t>–</w:t>
      </w:r>
      <w:r w:rsidR="003407D9">
        <w:t xml:space="preserve">20 </w:t>
      </w:r>
      <w:r>
        <w:t>p</w:t>
      </w:r>
      <w:r w:rsidRPr="00DE5CDD">
        <w:t>atient-</w:t>
      </w:r>
      <w:r>
        <w:t>c</w:t>
      </w:r>
      <w:r w:rsidRPr="00DE5CDD">
        <w:t>osted NHCDC data (</w:t>
      </w:r>
      <w:r w:rsidR="008B2E1C">
        <w:t>H</w:t>
      </w:r>
      <w:r w:rsidRPr="00DE5CDD">
        <w:t>ospitals</w:t>
      </w:r>
      <w:r w:rsidR="008B2E1C">
        <w:t xml:space="preserve"> used for cost modelling</w:t>
      </w:r>
      <w:r w:rsidRPr="00DE5CDD">
        <w:t>)</w:t>
      </w:r>
    </w:p>
    <w:tbl>
      <w:tblPr>
        <w:tblW w:w="10261" w:type="dxa"/>
        <w:tblInd w:w="85" w:type="dxa"/>
        <w:tblLayout w:type="fixed"/>
        <w:tblLook w:val="04A0" w:firstRow="1" w:lastRow="0" w:firstColumn="1" w:lastColumn="0" w:noHBand="0" w:noVBand="1"/>
        <w:tblCaption w:val="Table 27: Summary of 2014-15 and 2015-16 patient-costed NHCDC data (ABF hospitals)."/>
        <w:tblDescription w:val="Table 27 provides a summary of patient costed National Hospital Cost Data Collection (NHCDC) data measured from the period 2010-11 and 2011-12.Table 2 provides a summary of Population data measured from the period 2010-11 and 2011-12.Table 3 provides a summary of costed National Hospital Cost Data Collection (NHCDC) data measured from the period  2010-11 and 2011-12."/>
      </w:tblPr>
      <w:tblGrid>
        <w:gridCol w:w="1470"/>
        <w:gridCol w:w="992"/>
        <w:gridCol w:w="992"/>
        <w:gridCol w:w="992"/>
        <w:gridCol w:w="993"/>
        <w:gridCol w:w="992"/>
        <w:gridCol w:w="882"/>
        <w:gridCol w:w="961"/>
        <w:gridCol w:w="992"/>
        <w:gridCol w:w="995"/>
      </w:tblGrid>
      <w:tr w:rsidR="00E766DD" w:rsidRPr="006314EF" w14:paraId="76F52634" w14:textId="77777777" w:rsidTr="76ABC984">
        <w:trPr>
          <w:trHeight w:val="454"/>
          <w:tblHeader/>
        </w:trPr>
        <w:tc>
          <w:tcPr>
            <w:tcW w:w="147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1D69582" w14:textId="77777777" w:rsidR="00561E6C" w:rsidRPr="00810675" w:rsidRDefault="00561E6C" w:rsidP="00E050EA">
            <w:pPr>
              <w:spacing w:beforeLines="80" w:before="192" w:afterLines="80" w:after="192" w:line="240" w:lineRule="auto"/>
              <w:contextualSpacing/>
              <w:rPr>
                <w:rFonts w:asciiTheme="majorHAnsi" w:hAnsiTheme="majorHAnsi" w:cstheme="majorHAnsi"/>
                <w:b/>
                <w:bCs/>
                <w:color w:val="000000"/>
                <w:sz w:val="18"/>
                <w:szCs w:val="18"/>
              </w:rPr>
            </w:pPr>
            <w:r w:rsidRPr="00810675">
              <w:rPr>
                <w:rFonts w:asciiTheme="majorHAnsi" w:hAnsiTheme="majorHAnsi" w:cstheme="majorHAnsi"/>
                <w:b/>
                <w:bCs/>
                <w:color w:val="000000"/>
                <w:sz w:val="18"/>
                <w:szCs w:val="18"/>
              </w:rPr>
              <w:t> </w:t>
            </w:r>
          </w:p>
          <w:p w14:paraId="50328966" w14:textId="77777777" w:rsidR="00561E6C" w:rsidRPr="00810675" w:rsidRDefault="00561E6C" w:rsidP="00E050EA">
            <w:pPr>
              <w:spacing w:beforeLines="80" w:before="192" w:afterLines="80" w:after="192" w:line="240" w:lineRule="auto"/>
              <w:contextualSpacing/>
              <w:rPr>
                <w:rFonts w:asciiTheme="majorHAnsi" w:hAnsiTheme="majorHAnsi" w:cstheme="majorHAnsi"/>
                <w:b/>
                <w:bCs/>
                <w:color w:val="000000"/>
                <w:sz w:val="18"/>
                <w:szCs w:val="18"/>
              </w:rPr>
            </w:pPr>
            <w:r w:rsidRPr="00810675">
              <w:rPr>
                <w:rFonts w:asciiTheme="majorHAnsi" w:hAnsiTheme="majorHAnsi" w:cstheme="majorHAnsi"/>
                <w:b/>
                <w:bCs/>
                <w:color w:val="000000"/>
                <w:sz w:val="18"/>
                <w:szCs w:val="18"/>
              </w:rPr>
              <w:t> </w:t>
            </w:r>
          </w:p>
        </w:tc>
        <w:tc>
          <w:tcPr>
            <w:tcW w:w="2976" w:type="dxa"/>
            <w:gridSpan w:val="3"/>
            <w:tcBorders>
              <w:top w:val="single" w:sz="4" w:space="0" w:color="auto"/>
              <w:left w:val="nil"/>
              <w:bottom w:val="single" w:sz="4" w:space="0" w:color="auto"/>
              <w:right w:val="single" w:sz="4" w:space="0" w:color="000000" w:themeColor="text1"/>
            </w:tcBorders>
            <w:shd w:val="clear" w:color="auto" w:fill="288A32"/>
            <w:vAlign w:val="center"/>
            <w:hideMark/>
          </w:tcPr>
          <w:p w14:paraId="3DCDE619" w14:textId="77777777" w:rsidR="00561E6C" w:rsidRPr="00810675" w:rsidRDefault="00561E6C" w:rsidP="00E050EA">
            <w:pPr>
              <w:spacing w:before="80" w:after="80" w:line="240" w:lineRule="auto"/>
              <w:jc w:val="center"/>
              <w:rPr>
                <w:rFonts w:asciiTheme="majorHAnsi" w:hAnsiTheme="majorHAnsi" w:cstheme="majorHAnsi"/>
                <w:b/>
                <w:bCs/>
                <w:color w:val="FFFFFF" w:themeColor="background1"/>
                <w:sz w:val="18"/>
                <w:szCs w:val="18"/>
              </w:rPr>
            </w:pPr>
            <w:r w:rsidRPr="00810675">
              <w:rPr>
                <w:rFonts w:asciiTheme="majorHAnsi" w:hAnsiTheme="majorHAnsi" w:cstheme="majorHAnsi"/>
                <w:b/>
                <w:bCs/>
                <w:color w:val="FFFFFF" w:themeColor="background1"/>
                <w:sz w:val="18"/>
                <w:szCs w:val="18"/>
              </w:rPr>
              <w:t>Establishments</w:t>
            </w:r>
          </w:p>
        </w:tc>
        <w:tc>
          <w:tcPr>
            <w:tcW w:w="2867" w:type="dxa"/>
            <w:gridSpan w:val="3"/>
            <w:tcBorders>
              <w:top w:val="single" w:sz="4" w:space="0" w:color="auto"/>
              <w:left w:val="nil"/>
              <w:bottom w:val="single" w:sz="4" w:space="0" w:color="auto"/>
              <w:right w:val="single" w:sz="4" w:space="0" w:color="000000" w:themeColor="text1"/>
            </w:tcBorders>
            <w:shd w:val="clear" w:color="auto" w:fill="288A32"/>
            <w:vAlign w:val="center"/>
            <w:hideMark/>
          </w:tcPr>
          <w:p w14:paraId="1F0110F8" w14:textId="77777777" w:rsidR="00561E6C" w:rsidRPr="00810675" w:rsidRDefault="00561E6C" w:rsidP="00E050EA">
            <w:pPr>
              <w:spacing w:before="80" w:after="80" w:line="240" w:lineRule="auto"/>
              <w:jc w:val="center"/>
              <w:rPr>
                <w:rFonts w:asciiTheme="majorHAnsi" w:hAnsiTheme="majorHAnsi" w:cstheme="majorHAnsi"/>
                <w:b/>
                <w:bCs/>
                <w:color w:val="FFFFFF" w:themeColor="background1"/>
                <w:sz w:val="18"/>
                <w:szCs w:val="18"/>
              </w:rPr>
            </w:pPr>
            <w:r w:rsidRPr="00810675">
              <w:rPr>
                <w:rFonts w:asciiTheme="majorHAnsi" w:hAnsiTheme="majorHAnsi" w:cstheme="majorHAnsi"/>
                <w:b/>
                <w:bCs/>
                <w:color w:val="FFFFFF" w:themeColor="background1"/>
                <w:sz w:val="18"/>
                <w:szCs w:val="18"/>
              </w:rPr>
              <w:t>(Separations/</w:t>
            </w:r>
            <w:r>
              <w:rPr>
                <w:rFonts w:asciiTheme="majorHAnsi" w:hAnsiTheme="majorHAnsi" w:cstheme="majorHAnsi"/>
                <w:b/>
                <w:bCs/>
                <w:color w:val="FFFFFF" w:themeColor="background1"/>
                <w:sz w:val="18"/>
                <w:szCs w:val="18"/>
              </w:rPr>
              <w:t>e</w:t>
            </w:r>
            <w:r w:rsidRPr="00810675">
              <w:rPr>
                <w:rFonts w:asciiTheme="majorHAnsi" w:hAnsiTheme="majorHAnsi" w:cstheme="majorHAnsi"/>
                <w:b/>
                <w:bCs/>
                <w:color w:val="FFFFFF" w:themeColor="background1"/>
                <w:sz w:val="18"/>
                <w:szCs w:val="18"/>
              </w:rPr>
              <w:t>pisodes)</w:t>
            </w:r>
            <w:r w:rsidR="009C25EC">
              <w:rPr>
                <w:rFonts w:asciiTheme="majorHAnsi" w:hAnsiTheme="majorHAnsi" w:cstheme="majorHAnsi"/>
                <w:b/>
                <w:bCs/>
                <w:color w:val="FFFFFF" w:themeColor="background1"/>
                <w:sz w:val="18"/>
                <w:szCs w:val="18"/>
              </w:rPr>
              <w:t>*</w:t>
            </w:r>
          </w:p>
        </w:tc>
        <w:tc>
          <w:tcPr>
            <w:tcW w:w="2948" w:type="dxa"/>
            <w:gridSpan w:val="3"/>
            <w:tcBorders>
              <w:top w:val="single" w:sz="4" w:space="0" w:color="auto"/>
              <w:left w:val="nil"/>
              <w:bottom w:val="single" w:sz="4" w:space="0" w:color="auto"/>
              <w:right w:val="single" w:sz="4" w:space="0" w:color="auto"/>
            </w:tcBorders>
            <w:shd w:val="clear" w:color="auto" w:fill="288A32"/>
            <w:vAlign w:val="center"/>
            <w:hideMark/>
          </w:tcPr>
          <w:p w14:paraId="06F4C34D" w14:textId="77777777" w:rsidR="00561E6C" w:rsidRPr="00810675" w:rsidRDefault="00561E6C" w:rsidP="00E050EA">
            <w:pPr>
              <w:spacing w:before="80" w:after="80" w:line="240" w:lineRule="auto"/>
              <w:jc w:val="center"/>
              <w:rPr>
                <w:rFonts w:asciiTheme="majorHAnsi" w:hAnsiTheme="majorHAnsi" w:cstheme="majorHAnsi"/>
                <w:b/>
                <w:bCs/>
                <w:color w:val="FFFFFF" w:themeColor="background1"/>
                <w:sz w:val="18"/>
                <w:szCs w:val="18"/>
              </w:rPr>
            </w:pPr>
            <w:r w:rsidRPr="00810675">
              <w:rPr>
                <w:rFonts w:asciiTheme="majorHAnsi" w:hAnsiTheme="majorHAnsi" w:cstheme="majorHAnsi"/>
                <w:b/>
                <w:bCs/>
                <w:color w:val="FFFFFF" w:themeColor="background1"/>
                <w:sz w:val="18"/>
                <w:szCs w:val="18"/>
              </w:rPr>
              <w:t xml:space="preserve">Total </w:t>
            </w:r>
            <w:r>
              <w:rPr>
                <w:rFonts w:asciiTheme="majorHAnsi" w:hAnsiTheme="majorHAnsi" w:cstheme="majorHAnsi"/>
                <w:b/>
                <w:bCs/>
                <w:color w:val="FFFFFF" w:themeColor="background1"/>
                <w:sz w:val="18"/>
                <w:szCs w:val="18"/>
              </w:rPr>
              <w:t>r</w:t>
            </w:r>
            <w:r w:rsidRPr="00810675">
              <w:rPr>
                <w:rFonts w:asciiTheme="majorHAnsi" w:hAnsiTheme="majorHAnsi" w:cstheme="majorHAnsi"/>
                <w:b/>
                <w:bCs/>
                <w:color w:val="FFFFFF" w:themeColor="background1"/>
                <w:sz w:val="18"/>
                <w:szCs w:val="18"/>
              </w:rPr>
              <w:t xml:space="preserve">eported </w:t>
            </w:r>
            <w:r>
              <w:rPr>
                <w:rFonts w:asciiTheme="majorHAnsi" w:hAnsiTheme="majorHAnsi" w:cstheme="majorHAnsi"/>
                <w:b/>
                <w:bCs/>
                <w:color w:val="FFFFFF" w:themeColor="background1"/>
                <w:sz w:val="18"/>
                <w:szCs w:val="18"/>
              </w:rPr>
              <w:t>i</w:t>
            </w:r>
            <w:r w:rsidRPr="00810675">
              <w:rPr>
                <w:rFonts w:asciiTheme="majorHAnsi" w:hAnsiTheme="majorHAnsi" w:cstheme="majorHAnsi"/>
                <w:b/>
                <w:bCs/>
                <w:color w:val="FFFFFF" w:themeColor="background1"/>
                <w:sz w:val="18"/>
                <w:szCs w:val="18"/>
              </w:rPr>
              <w:t>n</w:t>
            </w:r>
            <w:r w:rsidRPr="00810675">
              <w:rPr>
                <w:rFonts w:asciiTheme="majorHAnsi" w:hAnsiTheme="majorHAnsi" w:cstheme="majorHAnsi"/>
                <w:b/>
                <w:bCs/>
                <w:color w:val="FFFFFF" w:themeColor="background1"/>
                <w:sz w:val="18"/>
                <w:szCs w:val="18"/>
              </w:rPr>
              <w:noBreakHyphen/>
              <w:t xml:space="preserve">scope </w:t>
            </w:r>
            <w:r>
              <w:rPr>
                <w:rFonts w:asciiTheme="majorHAnsi" w:hAnsiTheme="majorHAnsi" w:cstheme="majorHAnsi"/>
                <w:b/>
                <w:bCs/>
                <w:color w:val="FFFFFF" w:themeColor="background1"/>
                <w:sz w:val="18"/>
                <w:szCs w:val="18"/>
              </w:rPr>
              <w:t>c</w:t>
            </w:r>
            <w:r w:rsidRPr="00810675">
              <w:rPr>
                <w:rFonts w:asciiTheme="majorHAnsi" w:hAnsiTheme="majorHAnsi" w:cstheme="majorHAnsi"/>
                <w:b/>
                <w:bCs/>
                <w:color w:val="FFFFFF" w:themeColor="background1"/>
                <w:sz w:val="18"/>
                <w:szCs w:val="18"/>
              </w:rPr>
              <w:t>ost</w:t>
            </w:r>
          </w:p>
        </w:tc>
      </w:tr>
      <w:tr w:rsidR="00561E6C" w:rsidRPr="006314EF" w14:paraId="7A9078B3" w14:textId="77777777" w:rsidTr="003F4D04">
        <w:trPr>
          <w:trHeight w:val="454"/>
        </w:trPr>
        <w:tc>
          <w:tcPr>
            <w:tcW w:w="1470" w:type="dxa"/>
            <w:vMerge/>
            <w:tcBorders>
              <w:top w:val="single" w:sz="4" w:space="0" w:color="auto"/>
              <w:left w:val="single" w:sz="4" w:space="0" w:color="auto"/>
              <w:bottom w:val="single" w:sz="4" w:space="0" w:color="auto"/>
              <w:right w:val="single" w:sz="4" w:space="0" w:color="auto"/>
            </w:tcBorders>
            <w:noWrap/>
            <w:vAlign w:val="bottom"/>
            <w:hideMark/>
          </w:tcPr>
          <w:p w14:paraId="35C792CD" w14:textId="77777777" w:rsidR="00561E6C" w:rsidRPr="00810675" w:rsidRDefault="00561E6C" w:rsidP="00E050EA">
            <w:pPr>
              <w:spacing w:beforeLines="80" w:before="192" w:afterLines="80" w:after="192" w:line="240" w:lineRule="auto"/>
              <w:contextualSpacing/>
              <w:rPr>
                <w:rFonts w:asciiTheme="majorHAnsi" w:hAnsiTheme="majorHAnsi" w:cstheme="majorHAnsi"/>
                <w:b/>
                <w:bCs/>
                <w:color w:val="000000"/>
                <w:sz w:val="18"/>
                <w:szCs w:val="18"/>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4578A54" w14:textId="52AE32C2" w:rsidR="00561E6C" w:rsidRPr="00810675" w:rsidRDefault="003407D9"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2018</w:t>
            </w:r>
            <w:r w:rsidR="00434017">
              <w:rPr>
                <w:rFonts w:asciiTheme="minorHAnsi" w:hAnsiTheme="minorHAnsi" w:cstheme="minorHAnsi"/>
                <w:b/>
                <w:bCs/>
                <w:color w:val="000000"/>
                <w:sz w:val="18"/>
                <w:szCs w:val="18"/>
              </w:rPr>
              <w:t>–</w:t>
            </w:r>
            <w:r>
              <w:rPr>
                <w:rFonts w:asciiTheme="minorHAnsi" w:hAnsiTheme="minorHAnsi" w:cstheme="minorHAnsi"/>
                <w:b/>
                <w:bCs/>
                <w:color w:val="000000"/>
                <w:sz w:val="18"/>
                <w:szCs w:val="18"/>
              </w:rPr>
              <w:t>19</w:t>
            </w:r>
          </w:p>
        </w:tc>
        <w:tc>
          <w:tcPr>
            <w:tcW w:w="992" w:type="dxa"/>
            <w:tcBorders>
              <w:top w:val="nil"/>
              <w:left w:val="nil"/>
              <w:bottom w:val="single" w:sz="4" w:space="0" w:color="auto"/>
              <w:right w:val="single" w:sz="4" w:space="0" w:color="auto"/>
            </w:tcBorders>
            <w:shd w:val="clear" w:color="auto" w:fill="auto"/>
            <w:noWrap/>
            <w:vAlign w:val="center"/>
            <w:hideMark/>
          </w:tcPr>
          <w:p w14:paraId="6D6299C5" w14:textId="23BACCC5" w:rsidR="00561E6C" w:rsidRPr="00810675" w:rsidRDefault="003407D9"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2019</w:t>
            </w:r>
            <w:r w:rsidR="00434017">
              <w:rPr>
                <w:rFonts w:asciiTheme="minorHAnsi" w:hAnsiTheme="minorHAnsi" w:cstheme="minorHAnsi"/>
                <w:b/>
                <w:bCs/>
                <w:color w:val="000000"/>
                <w:sz w:val="18"/>
                <w:szCs w:val="18"/>
              </w:rPr>
              <w:t>–</w:t>
            </w:r>
            <w:r>
              <w:rPr>
                <w:rFonts w:asciiTheme="minorHAnsi" w:hAnsiTheme="minorHAnsi" w:cstheme="minorHAnsi"/>
                <w:b/>
                <w:bCs/>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14:paraId="7AB211ED" w14:textId="77777777" w:rsidR="00561E6C" w:rsidRPr="00810675" w:rsidRDefault="00561E6C" w:rsidP="00E050EA">
            <w:pPr>
              <w:spacing w:line="240" w:lineRule="auto"/>
              <w:jc w:val="center"/>
              <w:rPr>
                <w:rFonts w:asciiTheme="minorHAnsi" w:hAnsiTheme="minorHAnsi" w:cstheme="minorHAnsi"/>
                <w:b/>
                <w:bCs/>
                <w:color w:val="000000"/>
                <w:sz w:val="18"/>
                <w:szCs w:val="18"/>
              </w:rPr>
            </w:pPr>
            <w:r w:rsidRPr="00670EF9">
              <w:rPr>
                <w:rFonts w:asciiTheme="minorHAnsi" w:hAnsiTheme="minorHAnsi" w:cstheme="minorHAnsi"/>
                <w:b/>
                <w:bCs/>
                <w:color w:val="000000"/>
                <w:sz w:val="18"/>
                <w:szCs w:val="18"/>
              </w:rPr>
              <w:t>% Change</w:t>
            </w:r>
          </w:p>
        </w:tc>
        <w:tc>
          <w:tcPr>
            <w:tcW w:w="993" w:type="dxa"/>
            <w:tcBorders>
              <w:top w:val="nil"/>
              <w:left w:val="nil"/>
              <w:bottom w:val="single" w:sz="4" w:space="0" w:color="auto"/>
              <w:right w:val="single" w:sz="4" w:space="0" w:color="auto"/>
            </w:tcBorders>
            <w:shd w:val="clear" w:color="auto" w:fill="auto"/>
            <w:noWrap/>
            <w:vAlign w:val="center"/>
            <w:hideMark/>
          </w:tcPr>
          <w:p w14:paraId="1C669893" w14:textId="00B0A9A4" w:rsidR="00561E6C" w:rsidRPr="00810675" w:rsidRDefault="003407D9"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2018</w:t>
            </w:r>
            <w:r w:rsidR="00434017">
              <w:rPr>
                <w:rFonts w:asciiTheme="minorHAnsi" w:hAnsiTheme="minorHAnsi" w:cstheme="minorHAnsi"/>
                <w:b/>
                <w:bCs/>
                <w:color w:val="000000"/>
                <w:sz w:val="18"/>
                <w:szCs w:val="18"/>
              </w:rPr>
              <w:t>–</w:t>
            </w:r>
            <w:r>
              <w:rPr>
                <w:rFonts w:asciiTheme="minorHAnsi" w:hAnsiTheme="minorHAnsi" w:cstheme="minorHAnsi"/>
                <w:b/>
                <w:bCs/>
                <w:color w:val="000000"/>
                <w:sz w:val="18"/>
                <w:szCs w:val="18"/>
              </w:rPr>
              <w:t>19</w:t>
            </w:r>
          </w:p>
        </w:tc>
        <w:tc>
          <w:tcPr>
            <w:tcW w:w="992" w:type="dxa"/>
            <w:tcBorders>
              <w:top w:val="nil"/>
              <w:left w:val="nil"/>
              <w:bottom w:val="single" w:sz="4" w:space="0" w:color="auto"/>
              <w:right w:val="single" w:sz="4" w:space="0" w:color="auto"/>
            </w:tcBorders>
            <w:shd w:val="clear" w:color="auto" w:fill="auto"/>
            <w:noWrap/>
            <w:vAlign w:val="center"/>
            <w:hideMark/>
          </w:tcPr>
          <w:p w14:paraId="26F81366" w14:textId="2E1EA5C7" w:rsidR="00561E6C" w:rsidRPr="00670EF9" w:rsidRDefault="003407D9"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2019</w:t>
            </w:r>
            <w:r w:rsidR="00434017">
              <w:rPr>
                <w:rFonts w:asciiTheme="minorHAnsi" w:hAnsiTheme="minorHAnsi" w:cstheme="minorHAnsi"/>
                <w:b/>
                <w:bCs/>
                <w:color w:val="000000"/>
                <w:sz w:val="18"/>
                <w:szCs w:val="18"/>
              </w:rPr>
              <w:t>–</w:t>
            </w:r>
            <w:r>
              <w:rPr>
                <w:rFonts w:asciiTheme="minorHAnsi" w:hAnsiTheme="minorHAnsi" w:cstheme="minorHAnsi"/>
                <w:b/>
                <w:bCs/>
                <w:color w:val="000000"/>
                <w:sz w:val="18"/>
                <w:szCs w:val="18"/>
              </w:rPr>
              <w:t>20</w:t>
            </w:r>
          </w:p>
        </w:tc>
        <w:tc>
          <w:tcPr>
            <w:tcW w:w="882" w:type="dxa"/>
            <w:tcBorders>
              <w:top w:val="nil"/>
              <w:left w:val="nil"/>
              <w:bottom w:val="single" w:sz="4" w:space="0" w:color="auto"/>
              <w:right w:val="single" w:sz="4" w:space="0" w:color="auto"/>
            </w:tcBorders>
            <w:shd w:val="clear" w:color="auto" w:fill="auto"/>
            <w:noWrap/>
            <w:vAlign w:val="center"/>
            <w:hideMark/>
          </w:tcPr>
          <w:p w14:paraId="160CFB49" w14:textId="77777777" w:rsidR="00561E6C" w:rsidRPr="00670EF9" w:rsidRDefault="00561E6C" w:rsidP="00E050EA">
            <w:pPr>
              <w:spacing w:line="240" w:lineRule="auto"/>
              <w:jc w:val="center"/>
              <w:rPr>
                <w:rFonts w:asciiTheme="minorHAnsi" w:hAnsiTheme="minorHAnsi" w:cstheme="minorHAnsi"/>
                <w:b/>
                <w:bCs/>
                <w:color w:val="000000"/>
                <w:sz w:val="18"/>
                <w:szCs w:val="18"/>
              </w:rPr>
            </w:pPr>
            <w:r w:rsidRPr="00810675">
              <w:rPr>
                <w:rFonts w:asciiTheme="minorHAnsi" w:hAnsiTheme="minorHAnsi" w:cstheme="minorHAnsi"/>
                <w:b/>
                <w:bCs/>
                <w:color w:val="000000"/>
                <w:sz w:val="18"/>
                <w:szCs w:val="18"/>
              </w:rPr>
              <w:t>% Change</w:t>
            </w:r>
          </w:p>
        </w:tc>
        <w:tc>
          <w:tcPr>
            <w:tcW w:w="961" w:type="dxa"/>
            <w:tcBorders>
              <w:top w:val="nil"/>
              <w:left w:val="nil"/>
              <w:bottom w:val="single" w:sz="4" w:space="0" w:color="auto"/>
              <w:right w:val="single" w:sz="4" w:space="0" w:color="auto"/>
            </w:tcBorders>
            <w:shd w:val="clear" w:color="auto" w:fill="auto"/>
            <w:noWrap/>
            <w:vAlign w:val="center"/>
            <w:hideMark/>
          </w:tcPr>
          <w:p w14:paraId="0B10E116" w14:textId="78EE96BE" w:rsidR="00561E6C" w:rsidRPr="00670EF9" w:rsidRDefault="003407D9"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2018</w:t>
            </w:r>
            <w:r w:rsidR="00434017">
              <w:rPr>
                <w:rFonts w:asciiTheme="minorHAnsi" w:hAnsiTheme="minorHAnsi" w:cstheme="minorHAnsi"/>
                <w:b/>
                <w:bCs/>
                <w:color w:val="000000"/>
                <w:sz w:val="18"/>
                <w:szCs w:val="18"/>
              </w:rPr>
              <w:t>–</w:t>
            </w:r>
            <w:r>
              <w:rPr>
                <w:rFonts w:asciiTheme="minorHAnsi" w:hAnsiTheme="minorHAnsi" w:cstheme="minorHAnsi"/>
                <w:b/>
                <w:bCs/>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14:paraId="2197B9FF" w14:textId="196C2C16" w:rsidR="00561E6C" w:rsidRPr="00670EF9" w:rsidRDefault="003407D9"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2019</w:t>
            </w:r>
            <w:r w:rsidR="00434017">
              <w:rPr>
                <w:rFonts w:asciiTheme="minorHAnsi" w:hAnsiTheme="minorHAnsi" w:cstheme="minorHAnsi"/>
                <w:b/>
                <w:bCs/>
                <w:color w:val="000000"/>
                <w:sz w:val="18"/>
                <w:szCs w:val="18"/>
              </w:rPr>
              <w:t>–</w:t>
            </w:r>
            <w:r>
              <w:rPr>
                <w:rFonts w:asciiTheme="minorHAnsi" w:hAnsiTheme="minorHAnsi" w:cstheme="minorHAnsi"/>
                <w:b/>
                <w:bCs/>
                <w:color w:val="000000"/>
                <w:sz w:val="18"/>
                <w:szCs w:val="18"/>
              </w:rPr>
              <w:t>20</w:t>
            </w:r>
          </w:p>
        </w:tc>
        <w:tc>
          <w:tcPr>
            <w:tcW w:w="995" w:type="dxa"/>
            <w:tcBorders>
              <w:top w:val="nil"/>
              <w:left w:val="nil"/>
              <w:bottom w:val="single" w:sz="4" w:space="0" w:color="auto"/>
              <w:right w:val="single" w:sz="4" w:space="0" w:color="auto"/>
            </w:tcBorders>
            <w:vAlign w:val="center"/>
          </w:tcPr>
          <w:p w14:paraId="54C73D88" w14:textId="77777777" w:rsidR="00561E6C" w:rsidRPr="00670EF9" w:rsidRDefault="00561E6C" w:rsidP="00E050EA">
            <w:pPr>
              <w:spacing w:line="240" w:lineRule="auto"/>
              <w:jc w:val="center"/>
              <w:rPr>
                <w:rFonts w:asciiTheme="minorHAnsi" w:hAnsiTheme="minorHAnsi" w:cstheme="minorHAnsi"/>
                <w:b/>
                <w:bCs/>
                <w:color w:val="000000"/>
                <w:sz w:val="18"/>
                <w:szCs w:val="18"/>
              </w:rPr>
            </w:pPr>
            <w:r w:rsidRPr="00670EF9">
              <w:rPr>
                <w:rFonts w:asciiTheme="minorHAnsi" w:hAnsiTheme="minorHAnsi" w:cstheme="minorHAnsi"/>
                <w:b/>
                <w:bCs/>
                <w:color w:val="000000"/>
                <w:sz w:val="18"/>
                <w:szCs w:val="18"/>
              </w:rPr>
              <w:t>% Change</w:t>
            </w:r>
          </w:p>
        </w:tc>
      </w:tr>
      <w:tr w:rsidR="005E2403" w:rsidRPr="006314EF" w14:paraId="632F9DC2" w14:textId="77777777" w:rsidTr="003F4D04">
        <w:trPr>
          <w:trHeight w:val="454"/>
        </w:trPr>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35341" w14:textId="402F00F2" w:rsidR="005A2D04" w:rsidRPr="00E06B19" w:rsidRDefault="005E2403" w:rsidP="005A2D04">
            <w:pPr>
              <w:spacing w:beforeLines="80" w:before="192" w:afterLines="80" w:after="192" w:line="240" w:lineRule="auto"/>
              <w:contextualSpacing/>
              <w:rPr>
                <w:rFonts w:asciiTheme="minorHAnsi" w:hAnsiTheme="minorHAnsi" w:cstheme="minorHAnsi"/>
                <w:b/>
                <w:bCs/>
                <w:color w:val="000000"/>
                <w:sz w:val="18"/>
                <w:szCs w:val="18"/>
              </w:rPr>
            </w:pPr>
            <w:r>
              <w:rPr>
                <w:rFonts w:asciiTheme="minorHAnsi" w:hAnsiTheme="minorHAnsi" w:cstheme="minorHAnsi"/>
                <w:b/>
                <w:bCs/>
                <w:color w:val="000000"/>
                <w:sz w:val="18"/>
                <w:szCs w:val="18"/>
              </w:rPr>
              <w:t>Admitted a</w:t>
            </w:r>
            <w:r w:rsidR="005A2D04" w:rsidRPr="00E06B19">
              <w:rPr>
                <w:rFonts w:asciiTheme="minorHAnsi" w:hAnsiTheme="minorHAnsi" w:cstheme="minorHAnsi"/>
                <w:b/>
                <w:bCs/>
                <w:color w:val="000000"/>
                <w:sz w:val="18"/>
                <w:szCs w:val="18"/>
              </w:rPr>
              <w:t>cute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4A4DB190" w14:textId="12C3B96B" w:rsidR="005A2D04" w:rsidRPr="005A2D04" w:rsidRDefault="76ABC984" w:rsidP="005A2D04">
            <w:pPr>
              <w:spacing w:line="240" w:lineRule="auto"/>
              <w:jc w:val="center"/>
              <w:rPr>
                <w:szCs w:val="22"/>
              </w:rPr>
            </w:pPr>
            <w:r w:rsidRPr="76ABC984">
              <w:rPr>
                <w:rFonts w:cs="Arial"/>
                <w:color w:val="000000" w:themeColor="text1"/>
                <w:sz w:val="18"/>
                <w:szCs w:val="18"/>
              </w:rPr>
              <w:t>248</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hideMark/>
          </w:tcPr>
          <w:p w14:paraId="21A1D00F" w14:textId="79AD099F" w:rsidR="005A2D04" w:rsidRPr="005A2D04" w:rsidRDefault="76ABC984" w:rsidP="005A2D04">
            <w:pPr>
              <w:spacing w:line="240" w:lineRule="auto"/>
              <w:jc w:val="center"/>
              <w:rPr>
                <w:rFonts w:cs="Arial"/>
                <w:color w:val="000000" w:themeColor="text1"/>
                <w:sz w:val="18"/>
                <w:szCs w:val="18"/>
              </w:rPr>
            </w:pPr>
            <w:r w:rsidRPr="76ABC984">
              <w:rPr>
                <w:rFonts w:cs="Arial"/>
                <w:color w:val="000000" w:themeColor="text1"/>
                <w:sz w:val="18"/>
                <w:szCs w:val="18"/>
              </w:rPr>
              <w:t>249</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hideMark/>
          </w:tcPr>
          <w:p w14:paraId="57B794C2" w14:textId="6C51C57A" w:rsidR="005A2D04" w:rsidRPr="005A2D04" w:rsidRDefault="00F20F51" w:rsidP="005A2D04">
            <w:pPr>
              <w:spacing w:line="240" w:lineRule="auto"/>
              <w:jc w:val="center"/>
              <w:rPr>
                <w:rFonts w:cs="Arial"/>
                <w:color w:val="000000"/>
                <w:sz w:val="18"/>
                <w:szCs w:val="18"/>
                <w:highlight w:val="yellow"/>
              </w:rPr>
            </w:pPr>
            <w:r w:rsidRPr="76ABC984">
              <w:rPr>
                <w:rFonts w:cs="Arial"/>
                <w:color w:val="000000" w:themeColor="text1"/>
                <w:sz w:val="18"/>
                <w:szCs w:val="18"/>
              </w:rPr>
              <w:t>0.4</w:t>
            </w:r>
            <w:r w:rsidR="005A2D04" w:rsidRPr="76ABC984">
              <w:rPr>
                <w:rFonts w:cs="Arial"/>
                <w:color w:val="000000" w:themeColor="text1"/>
                <w:sz w:val="18"/>
                <w:szCs w:val="18"/>
              </w:rPr>
              <w:t>%</w:t>
            </w:r>
          </w:p>
        </w:tc>
        <w:tc>
          <w:tcPr>
            <w:tcW w:w="993" w:type="dxa"/>
            <w:tcBorders>
              <w:top w:val="single" w:sz="4" w:space="0" w:color="auto"/>
              <w:left w:val="nil"/>
              <w:bottom w:val="single" w:sz="4" w:space="0" w:color="auto"/>
              <w:right w:val="single" w:sz="4" w:space="0" w:color="auto"/>
            </w:tcBorders>
            <w:shd w:val="clear" w:color="auto" w:fill="FFFFFF" w:themeFill="background2"/>
            <w:noWrap/>
            <w:vAlign w:val="center"/>
            <w:hideMark/>
          </w:tcPr>
          <w:p w14:paraId="38D2B0FE" w14:textId="3D815841" w:rsidR="005A2D04" w:rsidRPr="005A2D04" w:rsidRDefault="76ABC984" w:rsidP="005A2D04">
            <w:pPr>
              <w:spacing w:line="240" w:lineRule="auto"/>
              <w:jc w:val="center"/>
              <w:rPr>
                <w:rFonts w:cs="Arial"/>
                <w:color w:val="000000" w:themeColor="text1"/>
                <w:sz w:val="18"/>
                <w:szCs w:val="18"/>
              </w:rPr>
            </w:pPr>
            <w:r w:rsidRPr="76ABC984">
              <w:rPr>
                <w:rFonts w:cs="Arial"/>
                <w:color w:val="000000" w:themeColor="text1"/>
                <w:sz w:val="18"/>
                <w:szCs w:val="18"/>
              </w:rPr>
              <w:t>6.1M</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hideMark/>
          </w:tcPr>
          <w:p w14:paraId="05DCC3F0" w14:textId="05B2EA43" w:rsidR="005A2D04" w:rsidRPr="005A2D04" w:rsidRDefault="76ABC984" w:rsidP="005A2D04">
            <w:pPr>
              <w:spacing w:line="240" w:lineRule="auto"/>
              <w:jc w:val="center"/>
              <w:rPr>
                <w:rFonts w:cs="Arial"/>
                <w:color w:val="000000" w:themeColor="text1"/>
                <w:sz w:val="18"/>
                <w:szCs w:val="18"/>
              </w:rPr>
            </w:pPr>
            <w:r w:rsidRPr="76ABC984">
              <w:rPr>
                <w:rFonts w:cs="Arial"/>
                <w:color w:val="000000" w:themeColor="text1"/>
                <w:sz w:val="18"/>
                <w:szCs w:val="18"/>
              </w:rPr>
              <w:t>6.1M</w:t>
            </w:r>
          </w:p>
        </w:tc>
        <w:tc>
          <w:tcPr>
            <w:tcW w:w="882" w:type="dxa"/>
            <w:tcBorders>
              <w:top w:val="single" w:sz="4" w:space="0" w:color="auto"/>
              <w:left w:val="nil"/>
              <w:bottom w:val="single" w:sz="4" w:space="0" w:color="auto"/>
              <w:right w:val="single" w:sz="4" w:space="0" w:color="auto"/>
            </w:tcBorders>
            <w:shd w:val="clear" w:color="auto" w:fill="FFFFFF" w:themeFill="background2"/>
            <w:noWrap/>
            <w:vAlign w:val="center"/>
            <w:hideMark/>
          </w:tcPr>
          <w:p w14:paraId="0155827E" w14:textId="7A9E50BD" w:rsidR="005A2D04" w:rsidRPr="005A2D04" w:rsidRDefault="76ABC984" w:rsidP="005A2D04">
            <w:pPr>
              <w:spacing w:line="240" w:lineRule="auto"/>
              <w:jc w:val="center"/>
              <w:rPr>
                <w:szCs w:val="22"/>
              </w:rPr>
            </w:pPr>
            <w:r w:rsidRPr="76ABC984">
              <w:rPr>
                <w:rFonts w:cs="Arial"/>
                <w:color w:val="000000" w:themeColor="text1"/>
                <w:sz w:val="18"/>
                <w:szCs w:val="18"/>
              </w:rPr>
              <w:t>-1.0%</w:t>
            </w:r>
          </w:p>
        </w:tc>
        <w:tc>
          <w:tcPr>
            <w:tcW w:w="961" w:type="dxa"/>
            <w:tcBorders>
              <w:top w:val="single" w:sz="4" w:space="0" w:color="auto"/>
              <w:left w:val="nil"/>
              <w:bottom w:val="single" w:sz="4" w:space="0" w:color="auto"/>
              <w:right w:val="single" w:sz="4" w:space="0" w:color="auto"/>
            </w:tcBorders>
            <w:shd w:val="clear" w:color="auto" w:fill="FFFFFF" w:themeFill="background2"/>
            <w:noWrap/>
            <w:vAlign w:val="center"/>
            <w:hideMark/>
          </w:tcPr>
          <w:p w14:paraId="487BC702" w14:textId="3592EC6E" w:rsidR="005A2D04" w:rsidRPr="005A2D04" w:rsidRDefault="005A2D04" w:rsidP="005A2D04">
            <w:pPr>
              <w:spacing w:line="240" w:lineRule="auto"/>
              <w:jc w:val="center"/>
              <w:rPr>
                <w:szCs w:val="22"/>
              </w:rPr>
            </w:pPr>
            <w:r w:rsidRPr="76ABC984">
              <w:rPr>
                <w:rFonts w:cs="Arial"/>
                <w:color w:val="000000" w:themeColor="text1"/>
                <w:sz w:val="18"/>
                <w:szCs w:val="18"/>
              </w:rPr>
              <w:t>$</w:t>
            </w:r>
            <w:r w:rsidR="00F20F51" w:rsidRPr="76ABC984">
              <w:rPr>
                <w:rFonts w:cs="Arial"/>
                <w:color w:val="000000" w:themeColor="text1"/>
                <w:sz w:val="18"/>
                <w:szCs w:val="18"/>
              </w:rPr>
              <w:t>29.9</w:t>
            </w:r>
            <w:r w:rsidRPr="76ABC984">
              <w:rPr>
                <w:rFonts w:cs="Arial"/>
                <w:color w:val="000000" w:themeColor="text1"/>
                <w:sz w:val="18"/>
                <w:szCs w:val="18"/>
              </w:rPr>
              <w:t>B</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tcPr>
          <w:p w14:paraId="4F8E6A26" w14:textId="54FE1313" w:rsidR="005A2D04" w:rsidRPr="005A2D04" w:rsidRDefault="005A2D04" w:rsidP="005A2D04">
            <w:pPr>
              <w:spacing w:line="240" w:lineRule="auto"/>
              <w:jc w:val="center"/>
              <w:rPr>
                <w:szCs w:val="22"/>
              </w:rPr>
            </w:pPr>
            <w:r w:rsidRPr="76ABC984">
              <w:rPr>
                <w:rFonts w:cs="Arial"/>
                <w:color w:val="000000" w:themeColor="text1"/>
                <w:sz w:val="18"/>
                <w:szCs w:val="18"/>
              </w:rPr>
              <w:t>$</w:t>
            </w:r>
            <w:r w:rsidR="00F20F51" w:rsidRPr="76ABC984">
              <w:rPr>
                <w:rFonts w:cs="Arial"/>
                <w:color w:val="000000" w:themeColor="text1"/>
                <w:sz w:val="18"/>
                <w:szCs w:val="18"/>
              </w:rPr>
              <w:t>31.4</w:t>
            </w:r>
            <w:r w:rsidRPr="76ABC984">
              <w:rPr>
                <w:rFonts w:cs="Arial"/>
                <w:color w:val="000000" w:themeColor="text1"/>
                <w:sz w:val="18"/>
                <w:szCs w:val="18"/>
              </w:rPr>
              <w:t>B</w:t>
            </w:r>
          </w:p>
        </w:tc>
        <w:tc>
          <w:tcPr>
            <w:tcW w:w="995" w:type="dxa"/>
            <w:tcBorders>
              <w:top w:val="single" w:sz="4" w:space="0" w:color="auto"/>
              <w:left w:val="nil"/>
              <w:bottom w:val="single" w:sz="4" w:space="0" w:color="auto"/>
              <w:right w:val="single" w:sz="4" w:space="0" w:color="auto"/>
            </w:tcBorders>
            <w:shd w:val="clear" w:color="auto" w:fill="FFFFFF" w:themeFill="background2"/>
            <w:vAlign w:val="center"/>
          </w:tcPr>
          <w:p w14:paraId="258B119E" w14:textId="40AD411E" w:rsidR="005A2D04" w:rsidRPr="005A2D04" w:rsidRDefault="00F20F51" w:rsidP="005A2D04">
            <w:pPr>
              <w:spacing w:line="240" w:lineRule="auto"/>
              <w:jc w:val="center"/>
              <w:rPr>
                <w:szCs w:val="22"/>
              </w:rPr>
            </w:pPr>
            <w:r w:rsidRPr="76ABC984">
              <w:rPr>
                <w:rFonts w:cs="Arial"/>
                <w:color w:val="000000" w:themeColor="text1"/>
                <w:sz w:val="18"/>
                <w:szCs w:val="18"/>
              </w:rPr>
              <w:t>5.0</w:t>
            </w:r>
            <w:r w:rsidR="005A2D04" w:rsidRPr="76ABC984">
              <w:rPr>
                <w:rFonts w:cs="Arial"/>
                <w:color w:val="000000" w:themeColor="text1"/>
                <w:sz w:val="18"/>
                <w:szCs w:val="18"/>
              </w:rPr>
              <w:t>%</w:t>
            </w:r>
          </w:p>
        </w:tc>
      </w:tr>
      <w:tr w:rsidR="004054EB" w:rsidRPr="006314EF" w14:paraId="292A494E" w14:textId="77777777" w:rsidTr="76ABC984">
        <w:trPr>
          <w:trHeight w:val="454"/>
        </w:trPr>
        <w:tc>
          <w:tcPr>
            <w:tcW w:w="1470" w:type="dxa"/>
            <w:tcBorders>
              <w:top w:val="nil"/>
              <w:left w:val="single" w:sz="4" w:space="0" w:color="auto"/>
              <w:bottom w:val="single" w:sz="4" w:space="0" w:color="auto"/>
              <w:right w:val="single" w:sz="4" w:space="0" w:color="auto"/>
            </w:tcBorders>
            <w:shd w:val="clear" w:color="auto" w:fill="auto"/>
            <w:noWrap/>
            <w:vAlign w:val="center"/>
          </w:tcPr>
          <w:p w14:paraId="5D8194E8" w14:textId="7C5F593D" w:rsidR="005E2403" w:rsidRPr="00E06B19" w:rsidRDefault="005E2403" w:rsidP="005A2D04">
            <w:pPr>
              <w:spacing w:beforeLines="80" w:before="192" w:afterLines="80" w:after="192" w:line="240" w:lineRule="auto"/>
              <w:contextualSpacing/>
              <w:rPr>
                <w:rFonts w:asciiTheme="minorHAnsi" w:hAnsiTheme="minorHAnsi" w:cstheme="minorHAnsi"/>
                <w:b/>
                <w:bCs/>
                <w:color w:val="000000"/>
                <w:sz w:val="18"/>
                <w:szCs w:val="18"/>
              </w:rPr>
            </w:pPr>
            <w:r>
              <w:rPr>
                <w:rFonts w:asciiTheme="minorHAnsi" w:hAnsiTheme="minorHAnsi" w:cstheme="minorHAnsi"/>
                <w:b/>
                <w:bCs/>
                <w:color w:val="000000"/>
                <w:sz w:val="18"/>
                <w:szCs w:val="18"/>
              </w:rPr>
              <w:t>Admitted mental health</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2"/>
            <w:noWrap/>
            <w:vAlign w:val="center"/>
          </w:tcPr>
          <w:p w14:paraId="4F3A7779" w14:textId="51A7FC41" w:rsidR="005E2403" w:rsidRPr="005A2D04" w:rsidRDefault="67CCC831" w:rsidP="005A2D04">
            <w:pPr>
              <w:spacing w:line="240" w:lineRule="auto"/>
              <w:jc w:val="center"/>
              <w:rPr>
                <w:rFonts w:cs="Arial"/>
                <w:color w:val="000000"/>
                <w:sz w:val="18"/>
                <w:szCs w:val="18"/>
              </w:rPr>
            </w:pPr>
            <w:r w:rsidRPr="33F5F24E">
              <w:rPr>
                <w:rFonts w:cs="Arial"/>
                <w:color w:val="000000" w:themeColor="text1"/>
                <w:sz w:val="18"/>
                <w:szCs w:val="18"/>
              </w:rPr>
              <w:t>156</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tcPr>
          <w:p w14:paraId="11064C14" w14:textId="34853A15" w:rsidR="005E2403" w:rsidRPr="005A2D04" w:rsidRDefault="33F5F24E" w:rsidP="005A2D04">
            <w:pPr>
              <w:spacing w:line="240" w:lineRule="auto"/>
              <w:jc w:val="center"/>
              <w:rPr>
                <w:szCs w:val="22"/>
              </w:rPr>
            </w:pPr>
            <w:r w:rsidRPr="33F5F24E">
              <w:rPr>
                <w:rFonts w:cs="Arial"/>
                <w:color w:val="000000" w:themeColor="text1"/>
                <w:sz w:val="18"/>
                <w:szCs w:val="18"/>
              </w:rPr>
              <w:t>143</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tcPr>
          <w:p w14:paraId="39A15D0E" w14:textId="761203C1" w:rsidR="005E2403" w:rsidRPr="005A2D04" w:rsidRDefault="33F5F24E" w:rsidP="005A2D04">
            <w:pPr>
              <w:spacing w:line="240" w:lineRule="auto"/>
              <w:jc w:val="center"/>
              <w:rPr>
                <w:szCs w:val="22"/>
              </w:rPr>
            </w:pPr>
            <w:r w:rsidRPr="33F5F24E">
              <w:rPr>
                <w:rFonts w:cs="Arial"/>
                <w:color w:val="000000" w:themeColor="text1"/>
                <w:sz w:val="18"/>
                <w:szCs w:val="18"/>
              </w:rPr>
              <w:t>-8.3%</w:t>
            </w:r>
          </w:p>
        </w:tc>
        <w:tc>
          <w:tcPr>
            <w:tcW w:w="993" w:type="dxa"/>
            <w:tcBorders>
              <w:top w:val="single" w:sz="4" w:space="0" w:color="auto"/>
              <w:left w:val="nil"/>
              <w:bottom w:val="single" w:sz="4" w:space="0" w:color="auto"/>
              <w:right w:val="single" w:sz="4" w:space="0" w:color="auto"/>
            </w:tcBorders>
            <w:shd w:val="clear" w:color="auto" w:fill="FFFFFF" w:themeFill="background2"/>
            <w:noWrap/>
            <w:vAlign w:val="center"/>
          </w:tcPr>
          <w:p w14:paraId="7E7BA7FE" w14:textId="6D1C2A2C" w:rsidR="005E2403" w:rsidRPr="005A2D04" w:rsidRDefault="33F5F24E" w:rsidP="005A2D04">
            <w:pPr>
              <w:spacing w:line="240" w:lineRule="auto"/>
              <w:jc w:val="center"/>
              <w:rPr>
                <w:szCs w:val="22"/>
              </w:rPr>
            </w:pPr>
            <w:r w:rsidRPr="33F5F24E">
              <w:rPr>
                <w:rFonts w:cs="Arial"/>
                <w:color w:val="000000" w:themeColor="text1"/>
                <w:sz w:val="18"/>
                <w:szCs w:val="18"/>
              </w:rPr>
              <w:t>135.0K</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tcPr>
          <w:p w14:paraId="68E8A72B" w14:textId="6C8ADDB5" w:rsidR="005E2403" w:rsidRPr="005A2D04" w:rsidRDefault="33F5F24E" w:rsidP="005A2D04">
            <w:pPr>
              <w:spacing w:line="240" w:lineRule="auto"/>
              <w:jc w:val="center"/>
              <w:rPr>
                <w:szCs w:val="22"/>
              </w:rPr>
            </w:pPr>
            <w:r w:rsidRPr="33F5F24E">
              <w:rPr>
                <w:rFonts w:cs="Arial"/>
                <w:color w:val="000000" w:themeColor="text1"/>
                <w:sz w:val="18"/>
                <w:szCs w:val="18"/>
              </w:rPr>
              <w:t>113.7K</w:t>
            </w:r>
          </w:p>
        </w:tc>
        <w:tc>
          <w:tcPr>
            <w:tcW w:w="882" w:type="dxa"/>
            <w:tcBorders>
              <w:top w:val="single" w:sz="4" w:space="0" w:color="auto"/>
              <w:left w:val="nil"/>
              <w:bottom w:val="single" w:sz="4" w:space="0" w:color="auto"/>
              <w:right w:val="single" w:sz="4" w:space="0" w:color="auto"/>
            </w:tcBorders>
            <w:shd w:val="clear" w:color="auto" w:fill="FFFFFF" w:themeFill="background2"/>
            <w:noWrap/>
            <w:vAlign w:val="center"/>
          </w:tcPr>
          <w:p w14:paraId="40620C0A" w14:textId="0AB27D3E" w:rsidR="005E2403" w:rsidRPr="005A2D04" w:rsidRDefault="33F5F24E" w:rsidP="005A2D04">
            <w:pPr>
              <w:spacing w:line="240" w:lineRule="auto"/>
              <w:jc w:val="center"/>
              <w:rPr>
                <w:szCs w:val="22"/>
              </w:rPr>
            </w:pPr>
            <w:r w:rsidRPr="33F5F24E">
              <w:rPr>
                <w:rFonts w:cs="Arial"/>
                <w:color w:val="000000" w:themeColor="text1"/>
                <w:sz w:val="18"/>
                <w:szCs w:val="18"/>
              </w:rPr>
              <w:t>-15.8%</w:t>
            </w:r>
          </w:p>
        </w:tc>
        <w:tc>
          <w:tcPr>
            <w:tcW w:w="961" w:type="dxa"/>
            <w:tcBorders>
              <w:top w:val="single" w:sz="4" w:space="0" w:color="auto"/>
              <w:left w:val="nil"/>
              <w:bottom w:val="single" w:sz="4" w:space="0" w:color="auto"/>
              <w:right w:val="single" w:sz="4" w:space="0" w:color="auto"/>
            </w:tcBorders>
            <w:shd w:val="clear" w:color="auto" w:fill="FFFFFF" w:themeFill="background2"/>
            <w:noWrap/>
            <w:vAlign w:val="center"/>
          </w:tcPr>
          <w:p w14:paraId="0C74B94C" w14:textId="2A177B10" w:rsidR="005E2403" w:rsidRPr="005A2D04" w:rsidRDefault="00F237ED" w:rsidP="005A2D04">
            <w:pPr>
              <w:spacing w:line="240" w:lineRule="auto"/>
              <w:jc w:val="center"/>
              <w:rPr>
                <w:szCs w:val="22"/>
              </w:rPr>
            </w:pPr>
            <w:r w:rsidRPr="33F5F24E">
              <w:rPr>
                <w:rFonts w:cs="Arial"/>
                <w:color w:val="000000" w:themeColor="text1"/>
                <w:sz w:val="18"/>
                <w:szCs w:val="18"/>
              </w:rPr>
              <w:t>$</w:t>
            </w:r>
            <w:r w:rsidR="00BB2574" w:rsidRPr="33F5F24E">
              <w:rPr>
                <w:rFonts w:cs="Arial"/>
                <w:color w:val="000000" w:themeColor="text1"/>
                <w:sz w:val="18"/>
                <w:szCs w:val="18"/>
              </w:rPr>
              <w:t>2.</w:t>
            </w:r>
            <w:r w:rsidR="00DF0C4A" w:rsidRPr="33F5F24E">
              <w:rPr>
                <w:rFonts w:cs="Arial"/>
                <w:color w:val="000000" w:themeColor="text1"/>
                <w:sz w:val="18"/>
                <w:szCs w:val="18"/>
              </w:rPr>
              <w:t>4B</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tcPr>
          <w:p w14:paraId="74F54E08" w14:textId="11B51751" w:rsidR="005E2403" w:rsidRPr="005A2D04" w:rsidRDefault="00DF0C4A" w:rsidP="005A2D04">
            <w:pPr>
              <w:spacing w:line="240" w:lineRule="auto"/>
              <w:jc w:val="center"/>
              <w:rPr>
                <w:szCs w:val="22"/>
              </w:rPr>
            </w:pPr>
            <w:r w:rsidRPr="33F5F24E">
              <w:rPr>
                <w:rFonts w:cs="Arial"/>
                <w:color w:val="000000" w:themeColor="text1"/>
                <w:sz w:val="18"/>
                <w:szCs w:val="18"/>
              </w:rPr>
              <w:t>$</w:t>
            </w:r>
            <w:r w:rsidR="000C6F18" w:rsidRPr="33F5F24E">
              <w:rPr>
                <w:rFonts w:cs="Arial"/>
                <w:color w:val="000000" w:themeColor="text1"/>
                <w:sz w:val="18"/>
                <w:szCs w:val="18"/>
              </w:rPr>
              <w:t>2.1B</w:t>
            </w:r>
          </w:p>
        </w:tc>
        <w:tc>
          <w:tcPr>
            <w:tcW w:w="995" w:type="dxa"/>
            <w:tcBorders>
              <w:top w:val="single" w:sz="4" w:space="0" w:color="auto"/>
              <w:left w:val="nil"/>
              <w:bottom w:val="single" w:sz="4" w:space="0" w:color="auto"/>
              <w:right w:val="single" w:sz="4" w:space="0" w:color="auto"/>
            </w:tcBorders>
            <w:shd w:val="clear" w:color="auto" w:fill="FFFFFF" w:themeFill="background2"/>
            <w:vAlign w:val="center"/>
          </w:tcPr>
          <w:p w14:paraId="01BF764E" w14:textId="6B4C3858" w:rsidR="005E2403" w:rsidRPr="005A2D04" w:rsidRDefault="33F5F24E" w:rsidP="005A2D04">
            <w:pPr>
              <w:spacing w:line="240" w:lineRule="auto"/>
              <w:jc w:val="center"/>
              <w:rPr>
                <w:szCs w:val="22"/>
              </w:rPr>
            </w:pPr>
            <w:r w:rsidRPr="33F5F24E">
              <w:rPr>
                <w:rFonts w:cs="Arial"/>
                <w:color w:val="000000" w:themeColor="text1"/>
                <w:sz w:val="18"/>
                <w:szCs w:val="18"/>
              </w:rPr>
              <w:t>-13.6%</w:t>
            </w:r>
          </w:p>
        </w:tc>
      </w:tr>
      <w:tr w:rsidR="005E2403" w:rsidRPr="006314EF" w14:paraId="169E8D80" w14:textId="77777777" w:rsidTr="76ABC984">
        <w:trPr>
          <w:trHeight w:val="454"/>
        </w:trPr>
        <w:tc>
          <w:tcPr>
            <w:tcW w:w="1470" w:type="dxa"/>
            <w:tcBorders>
              <w:top w:val="nil"/>
              <w:left w:val="single" w:sz="4" w:space="0" w:color="auto"/>
              <w:bottom w:val="single" w:sz="4" w:space="0" w:color="auto"/>
              <w:right w:val="single" w:sz="4" w:space="0" w:color="auto"/>
            </w:tcBorders>
            <w:shd w:val="clear" w:color="auto" w:fill="auto"/>
            <w:noWrap/>
            <w:vAlign w:val="center"/>
            <w:hideMark/>
          </w:tcPr>
          <w:p w14:paraId="0AB2D1D8" w14:textId="77777777" w:rsidR="005A2D04" w:rsidRPr="00E06B19" w:rsidRDefault="005A2D04" w:rsidP="005A2D04">
            <w:pPr>
              <w:spacing w:beforeLines="80" w:before="192" w:afterLines="80" w:after="192" w:line="240" w:lineRule="auto"/>
              <w:contextualSpacing/>
              <w:rPr>
                <w:rFonts w:asciiTheme="minorHAnsi" w:hAnsiTheme="minorHAnsi" w:cstheme="minorHAnsi"/>
                <w:b/>
                <w:bCs/>
                <w:color w:val="000000"/>
                <w:sz w:val="18"/>
                <w:szCs w:val="18"/>
              </w:rPr>
            </w:pPr>
            <w:r w:rsidRPr="00E06B19">
              <w:rPr>
                <w:rFonts w:asciiTheme="minorHAnsi" w:hAnsiTheme="minorHAnsi" w:cstheme="minorHAnsi"/>
                <w:b/>
                <w:bCs/>
                <w:color w:val="000000"/>
                <w:sz w:val="18"/>
                <w:szCs w:val="18"/>
              </w:rPr>
              <w:t>Emergency</w:t>
            </w:r>
          </w:p>
        </w:tc>
        <w:tc>
          <w:tcPr>
            <w:tcW w:w="992" w:type="dxa"/>
            <w:tcBorders>
              <w:top w:val="nil"/>
              <w:left w:val="single" w:sz="4" w:space="0" w:color="auto"/>
              <w:bottom w:val="single" w:sz="4" w:space="0" w:color="auto"/>
              <w:right w:val="single" w:sz="4" w:space="0" w:color="auto"/>
            </w:tcBorders>
            <w:shd w:val="clear" w:color="auto" w:fill="FFFFFF" w:themeFill="background2"/>
            <w:noWrap/>
            <w:vAlign w:val="center"/>
          </w:tcPr>
          <w:p w14:paraId="0928EF4A" w14:textId="661A7177" w:rsidR="005A2D04" w:rsidRPr="005A2D04" w:rsidRDefault="76ABC984" w:rsidP="005A2D04">
            <w:pPr>
              <w:spacing w:line="240" w:lineRule="auto"/>
              <w:jc w:val="center"/>
              <w:rPr>
                <w:szCs w:val="22"/>
              </w:rPr>
            </w:pPr>
            <w:r w:rsidRPr="76ABC984">
              <w:rPr>
                <w:rFonts w:cs="Arial"/>
                <w:color w:val="000000" w:themeColor="text1"/>
                <w:sz w:val="18"/>
                <w:szCs w:val="18"/>
              </w:rPr>
              <w:t>193</w:t>
            </w:r>
          </w:p>
        </w:tc>
        <w:tc>
          <w:tcPr>
            <w:tcW w:w="992" w:type="dxa"/>
            <w:tcBorders>
              <w:top w:val="nil"/>
              <w:left w:val="nil"/>
              <w:bottom w:val="single" w:sz="4" w:space="0" w:color="auto"/>
              <w:right w:val="single" w:sz="4" w:space="0" w:color="auto"/>
            </w:tcBorders>
            <w:shd w:val="clear" w:color="auto" w:fill="FFFFFF" w:themeFill="background2"/>
            <w:noWrap/>
            <w:vAlign w:val="center"/>
          </w:tcPr>
          <w:p w14:paraId="0270969E" w14:textId="1F7FD8D8" w:rsidR="005A2D04" w:rsidRPr="005A2D04" w:rsidRDefault="76ABC984" w:rsidP="005A2D04">
            <w:pPr>
              <w:spacing w:line="240" w:lineRule="auto"/>
              <w:jc w:val="center"/>
              <w:rPr>
                <w:szCs w:val="22"/>
              </w:rPr>
            </w:pPr>
            <w:r w:rsidRPr="76ABC984">
              <w:rPr>
                <w:rFonts w:cs="Arial"/>
                <w:color w:val="000000" w:themeColor="text1"/>
                <w:sz w:val="18"/>
                <w:szCs w:val="18"/>
              </w:rPr>
              <w:t>196</w:t>
            </w:r>
          </w:p>
        </w:tc>
        <w:tc>
          <w:tcPr>
            <w:tcW w:w="992" w:type="dxa"/>
            <w:tcBorders>
              <w:top w:val="nil"/>
              <w:left w:val="nil"/>
              <w:bottom w:val="single" w:sz="4" w:space="0" w:color="auto"/>
              <w:right w:val="single" w:sz="4" w:space="0" w:color="auto"/>
            </w:tcBorders>
            <w:shd w:val="clear" w:color="auto" w:fill="FFFFFF" w:themeFill="background2"/>
            <w:noWrap/>
            <w:vAlign w:val="center"/>
          </w:tcPr>
          <w:p w14:paraId="344EEFBC" w14:textId="0BE845D1" w:rsidR="005A2D04" w:rsidRPr="005A2D04" w:rsidRDefault="005A2D04" w:rsidP="005A2D04">
            <w:pPr>
              <w:spacing w:line="240" w:lineRule="auto"/>
              <w:jc w:val="center"/>
              <w:rPr>
                <w:szCs w:val="22"/>
              </w:rPr>
            </w:pPr>
            <w:r w:rsidRPr="76ABC984">
              <w:rPr>
                <w:rFonts w:cs="Arial"/>
                <w:color w:val="000000" w:themeColor="text1"/>
                <w:sz w:val="18"/>
                <w:szCs w:val="18"/>
              </w:rPr>
              <w:t>1</w:t>
            </w:r>
            <w:r w:rsidR="00F20F51" w:rsidRPr="76ABC984">
              <w:rPr>
                <w:rFonts w:cs="Arial"/>
                <w:color w:val="000000" w:themeColor="text1"/>
                <w:sz w:val="18"/>
                <w:szCs w:val="18"/>
              </w:rPr>
              <w:t>.6</w:t>
            </w:r>
            <w:r w:rsidRPr="76ABC984">
              <w:rPr>
                <w:rFonts w:cs="Arial"/>
                <w:color w:val="000000" w:themeColor="text1"/>
                <w:sz w:val="18"/>
                <w:szCs w:val="18"/>
              </w:rPr>
              <w:t>%</w:t>
            </w:r>
          </w:p>
        </w:tc>
        <w:tc>
          <w:tcPr>
            <w:tcW w:w="993" w:type="dxa"/>
            <w:tcBorders>
              <w:top w:val="nil"/>
              <w:left w:val="nil"/>
              <w:bottom w:val="single" w:sz="4" w:space="0" w:color="auto"/>
              <w:right w:val="single" w:sz="4" w:space="0" w:color="auto"/>
            </w:tcBorders>
            <w:shd w:val="clear" w:color="auto" w:fill="FFFFFF" w:themeFill="background2"/>
            <w:noWrap/>
            <w:vAlign w:val="center"/>
          </w:tcPr>
          <w:p w14:paraId="534FCBF3" w14:textId="34954151" w:rsidR="005A2D04" w:rsidRPr="005A2D04" w:rsidRDefault="76ABC984" w:rsidP="005A2D04">
            <w:pPr>
              <w:spacing w:line="240" w:lineRule="auto"/>
              <w:jc w:val="center"/>
              <w:rPr>
                <w:rFonts w:cs="Arial"/>
                <w:color w:val="000000" w:themeColor="text1"/>
                <w:sz w:val="18"/>
                <w:szCs w:val="18"/>
              </w:rPr>
            </w:pPr>
            <w:r w:rsidRPr="76ABC984">
              <w:rPr>
                <w:rFonts w:cs="Arial"/>
                <w:color w:val="000000" w:themeColor="text1"/>
                <w:sz w:val="18"/>
                <w:szCs w:val="18"/>
              </w:rPr>
              <w:t>7.8M</w:t>
            </w:r>
          </w:p>
        </w:tc>
        <w:tc>
          <w:tcPr>
            <w:tcW w:w="992" w:type="dxa"/>
            <w:tcBorders>
              <w:top w:val="nil"/>
              <w:left w:val="nil"/>
              <w:bottom w:val="single" w:sz="4" w:space="0" w:color="auto"/>
              <w:right w:val="single" w:sz="4" w:space="0" w:color="auto"/>
            </w:tcBorders>
            <w:shd w:val="clear" w:color="auto" w:fill="FFFFFF" w:themeFill="background2"/>
            <w:noWrap/>
            <w:vAlign w:val="center"/>
          </w:tcPr>
          <w:p w14:paraId="37501327" w14:textId="55209006" w:rsidR="005A2D04" w:rsidRPr="005A2D04" w:rsidRDefault="76ABC984" w:rsidP="005A2D04">
            <w:pPr>
              <w:spacing w:line="240" w:lineRule="auto"/>
              <w:jc w:val="center"/>
              <w:rPr>
                <w:szCs w:val="22"/>
              </w:rPr>
            </w:pPr>
            <w:r w:rsidRPr="76ABC984">
              <w:rPr>
                <w:rFonts w:cs="Arial"/>
                <w:color w:val="000000" w:themeColor="text1"/>
                <w:sz w:val="18"/>
                <w:szCs w:val="18"/>
              </w:rPr>
              <w:t>7.9M</w:t>
            </w:r>
          </w:p>
        </w:tc>
        <w:tc>
          <w:tcPr>
            <w:tcW w:w="882" w:type="dxa"/>
            <w:tcBorders>
              <w:top w:val="nil"/>
              <w:left w:val="nil"/>
              <w:bottom w:val="single" w:sz="4" w:space="0" w:color="auto"/>
              <w:right w:val="single" w:sz="4" w:space="0" w:color="auto"/>
            </w:tcBorders>
            <w:shd w:val="clear" w:color="auto" w:fill="FFFFFF" w:themeFill="background2"/>
            <w:noWrap/>
            <w:vAlign w:val="center"/>
          </w:tcPr>
          <w:p w14:paraId="15FB8BE6" w14:textId="1A99B394" w:rsidR="005A2D04" w:rsidRPr="005A2D04" w:rsidRDefault="005A2D04" w:rsidP="005A2D04">
            <w:pPr>
              <w:spacing w:line="240" w:lineRule="auto"/>
              <w:jc w:val="center"/>
              <w:rPr>
                <w:szCs w:val="22"/>
              </w:rPr>
            </w:pPr>
            <w:r w:rsidRPr="76ABC984">
              <w:rPr>
                <w:rFonts w:cs="Arial"/>
                <w:color w:val="000000" w:themeColor="text1"/>
                <w:sz w:val="18"/>
                <w:szCs w:val="18"/>
              </w:rPr>
              <w:t>0</w:t>
            </w:r>
            <w:r w:rsidR="00F20F51" w:rsidRPr="76ABC984">
              <w:rPr>
                <w:rFonts w:cs="Arial"/>
                <w:color w:val="000000" w:themeColor="text1"/>
                <w:sz w:val="18"/>
                <w:szCs w:val="18"/>
              </w:rPr>
              <w:t>.2</w:t>
            </w:r>
            <w:r w:rsidRPr="76ABC984">
              <w:rPr>
                <w:rFonts w:cs="Arial"/>
                <w:color w:val="000000" w:themeColor="text1"/>
                <w:sz w:val="18"/>
                <w:szCs w:val="18"/>
              </w:rPr>
              <w:t>%</w:t>
            </w:r>
          </w:p>
        </w:tc>
        <w:tc>
          <w:tcPr>
            <w:tcW w:w="961" w:type="dxa"/>
            <w:tcBorders>
              <w:top w:val="nil"/>
              <w:left w:val="nil"/>
              <w:bottom w:val="single" w:sz="4" w:space="0" w:color="auto"/>
              <w:right w:val="single" w:sz="4" w:space="0" w:color="auto"/>
            </w:tcBorders>
            <w:shd w:val="clear" w:color="auto" w:fill="FFFFFF" w:themeFill="background2"/>
            <w:noWrap/>
            <w:vAlign w:val="center"/>
          </w:tcPr>
          <w:p w14:paraId="6E32AA07" w14:textId="3D59876C" w:rsidR="005A2D04" w:rsidRPr="005A2D04" w:rsidRDefault="005A2D04" w:rsidP="005A2D04">
            <w:pPr>
              <w:spacing w:line="240" w:lineRule="auto"/>
              <w:jc w:val="center"/>
              <w:rPr>
                <w:szCs w:val="22"/>
              </w:rPr>
            </w:pPr>
            <w:r w:rsidRPr="76ABC984">
              <w:rPr>
                <w:rFonts w:cs="Arial"/>
                <w:color w:val="000000" w:themeColor="text1"/>
                <w:sz w:val="18"/>
                <w:szCs w:val="18"/>
              </w:rPr>
              <w:t>$5.</w:t>
            </w:r>
            <w:r w:rsidR="00F20F51" w:rsidRPr="76ABC984">
              <w:rPr>
                <w:rFonts w:cs="Arial"/>
                <w:color w:val="000000" w:themeColor="text1"/>
                <w:sz w:val="18"/>
                <w:szCs w:val="18"/>
              </w:rPr>
              <w:t>6</w:t>
            </w:r>
            <w:r w:rsidRPr="76ABC984">
              <w:rPr>
                <w:rFonts w:cs="Arial"/>
                <w:color w:val="000000" w:themeColor="text1"/>
                <w:sz w:val="18"/>
                <w:szCs w:val="18"/>
              </w:rPr>
              <w:t>B</w:t>
            </w:r>
          </w:p>
        </w:tc>
        <w:tc>
          <w:tcPr>
            <w:tcW w:w="992" w:type="dxa"/>
            <w:tcBorders>
              <w:top w:val="nil"/>
              <w:left w:val="nil"/>
              <w:bottom w:val="single" w:sz="4" w:space="0" w:color="auto"/>
              <w:right w:val="single" w:sz="4" w:space="0" w:color="auto"/>
            </w:tcBorders>
            <w:shd w:val="clear" w:color="auto" w:fill="FFFFFF" w:themeFill="background2"/>
            <w:noWrap/>
            <w:vAlign w:val="center"/>
          </w:tcPr>
          <w:p w14:paraId="28B1C694" w14:textId="011EF50C" w:rsidR="005A2D04" w:rsidRPr="005A2D04" w:rsidRDefault="005A2D04" w:rsidP="005A2D04">
            <w:pPr>
              <w:spacing w:line="240" w:lineRule="auto"/>
              <w:jc w:val="center"/>
              <w:rPr>
                <w:szCs w:val="22"/>
              </w:rPr>
            </w:pPr>
            <w:r w:rsidRPr="76ABC984">
              <w:rPr>
                <w:rFonts w:cs="Arial"/>
                <w:color w:val="000000" w:themeColor="text1"/>
                <w:sz w:val="18"/>
                <w:szCs w:val="18"/>
              </w:rPr>
              <w:t>$5.</w:t>
            </w:r>
            <w:r w:rsidR="00F20F51" w:rsidRPr="76ABC984">
              <w:rPr>
                <w:rFonts w:cs="Arial"/>
                <w:color w:val="000000" w:themeColor="text1"/>
                <w:sz w:val="18"/>
                <w:szCs w:val="18"/>
              </w:rPr>
              <w:t>9</w:t>
            </w:r>
            <w:r w:rsidRPr="76ABC984">
              <w:rPr>
                <w:rFonts w:cs="Arial"/>
                <w:color w:val="000000" w:themeColor="text1"/>
                <w:sz w:val="18"/>
                <w:szCs w:val="18"/>
              </w:rPr>
              <w:t>B</w:t>
            </w:r>
          </w:p>
        </w:tc>
        <w:tc>
          <w:tcPr>
            <w:tcW w:w="995" w:type="dxa"/>
            <w:tcBorders>
              <w:top w:val="nil"/>
              <w:left w:val="nil"/>
              <w:bottom w:val="single" w:sz="4" w:space="0" w:color="auto"/>
              <w:right w:val="single" w:sz="4" w:space="0" w:color="auto"/>
            </w:tcBorders>
            <w:shd w:val="clear" w:color="auto" w:fill="FFFFFF" w:themeFill="background2"/>
            <w:vAlign w:val="center"/>
          </w:tcPr>
          <w:p w14:paraId="471BF54E" w14:textId="1CA2CD1E" w:rsidR="005A2D04" w:rsidRPr="005A2D04" w:rsidRDefault="00F20F51" w:rsidP="005A2D04">
            <w:pPr>
              <w:spacing w:line="240" w:lineRule="auto"/>
              <w:jc w:val="center"/>
              <w:rPr>
                <w:rFonts w:cs="Arial"/>
                <w:color w:val="000000" w:themeColor="text1"/>
                <w:sz w:val="18"/>
                <w:szCs w:val="18"/>
              </w:rPr>
            </w:pPr>
            <w:r w:rsidRPr="76ABC984">
              <w:rPr>
                <w:rFonts w:cs="Arial"/>
                <w:color w:val="000000" w:themeColor="text1"/>
                <w:sz w:val="18"/>
                <w:szCs w:val="18"/>
              </w:rPr>
              <w:t>6.1</w:t>
            </w:r>
            <w:r w:rsidR="005A2D04" w:rsidRPr="76ABC984">
              <w:rPr>
                <w:rFonts w:cs="Arial"/>
                <w:color w:val="000000" w:themeColor="text1"/>
                <w:sz w:val="18"/>
                <w:szCs w:val="18"/>
              </w:rPr>
              <w:t>%</w:t>
            </w:r>
          </w:p>
        </w:tc>
      </w:tr>
      <w:tr w:rsidR="005E2403" w:rsidRPr="006314EF" w14:paraId="122510B1" w14:textId="77777777" w:rsidTr="76ABC984">
        <w:trPr>
          <w:trHeight w:val="454"/>
        </w:trPr>
        <w:tc>
          <w:tcPr>
            <w:tcW w:w="1470" w:type="dxa"/>
            <w:tcBorders>
              <w:top w:val="nil"/>
              <w:left w:val="single" w:sz="4" w:space="0" w:color="auto"/>
              <w:bottom w:val="single" w:sz="4" w:space="0" w:color="auto"/>
              <w:right w:val="single" w:sz="4" w:space="0" w:color="auto"/>
            </w:tcBorders>
            <w:shd w:val="clear" w:color="auto" w:fill="auto"/>
            <w:noWrap/>
            <w:vAlign w:val="center"/>
            <w:hideMark/>
          </w:tcPr>
          <w:p w14:paraId="5BA72B02" w14:textId="77777777" w:rsidR="005A2D04" w:rsidRPr="00E06B19" w:rsidRDefault="005A2D04" w:rsidP="005A2D04">
            <w:pPr>
              <w:spacing w:beforeLines="80" w:before="192" w:afterLines="80" w:after="192" w:line="240" w:lineRule="auto"/>
              <w:contextualSpacing/>
              <w:rPr>
                <w:rFonts w:asciiTheme="minorHAnsi" w:hAnsiTheme="minorHAnsi" w:cstheme="minorHAnsi"/>
                <w:b/>
                <w:bCs/>
                <w:color w:val="000000"/>
                <w:sz w:val="18"/>
                <w:szCs w:val="18"/>
              </w:rPr>
            </w:pPr>
            <w:r w:rsidRPr="00E06B19">
              <w:rPr>
                <w:rFonts w:asciiTheme="minorHAnsi" w:hAnsiTheme="minorHAnsi" w:cstheme="minorHAnsi"/>
                <w:b/>
                <w:bCs/>
                <w:color w:val="000000"/>
                <w:sz w:val="18"/>
                <w:szCs w:val="18"/>
              </w:rPr>
              <w:t>Non-admitted</w:t>
            </w:r>
          </w:p>
        </w:tc>
        <w:tc>
          <w:tcPr>
            <w:tcW w:w="992" w:type="dxa"/>
            <w:tcBorders>
              <w:top w:val="nil"/>
              <w:left w:val="single" w:sz="4" w:space="0" w:color="auto"/>
              <w:bottom w:val="single" w:sz="4" w:space="0" w:color="auto"/>
              <w:right w:val="single" w:sz="4" w:space="0" w:color="auto"/>
            </w:tcBorders>
            <w:shd w:val="clear" w:color="auto" w:fill="FFFFFF" w:themeFill="background2"/>
            <w:noWrap/>
            <w:vAlign w:val="center"/>
          </w:tcPr>
          <w:p w14:paraId="3729DED1" w14:textId="2CA3B89A" w:rsidR="005A2D04" w:rsidRPr="005A2D04" w:rsidRDefault="76ABC984" w:rsidP="005A2D04">
            <w:pPr>
              <w:spacing w:line="240" w:lineRule="auto"/>
              <w:jc w:val="center"/>
              <w:rPr>
                <w:szCs w:val="22"/>
              </w:rPr>
            </w:pPr>
            <w:r w:rsidRPr="76ABC984">
              <w:rPr>
                <w:rFonts w:cs="Arial"/>
                <w:color w:val="000000" w:themeColor="text1"/>
                <w:sz w:val="18"/>
                <w:szCs w:val="18"/>
              </w:rPr>
              <w:t>235</w:t>
            </w:r>
          </w:p>
        </w:tc>
        <w:tc>
          <w:tcPr>
            <w:tcW w:w="992" w:type="dxa"/>
            <w:tcBorders>
              <w:top w:val="nil"/>
              <w:left w:val="nil"/>
              <w:bottom w:val="single" w:sz="4" w:space="0" w:color="auto"/>
              <w:right w:val="single" w:sz="4" w:space="0" w:color="auto"/>
            </w:tcBorders>
            <w:shd w:val="clear" w:color="auto" w:fill="FFFFFF" w:themeFill="background2"/>
            <w:noWrap/>
            <w:vAlign w:val="center"/>
          </w:tcPr>
          <w:p w14:paraId="5C55D1C3" w14:textId="1FEDACB9" w:rsidR="005A2D04" w:rsidRPr="005A2D04" w:rsidRDefault="76ABC984" w:rsidP="005A2D04">
            <w:pPr>
              <w:spacing w:line="240" w:lineRule="auto"/>
              <w:jc w:val="center"/>
              <w:rPr>
                <w:rFonts w:cs="Arial"/>
                <w:color w:val="000000" w:themeColor="text1"/>
                <w:sz w:val="18"/>
                <w:szCs w:val="18"/>
              </w:rPr>
            </w:pPr>
            <w:r w:rsidRPr="76ABC984">
              <w:rPr>
                <w:rFonts w:cs="Arial"/>
                <w:color w:val="000000" w:themeColor="text1"/>
                <w:sz w:val="18"/>
                <w:szCs w:val="18"/>
              </w:rPr>
              <w:t>246</w:t>
            </w:r>
          </w:p>
        </w:tc>
        <w:tc>
          <w:tcPr>
            <w:tcW w:w="992" w:type="dxa"/>
            <w:tcBorders>
              <w:top w:val="nil"/>
              <w:left w:val="nil"/>
              <w:bottom w:val="single" w:sz="4" w:space="0" w:color="auto"/>
              <w:right w:val="single" w:sz="4" w:space="0" w:color="auto"/>
            </w:tcBorders>
            <w:shd w:val="clear" w:color="auto" w:fill="FFFFFF" w:themeFill="background2"/>
            <w:noWrap/>
            <w:vAlign w:val="center"/>
          </w:tcPr>
          <w:p w14:paraId="635D1DE0" w14:textId="597FE043" w:rsidR="005A2D04" w:rsidRPr="005A2D04" w:rsidRDefault="00F20F51" w:rsidP="005A2D04">
            <w:pPr>
              <w:spacing w:line="240" w:lineRule="auto"/>
              <w:jc w:val="center"/>
              <w:rPr>
                <w:szCs w:val="22"/>
              </w:rPr>
            </w:pPr>
            <w:r w:rsidRPr="76ABC984">
              <w:rPr>
                <w:rFonts w:cs="Arial"/>
                <w:color w:val="000000" w:themeColor="text1"/>
                <w:sz w:val="18"/>
                <w:szCs w:val="18"/>
              </w:rPr>
              <w:t>4.7</w:t>
            </w:r>
            <w:r w:rsidR="005A2D04" w:rsidRPr="76ABC984">
              <w:rPr>
                <w:rFonts w:cs="Arial"/>
                <w:color w:val="000000" w:themeColor="text1"/>
                <w:sz w:val="18"/>
                <w:szCs w:val="18"/>
              </w:rPr>
              <w:t>%</w:t>
            </w:r>
          </w:p>
        </w:tc>
        <w:tc>
          <w:tcPr>
            <w:tcW w:w="993" w:type="dxa"/>
            <w:tcBorders>
              <w:top w:val="nil"/>
              <w:left w:val="nil"/>
              <w:bottom w:val="single" w:sz="4" w:space="0" w:color="auto"/>
              <w:right w:val="single" w:sz="4" w:space="0" w:color="auto"/>
            </w:tcBorders>
            <w:shd w:val="clear" w:color="auto" w:fill="FFFFFF" w:themeFill="background2"/>
            <w:noWrap/>
            <w:vAlign w:val="center"/>
          </w:tcPr>
          <w:p w14:paraId="064FF3C5" w14:textId="0D24DEB9" w:rsidR="005A2D04" w:rsidRPr="005A2D04" w:rsidRDefault="76ABC984" w:rsidP="005A2D04">
            <w:pPr>
              <w:spacing w:line="240" w:lineRule="auto"/>
              <w:jc w:val="center"/>
              <w:rPr>
                <w:rFonts w:cs="Arial"/>
                <w:color w:val="000000" w:themeColor="text1"/>
                <w:sz w:val="18"/>
                <w:szCs w:val="18"/>
              </w:rPr>
            </w:pPr>
            <w:r w:rsidRPr="76ABC984">
              <w:rPr>
                <w:rFonts w:cs="Arial"/>
                <w:color w:val="000000" w:themeColor="text1"/>
                <w:sz w:val="18"/>
                <w:szCs w:val="18"/>
              </w:rPr>
              <w:t>20.3M</w:t>
            </w:r>
          </w:p>
        </w:tc>
        <w:tc>
          <w:tcPr>
            <w:tcW w:w="992" w:type="dxa"/>
            <w:tcBorders>
              <w:top w:val="nil"/>
              <w:left w:val="nil"/>
              <w:bottom w:val="single" w:sz="4" w:space="0" w:color="auto"/>
              <w:right w:val="single" w:sz="4" w:space="0" w:color="auto"/>
            </w:tcBorders>
            <w:shd w:val="clear" w:color="auto" w:fill="FFFFFF" w:themeFill="background2"/>
            <w:noWrap/>
            <w:vAlign w:val="center"/>
          </w:tcPr>
          <w:p w14:paraId="4447746E" w14:textId="23F03E2C" w:rsidR="005A2D04" w:rsidRPr="005A2D04" w:rsidRDefault="76ABC984" w:rsidP="005A2D04">
            <w:pPr>
              <w:spacing w:line="240" w:lineRule="auto"/>
              <w:jc w:val="center"/>
              <w:rPr>
                <w:rFonts w:cs="Arial"/>
                <w:color w:val="000000" w:themeColor="text1"/>
                <w:sz w:val="18"/>
                <w:szCs w:val="18"/>
              </w:rPr>
            </w:pPr>
            <w:r w:rsidRPr="76ABC984">
              <w:rPr>
                <w:rFonts w:cs="Arial"/>
                <w:color w:val="000000" w:themeColor="text1"/>
                <w:sz w:val="18"/>
                <w:szCs w:val="18"/>
              </w:rPr>
              <w:t>23.9M</w:t>
            </w:r>
          </w:p>
        </w:tc>
        <w:tc>
          <w:tcPr>
            <w:tcW w:w="882" w:type="dxa"/>
            <w:tcBorders>
              <w:top w:val="nil"/>
              <w:left w:val="nil"/>
              <w:bottom w:val="single" w:sz="4" w:space="0" w:color="auto"/>
              <w:right w:val="single" w:sz="4" w:space="0" w:color="auto"/>
            </w:tcBorders>
            <w:shd w:val="clear" w:color="auto" w:fill="FFFFFF" w:themeFill="background2"/>
            <w:noWrap/>
            <w:vAlign w:val="center"/>
          </w:tcPr>
          <w:p w14:paraId="044A6BB8" w14:textId="27F6B307" w:rsidR="005A2D04" w:rsidRPr="005A2D04" w:rsidRDefault="00F20F51" w:rsidP="005A2D04">
            <w:pPr>
              <w:spacing w:line="240" w:lineRule="auto"/>
              <w:jc w:val="center"/>
              <w:rPr>
                <w:szCs w:val="22"/>
              </w:rPr>
            </w:pPr>
            <w:r w:rsidRPr="76ABC984">
              <w:rPr>
                <w:rFonts w:cs="Arial"/>
                <w:color w:val="000000" w:themeColor="text1"/>
                <w:sz w:val="18"/>
                <w:szCs w:val="18"/>
              </w:rPr>
              <w:t>17.4</w:t>
            </w:r>
            <w:r w:rsidR="005A2D04" w:rsidRPr="76ABC984">
              <w:rPr>
                <w:rFonts w:cs="Arial"/>
                <w:color w:val="000000" w:themeColor="text1"/>
                <w:sz w:val="18"/>
                <w:szCs w:val="18"/>
              </w:rPr>
              <w:t>%</w:t>
            </w:r>
          </w:p>
        </w:tc>
        <w:tc>
          <w:tcPr>
            <w:tcW w:w="961" w:type="dxa"/>
            <w:tcBorders>
              <w:top w:val="nil"/>
              <w:left w:val="nil"/>
              <w:bottom w:val="single" w:sz="4" w:space="0" w:color="auto"/>
              <w:right w:val="single" w:sz="4" w:space="0" w:color="auto"/>
            </w:tcBorders>
            <w:shd w:val="clear" w:color="auto" w:fill="FFFFFF" w:themeFill="background2"/>
            <w:noWrap/>
            <w:vAlign w:val="center"/>
          </w:tcPr>
          <w:p w14:paraId="36131775" w14:textId="3E3EEC1C" w:rsidR="005A2D04" w:rsidRPr="005A2D04" w:rsidRDefault="005A2D04" w:rsidP="005A2D04">
            <w:pPr>
              <w:spacing w:line="240" w:lineRule="auto"/>
              <w:jc w:val="center"/>
              <w:rPr>
                <w:rFonts w:cs="Arial"/>
                <w:color w:val="000000" w:themeColor="text1"/>
                <w:sz w:val="18"/>
                <w:szCs w:val="18"/>
              </w:rPr>
            </w:pPr>
            <w:r w:rsidRPr="76ABC984">
              <w:rPr>
                <w:rFonts w:cs="Arial"/>
                <w:color w:val="000000" w:themeColor="text1"/>
                <w:sz w:val="18"/>
                <w:szCs w:val="18"/>
              </w:rPr>
              <w:t>$6.5B</w:t>
            </w:r>
          </w:p>
        </w:tc>
        <w:tc>
          <w:tcPr>
            <w:tcW w:w="992" w:type="dxa"/>
            <w:tcBorders>
              <w:top w:val="nil"/>
              <w:left w:val="nil"/>
              <w:bottom w:val="single" w:sz="4" w:space="0" w:color="auto"/>
              <w:right w:val="single" w:sz="4" w:space="0" w:color="auto"/>
            </w:tcBorders>
            <w:shd w:val="clear" w:color="auto" w:fill="FFFFFF" w:themeFill="background2"/>
            <w:noWrap/>
            <w:vAlign w:val="center"/>
          </w:tcPr>
          <w:p w14:paraId="1577C464" w14:textId="3E911B11" w:rsidR="005A2D04" w:rsidRPr="005A2D04" w:rsidRDefault="005A2D04" w:rsidP="005A2D04">
            <w:pPr>
              <w:spacing w:line="240" w:lineRule="auto"/>
              <w:jc w:val="center"/>
              <w:rPr>
                <w:szCs w:val="22"/>
              </w:rPr>
            </w:pPr>
            <w:r w:rsidRPr="76ABC984">
              <w:rPr>
                <w:rFonts w:cs="Arial"/>
                <w:color w:val="000000" w:themeColor="text1"/>
                <w:sz w:val="18"/>
                <w:szCs w:val="18"/>
              </w:rPr>
              <w:t>$</w:t>
            </w:r>
            <w:r w:rsidR="00F20F51" w:rsidRPr="76ABC984">
              <w:rPr>
                <w:rFonts w:cs="Arial"/>
                <w:color w:val="000000" w:themeColor="text1"/>
                <w:sz w:val="18"/>
                <w:szCs w:val="18"/>
              </w:rPr>
              <w:t>8.0</w:t>
            </w:r>
            <w:r w:rsidRPr="76ABC984">
              <w:rPr>
                <w:rFonts w:cs="Arial"/>
                <w:color w:val="000000" w:themeColor="text1"/>
                <w:sz w:val="18"/>
                <w:szCs w:val="18"/>
              </w:rPr>
              <w:t>B</w:t>
            </w:r>
          </w:p>
        </w:tc>
        <w:tc>
          <w:tcPr>
            <w:tcW w:w="995" w:type="dxa"/>
            <w:tcBorders>
              <w:top w:val="nil"/>
              <w:left w:val="nil"/>
              <w:bottom w:val="single" w:sz="4" w:space="0" w:color="auto"/>
              <w:right w:val="single" w:sz="4" w:space="0" w:color="auto"/>
            </w:tcBorders>
            <w:shd w:val="clear" w:color="auto" w:fill="FFFFFF" w:themeFill="background2"/>
            <w:vAlign w:val="center"/>
          </w:tcPr>
          <w:p w14:paraId="2EB5DE7C" w14:textId="1FC33F53" w:rsidR="005A2D04" w:rsidRPr="005A2D04" w:rsidRDefault="00F20F51" w:rsidP="005A2D04">
            <w:pPr>
              <w:spacing w:line="240" w:lineRule="auto"/>
              <w:jc w:val="center"/>
              <w:rPr>
                <w:szCs w:val="22"/>
              </w:rPr>
            </w:pPr>
            <w:r w:rsidRPr="76ABC984">
              <w:rPr>
                <w:rFonts w:cs="Arial"/>
                <w:color w:val="000000" w:themeColor="text1"/>
                <w:sz w:val="18"/>
                <w:szCs w:val="18"/>
              </w:rPr>
              <w:t>23.6</w:t>
            </w:r>
            <w:r w:rsidR="005A2D04" w:rsidRPr="76ABC984">
              <w:rPr>
                <w:rFonts w:cs="Arial"/>
                <w:color w:val="000000" w:themeColor="text1"/>
                <w:sz w:val="18"/>
                <w:szCs w:val="18"/>
              </w:rPr>
              <w:t>%</w:t>
            </w:r>
          </w:p>
        </w:tc>
      </w:tr>
      <w:tr w:rsidR="005E2403" w:rsidRPr="006314EF" w14:paraId="3573B765" w14:textId="77777777" w:rsidTr="76ABC984">
        <w:trPr>
          <w:trHeight w:val="454"/>
        </w:trPr>
        <w:tc>
          <w:tcPr>
            <w:tcW w:w="1470" w:type="dxa"/>
            <w:tcBorders>
              <w:top w:val="nil"/>
              <w:left w:val="single" w:sz="4" w:space="0" w:color="auto"/>
              <w:bottom w:val="single" w:sz="4" w:space="0" w:color="auto"/>
              <w:right w:val="single" w:sz="4" w:space="0" w:color="auto"/>
            </w:tcBorders>
            <w:shd w:val="clear" w:color="auto" w:fill="auto"/>
            <w:noWrap/>
            <w:vAlign w:val="center"/>
            <w:hideMark/>
          </w:tcPr>
          <w:p w14:paraId="32FE2161" w14:textId="77777777" w:rsidR="005A2D04" w:rsidRPr="00E06B19" w:rsidRDefault="005A2D04" w:rsidP="005A2D04">
            <w:pPr>
              <w:spacing w:beforeLines="80" w:before="192" w:afterLines="80" w:after="192" w:line="240" w:lineRule="auto"/>
              <w:contextualSpacing/>
              <w:rPr>
                <w:rFonts w:asciiTheme="minorHAnsi" w:hAnsiTheme="minorHAnsi" w:cstheme="minorHAnsi"/>
                <w:b/>
                <w:bCs/>
                <w:color w:val="000000"/>
                <w:sz w:val="18"/>
                <w:szCs w:val="18"/>
              </w:rPr>
            </w:pPr>
            <w:r w:rsidRPr="00E06B19">
              <w:rPr>
                <w:rFonts w:asciiTheme="minorHAnsi" w:hAnsiTheme="minorHAnsi" w:cstheme="minorHAnsi"/>
                <w:b/>
                <w:bCs/>
                <w:color w:val="000000"/>
                <w:sz w:val="18"/>
                <w:szCs w:val="18"/>
              </w:rPr>
              <w:t>Subacute</w:t>
            </w:r>
          </w:p>
        </w:tc>
        <w:tc>
          <w:tcPr>
            <w:tcW w:w="992" w:type="dxa"/>
            <w:tcBorders>
              <w:top w:val="nil"/>
              <w:left w:val="single" w:sz="4" w:space="0" w:color="auto"/>
              <w:bottom w:val="single" w:sz="4" w:space="0" w:color="auto"/>
              <w:right w:val="single" w:sz="4" w:space="0" w:color="auto"/>
            </w:tcBorders>
            <w:shd w:val="clear" w:color="auto" w:fill="FFFFFF" w:themeFill="background2"/>
            <w:noWrap/>
            <w:vAlign w:val="center"/>
          </w:tcPr>
          <w:p w14:paraId="5A53603A" w14:textId="20611431" w:rsidR="005A2D04" w:rsidRPr="005A2D04" w:rsidRDefault="76ABC984" w:rsidP="005A2D04">
            <w:pPr>
              <w:spacing w:line="240" w:lineRule="auto"/>
              <w:jc w:val="center"/>
              <w:rPr>
                <w:szCs w:val="22"/>
              </w:rPr>
            </w:pPr>
            <w:r w:rsidRPr="76ABC984">
              <w:rPr>
                <w:rFonts w:cs="Arial"/>
                <w:color w:val="000000" w:themeColor="text1"/>
                <w:sz w:val="18"/>
                <w:szCs w:val="18"/>
              </w:rPr>
              <w:t>246</w:t>
            </w:r>
          </w:p>
        </w:tc>
        <w:tc>
          <w:tcPr>
            <w:tcW w:w="992" w:type="dxa"/>
            <w:tcBorders>
              <w:top w:val="nil"/>
              <w:left w:val="nil"/>
              <w:bottom w:val="single" w:sz="4" w:space="0" w:color="auto"/>
              <w:right w:val="single" w:sz="4" w:space="0" w:color="auto"/>
            </w:tcBorders>
            <w:shd w:val="clear" w:color="auto" w:fill="FFFFFF" w:themeFill="background2"/>
            <w:noWrap/>
            <w:vAlign w:val="center"/>
          </w:tcPr>
          <w:p w14:paraId="4B9F70AE" w14:textId="475068C1" w:rsidR="005A2D04" w:rsidRPr="005A2D04" w:rsidRDefault="76ABC984" w:rsidP="005A2D04">
            <w:pPr>
              <w:spacing w:line="240" w:lineRule="auto"/>
              <w:jc w:val="center"/>
              <w:rPr>
                <w:rFonts w:cs="Arial"/>
                <w:color w:val="000000" w:themeColor="text1"/>
                <w:sz w:val="18"/>
                <w:szCs w:val="18"/>
              </w:rPr>
            </w:pPr>
            <w:r w:rsidRPr="76ABC984">
              <w:rPr>
                <w:rFonts w:cs="Arial"/>
                <w:color w:val="000000" w:themeColor="text1"/>
                <w:sz w:val="18"/>
                <w:szCs w:val="18"/>
              </w:rPr>
              <w:t>243</w:t>
            </w:r>
          </w:p>
        </w:tc>
        <w:tc>
          <w:tcPr>
            <w:tcW w:w="992" w:type="dxa"/>
            <w:tcBorders>
              <w:top w:val="nil"/>
              <w:left w:val="nil"/>
              <w:bottom w:val="single" w:sz="4" w:space="0" w:color="auto"/>
              <w:right w:val="single" w:sz="4" w:space="0" w:color="auto"/>
            </w:tcBorders>
            <w:shd w:val="clear" w:color="auto" w:fill="FFFFFF" w:themeFill="background2"/>
            <w:noWrap/>
            <w:vAlign w:val="center"/>
          </w:tcPr>
          <w:p w14:paraId="3EB2945C" w14:textId="1CE7D973" w:rsidR="005A2D04" w:rsidRPr="005A2D04" w:rsidRDefault="76ABC984" w:rsidP="005A2D04">
            <w:pPr>
              <w:spacing w:line="240" w:lineRule="auto"/>
              <w:jc w:val="center"/>
              <w:rPr>
                <w:szCs w:val="22"/>
              </w:rPr>
            </w:pPr>
            <w:r w:rsidRPr="76ABC984">
              <w:rPr>
                <w:rFonts w:cs="Arial"/>
                <w:color w:val="000000" w:themeColor="text1"/>
                <w:sz w:val="18"/>
                <w:szCs w:val="18"/>
              </w:rPr>
              <w:t>-1.2%</w:t>
            </w:r>
          </w:p>
        </w:tc>
        <w:tc>
          <w:tcPr>
            <w:tcW w:w="993" w:type="dxa"/>
            <w:tcBorders>
              <w:top w:val="nil"/>
              <w:left w:val="nil"/>
              <w:bottom w:val="single" w:sz="4" w:space="0" w:color="auto"/>
              <w:right w:val="single" w:sz="4" w:space="0" w:color="auto"/>
            </w:tcBorders>
            <w:shd w:val="clear" w:color="auto" w:fill="FFFFFF" w:themeFill="background2"/>
            <w:noWrap/>
            <w:vAlign w:val="center"/>
          </w:tcPr>
          <w:p w14:paraId="63F25C65" w14:textId="2ACB81FE" w:rsidR="005A2D04" w:rsidRPr="005A2D04" w:rsidRDefault="76ABC984" w:rsidP="005A2D04">
            <w:pPr>
              <w:spacing w:line="240" w:lineRule="auto"/>
              <w:jc w:val="center"/>
              <w:rPr>
                <w:szCs w:val="22"/>
              </w:rPr>
            </w:pPr>
            <w:r w:rsidRPr="76ABC984">
              <w:rPr>
                <w:rFonts w:cs="Arial"/>
                <w:color w:val="000000" w:themeColor="text1"/>
                <w:sz w:val="18"/>
                <w:szCs w:val="18"/>
              </w:rPr>
              <w:t>180.2K</w:t>
            </w:r>
          </w:p>
        </w:tc>
        <w:tc>
          <w:tcPr>
            <w:tcW w:w="992" w:type="dxa"/>
            <w:tcBorders>
              <w:top w:val="nil"/>
              <w:left w:val="nil"/>
              <w:bottom w:val="single" w:sz="4" w:space="0" w:color="auto"/>
              <w:right w:val="single" w:sz="4" w:space="0" w:color="auto"/>
            </w:tcBorders>
            <w:shd w:val="clear" w:color="auto" w:fill="FFFFFF" w:themeFill="background2"/>
            <w:noWrap/>
            <w:vAlign w:val="center"/>
          </w:tcPr>
          <w:p w14:paraId="63CF79C3" w14:textId="21D2FAE6" w:rsidR="005A2D04" w:rsidRPr="005A2D04" w:rsidRDefault="76ABC984" w:rsidP="005A2D04">
            <w:pPr>
              <w:spacing w:line="240" w:lineRule="auto"/>
              <w:jc w:val="center"/>
              <w:rPr>
                <w:szCs w:val="22"/>
              </w:rPr>
            </w:pPr>
            <w:r w:rsidRPr="76ABC984">
              <w:rPr>
                <w:rFonts w:cs="Arial"/>
                <w:color w:val="000000" w:themeColor="text1"/>
                <w:sz w:val="18"/>
                <w:szCs w:val="18"/>
              </w:rPr>
              <w:t>173.8K</w:t>
            </w:r>
          </w:p>
        </w:tc>
        <w:tc>
          <w:tcPr>
            <w:tcW w:w="882" w:type="dxa"/>
            <w:tcBorders>
              <w:top w:val="nil"/>
              <w:left w:val="nil"/>
              <w:bottom w:val="single" w:sz="4" w:space="0" w:color="auto"/>
              <w:right w:val="single" w:sz="4" w:space="0" w:color="auto"/>
            </w:tcBorders>
            <w:shd w:val="clear" w:color="auto" w:fill="FFFFFF" w:themeFill="background2"/>
            <w:noWrap/>
            <w:vAlign w:val="center"/>
          </w:tcPr>
          <w:p w14:paraId="297F1D56" w14:textId="56E6FE3E" w:rsidR="005A2D04" w:rsidRPr="005A2D04" w:rsidRDefault="76ABC984" w:rsidP="005A2D04">
            <w:pPr>
              <w:spacing w:line="240" w:lineRule="auto"/>
              <w:jc w:val="center"/>
              <w:rPr>
                <w:szCs w:val="22"/>
              </w:rPr>
            </w:pPr>
            <w:r w:rsidRPr="76ABC984">
              <w:rPr>
                <w:rFonts w:cs="Arial"/>
                <w:color w:val="000000" w:themeColor="text1"/>
                <w:sz w:val="18"/>
                <w:szCs w:val="18"/>
              </w:rPr>
              <w:t>-3.5%</w:t>
            </w:r>
          </w:p>
        </w:tc>
        <w:tc>
          <w:tcPr>
            <w:tcW w:w="961" w:type="dxa"/>
            <w:tcBorders>
              <w:top w:val="nil"/>
              <w:left w:val="nil"/>
              <w:bottom w:val="single" w:sz="4" w:space="0" w:color="auto"/>
              <w:right w:val="single" w:sz="4" w:space="0" w:color="auto"/>
            </w:tcBorders>
            <w:shd w:val="clear" w:color="auto" w:fill="FFFFFF" w:themeFill="background2"/>
            <w:noWrap/>
            <w:vAlign w:val="center"/>
          </w:tcPr>
          <w:p w14:paraId="0C952A83" w14:textId="1704036F" w:rsidR="005A2D04" w:rsidRPr="005A2D04" w:rsidRDefault="005A2D04" w:rsidP="005A2D04">
            <w:pPr>
              <w:spacing w:line="240" w:lineRule="auto"/>
              <w:jc w:val="center"/>
              <w:rPr>
                <w:szCs w:val="22"/>
              </w:rPr>
            </w:pPr>
            <w:r w:rsidRPr="76ABC984">
              <w:rPr>
                <w:rFonts w:cs="Arial"/>
                <w:color w:val="000000" w:themeColor="text1"/>
                <w:sz w:val="18"/>
                <w:szCs w:val="18"/>
              </w:rPr>
              <w:t>$2.</w:t>
            </w:r>
            <w:r w:rsidR="00F20F51" w:rsidRPr="76ABC984">
              <w:rPr>
                <w:rFonts w:cs="Arial"/>
                <w:color w:val="000000" w:themeColor="text1"/>
                <w:sz w:val="18"/>
                <w:szCs w:val="18"/>
              </w:rPr>
              <w:t>7</w:t>
            </w:r>
            <w:r w:rsidRPr="76ABC984">
              <w:rPr>
                <w:rFonts w:cs="Arial"/>
                <w:color w:val="000000" w:themeColor="text1"/>
                <w:sz w:val="18"/>
                <w:szCs w:val="18"/>
              </w:rPr>
              <w:t>B</w:t>
            </w:r>
          </w:p>
        </w:tc>
        <w:tc>
          <w:tcPr>
            <w:tcW w:w="992" w:type="dxa"/>
            <w:tcBorders>
              <w:top w:val="nil"/>
              <w:left w:val="nil"/>
              <w:bottom w:val="single" w:sz="4" w:space="0" w:color="auto"/>
              <w:right w:val="single" w:sz="4" w:space="0" w:color="auto"/>
            </w:tcBorders>
            <w:shd w:val="clear" w:color="auto" w:fill="FFFFFF" w:themeFill="background2"/>
            <w:noWrap/>
            <w:vAlign w:val="center"/>
          </w:tcPr>
          <w:p w14:paraId="518C94E4" w14:textId="78B74152" w:rsidR="005A2D04" w:rsidRPr="005A2D04" w:rsidRDefault="005A2D04" w:rsidP="005A2D04">
            <w:pPr>
              <w:spacing w:line="240" w:lineRule="auto"/>
              <w:jc w:val="center"/>
              <w:rPr>
                <w:szCs w:val="22"/>
              </w:rPr>
            </w:pPr>
            <w:r w:rsidRPr="76ABC984">
              <w:rPr>
                <w:rFonts w:cs="Arial"/>
                <w:color w:val="000000" w:themeColor="text1"/>
                <w:sz w:val="18"/>
                <w:szCs w:val="18"/>
              </w:rPr>
              <w:t>$2.</w:t>
            </w:r>
            <w:r w:rsidR="00F20F51" w:rsidRPr="76ABC984">
              <w:rPr>
                <w:rFonts w:cs="Arial"/>
                <w:color w:val="000000" w:themeColor="text1"/>
                <w:sz w:val="18"/>
                <w:szCs w:val="18"/>
              </w:rPr>
              <w:t>9</w:t>
            </w:r>
            <w:r w:rsidRPr="76ABC984">
              <w:rPr>
                <w:rFonts w:cs="Arial"/>
                <w:color w:val="000000" w:themeColor="text1"/>
                <w:sz w:val="18"/>
                <w:szCs w:val="18"/>
              </w:rPr>
              <w:t>B</w:t>
            </w:r>
          </w:p>
        </w:tc>
        <w:tc>
          <w:tcPr>
            <w:tcW w:w="995" w:type="dxa"/>
            <w:tcBorders>
              <w:top w:val="nil"/>
              <w:left w:val="nil"/>
              <w:bottom w:val="single" w:sz="4" w:space="0" w:color="auto"/>
              <w:right w:val="single" w:sz="4" w:space="0" w:color="auto"/>
            </w:tcBorders>
            <w:shd w:val="clear" w:color="auto" w:fill="FFFFFF" w:themeFill="background2"/>
            <w:vAlign w:val="center"/>
          </w:tcPr>
          <w:p w14:paraId="1938DC9A" w14:textId="44EC7D78" w:rsidR="005A2D04" w:rsidRPr="005A2D04" w:rsidRDefault="00F20F51" w:rsidP="005A2D04">
            <w:pPr>
              <w:spacing w:line="240" w:lineRule="auto"/>
              <w:jc w:val="center"/>
              <w:rPr>
                <w:szCs w:val="22"/>
              </w:rPr>
            </w:pPr>
            <w:r w:rsidRPr="76ABC984">
              <w:rPr>
                <w:rFonts w:cs="Arial"/>
                <w:color w:val="000000" w:themeColor="text1"/>
                <w:sz w:val="18"/>
                <w:szCs w:val="18"/>
              </w:rPr>
              <w:t>4.5</w:t>
            </w:r>
            <w:r w:rsidR="005A2D04" w:rsidRPr="76ABC984">
              <w:rPr>
                <w:rFonts w:cs="Arial"/>
                <w:color w:val="000000" w:themeColor="text1"/>
                <w:sz w:val="18"/>
                <w:szCs w:val="18"/>
              </w:rPr>
              <w:t>%</w:t>
            </w:r>
          </w:p>
        </w:tc>
      </w:tr>
    </w:tbl>
    <w:p w14:paraId="334F610E" w14:textId="20A9F562" w:rsidR="00561E6C" w:rsidRDefault="00561E6C" w:rsidP="00F41C22">
      <w:pPr>
        <w:pStyle w:val="TableText"/>
        <w:ind w:left="720" w:firstLine="17"/>
      </w:pPr>
      <w:r w:rsidRPr="005A2D04">
        <w:t>Note: Only the NHCDC activity is used in the non-admitted cost model.</w:t>
      </w:r>
      <w:r>
        <w:t xml:space="preserve"> </w:t>
      </w:r>
    </w:p>
    <w:p w14:paraId="666CB774" w14:textId="7BA4BB21" w:rsidR="00561E6C" w:rsidRPr="00DE5CDD" w:rsidRDefault="00561E6C" w:rsidP="00836FC5">
      <w:pPr>
        <w:pStyle w:val="TableHeading"/>
      </w:pPr>
      <w:r w:rsidRPr="00DE5CDD">
        <w:t xml:space="preserve">Table </w:t>
      </w:r>
      <w:r w:rsidR="00105BEF">
        <w:t>2</w:t>
      </w:r>
      <w:r w:rsidR="00DE3F2F">
        <w:t>9</w:t>
      </w:r>
      <w:r>
        <w:t>:</w:t>
      </w:r>
      <w:r w:rsidRPr="00DE5CDD">
        <w:t xml:space="preserve"> Summary of </w:t>
      </w:r>
      <w:r w:rsidR="008D567B">
        <w:t>2018</w:t>
      </w:r>
      <w:r w:rsidR="002A0EFB">
        <w:t>–</w:t>
      </w:r>
      <w:r w:rsidR="008D567B">
        <w:t xml:space="preserve">19 </w:t>
      </w:r>
      <w:r w:rsidR="002A0EFB">
        <w:t xml:space="preserve">and </w:t>
      </w:r>
      <w:r w:rsidR="008D567B">
        <w:t>2019</w:t>
      </w:r>
      <w:r w:rsidR="00836FC5">
        <w:t>–</w:t>
      </w:r>
      <w:r w:rsidR="008D567B">
        <w:t xml:space="preserve">20 </w:t>
      </w:r>
      <w:r>
        <w:t>p</w:t>
      </w:r>
      <w:r w:rsidRPr="00DE5CDD">
        <w:t>opulation data (</w:t>
      </w:r>
      <w:r w:rsidR="008B2E1C">
        <w:t>H</w:t>
      </w:r>
      <w:r w:rsidRPr="00DE5CDD">
        <w:t>ospitals</w:t>
      </w:r>
      <w:r w:rsidR="008B2E1C">
        <w:t xml:space="preserve"> used for cost modelling</w:t>
      </w:r>
      <w:r w:rsidRPr="00DE5CDD">
        <w:t>)</w:t>
      </w:r>
    </w:p>
    <w:tbl>
      <w:tblPr>
        <w:tblW w:w="8691" w:type="dxa"/>
        <w:tblInd w:w="85" w:type="dxa"/>
        <w:tblLayout w:type="fixed"/>
        <w:tblLook w:val="04A0" w:firstRow="1" w:lastRow="0" w:firstColumn="1" w:lastColumn="0" w:noHBand="0" w:noVBand="1"/>
        <w:tblCaption w:val="Table 28: Summary of 2014-15 and 2015-16 population data (ABF hospitals)."/>
      </w:tblPr>
      <w:tblGrid>
        <w:gridCol w:w="2029"/>
        <w:gridCol w:w="992"/>
        <w:gridCol w:w="992"/>
        <w:gridCol w:w="1276"/>
        <w:gridCol w:w="992"/>
        <w:gridCol w:w="992"/>
        <w:gridCol w:w="1418"/>
      </w:tblGrid>
      <w:tr w:rsidR="00561E6C" w:rsidRPr="00DE5CDD" w14:paraId="7D0DE60F" w14:textId="77777777" w:rsidTr="76ABC984">
        <w:trPr>
          <w:trHeight w:val="454"/>
          <w:tblHeader/>
        </w:trPr>
        <w:tc>
          <w:tcPr>
            <w:tcW w:w="2029" w:type="dxa"/>
            <w:tcBorders>
              <w:top w:val="single" w:sz="4" w:space="0" w:color="auto"/>
              <w:left w:val="single" w:sz="4" w:space="0" w:color="auto"/>
              <w:bottom w:val="nil"/>
              <w:right w:val="single" w:sz="4" w:space="0" w:color="auto"/>
            </w:tcBorders>
            <w:shd w:val="clear" w:color="auto" w:fill="FFFFFF" w:themeFill="background2"/>
            <w:noWrap/>
            <w:vAlign w:val="bottom"/>
            <w:hideMark/>
          </w:tcPr>
          <w:p w14:paraId="73C6D46C" w14:textId="77777777" w:rsidR="00561E6C" w:rsidRPr="0035514A" w:rsidRDefault="00561E6C" w:rsidP="00E050EA">
            <w:pPr>
              <w:spacing w:line="240" w:lineRule="auto"/>
              <w:rPr>
                <w:rFonts w:asciiTheme="minorHAnsi" w:hAnsiTheme="minorHAnsi" w:cstheme="minorHAnsi"/>
                <w:color w:val="FFFFFF"/>
                <w:sz w:val="18"/>
                <w:szCs w:val="18"/>
              </w:rPr>
            </w:pPr>
            <w:r w:rsidRPr="0035514A">
              <w:rPr>
                <w:rFonts w:asciiTheme="minorHAnsi" w:hAnsiTheme="minorHAnsi" w:cstheme="minorHAnsi"/>
                <w:color w:val="FFFFFF"/>
                <w:sz w:val="18"/>
                <w:szCs w:val="18"/>
              </w:rPr>
              <w:t> </w:t>
            </w:r>
          </w:p>
        </w:tc>
        <w:tc>
          <w:tcPr>
            <w:tcW w:w="3260" w:type="dxa"/>
            <w:gridSpan w:val="3"/>
            <w:tcBorders>
              <w:top w:val="single" w:sz="4" w:space="0" w:color="auto"/>
              <w:left w:val="single" w:sz="4" w:space="0" w:color="auto"/>
              <w:bottom w:val="single" w:sz="4" w:space="0" w:color="auto"/>
              <w:right w:val="single" w:sz="4" w:space="0" w:color="000000" w:themeColor="text1"/>
            </w:tcBorders>
            <w:shd w:val="clear" w:color="auto" w:fill="288A32"/>
            <w:vAlign w:val="center"/>
            <w:hideMark/>
          </w:tcPr>
          <w:p w14:paraId="2DD03A08" w14:textId="77777777" w:rsidR="00561E6C" w:rsidRPr="0035514A" w:rsidRDefault="00561E6C" w:rsidP="00E050EA">
            <w:pPr>
              <w:spacing w:before="80" w:after="80" w:line="240" w:lineRule="auto"/>
              <w:jc w:val="center"/>
              <w:rPr>
                <w:rFonts w:asciiTheme="minorHAnsi" w:hAnsiTheme="minorHAnsi" w:cstheme="minorHAnsi"/>
                <w:b/>
                <w:bCs/>
                <w:color w:val="FFFFFF" w:themeColor="background1"/>
                <w:sz w:val="18"/>
                <w:szCs w:val="18"/>
              </w:rPr>
            </w:pPr>
            <w:r w:rsidRPr="0035514A">
              <w:rPr>
                <w:rFonts w:asciiTheme="minorHAnsi" w:hAnsiTheme="minorHAnsi" w:cstheme="minorHAnsi"/>
                <w:b/>
                <w:bCs/>
                <w:color w:val="FFFFFF" w:themeColor="background1"/>
                <w:sz w:val="18"/>
                <w:szCs w:val="18"/>
              </w:rPr>
              <w:t>Establishments</w:t>
            </w:r>
          </w:p>
        </w:tc>
        <w:tc>
          <w:tcPr>
            <w:tcW w:w="3402" w:type="dxa"/>
            <w:gridSpan w:val="3"/>
            <w:tcBorders>
              <w:top w:val="single" w:sz="4" w:space="0" w:color="auto"/>
              <w:left w:val="single" w:sz="4" w:space="0" w:color="auto"/>
              <w:bottom w:val="single" w:sz="4" w:space="0" w:color="auto"/>
              <w:right w:val="single" w:sz="4" w:space="0" w:color="000000" w:themeColor="text1"/>
            </w:tcBorders>
            <w:shd w:val="clear" w:color="auto" w:fill="288A32"/>
            <w:vAlign w:val="center"/>
            <w:hideMark/>
          </w:tcPr>
          <w:p w14:paraId="284F160E" w14:textId="77777777" w:rsidR="00561E6C" w:rsidRPr="0035514A" w:rsidRDefault="00561E6C" w:rsidP="00E050EA">
            <w:pPr>
              <w:spacing w:before="80" w:after="80" w:line="240" w:lineRule="auto"/>
              <w:jc w:val="center"/>
              <w:rPr>
                <w:rFonts w:asciiTheme="minorHAnsi" w:hAnsiTheme="minorHAnsi" w:cstheme="minorHAnsi"/>
                <w:b/>
                <w:bCs/>
                <w:color w:val="FFFFFF" w:themeColor="background1"/>
                <w:sz w:val="18"/>
                <w:szCs w:val="18"/>
              </w:rPr>
            </w:pPr>
            <w:r w:rsidRPr="0035514A">
              <w:rPr>
                <w:rFonts w:asciiTheme="minorHAnsi" w:hAnsiTheme="minorHAnsi" w:cstheme="minorHAnsi"/>
                <w:b/>
                <w:bCs/>
                <w:color w:val="FFFFFF" w:themeColor="background1"/>
                <w:sz w:val="18"/>
                <w:szCs w:val="18"/>
              </w:rPr>
              <w:t>Activity (</w:t>
            </w:r>
            <w:r>
              <w:rPr>
                <w:rFonts w:asciiTheme="minorHAnsi" w:hAnsiTheme="minorHAnsi" w:cstheme="minorHAnsi"/>
                <w:b/>
                <w:bCs/>
                <w:color w:val="FFFFFF" w:themeColor="background1"/>
                <w:sz w:val="18"/>
                <w:szCs w:val="18"/>
              </w:rPr>
              <w:t>s</w:t>
            </w:r>
            <w:r w:rsidRPr="0035514A">
              <w:rPr>
                <w:rFonts w:asciiTheme="minorHAnsi" w:hAnsiTheme="minorHAnsi" w:cstheme="minorHAnsi"/>
                <w:b/>
                <w:bCs/>
                <w:color w:val="FFFFFF" w:themeColor="background1"/>
                <w:sz w:val="18"/>
                <w:szCs w:val="18"/>
              </w:rPr>
              <w:t>eparations/</w:t>
            </w:r>
            <w:r>
              <w:rPr>
                <w:rFonts w:asciiTheme="minorHAnsi" w:hAnsiTheme="minorHAnsi" w:cstheme="minorHAnsi"/>
                <w:b/>
                <w:bCs/>
                <w:color w:val="FFFFFF" w:themeColor="background1"/>
                <w:sz w:val="18"/>
                <w:szCs w:val="18"/>
              </w:rPr>
              <w:t>e</w:t>
            </w:r>
            <w:r w:rsidRPr="0035514A">
              <w:rPr>
                <w:rFonts w:asciiTheme="minorHAnsi" w:hAnsiTheme="minorHAnsi" w:cstheme="minorHAnsi"/>
                <w:b/>
                <w:bCs/>
                <w:color w:val="FFFFFF" w:themeColor="background1"/>
                <w:sz w:val="18"/>
                <w:szCs w:val="18"/>
              </w:rPr>
              <w:t>pisodes)</w:t>
            </w:r>
            <w:r w:rsidR="009C25EC">
              <w:rPr>
                <w:rFonts w:asciiTheme="minorHAnsi" w:hAnsiTheme="minorHAnsi" w:cstheme="minorHAnsi"/>
                <w:b/>
                <w:bCs/>
                <w:color w:val="FFFFFF" w:themeColor="background1"/>
                <w:sz w:val="18"/>
                <w:szCs w:val="18"/>
              </w:rPr>
              <w:t>*</w:t>
            </w:r>
          </w:p>
        </w:tc>
      </w:tr>
      <w:tr w:rsidR="00561E6C" w:rsidRPr="00DE5CDD" w14:paraId="7E3F2925" w14:textId="77777777" w:rsidTr="76ABC984">
        <w:trPr>
          <w:trHeight w:val="454"/>
        </w:trPr>
        <w:tc>
          <w:tcPr>
            <w:tcW w:w="2029" w:type="dxa"/>
            <w:tcBorders>
              <w:top w:val="nil"/>
              <w:left w:val="single" w:sz="4" w:space="0" w:color="auto"/>
              <w:bottom w:val="single" w:sz="4" w:space="0" w:color="auto"/>
              <w:right w:val="single" w:sz="4" w:space="0" w:color="auto"/>
            </w:tcBorders>
            <w:shd w:val="clear" w:color="auto" w:fill="FFFFFF" w:themeFill="background2"/>
            <w:noWrap/>
            <w:vAlign w:val="bottom"/>
            <w:hideMark/>
          </w:tcPr>
          <w:p w14:paraId="193FB886" w14:textId="77777777" w:rsidR="00561E6C" w:rsidRPr="0035514A" w:rsidRDefault="00561E6C" w:rsidP="00E050EA">
            <w:pPr>
              <w:spacing w:line="240" w:lineRule="auto"/>
              <w:rPr>
                <w:rFonts w:asciiTheme="minorHAnsi" w:hAnsiTheme="minorHAnsi" w:cstheme="minorHAnsi"/>
                <w:color w:val="FFFFFF"/>
                <w:sz w:val="18"/>
                <w:szCs w:val="18"/>
              </w:rPr>
            </w:pPr>
            <w:r w:rsidRPr="0035514A">
              <w:rPr>
                <w:rFonts w:asciiTheme="minorHAnsi" w:hAnsiTheme="minorHAnsi" w:cstheme="minorHAnsi"/>
                <w:color w:val="FFFFFF"/>
                <w:sz w:val="18"/>
                <w:szCs w:val="18"/>
              </w:rPr>
              <w:t> </w:t>
            </w:r>
          </w:p>
        </w:tc>
        <w:tc>
          <w:tcPr>
            <w:tcW w:w="992" w:type="dxa"/>
            <w:tcBorders>
              <w:top w:val="nil"/>
              <w:left w:val="single" w:sz="4" w:space="0" w:color="auto"/>
              <w:bottom w:val="single" w:sz="4" w:space="0" w:color="auto"/>
              <w:right w:val="single" w:sz="4" w:space="0" w:color="auto"/>
            </w:tcBorders>
            <w:shd w:val="clear" w:color="auto" w:fill="FFFFFF" w:themeFill="background2"/>
            <w:noWrap/>
            <w:vAlign w:val="center"/>
            <w:hideMark/>
          </w:tcPr>
          <w:p w14:paraId="3C96B5E3" w14:textId="4255E18B" w:rsidR="00561E6C" w:rsidRPr="00670EF9" w:rsidRDefault="008D567B" w:rsidP="00E050EA">
            <w:pPr>
              <w:spacing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2018</w:t>
            </w:r>
            <w:r w:rsidR="00434017">
              <w:rPr>
                <w:rFonts w:asciiTheme="minorHAnsi" w:hAnsiTheme="minorHAnsi" w:cstheme="minorHAnsi"/>
                <w:b/>
                <w:bCs/>
                <w:color w:val="000000"/>
                <w:sz w:val="18"/>
                <w:szCs w:val="18"/>
              </w:rPr>
              <w:t>–</w:t>
            </w:r>
            <w:r>
              <w:rPr>
                <w:rFonts w:asciiTheme="minorHAnsi" w:hAnsiTheme="minorHAnsi" w:cstheme="minorHAnsi"/>
                <w:b/>
                <w:bCs/>
                <w:color w:val="000000"/>
                <w:sz w:val="18"/>
                <w:szCs w:val="18"/>
              </w:rPr>
              <w:t>19</w:t>
            </w:r>
          </w:p>
        </w:tc>
        <w:tc>
          <w:tcPr>
            <w:tcW w:w="992" w:type="dxa"/>
            <w:tcBorders>
              <w:top w:val="nil"/>
              <w:left w:val="nil"/>
              <w:bottom w:val="single" w:sz="4" w:space="0" w:color="auto"/>
              <w:right w:val="single" w:sz="4" w:space="0" w:color="auto"/>
            </w:tcBorders>
            <w:shd w:val="clear" w:color="auto" w:fill="FFFFFF" w:themeFill="background2"/>
            <w:noWrap/>
            <w:vAlign w:val="center"/>
            <w:hideMark/>
          </w:tcPr>
          <w:p w14:paraId="7CCC8AB2" w14:textId="0AC217FC" w:rsidR="00561E6C" w:rsidRPr="00670EF9" w:rsidRDefault="008D567B" w:rsidP="00E050EA">
            <w:pPr>
              <w:spacing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2019</w:t>
            </w:r>
            <w:r w:rsidR="00434017">
              <w:rPr>
                <w:rFonts w:asciiTheme="minorHAnsi" w:hAnsiTheme="minorHAnsi" w:cstheme="minorHAnsi"/>
                <w:b/>
                <w:bCs/>
                <w:color w:val="000000"/>
                <w:sz w:val="18"/>
                <w:szCs w:val="18"/>
              </w:rPr>
              <w:t>–</w:t>
            </w:r>
            <w:r>
              <w:rPr>
                <w:rFonts w:asciiTheme="minorHAnsi" w:hAnsiTheme="minorHAnsi" w:cstheme="minorHAnsi"/>
                <w:b/>
                <w:bCs/>
                <w:color w:val="000000"/>
                <w:sz w:val="18"/>
                <w:szCs w:val="18"/>
              </w:rPr>
              <w:t>20</w:t>
            </w:r>
          </w:p>
        </w:tc>
        <w:tc>
          <w:tcPr>
            <w:tcW w:w="1276" w:type="dxa"/>
            <w:tcBorders>
              <w:top w:val="nil"/>
              <w:left w:val="nil"/>
              <w:bottom w:val="single" w:sz="4" w:space="0" w:color="auto"/>
              <w:right w:val="single" w:sz="4" w:space="0" w:color="auto"/>
            </w:tcBorders>
            <w:shd w:val="clear" w:color="auto" w:fill="FFFFFF" w:themeFill="background2"/>
            <w:vAlign w:val="center"/>
            <w:hideMark/>
          </w:tcPr>
          <w:p w14:paraId="4DF1C892" w14:textId="77777777" w:rsidR="00561E6C" w:rsidRPr="00670EF9" w:rsidRDefault="00561E6C">
            <w:pPr>
              <w:spacing w:line="240" w:lineRule="auto"/>
              <w:jc w:val="center"/>
              <w:rPr>
                <w:rFonts w:asciiTheme="minorHAnsi" w:eastAsiaTheme="minorHAnsi" w:hAnsiTheme="minorHAnsi" w:cstheme="minorHAnsi"/>
                <w:b/>
                <w:bCs/>
                <w:noProof/>
                <w:color w:val="000000"/>
                <w:sz w:val="18"/>
                <w:szCs w:val="18"/>
              </w:rPr>
            </w:pPr>
            <w:r w:rsidRPr="00670EF9">
              <w:rPr>
                <w:rFonts w:asciiTheme="minorHAnsi" w:hAnsiTheme="minorHAnsi" w:cstheme="minorHAnsi"/>
                <w:b/>
                <w:bCs/>
                <w:color w:val="000000"/>
                <w:sz w:val="18"/>
                <w:szCs w:val="18"/>
              </w:rPr>
              <w:t xml:space="preserve">% </w:t>
            </w:r>
            <w:r w:rsidR="0082578F">
              <w:rPr>
                <w:rFonts w:asciiTheme="minorHAnsi" w:hAnsiTheme="minorHAnsi" w:cstheme="minorHAnsi"/>
                <w:b/>
                <w:bCs/>
                <w:color w:val="000000"/>
                <w:sz w:val="18"/>
                <w:szCs w:val="18"/>
              </w:rPr>
              <w:t>C</w:t>
            </w:r>
            <w:r w:rsidRPr="00670EF9">
              <w:rPr>
                <w:rFonts w:asciiTheme="minorHAnsi" w:hAnsiTheme="minorHAnsi" w:cstheme="minorHAnsi"/>
                <w:b/>
                <w:bCs/>
                <w:color w:val="000000"/>
                <w:sz w:val="18"/>
                <w:szCs w:val="18"/>
              </w:rPr>
              <w:t>hange</w:t>
            </w:r>
          </w:p>
        </w:tc>
        <w:tc>
          <w:tcPr>
            <w:tcW w:w="992" w:type="dxa"/>
            <w:tcBorders>
              <w:top w:val="nil"/>
              <w:left w:val="nil"/>
              <w:bottom w:val="single" w:sz="4" w:space="0" w:color="auto"/>
              <w:right w:val="single" w:sz="4" w:space="0" w:color="auto"/>
            </w:tcBorders>
            <w:shd w:val="clear" w:color="auto" w:fill="FFFFFF" w:themeFill="background2"/>
            <w:noWrap/>
            <w:vAlign w:val="center"/>
            <w:hideMark/>
          </w:tcPr>
          <w:p w14:paraId="4FA87742" w14:textId="651A2B9C" w:rsidR="00561E6C" w:rsidRPr="00670EF9" w:rsidRDefault="008D567B"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2018</w:t>
            </w:r>
            <w:r w:rsidR="00434017">
              <w:rPr>
                <w:rFonts w:asciiTheme="minorHAnsi" w:hAnsiTheme="minorHAnsi" w:cstheme="minorHAnsi"/>
                <w:b/>
                <w:bCs/>
                <w:color w:val="000000"/>
                <w:sz w:val="18"/>
                <w:szCs w:val="18"/>
              </w:rPr>
              <w:t>–</w:t>
            </w:r>
            <w:r>
              <w:rPr>
                <w:rFonts w:asciiTheme="minorHAnsi" w:hAnsiTheme="minorHAnsi" w:cstheme="minorHAnsi"/>
                <w:b/>
                <w:bCs/>
                <w:color w:val="000000"/>
                <w:sz w:val="18"/>
                <w:szCs w:val="18"/>
              </w:rPr>
              <w:t>19</w:t>
            </w:r>
          </w:p>
        </w:tc>
        <w:tc>
          <w:tcPr>
            <w:tcW w:w="992" w:type="dxa"/>
            <w:tcBorders>
              <w:top w:val="nil"/>
              <w:left w:val="nil"/>
              <w:bottom w:val="single" w:sz="4" w:space="0" w:color="auto"/>
              <w:right w:val="single" w:sz="4" w:space="0" w:color="auto"/>
            </w:tcBorders>
            <w:shd w:val="clear" w:color="auto" w:fill="FFFFFF" w:themeFill="background2"/>
            <w:noWrap/>
            <w:vAlign w:val="center"/>
            <w:hideMark/>
          </w:tcPr>
          <w:p w14:paraId="0CF4003D" w14:textId="0A4F6F32" w:rsidR="00561E6C" w:rsidRPr="00670EF9" w:rsidRDefault="008D567B"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2019</w:t>
            </w:r>
            <w:r w:rsidR="00434017">
              <w:rPr>
                <w:rFonts w:asciiTheme="minorHAnsi" w:hAnsiTheme="minorHAnsi" w:cstheme="minorHAnsi"/>
                <w:b/>
                <w:bCs/>
                <w:color w:val="000000"/>
                <w:sz w:val="18"/>
                <w:szCs w:val="18"/>
              </w:rPr>
              <w:t>–</w:t>
            </w:r>
            <w:r>
              <w:rPr>
                <w:rFonts w:asciiTheme="minorHAnsi" w:hAnsiTheme="minorHAnsi" w:cstheme="minorHAnsi"/>
                <w:b/>
                <w:bCs/>
                <w:color w:val="000000"/>
                <w:sz w:val="18"/>
                <w:szCs w:val="18"/>
              </w:rPr>
              <w:t>20</w:t>
            </w:r>
          </w:p>
        </w:tc>
        <w:tc>
          <w:tcPr>
            <w:tcW w:w="1418" w:type="dxa"/>
            <w:tcBorders>
              <w:top w:val="nil"/>
              <w:left w:val="nil"/>
              <w:bottom w:val="single" w:sz="4" w:space="0" w:color="auto"/>
              <w:right w:val="single" w:sz="4" w:space="0" w:color="auto"/>
            </w:tcBorders>
            <w:shd w:val="clear" w:color="auto" w:fill="FFFFFF" w:themeFill="background2"/>
            <w:vAlign w:val="center"/>
            <w:hideMark/>
          </w:tcPr>
          <w:p w14:paraId="07B9CECC" w14:textId="77777777" w:rsidR="00561E6C" w:rsidRPr="00670EF9" w:rsidRDefault="00561E6C" w:rsidP="00E050EA">
            <w:pPr>
              <w:spacing w:line="240" w:lineRule="auto"/>
              <w:jc w:val="center"/>
              <w:rPr>
                <w:rFonts w:asciiTheme="minorHAnsi" w:hAnsiTheme="minorHAnsi" w:cstheme="minorHAnsi"/>
                <w:b/>
                <w:bCs/>
                <w:color w:val="000000"/>
                <w:sz w:val="18"/>
                <w:szCs w:val="18"/>
              </w:rPr>
            </w:pPr>
            <w:r w:rsidRPr="00670EF9">
              <w:rPr>
                <w:rFonts w:asciiTheme="minorHAnsi" w:hAnsiTheme="minorHAnsi" w:cstheme="minorHAnsi"/>
                <w:b/>
                <w:bCs/>
                <w:color w:val="000000"/>
                <w:sz w:val="18"/>
                <w:szCs w:val="18"/>
              </w:rPr>
              <w:t>% Change</w:t>
            </w:r>
          </w:p>
        </w:tc>
      </w:tr>
      <w:tr w:rsidR="005A2D04" w:rsidRPr="00DE5CDD" w14:paraId="0C5D5F9F" w14:textId="77777777" w:rsidTr="76ABC984">
        <w:trPr>
          <w:trHeight w:val="454"/>
        </w:trPr>
        <w:tc>
          <w:tcPr>
            <w:tcW w:w="2029" w:type="dxa"/>
            <w:tcBorders>
              <w:top w:val="nil"/>
              <w:left w:val="single" w:sz="4" w:space="0" w:color="auto"/>
              <w:bottom w:val="single" w:sz="4" w:space="0" w:color="auto"/>
              <w:right w:val="single" w:sz="4" w:space="0" w:color="auto"/>
            </w:tcBorders>
            <w:shd w:val="clear" w:color="auto" w:fill="FFFFFF" w:themeFill="background2"/>
            <w:vAlign w:val="center"/>
            <w:hideMark/>
          </w:tcPr>
          <w:p w14:paraId="581A63C1" w14:textId="77777777" w:rsidR="005A2D04" w:rsidRPr="0035514A" w:rsidRDefault="005A2D04" w:rsidP="005A2D04">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Admitted acute</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hideMark/>
          </w:tcPr>
          <w:p w14:paraId="0771D1F0" w14:textId="3F964B8C" w:rsidR="005A2D04" w:rsidRPr="005A2D04" w:rsidRDefault="76ABC984" w:rsidP="005A2D04">
            <w:pPr>
              <w:spacing w:before="80" w:after="80" w:line="240" w:lineRule="auto"/>
              <w:jc w:val="center"/>
              <w:rPr>
                <w:sz w:val="18"/>
                <w:szCs w:val="18"/>
              </w:rPr>
            </w:pPr>
            <w:r w:rsidRPr="76ABC984">
              <w:rPr>
                <w:sz w:val="18"/>
                <w:szCs w:val="18"/>
              </w:rPr>
              <w:t>273</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hideMark/>
          </w:tcPr>
          <w:p w14:paraId="348F8A1A" w14:textId="03DD035E" w:rsidR="005A2D04" w:rsidRPr="005A2D04" w:rsidRDefault="76ABC984" w:rsidP="005A2D04">
            <w:pPr>
              <w:spacing w:before="80" w:after="80" w:line="240" w:lineRule="auto"/>
              <w:jc w:val="center"/>
              <w:rPr>
                <w:szCs w:val="22"/>
              </w:rPr>
            </w:pPr>
            <w:r w:rsidRPr="76ABC984">
              <w:rPr>
                <w:sz w:val="18"/>
                <w:szCs w:val="18"/>
              </w:rPr>
              <w:t>268</w:t>
            </w:r>
          </w:p>
        </w:tc>
        <w:tc>
          <w:tcPr>
            <w:tcW w:w="1276" w:type="dxa"/>
            <w:tcBorders>
              <w:top w:val="single" w:sz="4" w:space="0" w:color="auto"/>
              <w:left w:val="nil"/>
              <w:bottom w:val="single" w:sz="4" w:space="0" w:color="auto"/>
              <w:right w:val="single" w:sz="4" w:space="0" w:color="auto"/>
            </w:tcBorders>
            <w:shd w:val="clear" w:color="auto" w:fill="FFFFFF" w:themeFill="background2"/>
            <w:noWrap/>
            <w:vAlign w:val="center"/>
            <w:hideMark/>
          </w:tcPr>
          <w:p w14:paraId="01B1DDD7" w14:textId="5F8AFF40" w:rsidR="005A2D04" w:rsidRPr="005A2D04" w:rsidRDefault="76ABC984" w:rsidP="005A2D04">
            <w:pPr>
              <w:spacing w:before="80" w:after="80" w:line="240" w:lineRule="auto"/>
              <w:jc w:val="center"/>
              <w:rPr>
                <w:szCs w:val="22"/>
              </w:rPr>
            </w:pPr>
            <w:r w:rsidRPr="76ABC984">
              <w:rPr>
                <w:sz w:val="18"/>
                <w:szCs w:val="18"/>
              </w:rPr>
              <w:t>-1.8%</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hideMark/>
          </w:tcPr>
          <w:p w14:paraId="1F984525" w14:textId="7B13AC30" w:rsidR="005A2D04" w:rsidRPr="005A2D04" w:rsidRDefault="76ABC984" w:rsidP="005A2D04">
            <w:pPr>
              <w:spacing w:before="80" w:after="80" w:line="240" w:lineRule="auto"/>
              <w:jc w:val="center"/>
              <w:rPr>
                <w:szCs w:val="22"/>
              </w:rPr>
            </w:pPr>
            <w:r w:rsidRPr="76ABC984">
              <w:rPr>
                <w:sz w:val="18"/>
                <w:szCs w:val="18"/>
              </w:rPr>
              <w:t>6.3M</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hideMark/>
          </w:tcPr>
          <w:p w14:paraId="2FA14D39" w14:textId="2F1ED047" w:rsidR="005A2D04" w:rsidRPr="005A2D04" w:rsidRDefault="76ABC984" w:rsidP="005A2D04">
            <w:pPr>
              <w:spacing w:before="80" w:after="80" w:line="240" w:lineRule="auto"/>
              <w:jc w:val="center"/>
              <w:rPr>
                <w:sz w:val="18"/>
                <w:szCs w:val="18"/>
              </w:rPr>
            </w:pPr>
            <w:r w:rsidRPr="76ABC984">
              <w:rPr>
                <w:sz w:val="18"/>
                <w:szCs w:val="18"/>
              </w:rPr>
              <w:t>6.2M</w:t>
            </w:r>
          </w:p>
        </w:tc>
        <w:tc>
          <w:tcPr>
            <w:tcW w:w="1418" w:type="dxa"/>
            <w:tcBorders>
              <w:top w:val="single" w:sz="4" w:space="0" w:color="auto"/>
              <w:left w:val="nil"/>
              <w:bottom w:val="single" w:sz="4" w:space="0" w:color="auto"/>
              <w:right w:val="single" w:sz="4" w:space="0" w:color="auto"/>
            </w:tcBorders>
            <w:shd w:val="clear" w:color="auto" w:fill="FFFFFF" w:themeFill="background2"/>
            <w:noWrap/>
            <w:vAlign w:val="center"/>
            <w:hideMark/>
          </w:tcPr>
          <w:p w14:paraId="5A1C57B3" w14:textId="59FD7F90" w:rsidR="005A2D04" w:rsidRPr="005A2D04" w:rsidRDefault="76ABC984" w:rsidP="005A2D04">
            <w:pPr>
              <w:spacing w:before="80" w:after="80" w:line="240" w:lineRule="auto"/>
              <w:jc w:val="center"/>
              <w:rPr>
                <w:sz w:val="18"/>
                <w:szCs w:val="18"/>
              </w:rPr>
            </w:pPr>
            <w:r w:rsidRPr="76ABC984">
              <w:rPr>
                <w:sz w:val="18"/>
                <w:szCs w:val="18"/>
              </w:rPr>
              <w:t>-1.0%</w:t>
            </w:r>
          </w:p>
        </w:tc>
      </w:tr>
      <w:tr w:rsidR="005E2403" w:rsidRPr="00DE5CDD" w14:paraId="242645C1" w14:textId="77777777" w:rsidTr="76ABC984">
        <w:trPr>
          <w:trHeight w:val="454"/>
        </w:trPr>
        <w:tc>
          <w:tcPr>
            <w:tcW w:w="2029" w:type="dxa"/>
            <w:tcBorders>
              <w:top w:val="nil"/>
              <w:left w:val="single" w:sz="4" w:space="0" w:color="auto"/>
              <w:bottom w:val="single" w:sz="4" w:space="0" w:color="auto"/>
              <w:right w:val="single" w:sz="4" w:space="0" w:color="auto"/>
            </w:tcBorders>
            <w:shd w:val="clear" w:color="auto" w:fill="FFFFFF" w:themeFill="background2"/>
            <w:vAlign w:val="center"/>
          </w:tcPr>
          <w:p w14:paraId="658872C7" w14:textId="29CFA9A2" w:rsidR="005E2403" w:rsidRPr="0035514A" w:rsidRDefault="005E2403" w:rsidP="005A2D04">
            <w:pPr>
              <w:spacing w:before="80" w:after="80" w:line="240" w:lineRule="auto"/>
              <w:rPr>
                <w:rFonts w:asciiTheme="minorHAnsi" w:hAnsiTheme="minorHAnsi" w:cstheme="minorHAnsi"/>
                <w:b/>
                <w:bCs/>
                <w:color w:val="000000"/>
                <w:sz w:val="18"/>
                <w:szCs w:val="18"/>
              </w:rPr>
            </w:pPr>
            <w:r>
              <w:rPr>
                <w:rFonts w:asciiTheme="minorHAnsi" w:hAnsiTheme="minorHAnsi" w:cstheme="minorHAnsi"/>
                <w:b/>
                <w:bCs/>
                <w:color w:val="000000"/>
                <w:sz w:val="18"/>
                <w:szCs w:val="18"/>
              </w:rPr>
              <w:t>Admitted mental health</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tcPr>
          <w:p w14:paraId="3EA83A2C" w14:textId="6D1399FE" w:rsidR="005E2403" w:rsidRPr="005A2D04" w:rsidRDefault="33F5F24E" w:rsidP="005A2D04">
            <w:pPr>
              <w:spacing w:before="80" w:after="80" w:line="240" w:lineRule="auto"/>
              <w:jc w:val="center"/>
              <w:rPr>
                <w:szCs w:val="22"/>
              </w:rPr>
            </w:pPr>
            <w:r w:rsidRPr="33F5F24E">
              <w:rPr>
                <w:sz w:val="18"/>
                <w:szCs w:val="18"/>
              </w:rPr>
              <w:t>182</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tcPr>
          <w:p w14:paraId="56CC89D1" w14:textId="24078795" w:rsidR="005E2403" w:rsidRPr="005A2D04" w:rsidRDefault="33F5F24E" w:rsidP="005A2D04">
            <w:pPr>
              <w:spacing w:before="80" w:after="80" w:line="240" w:lineRule="auto"/>
              <w:jc w:val="center"/>
              <w:rPr>
                <w:szCs w:val="22"/>
              </w:rPr>
            </w:pPr>
            <w:r w:rsidRPr="33F5F24E">
              <w:rPr>
                <w:sz w:val="18"/>
                <w:szCs w:val="18"/>
              </w:rPr>
              <w:t>180</w:t>
            </w:r>
          </w:p>
        </w:tc>
        <w:tc>
          <w:tcPr>
            <w:tcW w:w="1276" w:type="dxa"/>
            <w:tcBorders>
              <w:top w:val="single" w:sz="4" w:space="0" w:color="auto"/>
              <w:left w:val="nil"/>
              <w:bottom w:val="single" w:sz="4" w:space="0" w:color="auto"/>
              <w:right w:val="single" w:sz="4" w:space="0" w:color="auto"/>
            </w:tcBorders>
            <w:shd w:val="clear" w:color="auto" w:fill="FFFFFF" w:themeFill="background2"/>
            <w:noWrap/>
            <w:vAlign w:val="center"/>
          </w:tcPr>
          <w:p w14:paraId="7FCFFCF9" w14:textId="4FE91E98" w:rsidR="005E2403" w:rsidRPr="005A2D04" w:rsidRDefault="33F5F24E" w:rsidP="005A2D04">
            <w:pPr>
              <w:spacing w:before="80" w:after="80" w:line="240" w:lineRule="auto"/>
              <w:jc w:val="center"/>
              <w:rPr>
                <w:szCs w:val="22"/>
              </w:rPr>
            </w:pPr>
            <w:r w:rsidRPr="33F5F24E">
              <w:rPr>
                <w:sz w:val="18"/>
                <w:szCs w:val="18"/>
              </w:rPr>
              <w:t>-1.1%</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tcPr>
          <w:p w14:paraId="6928EBCB" w14:textId="3D47814A" w:rsidR="005E2403" w:rsidRPr="005A2D04" w:rsidRDefault="33F5F24E" w:rsidP="005A2D04">
            <w:pPr>
              <w:spacing w:before="80" w:after="80" w:line="240" w:lineRule="auto"/>
              <w:jc w:val="center"/>
              <w:rPr>
                <w:szCs w:val="22"/>
              </w:rPr>
            </w:pPr>
            <w:r w:rsidRPr="33F5F24E">
              <w:rPr>
                <w:sz w:val="18"/>
                <w:szCs w:val="18"/>
              </w:rPr>
              <w:t>160.4K</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tcPr>
          <w:p w14:paraId="61EAB704" w14:textId="7B37C613" w:rsidR="005E2403" w:rsidRPr="005A2D04" w:rsidRDefault="33F5F24E" w:rsidP="005A2D04">
            <w:pPr>
              <w:spacing w:before="80" w:after="80" w:line="240" w:lineRule="auto"/>
              <w:jc w:val="center"/>
              <w:rPr>
                <w:szCs w:val="22"/>
              </w:rPr>
            </w:pPr>
            <w:r w:rsidRPr="33F5F24E">
              <w:rPr>
                <w:sz w:val="18"/>
                <w:szCs w:val="18"/>
              </w:rPr>
              <w:t>151.8K</w:t>
            </w:r>
          </w:p>
        </w:tc>
        <w:tc>
          <w:tcPr>
            <w:tcW w:w="1418" w:type="dxa"/>
            <w:tcBorders>
              <w:top w:val="single" w:sz="4" w:space="0" w:color="auto"/>
              <w:left w:val="nil"/>
              <w:bottom w:val="single" w:sz="4" w:space="0" w:color="auto"/>
              <w:right w:val="single" w:sz="4" w:space="0" w:color="auto"/>
            </w:tcBorders>
            <w:shd w:val="clear" w:color="auto" w:fill="FFFFFF" w:themeFill="background2"/>
            <w:noWrap/>
            <w:vAlign w:val="center"/>
          </w:tcPr>
          <w:p w14:paraId="047C005B" w14:textId="25B6D112" w:rsidR="005E2403" w:rsidRPr="005A2D04" w:rsidRDefault="33F5F24E" w:rsidP="005A2D04">
            <w:pPr>
              <w:spacing w:before="80" w:after="80" w:line="240" w:lineRule="auto"/>
              <w:jc w:val="center"/>
              <w:rPr>
                <w:szCs w:val="22"/>
              </w:rPr>
            </w:pPr>
            <w:r w:rsidRPr="33F5F24E">
              <w:rPr>
                <w:sz w:val="18"/>
                <w:szCs w:val="18"/>
              </w:rPr>
              <w:t>-5.4%</w:t>
            </w:r>
          </w:p>
        </w:tc>
      </w:tr>
      <w:tr w:rsidR="005A2D04" w:rsidRPr="00DE5CDD" w14:paraId="30D000D5" w14:textId="77777777" w:rsidTr="76ABC984">
        <w:trPr>
          <w:trHeight w:val="454"/>
        </w:trPr>
        <w:tc>
          <w:tcPr>
            <w:tcW w:w="2029" w:type="dxa"/>
            <w:tcBorders>
              <w:top w:val="nil"/>
              <w:left w:val="single" w:sz="4" w:space="0" w:color="auto"/>
              <w:bottom w:val="single" w:sz="4" w:space="0" w:color="auto"/>
              <w:right w:val="single" w:sz="4" w:space="0" w:color="auto"/>
            </w:tcBorders>
            <w:shd w:val="clear" w:color="auto" w:fill="FFFFFF" w:themeFill="background2"/>
            <w:vAlign w:val="center"/>
            <w:hideMark/>
          </w:tcPr>
          <w:p w14:paraId="2B1C31FF" w14:textId="77777777" w:rsidR="005A2D04" w:rsidRPr="0035514A" w:rsidRDefault="005A2D04" w:rsidP="005A2D04">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Emergency</w:t>
            </w:r>
          </w:p>
        </w:tc>
        <w:tc>
          <w:tcPr>
            <w:tcW w:w="992" w:type="dxa"/>
            <w:tcBorders>
              <w:top w:val="nil"/>
              <w:left w:val="nil"/>
              <w:bottom w:val="single" w:sz="4" w:space="0" w:color="auto"/>
              <w:right w:val="single" w:sz="4" w:space="0" w:color="auto"/>
            </w:tcBorders>
            <w:shd w:val="clear" w:color="auto" w:fill="FFFFFF" w:themeFill="background2"/>
            <w:noWrap/>
            <w:vAlign w:val="center"/>
            <w:hideMark/>
          </w:tcPr>
          <w:p w14:paraId="73B6CFD6" w14:textId="717F7747" w:rsidR="005A2D04" w:rsidRPr="005A2D04" w:rsidRDefault="76ABC984" w:rsidP="005A2D04">
            <w:pPr>
              <w:spacing w:before="80" w:after="80" w:line="240" w:lineRule="auto"/>
              <w:jc w:val="center"/>
              <w:rPr>
                <w:szCs w:val="22"/>
              </w:rPr>
            </w:pPr>
            <w:r w:rsidRPr="76ABC984">
              <w:rPr>
                <w:sz w:val="18"/>
                <w:szCs w:val="18"/>
              </w:rPr>
              <w:t>201</w:t>
            </w:r>
          </w:p>
        </w:tc>
        <w:tc>
          <w:tcPr>
            <w:tcW w:w="992" w:type="dxa"/>
            <w:tcBorders>
              <w:top w:val="nil"/>
              <w:left w:val="nil"/>
              <w:bottom w:val="single" w:sz="4" w:space="0" w:color="auto"/>
              <w:right w:val="single" w:sz="4" w:space="0" w:color="auto"/>
            </w:tcBorders>
            <w:shd w:val="clear" w:color="auto" w:fill="FFFFFF" w:themeFill="background2"/>
            <w:noWrap/>
            <w:vAlign w:val="center"/>
            <w:hideMark/>
          </w:tcPr>
          <w:p w14:paraId="47503A88" w14:textId="420FD388" w:rsidR="005A2D04" w:rsidRPr="005A2D04" w:rsidRDefault="76ABC984" w:rsidP="005A2D04">
            <w:pPr>
              <w:spacing w:before="80" w:after="80" w:line="240" w:lineRule="auto"/>
              <w:jc w:val="center"/>
              <w:rPr>
                <w:szCs w:val="22"/>
              </w:rPr>
            </w:pPr>
            <w:r w:rsidRPr="76ABC984">
              <w:rPr>
                <w:sz w:val="18"/>
                <w:szCs w:val="18"/>
              </w:rPr>
              <w:t>203</w:t>
            </w:r>
          </w:p>
        </w:tc>
        <w:tc>
          <w:tcPr>
            <w:tcW w:w="1276" w:type="dxa"/>
            <w:tcBorders>
              <w:top w:val="nil"/>
              <w:left w:val="nil"/>
              <w:bottom w:val="single" w:sz="4" w:space="0" w:color="auto"/>
              <w:right w:val="single" w:sz="4" w:space="0" w:color="auto"/>
            </w:tcBorders>
            <w:shd w:val="clear" w:color="auto" w:fill="FFFFFF" w:themeFill="background2"/>
            <w:noWrap/>
            <w:vAlign w:val="center"/>
            <w:hideMark/>
          </w:tcPr>
          <w:p w14:paraId="6BE23B8F" w14:textId="5F1E5C8F" w:rsidR="005A2D04" w:rsidRPr="005A2D04" w:rsidRDefault="00934153" w:rsidP="005A2D04">
            <w:pPr>
              <w:spacing w:before="80" w:after="80" w:line="240" w:lineRule="auto"/>
              <w:jc w:val="center"/>
              <w:rPr>
                <w:sz w:val="18"/>
                <w:szCs w:val="18"/>
              </w:rPr>
            </w:pPr>
            <w:r w:rsidRPr="76ABC984">
              <w:rPr>
                <w:sz w:val="18"/>
                <w:szCs w:val="18"/>
              </w:rPr>
              <w:t>1.0</w:t>
            </w:r>
            <w:r w:rsidR="005A2D04" w:rsidRPr="76ABC984">
              <w:rPr>
                <w:sz w:val="18"/>
                <w:szCs w:val="18"/>
              </w:rPr>
              <w:t>%</w:t>
            </w:r>
          </w:p>
        </w:tc>
        <w:tc>
          <w:tcPr>
            <w:tcW w:w="992" w:type="dxa"/>
            <w:tcBorders>
              <w:top w:val="nil"/>
              <w:left w:val="nil"/>
              <w:bottom w:val="single" w:sz="4" w:space="0" w:color="auto"/>
              <w:right w:val="single" w:sz="4" w:space="0" w:color="auto"/>
            </w:tcBorders>
            <w:shd w:val="clear" w:color="auto" w:fill="FFFFFF" w:themeFill="background2"/>
            <w:noWrap/>
            <w:vAlign w:val="center"/>
            <w:hideMark/>
          </w:tcPr>
          <w:p w14:paraId="6113DA14" w14:textId="49DF9E92" w:rsidR="005A2D04" w:rsidRPr="005A2D04" w:rsidRDefault="76ABC984" w:rsidP="005A2D04">
            <w:pPr>
              <w:spacing w:before="80" w:after="80" w:line="240" w:lineRule="auto"/>
              <w:jc w:val="center"/>
              <w:rPr>
                <w:szCs w:val="22"/>
              </w:rPr>
            </w:pPr>
            <w:r w:rsidRPr="76ABC984">
              <w:rPr>
                <w:sz w:val="18"/>
                <w:szCs w:val="18"/>
              </w:rPr>
              <w:t>8.1M</w:t>
            </w:r>
          </w:p>
        </w:tc>
        <w:tc>
          <w:tcPr>
            <w:tcW w:w="992" w:type="dxa"/>
            <w:tcBorders>
              <w:top w:val="nil"/>
              <w:left w:val="nil"/>
              <w:bottom w:val="single" w:sz="4" w:space="0" w:color="auto"/>
              <w:right w:val="single" w:sz="4" w:space="0" w:color="auto"/>
            </w:tcBorders>
            <w:shd w:val="clear" w:color="auto" w:fill="FFFFFF" w:themeFill="background2"/>
            <w:noWrap/>
            <w:vAlign w:val="center"/>
            <w:hideMark/>
          </w:tcPr>
          <w:p w14:paraId="51A2184B" w14:textId="289AFF23" w:rsidR="005A2D04" w:rsidRPr="005A2D04" w:rsidRDefault="76ABC984" w:rsidP="005A2D04">
            <w:pPr>
              <w:spacing w:before="80" w:after="80" w:line="240" w:lineRule="auto"/>
              <w:jc w:val="center"/>
              <w:rPr>
                <w:szCs w:val="22"/>
              </w:rPr>
            </w:pPr>
            <w:r w:rsidRPr="76ABC984">
              <w:rPr>
                <w:sz w:val="18"/>
                <w:szCs w:val="18"/>
              </w:rPr>
              <w:t>8.0M</w:t>
            </w:r>
          </w:p>
        </w:tc>
        <w:tc>
          <w:tcPr>
            <w:tcW w:w="1418" w:type="dxa"/>
            <w:tcBorders>
              <w:top w:val="nil"/>
              <w:left w:val="nil"/>
              <w:bottom w:val="single" w:sz="4" w:space="0" w:color="auto"/>
              <w:right w:val="single" w:sz="4" w:space="0" w:color="auto"/>
            </w:tcBorders>
            <w:shd w:val="clear" w:color="auto" w:fill="FFFFFF" w:themeFill="background2"/>
            <w:noWrap/>
            <w:vAlign w:val="center"/>
            <w:hideMark/>
          </w:tcPr>
          <w:p w14:paraId="528AC5B8" w14:textId="3000B65B" w:rsidR="005A2D04" w:rsidRPr="005A2D04" w:rsidRDefault="37BE9F9D" w:rsidP="005A2D04">
            <w:pPr>
              <w:spacing w:before="80" w:after="80" w:line="240" w:lineRule="auto"/>
              <w:jc w:val="center"/>
              <w:rPr>
                <w:sz w:val="18"/>
                <w:szCs w:val="18"/>
              </w:rPr>
            </w:pPr>
            <w:r w:rsidRPr="76ABC984">
              <w:rPr>
                <w:sz w:val="18"/>
                <w:szCs w:val="18"/>
              </w:rPr>
              <w:t>-1.8%</w:t>
            </w:r>
          </w:p>
        </w:tc>
      </w:tr>
      <w:tr w:rsidR="005A2D04" w:rsidRPr="00DE5CDD" w14:paraId="0E3B59BC" w14:textId="77777777" w:rsidTr="76ABC984">
        <w:trPr>
          <w:trHeight w:val="454"/>
        </w:trPr>
        <w:tc>
          <w:tcPr>
            <w:tcW w:w="2029" w:type="dxa"/>
            <w:tcBorders>
              <w:top w:val="nil"/>
              <w:left w:val="single" w:sz="4" w:space="0" w:color="auto"/>
              <w:bottom w:val="single" w:sz="4" w:space="0" w:color="auto"/>
              <w:right w:val="single" w:sz="4" w:space="0" w:color="auto"/>
            </w:tcBorders>
            <w:shd w:val="clear" w:color="auto" w:fill="FFFFFF" w:themeFill="background2"/>
            <w:vAlign w:val="bottom"/>
            <w:hideMark/>
          </w:tcPr>
          <w:p w14:paraId="36BCAED1" w14:textId="77777777" w:rsidR="005A2D04" w:rsidRPr="0035514A" w:rsidRDefault="005A2D04" w:rsidP="005A2D04">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Non-admitted</w:t>
            </w:r>
          </w:p>
        </w:tc>
        <w:tc>
          <w:tcPr>
            <w:tcW w:w="992" w:type="dxa"/>
            <w:tcBorders>
              <w:top w:val="nil"/>
              <w:left w:val="nil"/>
              <w:bottom w:val="single" w:sz="4" w:space="0" w:color="auto"/>
              <w:right w:val="single" w:sz="4" w:space="0" w:color="auto"/>
            </w:tcBorders>
            <w:shd w:val="clear" w:color="auto" w:fill="D9D9D9" w:themeFill="background2" w:themeFillShade="D9"/>
            <w:noWrap/>
            <w:vAlign w:val="center"/>
            <w:hideMark/>
          </w:tcPr>
          <w:p w14:paraId="7F8B4DAE" w14:textId="61E2E8FC" w:rsidR="005A2D04" w:rsidRPr="005A2D04" w:rsidRDefault="005A2D04" w:rsidP="005A2D04">
            <w:pPr>
              <w:spacing w:before="80" w:after="80" w:line="240" w:lineRule="auto"/>
              <w:jc w:val="center"/>
              <w:rPr>
                <w:rFonts w:asciiTheme="minorHAnsi" w:hAnsiTheme="minorHAnsi" w:cstheme="minorHAnsi"/>
                <w:color w:val="000000"/>
                <w:sz w:val="18"/>
                <w:szCs w:val="18"/>
              </w:rPr>
            </w:pPr>
          </w:p>
        </w:tc>
        <w:tc>
          <w:tcPr>
            <w:tcW w:w="992" w:type="dxa"/>
            <w:tcBorders>
              <w:top w:val="nil"/>
              <w:left w:val="nil"/>
              <w:bottom w:val="single" w:sz="4" w:space="0" w:color="auto"/>
              <w:right w:val="single" w:sz="4" w:space="0" w:color="auto"/>
            </w:tcBorders>
            <w:shd w:val="clear" w:color="auto" w:fill="D9D9D9" w:themeFill="background2" w:themeFillShade="D9"/>
            <w:noWrap/>
            <w:vAlign w:val="center"/>
            <w:hideMark/>
          </w:tcPr>
          <w:p w14:paraId="1E301089" w14:textId="5910F6B1" w:rsidR="005A2D04" w:rsidRPr="005A2D04" w:rsidRDefault="005A2D04" w:rsidP="005A2D04">
            <w:pPr>
              <w:spacing w:before="80" w:after="80" w:line="240" w:lineRule="auto"/>
              <w:jc w:val="center"/>
              <w:rPr>
                <w:rFonts w:asciiTheme="minorHAnsi" w:hAnsiTheme="minorHAnsi" w:cstheme="minorHAnsi"/>
                <w:color w:val="000000"/>
                <w:sz w:val="18"/>
                <w:szCs w:val="18"/>
              </w:rPr>
            </w:pPr>
          </w:p>
        </w:tc>
        <w:tc>
          <w:tcPr>
            <w:tcW w:w="1276" w:type="dxa"/>
            <w:tcBorders>
              <w:top w:val="nil"/>
              <w:left w:val="nil"/>
              <w:bottom w:val="single" w:sz="4" w:space="0" w:color="auto"/>
              <w:right w:val="single" w:sz="4" w:space="0" w:color="auto"/>
            </w:tcBorders>
            <w:shd w:val="clear" w:color="auto" w:fill="D9D9D9" w:themeFill="background2" w:themeFillShade="D9"/>
            <w:noWrap/>
            <w:vAlign w:val="center"/>
            <w:hideMark/>
          </w:tcPr>
          <w:p w14:paraId="34F72938" w14:textId="7AD4DAC2" w:rsidR="005A2D04" w:rsidRPr="005A2D04" w:rsidRDefault="005A2D04" w:rsidP="005A2D04">
            <w:pPr>
              <w:spacing w:before="80" w:after="80" w:line="240" w:lineRule="auto"/>
              <w:jc w:val="center"/>
              <w:rPr>
                <w:rFonts w:asciiTheme="minorHAnsi" w:hAnsiTheme="minorHAnsi" w:cstheme="minorHAnsi"/>
                <w:color w:val="000000"/>
                <w:sz w:val="18"/>
                <w:szCs w:val="18"/>
              </w:rPr>
            </w:pPr>
          </w:p>
        </w:tc>
        <w:tc>
          <w:tcPr>
            <w:tcW w:w="992" w:type="dxa"/>
            <w:tcBorders>
              <w:top w:val="nil"/>
              <w:left w:val="nil"/>
              <w:bottom w:val="single" w:sz="4" w:space="0" w:color="auto"/>
              <w:right w:val="single" w:sz="4" w:space="0" w:color="auto"/>
            </w:tcBorders>
            <w:shd w:val="clear" w:color="auto" w:fill="D9D9D9" w:themeFill="background2" w:themeFillShade="D9"/>
            <w:noWrap/>
            <w:vAlign w:val="center"/>
            <w:hideMark/>
          </w:tcPr>
          <w:p w14:paraId="08F50DD5" w14:textId="52D94B59" w:rsidR="005A2D04" w:rsidRPr="005A2D04" w:rsidRDefault="005A2D04" w:rsidP="005A2D04">
            <w:pPr>
              <w:spacing w:before="80" w:after="80" w:line="240" w:lineRule="auto"/>
              <w:jc w:val="center"/>
              <w:rPr>
                <w:rFonts w:asciiTheme="minorHAnsi" w:hAnsiTheme="minorHAnsi" w:cstheme="minorHAnsi"/>
                <w:color w:val="000000"/>
                <w:sz w:val="18"/>
                <w:szCs w:val="18"/>
              </w:rPr>
            </w:pPr>
          </w:p>
        </w:tc>
        <w:tc>
          <w:tcPr>
            <w:tcW w:w="992" w:type="dxa"/>
            <w:tcBorders>
              <w:top w:val="nil"/>
              <w:left w:val="nil"/>
              <w:bottom w:val="single" w:sz="4" w:space="0" w:color="auto"/>
              <w:right w:val="single" w:sz="4" w:space="0" w:color="auto"/>
            </w:tcBorders>
            <w:shd w:val="clear" w:color="auto" w:fill="D9D9D9" w:themeFill="background2" w:themeFillShade="D9"/>
            <w:noWrap/>
            <w:vAlign w:val="center"/>
            <w:hideMark/>
          </w:tcPr>
          <w:p w14:paraId="3C20589B" w14:textId="752C6D5F" w:rsidR="005A2D04" w:rsidRPr="005A2D04" w:rsidRDefault="005A2D04" w:rsidP="005A2D04">
            <w:pPr>
              <w:spacing w:before="80" w:after="80" w:line="240" w:lineRule="auto"/>
              <w:jc w:val="center"/>
              <w:rPr>
                <w:rFonts w:asciiTheme="minorHAnsi" w:hAnsiTheme="minorHAnsi" w:cstheme="minorHAnsi"/>
                <w:color w:val="000000"/>
                <w:sz w:val="18"/>
                <w:szCs w:val="18"/>
              </w:rPr>
            </w:pPr>
          </w:p>
        </w:tc>
        <w:tc>
          <w:tcPr>
            <w:tcW w:w="1418" w:type="dxa"/>
            <w:tcBorders>
              <w:top w:val="nil"/>
              <w:left w:val="nil"/>
              <w:bottom w:val="single" w:sz="4" w:space="0" w:color="auto"/>
              <w:right w:val="single" w:sz="4" w:space="0" w:color="auto"/>
            </w:tcBorders>
            <w:shd w:val="clear" w:color="auto" w:fill="D9D9D9" w:themeFill="background2" w:themeFillShade="D9"/>
            <w:noWrap/>
            <w:vAlign w:val="center"/>
            <w:hideMark/>
          </w:tcPr>
          <w:p w14:paraId="3FF3FCF0" w14:textId="446CBFC3" w:rsidR="005A2D04" w:rsidRPr="005A2D04" w:rsidRDefault="005A2D04" w:rsidP="005A2D04">
            <w:pPr>
              <w:spacing w:before="80" w:after="80" w:line="240" w:lineRule="auto"/>
              <w:jc w:val="center"/>
              <w:rPr>
                <w:rFonts w:asciiTheme="minorHAnsi" w:hAnsiTheme="minorHAnsi" w:cstheme="minorHAnsi"/>
                <w:color w:val="000000"/>
                <w:sz w:val="18"/>
                <w:szCs w:val="18"/>
              </w:rPr>
            </w:pPr>
          </w:p>
        </w:tc>
      </w:tr>
      <w:tr w:rsidR="005A2D04" w:rsidRPr="00DE5CDD" w14:paraId="7BA1FEEC" w14:textId="77777777" w:rsidTr="76ABC984">
        <w:trPr>
          <w:trHeight w:val="454"/>
        </w:trPr>
        <w:tc>
          <w:tcPr>
            <w:tcW w:w="2029" w:type="dxa"/>
            <w:tcBorders>
              <w:top w:val="nil"/>
              <w:left w:val="single" w:sz="4" w:space="0" w:color="auto"/>
              <w:bottom w:val="single" w:sz="4" w:space="0" w:color="auto"/>
              <w:right w:val="single" w:sz="4" w:space="0" w:color="auto"/>
            </w:tcBorders>
            <w:shd w:val="clear" w:color="auto" w:fill="FFFFFF" w:themeFill="background2"/>
            <w:noWrap/>
            <w:vAlign w:val="center"/>
            <w:hideMark/>
          </w:tcPr>
          <w:p w14:paraId="15EE2CE8" w14:textId="77777777" w:rsidR="005A2D04" w:rsidRPr="0035514A" w:rsidRDefault="005A2D04" w:rsidP="005A2D04">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Subacute</w:t>
            </w:r>
          </w:p>
        </w:tc>
        <w:tc>
          <w:tcPr>
            <w:tcW w:w="992" w:type="dxa"/>
            <w:tcBorders>
              <w:top w:val="nil"/>
              <w:left w:val="nil"/>
              <w:bottom w:val="single" w:sz="4" w:space="0" w:color="auto"/>
              <w:right w:val="single" w:sz="4" w:space="0" w:color="auto"/>
            </w:tcBorders>
            <w:shd w:val="clear" w:color="auto" w:fill="FFFFFF" w:themeFill="background2"/>
            <w:noWrap/>
            <w:vAlign w:val="center"/>
            <w:hideMark/>
          </w:tcPr>
          <w:p w14:paraId="6D3D8F2E" w14:textId="26608F49" w:rsidR="005A2D04" w:rsidRPr="005A2D04" w:rsidRDefault="76ABC984" w:rsidP="005A2D04">
            <w:pPr>
              <w:spacing w:before="80" w:after="80" w:line="240" w:lineRule="auto"/>
              <w:jc w:val="center"/>
              <w:rPr>
                <w:szCs w:val="22"/>
              </w:rPr>
            </w:pPr>
            <w:r w:rsidRPr="76ABC984">
              <w:rPr>
                <w:sz w:val="18"/>
                <w:szCs w:val="18"/>
              </w:rPr>
              <w:t>259</w:t>
            </w:r>
          </w:p>
        </w:tc>
        <w:tc>
          <w:tcPr>
            <w:tcW w:w="992" w:type="dxa"/>
            <w:tcBorders>
              <w:top w:val="nil"/>
              <w:left w:val="nil"/>
              <w:bottom w:val="single" w:sz="4" w:space="0" w:color="auto"/>
              <w:right w:val="single" w:sz="4" w:space="0" w:color="auto"/>
            </w:tcBorders>
            <w:shd w:val="clear" w:color="auto" w:fill="FFFFFF" w:themeFill="background2"/>
            <w:noWrap/>
            <w:vAlign w:val="center"/>
            <w:hideMark/>
          </w:tcPr>
          <w:p w14:paraId="6DAABBD0" w14:textId="6165AF45" w:rsidR="005A2D04" w:rsidRPr="005A2D04" w:rsidRDefault="76ABC984" w:rsidP="005A2D04">
            <w:pPr>
              <w:spacing w:before="80" w:after="80" w:line="240" w:lineRule="auto"/>
              <w:jc w:val="center"/>
              <w:rPr>
                <w:szCs w:val="22"/>
              </w:rPr>
            </w:pPr>
            <w:r w:rsidRPr="76ABC984">
              <w:rPr>
                <w:sz w:val="18"/>
                <w:szCs w:val="18"/>
              </w:rPr>
              <w:t>256</w:t>
            </w:r>
          </w:p>
        </w:tc>
        <w:tc>
          <w:tcPr>
            <w:tcW w:w="1276" w:type="dxa"/>
            <w:tcBorders>
              <w:top w:val="nil"/>
              <w:left w:val="nil"/>
              <w:bottom w:val="single" w:sz="4" w:space="0" w:color="auto"/>
              <w:right w:val="single" w:sz="4" w:space="0" w:color="auto"/>
            </w:tcBorders>
            <w:shd w:val="clear" w:color="auto" w:fill="FFFFFF" w:themeFill="background2"/>
            <w:noWrap/>
            <w:vAlign w:val="center"/>
            <w:hideMark/>
          </w:tcPr>
          <w:p w14:paraId="49F40E2D" w14:textId="037162AB" w:rsidR="005A2D04" w:rsidRPr="005A2D04" w:rsidRDefault="37BE9F9D" w:rsidP="005A2D04">
            <w:pPr>
              <w:spacing w:before="80" w:after="80" w:line="240" w:lineRule="auto"/>
              <w:jc w:val="center"/>
              <w:rPr>
                <w:szCs w:val="22"/>
              </w:rPr>
            </w:pPr>
            <w:r w:rsidRPr="76ABC984">
              <w:rPr>
                <w:sz w:val="18"/>
                <w:szCs w:val="18"/>
              </w:rPr>
              <w:t>-</w:t>
            </w:r>
            <w:r w:rsidR="76ABC984" w:rsidRPr="76ABC984">
              <w:rPr>
                <w:sz w:val="18"/>
                <w:szCs w:val="18"/>
              </w:rPr>
              <w:t>1.2%</w:t>
            </w:r>
          </w:p>
        </w:tc>
        <w:tc>
          <w:tcPr>
            <w:tcW w:w="992" w:type="dxa"/>
            <w:tcBorders>
              <w:top w:val="nil"/>
              <w:left w:val="nil"/>
              <w:bottom w:val="single" w:sz="4" w:space="0" w:color="auto"/>
              <w:right w:val="single" w:sz="4" w:space="0" w:color="auto"/>
            </w:tcBorders>
            <w:shd w:val="clear" w:color="auto" w:fill="FFFFFF" w:themeFill="background2"/>
            <w:noWrap/>
            <w:vAlign w:val="center"/>
            <w:hideMark/>
          </w:tcPr>
          <w:p w14:paraId="32D0B8AE" w14:textId="2EF5C170" w:rsidR="005A2D04" w:rsidRPr="005A2D04" w:rsidRDefault="76ABC984" w:rsidP="005A2D04">
            <w:pPr>
              <w:spacing w:before="80" w:after="80" w:line="240" w:lineRule="auto"/>
              <w:jc w:val="center"/>
              <w:rPr>
                <w:szCs w:val="22"/>
              </w:rPr>
            </w:pPr>
            <w:r w:rsidRPr="76ABC984">
              <w:rPr>
                <w:sz w:val="18"/>
                <w:szCs w:val="18"/>
              </w:rPr>
              <w:t>195.9K</w:t>
            </w:r>
          </w:p>
        </w:tc>
        <w:tc>
          <w:tcPr>
            <w:tcW w:w="992" w:type="dxa"/>
            <w:tcBorders>
              <w:top w:val="nil"/>
              <w:left w:val="nil"/>
              <w:bottom w:val="single" w:sz="4" w:space="0" w:color="auto"/>
              <w:right w:val="single" w:sz="4" w:space="0" w:color="auto"/>
            </w:tcBorders>
            <w:shd w:val="clear" w:color="auto" w:fill="FFFFFF" w:themeFill="background2"/>
            <w:noWrap/>
            <w:vAlign w:val="center"/>
            <w:hideMark/>
          </w:tcPr>
          <w:p w14:paraId="0C49A702" w14:textId="262C2932" w:rsidR="005A2D04" w:rsidRPr="005A2D04" w:rsidRDefault="76ABC984" w:rsidP="005A2D04">
            <w:pPr>
              <w:spacing w:before="80" w:after="80" w:line="240" w:lineRule="auto"/>
              <w:jc w:val="center"/>
              <w:rPr>
                <w:szCs w:val="22"/>
              </w:rPr>
            </w:pPr>
            <w:r w:rsidRPr="76ABC984">
              <w:rPr>
                <w:sz w:val="18"/>
                <w:szCs w:val="18"/>
              </w:rPr>
              <w:t>192.3K</w:t>
            </w:r>
          </w:p>
        </w:tc>
        <w:tc>
          <w:tcPr>
            <w:tcW w:w="1418" w:type="dxa"/>
            <w:tcBorders>
              <w:top w:val="nil"/>
              <w:left w:val="nil"/>
              <w:bottom w:val="single" w:sz="4" w:space="0" w:color="auto"/>
              <w:right w:val="single" w:sz="4" w:space="0" w:color="auto"/>
            </w:tcBorders>
            <w:shd w:val="clear" w:color="auto" w:fill="FFFFFF" w:themeFill="background2"/>
            <w:noWrap/>
            <w:vAlign w:val="center"/>
            <w:hideMark/>
          </w:tcPr>
          <w:p w14:paraId="0098A942" w14:textId="1B8FB94B" w:rsidR="005A2D04" w:rsidRPr="005A2D04" w:rsidRDefault="76ABC984" w:rsidP="005A2D04">
            <w:pPr>
              <w:spacing w:before="80" w:after="80" w:line="240" w:lineRule="auto"/>
              <w:jc w:val="center"/>
              <w:rPr>
                <w:szCs w:val="22"/>
              </w:rPr>
            </w:pPr>
            <w:r w:rsidRPr="76ABC984">
              <w:rPr>
                <w:sz w:val="18"/>
                <w:szCs w:val="18"/>
              </w:rPr>
              <w:t>-1.9%</w:t>
            </w:r>
          </w:p>
        </w:tc>
      </w:tr>
    </w:tbl>
    <w:p w14:paraId="550519F5" w14:textId="77777777" w:rsidR="00561E6C" w:rsidRPr="0035514A" w:rsidRDefault="00561E6C" w:rsidP="00836FC5">
      <w:pPr>
        <w:pStyle w:val="TableHeading"/>
      </w:pPr>
      <w:r w:rsidRPr="00DE5CDD">
        <w:lastRenderedPageBreak/>
        <w:t xml:space="preserve">Table </w:t>
      </w:r>
      <w:r w:rsidR="00DE3F2F">
        <w:t>30</w:t>
      </w:r>
      <w:r>
        <w:t>:</w:t>
      </w:r>
      <w:r w:rsidRPr="00DE5CDD">
        <w:t xml:space="preserve"> Cost</w:t>
      </w:r>
      <w:r>
        <w:t xml:space="preserve">ed (NHCDC) sample as proportion </w:t>
      </w:r>
      <w:r w:rsidRPr="00DE5CDD">
        <w:t>of total population</w:t>
      </w:r>
    </w:p>
    <w:tbl>
      <w:tblPr>
        <w:tblW w:w="8136" w:type="dxa"/>
        <w:tblInd w:w="85" w:type="dxa"/>
        <w:tblLayout w:type="fixed"/>
        <w:tblLook w:val="04A0" w:firstRow="1" w:lastRow="0" w:firstColumn="1" w:lastColumn="0" w:noHBand="0" w:noVBand="1"/>
        <w:tblCaption w:val="Table 29: Costed (NHCDC) sample as proportion of total population."/>
      </w:tblPr>
      <w:tblGrid>
        <w:gridCol w:w="2709"/>
        <w:gridCol w:w="1359"/>
        <w:gridCol w:w="1356"/>
        <w:gridCol w:w="1356"/>
        <w:gridCol w:w="1356"/>
      </w:tblGrid>
      <w:tr w:rsidR="00561E6C" w:rsidRPr="00DE5CDD" w14:paraId="4C117BE2" w14:textId="77777777" w:rsidTr="76ABC984">
        <w:trPr>
          <w:cantSplit/>
          <w:trHeight w:val="454"/>
          <w:tblHeader/>
        </w:trPr>
        <w:tc>
          <w:tcPr>
            <w:tcW w:w="2709" w:type="dxa"/>
            <w:vMerge w:val="restart"/>
            <w:tcBorders>
              <w:top w:val="single" w:sz="4" w:space="0" w:color="auto"/>
              <w:left w:val="single" w:sz="4" w:space="0" w:color="auto"/>
              <w:bottom w:val="single" w:sz="4" w:space="0" w:color="auto"/>
              <w:right w:val="single" w:sz="4" w:space="0" w:color="auto"/>
            </w:tcBorders>
            <w:shd w:val="clear" w:color="auto" w:fill="FFFFFF" w:themeFill="background2"/>
            <w:vAlign w:val="bottom"/>
          </w:tcPr>
          <w:p w14:paraId="3FC1AC83" w14:textId="77777777" w:rsidR="00561E6C" w:rsidRPr="0035514A" w:rsidRDefault="00561E6C" w:rsidP="00E050EA">
            <w:pPr>
              <w:spacing w:after="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 </w:t>
            </w:r>
          </w:p>
          <w:p w14:paraId="0403F5A2" w14:textId="77777777" w:rsidR="00561E6C" w:rsidRPr="0035514A" w:rsidRDefault="00561E6C" w:rsidP="00E050EA">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 </w:t>
            </w:r>
          </w:p>
        </w:tc>
        <w:tc>
          <w:tcPr>
            <w:tcW w:w="2715" w:type="dxa"/>
            <w:gridSpan w:val="2"/>
            <w:tcBorders>
              <w:top w:val="single" w:sz="4" w:space="0" w:color="auto"/>
              <w:left w:val="single" w:sz="4" w:space="0" w:color="auto"/>
              <w:bottom w:val="single" w:sz="4" w:space="0" w:color="auto"/>
              <w:right w:val="single" w:sz="4" w:space="0" w:color="000000" w:themeColor="text1"/>
            </w:tcBorders>
            <w:shd w:val="clear" w:color="auto" w:fill="288A32"/>
            <w:vAlign w:val="center"/>
            <w:hideMark/>
          </w:tcPr>
          <w:p w14:paraId="26F30BBD" w14:textId="77777777" w:rsidR="00561E6C" w:rsidRPr="0035514A" w:rsidRDefault="00561E6C" w:rsidP="00E050EA">
            <w:pPr>
              <w:spacing w:before="80" w:after="80" w:line="240" w:lineRule="auto"/>
              <w:jc w:val="center"/>
              <w:rPr>
                <w:rFonts w:asciiTheme="minorHAnsi" w:hAnsiTheme="minorHAnsi" w:cstheme="minorHAnsi"/>
                <w:b/>
                <w:bCs/>
                <w:color w:val="FFFFFF" w:themeColor="background1"/>
                <w:sz w:val="18"/>
                <w:szCs w:val="18"/>
              </w:rPr>
            </w:pPr>
            <w:r w:rsidRPr="0035514A">
              <w:rPr>
                <w:rFonts w:asciiTheme="minorHAnsi" w:hAnsiTheme="minorHAnsi" w:cstheme="minorHAnsi"/>
                <w:b/>
                <w:bCs/>
                <w:color w:val="FFFFFF" w:themeColor="background1"/>
                <w:sz w:val="18"/>
                <w:szCs w:val="18"/>
              </w:rPr>
              <w:t>Establishments</w:t>
            </w:r>
          </w:p>
        </w:tc>
        <w:tc>
          <w:tcPr>
            <w:tcW w:w="2712" w:type="dxa"/>
            <w:gridSpan w:val="2"/>
            <w:tcBorders>
              <w:top w:val="single" w:sz="4" w:space="0" w:color="auto"/>
              <w:left w:val="nil"/>
              <w:bottom w:val="single" w:sz="4" w:space="0" w:color="auto"/>
              <w:right w:val="single" w:sz="4" w:space="0" w:color="000000" w:themeColor="text1"/>
            </w:tcBorders>
            <w:shd w:val="clear" w:color="auto" w:fill="288A32"/>
            <w:vAlign w:val="center"/>
            <w:hideMark/>
          </w:tcPr>
          <w:p w14:paraId="55161ADD" w14:textId="77777777" w:rsidR="00561E6C" w:rsidRPr="0035514A" w:rsidRDefault="00561E6C" w:rsidP="00E050EA">
            <w:pPr>
              <w:spacing w:before="80" w:after="80" w:line="240" w:lineRule="auto"/>
              <w:jc w:val="center"/>
              <w:rPr>
                <w:rFonts w:asciiTheme="minorHAnsi" w:hAnsiTheme="minorHAnsi" w:cstheme="minorHAnsi"/>
                <w:b/>
                <w:bCs/>
                <w:color w:val="FFFFFF" w:themeColor="background1"/>
                <w:sz w:val="18"/>
                <w:szCs w:val="18"/>
              </w:rPr>
            </w:pPr>
            <w:r w:rsidRPr="0035514A">
              <w:rPr>
                <w:rFonts w:asciiTheme="minorHAnsi" w:hAnsiTheme="minorHAnsi" w:cstheme="minorHAnsi"/>
                <w:b/>
                <w:bCs/>
                <w:color w:val="FFFFFF" w:themeColor="background1"/>
                <w:sz w:val="18"/>
                <w:szCs w:val="18"/>
              </w:rPr>
              <w:t>Activity (</w:t>
            </w:r>
            <w:r>
              <w:rPr>
                <w:rFonts w:asciiTheme="minorHAnsi" w:hAnsiTheme="minorHAnsi" w:cstheme="minorHAnsi"/>
                <w:b/>
                <w:bCs/>
                <w:color w:val="FFFFFF" w:themeColor="background1"/>
                <w:sz w:val="18"/>
                <w:szCs w:val="18"/>
              </w:rPr>
              <w:t>s</w:t>
            </w:r>
            <w:r w:rsidRPr="0035514A">
              <w:rPr>
                <w:rFonts w:asciiTheme="minorHAnsi" w:hAnsiTheme="minorHAnsi" w:cstheme="minorHAnsi"/>
                <w:b/>
                <w:bCs/>
                <w:color w:val="FFFFFF" w:themeColor="background1"/>
                <w:sz w:val="18"/>
                <w:szCs w:val="18"/>
              </w:rPr>
              <w:t>eparations)</w:t>
            </w:r>
          </w:p>
        </w:tc>
      </w:tr>
      <w:tr w:rsidR="00561E6C" w:rsidRPr="00DE5CDD" w14:paraId="549649FA" w14:textId="77777777" w:rsidTr="003F4D04">
        <w:trPr>
          <w:cantSplit/>
          <w:trHeight w:val="454"/>
          <w:tblHeader/>
        </w:trPr>
        <w:tc>
          <w:tcPr>
            <w:tcW w:w="2709" w:type="dxa"/>
            <w:vMerge/>
            <w:tcBorders>
              <w:top w:val="single" w:sz="4" w:space="0" w:color="auto"/>
              <w:left w:val="single" w:sz="4" w:space="0" w:color="auto"/>
              <w:bottom w:val="single" w:sz="4" w:space="0" w:color="auto"/>
            </w:tcBorders>
            <w:vAlign w:val="bottom"/>
          </w:tcPr>
          <w:p w14:paraId="55CA60A5" w14:textId="77777777" w:rsidR="00561E6C" w:rsidRPr="0035514A" w:rsidRDefault="00561E6C" w:rsidP="00E050EA">
            <w:pPr>
              <w:spacing w:before="80" w:after="80" w:line="240" w:lineRule="auto"/>
              <w:rPr>
                <w:rFonts w:asciiTheme="minorHAnsi" w:hAnsiTheme="minorHAnsi" w:cstheme="minorHAnsi"/>
                <w:b/>
                <w:bCs/>
                <w:color w:val="000000"/>
                <w:sz w:val="18"/>
                <w:szCs w:val="18"/>
              </w:rPr>
            </w:pP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FEA8816" w14:textId="6C5CCF6B" w:rsidR="00561E6C" w:rsidRPr="00670EF9" w:rsidRDefault="00917A65" w:rsidP="00E050EA">
            <w:pPr>
              <w:spacing w:before="80" w:after="80"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2018–19</w:t>
            </w:r>
          </w:p>
        </w:tc>
        <w:tc>
          <w:tcPr>
            <w:tcW w:w="1356" w:type="dxa"/>
            <w:tcBorders>
              <w:top w:val="nil"/>
              <w:left w:val="nil"/>
              <w:bottom w:val="single" w:sz="4" w:space="0" w:color="auto"/>
              <w:right w:val="single" w:sz="4" w:space="0" w:color="auto"/>
            </w:tcBorders>
            <w:shd w:val="clear" w:color="auto" w:fill="auto"/>
            <w:noWrap/>
            <w:vAlign w:val="center"/>
            <w:hideMark/>
          </w:tcPr>
          <w:p w14:paraId="73738E47" w14:textId="174F1F02" w:rsidR="00561E6C" w:rsidRPr="00670EF9" w:rsidRDefault="00917A65" w:rsidP="00E050EA">
            <w:pPr>
              <w:spacing w:before="80" w:after="80"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2019–20</w:t>
            </w:r>
          </w:p>
        </w:tc>
        <w:tc>
          <w:tcPr>
            <w:tcW w:w="1356" w:type="dxa"/>
            <w:tcBorders>
              <w:top w:val="nil"/>
              <w:left w:val="nil"/>
              <w:bottom w:val="single" w:sz="4" w:space="0" w:color="auto"/>
              <w:right w:val="single" w:sz="4" w:space="0" w:color="auto"/>
            </w:tcBorders>
            <w:shd w:val="clear" w:color="auto" w:fill="auto"/>
            <w:noWrap/>
            <w:vAlign w:val="center"/>
            <w:hideMark/>
          </w:tcPr>
          <w:p w14:paraId="33263547" w14:textId="3CF5C2FD" w:rsidR="00561E6C" w:rsidRPr="00670EF9" w:rsidRDefault="00917A65" w:rsidP="00E050EA">
            <w:pPr>
              <w:spacing w:before="80" w:after="80"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2018–19</w:t>
            </w:r>
          </w:p>
        </w:tc>
        <w:tc>
          <w:tcPr>
            <w:tcW w:w="1356" w:type="dxa"/>
            <w:tcBorders>
              <w:top w:val="nil"/>
              <w:left w:val="nil"/>
              <w:bottom w:val="single" w:sz="4" w:space="0" w:color="auto"/>
              <w:right w:val="single" w:sz="4" w:space="0" w:color="auto"/>
            </w:tcBorders>
            <w:shd w:val="clear" w:color="auto" w:fill="auto"/>
            <w:noWrap/>
            <w:vAlign w:val="center"/>
            <w:hideMark/>
          </w:tcPr>
          <w:p w14:paraId="5BD6A574" w14:textId="7307DE44" w:rsidR="00561E6C" w:rsidRPr="00670EF9" w:rsidRDefault="00917A65" w:rsidP="00E050EA">
            <w:pPr>
              <w:spacing w:before="80" w:after="80"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2019–20</w:t>
            </w:r>
          </w:p>
        </w:tc>
      </w:tr>
      <w:tr w:rsidR="005A2D04" w:rsidRPr="00DE5CDD" w14:paraId="65CED888" w14:textId="77777777" w:rsidTr="003F4D04">
        <w:trPr>
          <w:cantSplit/>
          <w:trHeight w:val="454"/>
          <w:tblHeader/>
        </w:trPr>
        <w:tc>
          <w:tcPr>
            <w:tcW w:w="2709" w:type="dxa"/>
            <w:tcBorders>
              <w:top w:val="single" w:sz="4" w:space="0" w:color="auto"/>
              <w:left w:val="single" w:sz="4" w:space="0" w:color="auto"/>
              <w:bottom w:val="single" w:sz="4" w:space="0" w:color="auto"/>
              <w:right w:val="single" w:sz="4" w:space="0" w:color="auto"/>
            </w:tcBorders>
            <w:vAlign w:val="center"/>
          </w:tcPr>
          <w:p w14:paraId="24A0D8CF" w14:textId="77777777" w:rsidR="005A2D04" w:rsidRPr="0035514A" w:rsidRDefault="005A2D04" w:rsidP="005A2D04">
            <w:pPr>
              <w:spacing w:before="80" w:after="80" w:line="240" w:lineRule="auto"/>
              <w:rPr>
                <w:rFonts w:asciiTheme="minorHAnsi" w:hAnsiTheme="minorHAnsi" w:cstheme="minorHAnsi"/>
                <w:color w:val="000000"/>
                <w:sz w:val="18"/>
                <w:szCs w:val="18"/>
              </w:rPr>
            </w:pPr>
            <w:r w:rsidRPr="0035514A">
              <w:rPr>
                <w:rFonts w:asciiTheme="minorHAnsi" w:hAnsiTheme="minorHAnsi" w:cstheme="minorHAnsi"/>
                <w:b/>
                <w:bCs/>
                <w:color w:val="000000"/>
                <w:sz w:val="18"/>
                <w:szCs w:val="18"/>
              </w:rPr>
              <w:t>Admitted acute</w:t>
            </w:r>
          </w:p>
        </w:tc>
        <w:tc>
          <w:tcPr>
            <w:tcW w:w="1359" w:type="dxa"/>
            <w:tcBorders>
              <w:top w:val="single" w:sz="4" w:space="0" w:color="auto"/>
              <w:left w:val="nil"/>
              <w:bottom w:val="single" w:sz="4" w:space="0" w:color="auto"/>
              <w:right w:val="single" w:sz="4" w:space="0" w:color="auto"/>
            </w:tcBorders>
            <w:shd w:val="clear" w:color="auto" w:fill="FFFFFF" w:themeFill="background2"/>
            <w:noWrap/>
            <w:vAlign w:val="center"/>
          </w:tcPr>
          <w:p w14:paraId="49AA40A2" w14:textId="73C44138" w:rsidR="005A2D04" w:rsidRPr="005A2D04" w:rsidRDefault="00934153" w:rsidP="005A2D04">
            <w:pPr>
              <w:spacing w:before="80" w:after="80" w:line="240" w:lineRule="auto"/>
              <w:jc w:val="center"/>
              <w:rPr>
                <w:szCs w:val="22"/>
              </w:rPr>
            </w:pPr>
            <w:r w:rsidRPr="76ABC984">
              <w:rPr>
                <w:rFonts w:cs="Arial"/>
                <w:color w:val="000000" w:themeColor="text1"/>
                <w:sz w:val="18"/>
                <w:szCs w:val="18"/>
              </w:rPr>
              <w:t>90.8%</w:t>
            </w:r>
          </w:p>
        </w:tc>
        <w:tc>
          <w:tcPr>
            <w:tcW w:w="1356" w:type="dxa"/>
            <w:tcBorders>
              <w:top w:val="single" w:sz="4" w:space="0" w:color="auto"/>
              <w:left w:val="nil"/>
              <w:bottom w:val="single" w:sz="4" w:space="0" w:color="auto"/>
              <w:right w:val="single" w:sz="4" w:space="0" w:color="auto"/>
            </w:tcBorders>
            <w:shd w:val="clear" w:color="auto" w:fill="FFFFFF" w:themeFill="background2"/>
            <w:noWrap/>
            <w:vAlign w:val="center"/>
          </w:tcPr>
          <w:p w14:paraId="237E72FA" w14:textId="63A88E13" w:rsidR="005A2D04" w:rsidRPr="005A2D04" w:rsidRDefault="00934153" w:rsidP="005A2D04">
            <w:pPr>
              <w:spacing w:before="80" w:after="80" w:line="240" w:lineRule="auto"/>
              <w:jc w:val="center"/>
              <w:rPr>
                <w:szCs w:val="22"/>
              </w:rPr>
            </w:pPr>
            <w:r w:rsidRPr="76ABC984">
              <w:rPr>
                <w:rFonts w:cs="Arial"/>
                <w:color w:val="000000" w:themeColor="text1"/>
                <w:sz w:val="18"/>
                <w:szCs w:val="18"/>
              </w:rPr>
              <w:t>92</w:t>
            </w:r>
            <w:r w:rsidR="005A2D04" w:rsidRPr="76ABC984">
              <w:rPr>
                <w:rFonts w:cs="Arial"/>
                <w:color w:val="000000" w:themeColor="text1"/>
                <w:sz w:val="18"/>
                <w:szCs w:val="18"/>
              </w:rPr>
              <w:t>.9%</w:t>
            </w:r>
          </w:p>
        </w:tc>
        <w:tc>
          <w:tcPr>
            <w:tcW w:w="1356" w:type="dxa"/>
            <w:tcBorders>
              <w:top w:val="single" w:sz="4" w:space="0" w:color="auto"/>
              <w:left w:val="nil"/>
              <w:bottom w:val="single" w:sz="4" w:space="0" w:color="auto"/>
              <w:right w:val="single" w:sz="4" w:space="0" w:color="auto"/>
            </w:tcBorders>
            <w:shd w:val="clear" w:color="auto" w:fill="FFFFFF" w:themeFill="background2"/>
            <w:noWrap/>
            <w:vAlign w:val="center"/>
          </w:tcPr>
          <w:p w14:paraId="450D986B" w14:textId="004AF825" w:rsidR="005A2D04" w:rsidRPr="005A2D04" w:rsidRDefault="005A2D04" w:rsidP="005A2D04">
            <w:pPr>
              <w:spacing w:before="80" w:after="80" w:line="240" w:lineRule="auto"/>
              <w:jc w:val="center"/>
              <w:rPr>
                <w:szCs w:val="22"/>
              </w:rPr>
            </w:pPr>
            <w:r w:rsidRPr="76ABC984">
              <w:rPr>
                <w:rFonts w:cs="Arial"/>
                <w:color w:val="000000" w:themeColor="text1"/>
                <w:sz w:val="18"/>
                <w:szCs w:val="18"/>
              </w:rPr>
              <w:t>97.</w:t>
            </w:r>
            <w:r w:rsidR="00934153" w:rsidRPr="76ABC984">
              <w:rPr>
                <w:rFonts w:cs="Arial"/>
                <w:color w:val="000000" w:themeColor="text1"/>
                <w:sz w:val="18"/>
                <w:szCs w:val="18"/>
              </w:rPr>
              <w:t>1</w:t>
            </w:r>
            <w:r w:rsidRPr="76ABC984">
              <w:rPr>
                <w:rFonts w:cs="Arial"/>
                <w:color w:val="000000" w:themeColor="text1"/>
                <w:sz w:val="18"/>
                <w:szCs w:val="18"/>
              </w:rPr>
              <w:t>%</w:t>
            </w:r>
          </w:p>
        </w:tc>
        <w:tc>
          <w:tcPr>
            <w:tcW w:w="1356" w:type="dxa"/>
            <w:tcBorders>
              <w:top w:val="single" w:sz="4" w:space="0" w:color="auto"/>
              <w:left w:val="nil"/>
              <w:bottom w:val="single" w:sz="4" w:space="0" w:color="auto"/>
              <w:right w:val="single" w:sz="4" w:space="0" w:color="auto"/>
            </w:tcBorders>
            <w:shd w:val="clear" w:color="auto" w:fill="FFFFFF" w:themeFill="background2"/>
            <w:noWrap/>
            <w:vAlign w:val="center"/>
          </w:tcPr>
          <w:p w14:paraId="359D122B" w14:textId="28CDD41E" w:rsidR="005A2D04" w:rsidRPr="005A2D04" w:rsidRDefault="005A2D04" w:rsidP="005A2D04">
            <w:pPr>
              <w:spacing w:before="80" w:after="80" w:line="240" w:lineRule="auto"/>
              <w:jc w:val="center"/>
              <w:rPr>
                <w:szCs w:val="22"/>
              </w:rPr>
            </w:pPr>
            <w:r w:rsidRPr="76ABC984">
              <w:rPr>
                <w:rFonts w:cs="Arial"/>
                <w:color w:val="000000" w:themeColor="text1"/>
                <w:sz w:val="18"/>
                <w:szCs w:val="18"/>
              </w:rPr>
              <w:t>97.</w:t>
            </w:r>
            <w:r w:rsidR="00934153" w:rsidRPr="76ABC984">
              <w:rPr>
                <w:rFonts w:cs="Arial"/>
                <w:color w:val="000000" w:themeColor="text1"/>
                <w:sz w:val="18"/>
                <w:szCs w:val="18"/>
              </w:rPr>
              <w:t>1</w:t>
            </w:r>
            <w:r w:rsidRPr="76ABC984">
              <w:rPr>
                <w:rFonts w:cs="Arial"/>
                <w:color w:val="000000" w:themeColor="text1"/>
                <w:sz w:val="18"/>
                <w:szCs w:val="18"/>
              </w:rPr>
              <w:t>%</w:t>
            </w:r>
          </w:p>
        </w:tc>
      </w:tr>
      <w:tr w:rsidR="002E5F95" w:rsidRPr="00DE5CDD" w14:paraId="116CB618" w14:textId="77777777" w:rsidTr="76ABC984">
        <w:trPr>
          <w:cantSplit/>
          <w:trHeight w:val="454"/>
          <w:tblHeader/>
        </w:trPr>
        <w:tc>
          <w:tcPr>
            <w:tcW w:w="2709" w:type="dxa"/>
            <w:tcBorders>
              <w:top w:val="nil"/>
              <w:left w:val="single" w:sz="4" w:space="0" w:color="auto"/>
              <w:bottom w:val="single" w:sz="4" w:space="0" w:color="auto"/>
              <w:right w:val="single" w:sz="4" w:space="0" w:color="auto"/>
            </w:tcBorders>
            <w:vAlign w:val="center"/>
          </w:tcPr>
          <w:p w14:paraId="2101B5B6" w14:textId="35EF8F2B" w:rsidR="002E5F95" w:rsidRPr="0035514A" w:rsidRDefault="002E5F95" w:rsidP="005A2D04">
            <w:pPr>
              <w:spacing w:before="80" w:after="80" w:line="240" w:lineRule="auto"/>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Admitted mental </w:t>
            </w:r>
            <w:r w:rsidR="005E2403">
              <w:rPr>
                <w:rFonts w:asciiTheme="minorHAnsi" w:hAnsiTheme="minorHAnsi" w:cstheme="minorHAnsi"/>
                <w:b/>
                <w:bCs/>
                <w:color w:val="000000"/>
                <w:sz w:val="18"/>
                <w:szCs w:val="18"/>
              </w:rPr>
              <w:t>h</w:t>
            </w:r>
            <w:r>
              <w:rPr>
                <w:rFonts w:asciiTheme="minorHAnsi" w:hAnsiTheme="minorHAnsi" w:cstheme="minorHAnsi"/>
                <w:b/>
                <w:bCs/>
                <w:color w:val="000000"/>
                <w:sz w:val="18"/>
                <w:szCs w:val="18"/>
              </w:rPr>
              <w:t>ealth</w:t>
            </w:r>
          </w:p>
        </w:tc>
        <w:tc>
          <w:tcPr>
            <w:tcW w:w="1359" w:type="dxa"/>
            <w:tcBorders>
              <w:top w:val="single" w:sz="4" w:space="0" w:color="auto"/>
              <w:left w:val="nil"/>
              <w:bottom w:val="single" w:sz="4" w:space="0" w:color="auto"/>
              <w:right w:val="single" w:sz="4" w:space="0" w:color="auto"/>
            </w:tcBorders>
            <w:shd w:val="clear" w:color="auto" w:fill="FFFFFF" w:themeFill="background2"/>
            <w:noWrap/>
            <w:vAlign w:val="center"/>
          </w:tcPr>
          <w:p w14:paraId="59A4DABC" w14:textId="7B4F4E93" w:rsidR="002E5F95" w:rsidRPr="005A2D04" w:rsidRDefault="00DE77A8" w:rsidP="005A2D04">
            <w:pPr>
              <w:spacing w:before="80" w:after="80" w:line="240" w:lineRule="auto"/>
              <w:jc w:val="center"/>
              <w:rPr>
                <w:szCs w:val="22"/>
              </w:rPr>
            </w:pPr>
            <w:r w:rsidRPr="33F5F24E">
              <w:rPr>
                <w:rFonts w:cs="Arial"/>
                <w:color w:val="000000" w:themeColor="text1"/>
                <w:sz w:val="18"/>
                <w:szCs w:val="18"/>
              </w:rPr>
              <w:t>85.7%</w:t>
            </w:r>
          </w:p>
        </w:tc>
        <w:tc>
          <w:tcPr>
            <w:tcW w:w="1356" w:type="dxa"/>
            <w:tcBorders>
              <w:top w:val="single" w:sz="4" w:space="0" w:color="auto"/>
              <w:left w:val="nil"/>
              <w:bottom w:val="single" w:sz="4" w:space="0" w:color="auto"/>
              <w:right w:val="single" w:sz="4" w:space="0" w:color="auto"/>
            </w:tcBorders>
            <w:shd w:val="clear" w:color="auto" w:fill="FFFFFF" w:themeFill="background2"/>
            <w:noWrap/>
            <w:vAlign w:val="center"/>
          </w:tcPr>
          <w:p w14:paraId="24685369" w14:textId="2C8648C7" w:rsidR="002E5F95" w:rsidRPr="005A2D04" w:rsidRDefault="00A51C98" w:rsidP="005A2D04">
            <w:pPr>
              <w:spacing w:before="80" w:after="80" w:line="240" w:lineRule="auto"/>
              <w:jc w:val="center"/>
              <w:rPr>
                <w:rFonts w:cs="Arial"/>
                <w:color w:val="000000" w:themeColor="text1"/>
                <w:sz w:val="18"/>
                <w:szCs w:val="18"/>
              </w:rPr>
            </w:pPr>
            <w:r w:rsidRPr="33F5F24E">
              <w:rPr>
                <w:rFonts w:cs="Arial"/>
                <w:color w:val="000000" w:themeColor="text1"/>
                <w:sz w:val="18"/>
                <w:szCs w:val="18"/>
              </w:rPr>
              <w:t>79.4%</w:t>
            </w:r>
          </w:p>
        </w:tc>
        <w:tc>
          <w:tcPr>
            <w:tcW w:w="1356" w:type="dxa"/>
            <w:tcBorders>
              <w:top w:val="single" w:sz="4" w:space="0" w:color="auto"/>
              <w:left w:val="nil"/>
              <w:bottom w:val="single" w:sz="4" w:space="0" w:color="auto"/>
              <w:right w:val="single" w:sz="4" w:space="0" w:color="auto"/>
            </w:tcBorders>
            <w:shd w:val="clear" w:color="auto" w:fill="FFFFFF" w:themeFill="background2"/>
            <w:noWrap/>
            <w:vAlign w:val="center"/>
          </w:tcPr>
          <w:p w14:paraId="5154B950" w14:textId="36A2B902" w:rsidR="002E5F95" w:rsidRPr="005A2D04" w:rsidRDefault="006E6BE3" w:rsidP="005A2D04">
            <w:pPr>
              <w:spacing w:before="80" w:after="80" w:line="240" w:lineRule="auto"/>
              <w:jc w:val="center"/>
              <w:rPr>
                <w:szCs w:val="22"/>
              </w:rPr>
            </w:pPr>
            <w:r w:rsidRPr="33F5F24E">
              <w:rPr>
                <w:rFonts w:cs="Arial"/>
                <w:color w:val="000000" w:themeColor="text1"/>
                <w:sz w:val="18"/>
                <w:szCs w:val="18"/>
              </w:rPr>
              <w:t>84.2%</w:t>
            </w:r>
          </w:p>
        </w:tc>
        <w:tc>
          <w:tcPr>
            <w:tcW w:w="1356" w:type="dxa"/>
            <w:tcBorders>
              <w:top w:val="single" w:sz="4" w:space="0" w:color="auto"/>
              <w:left w:val="nil"/>
              <w:bottom w:val="single" w:sz="4" w:space="0" w:color="auto"/>
              <w:right w:val="single" w:sz="4" w:space="0" w:color="auto"/>
            </w:tcBorders>
            <w:shd w:val="clear" w:color="auto" w:fill="FFFFFF" w:themeFill="background2"/>
            <w:noWrap/>
            <w:vAlign w:val="center"/>
          </w:tcPr>
          <w:p w14:paraId="3A56078E" w14:textId="1BA05CD8" w:rsidR="002E5F95" w:rsidRDefault="00746A4A" w:rsidP="005A2D04">
            <w:pPr>
              <w:spacing w:before="80" w:after="80" w:line="240" w:lineRule="auto"/>
              <w:jc w:val="center"/>
              <w:rPr>
                <w:szCs w:val="22"/>
              </w:rPr>
            </w:pPr>
            <w:r w:rsidRPr="33F5F24E">
              <w:rPr>
                <w:rFonts w:cs="Arial"/>
                <w:color w:val="000000" w:themeColor="text1"/>
                <w:sz w:val="18"/>
                <w:szCs w:val="18"/>
              </w:rPr>
              <w:t>74.9%</w:t>
            </w:r>
          </w:p>
        </w:tc>
      </w:tr>
      <w:tr w:rsidR="005A2D04" w:rsidRPr="00DE5CDD" w14:paraId="22B9368E" w14:textId="77777777" w:rsidTr="76ABC984">
        <w:trPr>
          <w:cantSplit/>
          <w:trHeight w:val="454"/>
          <w:tblHeader/>
        </w:trPr>
        <w:tc>
          <w:tcPr>
            <w:tcW w:w="2709" w:type="dxa"/>
            <w:tcBorders>
              <w:top w:val="nil"/>
              <w:left w:val="single" w:sz="4" w:space="0" w:color="auto"/>
              <w:bottom w:val="single" w:sz="4" w:space="0" w:color="auto"/>
              <w:right w:val="single" w:sz="4" w:space="0" w:color="auto"/>
            </w:tcBorders>
            <w:vAlign w:val="center"/>
          </w:tcPr>
          <w:p w14:paraId="2E4CABCE" w14:textId="77777777" w:rsidR="005A2D04" w:rsidRPr="0035514A" w:rsidRDefault="005A2D04" w:rsidP="005A2D04">
            <w:pPr>
              <w:spacing w:before="80" w:after="80" w:line="240" w:lineRule="auto"/>
              <w:rPr>
                <w:rFonts w:asciiTheme="minorHAnsi" w:hAnsiTheme="minorHAnsi" w:cstheme="minorHAnsi"/>
                <w:color w:val="000000"/>
                <w:sz w:val="18"/>
                <w:szCs w:val="18"/>
              </w:rPr>
            </w:pPr>
            <w:r w:rsidRPr="0035514A">
              <w:rPr>
                <w:rFonts w:asciiTheme="minorHAnsi" w:hAnsiTheme="minorHAnsi" w:cstheme="minorHAnsi"/>
                <w:b/>
                <w:bCs/>
                <w:color w:val="000000"/>
                <w:sz w:val="18"/>
                <w:szCs w:val="18"/>
              </w:rPr>
              <w:t>Emergency</w:t>
            </w:r>
          </w:p>
        </w:tc>
        <w:tc>
          <w:tcPr>
            <w:tcW w:w="1359" w:type="dxa"/>
            <w:tcBorders>
              <w:top w:val="nil"/>
              <w:left w:val="nil"/>
              <w:bottom w:val="single" w:sz="4" w:space="0" w:color="auto"/>
              <w:right w:val="single" w:sz="4" w:space="0" w:color="auto"/>
            </w:tcBorders>
            <w:shd w:val="clear" w:color="auto" w:fill="FFFFFF" w:themeFill="background2"/>
            <w:noWrap/>
            <w:vAlign w:val="center"/>
          </w:tcPr>
          <w:p w14:paraId="4E67CB3C" w14:textId="72167925" w:rsidR="005A2D04" w:rsidRPr="005A2D04" w:rsidRDefault="00934153" w:rsidP="005A2D04">
            <w:pPr>
              <w:spacing w:before="80" w:after="80" w:line="240" w:lineRule="auto"/>
              <w:jc w:val="center"/>
              <w:rPr>
                <w:szCs w:val="22"/>
              </w:rPr>
            </w:pPr>
            <w:r w:rsidRPr="76ABC984">
              <w:rPr>
                <w:rFonts w:cs="Arial"/>
                <w:color w:val="000000" w:themeColor="text1"/>
                <w:sz w:val="18"/>
                <w:szCs w:val="18"/>
              </w:rPr>
              <w:t>96.0%</w:t>
            </w:r>
          </w:p>
        </w:tc>
        <w:tc>
          <w:tcPr>
            <w:tcW w:w="1356" w:type="dxa"/>
            <w:tcBorders>
              <w:top w:val="nil"/>
              <w:left w:val="nil"/>
              <w:bottom w:val="single" w:sz="4" w:space="0" w:color="auto"/>
              <w:right w:val="single" w:sz="4" w:space="0" w:color="auto"/>
            </w:tcBorders>
            <w:shd w:val="clear" w:color="auto" w:fill="FFFFFF" w:themeFill="background2"/>
            <w:noWrap/>
            <w:vAlign w:val="center"/>
          </w:tcPr>
          <w:p w14:paraId="7EECAEFC" w14:textId="766A7417" w:rsidR="005A2D04" w:rsidRPr="005A2D04" w:rsidRDefault="005A2D04" w:rsidP="005A2D04">
            <w:pPr>
              <w:spacing w:before="80" w:after="80" w:line="240" w:lineRule="auto"/>
              <w:jc w:val="center"/>
              <w:rPr>
                <w:szCs w:val="22"/>
              </w:rPr>
            </w:pPr>
            <w:r w:rsidRPr="76ABC984">
              <w:rPr>
                <w:rFonts w:cs="Arial"/>
                <w:color w:val="000000" w:themeColor="text1"/>
                <w:sz w:val="18"/>
                <w:szCs w:val="18"/>
              </w:rPr>
              <w:t>96.</w:t>
            </w:r>
            <w:r w:rsidR="00934153" w:rsidRPr="76ABC984">
              <w:rPr>
                <w:rFonts w:cs="Arial"/>
                <w:color w:val="000000" w:themeColor="text1"/>
                <w:sz w:val="18"/>
                <w:szCs w:val="18"/>
              </w:rPr>
              <w:t>6</w:t>
            </w:r>
            <w:r w:rsidRPr="76ABC984">
              <w:rPr>
                <w:rFonts w:cs="Arial"/>
                <w:color w:val="000000" w:themeColor="text1"/>
                <w:sz w:val="18"/>
                <w:szCs w:val="18"/>
              </w:rPr>
              <w:t>%</w:t>
            </w:r>
          </w:p>
        </w:tc>
        <w:tc>
          <w:tcPr>
            <w:tcW w:w="1356" w:type="dxa"/>
            <w:tcBorders>
              <w:top w:val="nil"/>
              <w:left w:val="nil"/>
              <w:bottom w:val="single" w:sz="4" w:space="0" w:color="auto"/>
              <w:right w:val="single" w:sz="4" w:space="0" w:color="auto"/>
            </w:tcBorders>
            <w:shd w:val="clear" w:color="auto" w:fill="FFFFFF" w:themeFill="background2"/>
            <w:noWrap/>
            <w:vAlign w:val="center"/>
          </w:tcPr>
          <w:p w14:paraId="5901F2DB" w14:textId="252879AE" w:rsidR="005A2D04" w:rsidRPr="005A2D04" w:rsidRDefault="005A2D04" w:rsidP="005A2D04">
            <w:pPr>
              <w:spacing w:before="80" w:after="80" w:line="240" w:lineRule="auto"/>
              <w:jc w:val="center"/>
              <w:rPr>
                <w:rFonts w:cs="Arial"/>
                <w:color w:val="000000" w:themeColor="text1"/>
                <w:sz w:val="18"/>
                <w:szCs w:val="18"/>
              </w:rPr>
            </w:pPr>
            <w:r w:rsidRPr="76ABC984">
              <w:rPr>
                <w:rFonts w:cs="Arial"/>
                <w:color w:val="000000" w:themeColor="text1"/>
                <w:sz w:val="18"/>
                <w:szCs w:val="18"/>
              </w:rPr>
              <w:t>96.</w:t>
            </w:r>
            <w:r w:rsidR="00934153" w:rsidRPr="76ABC984">
              <w:rPr>
                <w:rFonts w:cs="Arial"/>
                <w:color w:val="000000" w:themeColor="text1"/>
                <w:sz w:val="18"/>
                <w:szCs w:val="18"/>
              </w:rPr>
              <w:t>3</w:t>
            </w:r>
            <w:r w:rsidRPr="76ABC984">
              <w:rPr>
                <w:rFonts w:cs="Arial"/>
                <w:color w:val="000000" w:themeColor="text1"/>
                <w:sz w:val="18"/>
                <w:szCs w:val="18"/>
              </w:rPr>
              <w:t>%</w:t>
            </w:r>
          </w:p>
        </w:tc>
        <w:tc>
          <w:tcPr>
            <w:tcW w:w="1356" w:type="dxa"/>
            <w:tcBorders>
              <w:top w:val="nil"/>
              <w:left w:val="nil"/>
              <w:bottom w:val="single" w:sz="4" w:space="0" w:color="auto"/>
              <w:right w:val="single" w:sz="4" w:space="0" w:color="auto"/>
            </w:tcBorders>
            <w:shd w:val="clear" w:color="auto" w:fill="FFFFFF" w:themeFill="background2"/>
            <w:noWrap/>
            <w:vAlign w:val="center"/>
          </w:tcPr>
          <w:p w14:paraId="3ACE9865" w14:textId="101BD0D6" w:rsidR="005A2D04" w:rsidRPr="005A2D04" w:rsidRDefault="00934153" w:rsidP="005A2D04">
            <w:pPr>
              <w:spacing w:before="80" w:after="80" w:line="240" w:lineRule="auto"/>
              <w:jc w:val="center"/>
              <w:rPr>
                <w:szCs w:val="22"/>
              </w:rPr>
            </w:pPr>
            <w:r w:rsidRPr="76ABC984">
              <w:rPr>
                <w:rFonts w:cs="Arial"/>
                <w:color w:val="000000" w:themeColor="text1"/>
                <w:sz w:val="18"/>
                <w:szCs w:val="18"/>
              </w:rPr>
              <w:t>95.8</w:t>
            </w:r>
            <w:r w:rsidR="005A2D04" w:rsidRPr="76ABC984">
              <w:rPr>
                <w:rFonts w:cs="Arial"/>
                <w:color w:val="000000" w:themeColor="text1"/>
                <w:sz w:val="18"/>
                <w:szCs w:val="18"/>
              </w:rPr>
              <w:t>%</w:t>
            </w:r>
          </w:p>
        </w:tc>
      </w:tr>
      <w:tr w:rsidR="005A2D04" w:rsidRPr="00DE5CDD" w14:paraId="306FEDB3" w14:textId="77777777" w:rsidTr="76ABC984">
        <w:trPr>
          <w:cantSplit/>
          <w:trHeight w:val="454"/>
          <w:tblHeader/>
        </w:trPr>
        <w:tc>
          <w:tcPr>
            <w:tcW w:w="2709" w:type="dxa"/>
            <w:tcBorders>
              <w:top w:val="nil"/>
              <w:left w:val="single" w:sz="4" w:space="0" w:color="auto"/>
              <w:bottom w:val="single" w:sz="4" w:space="0" w:color="auto"/>
              <w:right w:val="single" w:sz="4" w:space="0" w:color="auto"/>
            </w:tcBorders>
            <w:shd w:val="clear" w:color="auto" w:fill="FFFFFF" w:themeFill="background2"/>
            <w:vAlign w:val="center"/>
          </w:tcPr>
          <w:p w14:paraId="366EB396" w14:textId="77777777" w:rsidR="005A2D04" w:rsidRPr="0035514A" w:rsidRDefault="005A2D04" w:rsidP="005A2D04">
            <w:pPr>
              <w:spacing w:before="80" w:after="80" w:line="240" w:lineRule="auto"/>
              <w:rPr>
                <w:rFonts w:asciiTheme="minorHAnsi" w:hAnsiTheme="minorHAnsi" w:cstheme="minorHAnsi"/>
                <w:color w:val="000000"/>
                <w:sz w:val="18"/>
                <w:szCs w:val="18"/>
              </w:rPr>
            </w:pPr>
            <w:r w:rsidRPr="0035514A">
              <w:rPr>
                <w:rFonts w:asciiTheme="minorHAnsi" w:hAnsiTheme="minorHAnsi" w:cstheme="minorHAnsi"/>
                <w:b/>
                <w:bCs/>
                <w:color w:val="000000"/>
                <w:sz w:val="18"/>
                <w:szCs w:val="18"/>
              </w:rPr>
              <w:t>Non-admitted</w:t>
            </w:r>
          </w:p>
        </w:tc>
        <w:tc>
          <w:tcPr>
            <w:tcW w:w="1359" w:type="dxa"/>
            <w:tcBorders>
              <w:top w:val="nil"/>
              <w:left w:val="nil"/>
              <w:bottom w:val="single" w:sz="4" w:space="0" w:color="auto"/>
              <w:right w:val="single" w:sz="4" w:space="0" w:color="auto"/>
            </w:tcBorders>
            <w:shd w:val="clear" w:color="auto" w:fill="D9D9D9" w:themeFill="background2" w:themeFillShade="D9"/>
            <w:noWrap/>
            <w:vAlign w:val="center"/>
          </w:tcPr>
          <w:p w14:paraId="4FEC5EB4" w14:textId="67BD5BA5" w:rsidR="005A2D04" w:rsidRPr="005A2D04" w:rsidRDefault="005A2D04" w:rsidP="005A2D04">
            <w:pPr>
              <w:spacing w:before="80" w:after="80" w:line="240" w:lineRule="auto"/>
              <w:jc w:val="center"/>
              <w:rPr>
                <w:rFonts w:cs="Arial"/>
                <w:color w:val="000000"/>
                <w:sz w:val="18"/>
                <w:szCs w:val="18"/>
              </w:rPr>
            </w:pPr>
          </w:p>
        </w:tc>
        <w:tc>
          <w:tcPr>
            <w:tcW w:w="1356" w:type="dxa"/>
            <w:tcBorders>
              <w:top w:val="nil"/>
              <w:left w:val="nil"/>
              <w:bottom w:val="single" w:sz="4" w:space="0" w:color="auto"/>
              <w:right w:val="single" w:sz="4" w:space="0" w:color="auto"/>
            </w:tcBorders>
            <w:shd w:val="clear" w:color="auto" w:fill="D9D9D9" w:themeFill="background2" w:themeFillShade="D9"/>
            <w:noWrap/>
            <w:vAlign w:val="center"/>
          </w:tcPr>
          <w:p w14:paraId="39F9F7BB" w14:textId="6671C745" w:rsidR="005A2D04" w:rsidRPr="005A2D04" w:rsidRDefault="005A2D04" w:rsidP="005A2D04">
            <w:pPr>
              <w:spacing w:before="80" w:after="80" w:line="240" w:lineRule="auto"/>
              <w:jc w:val="center"/>
              <w:rPr>
                <w:rFonts w:cs="Arial"/>
                <w:color w:val="000000"/>
                <w:sz w:val="18"/>
                <w:szCs w:val="18"/>
              </w:rPr>
            </w:pPr>
          </w:p>
        </w:tc>
        <w:tc>
          <w:tcPr>
            <w:tcW w:w="1356" w:type="dxa"/>
            <w:tcBorders>
              <w:top w:val="nil"/>
              <w:left w:val="nil"/>
              <w:bottom w:val="single" w:sz="4" w:space="0" w:color="auto"/>
              <w:right w:val="single" w:sz="4" w:space="0" w:color="auto"/>
            </w:tcBorders>
            <w:shd w:val="clear" w:color="auto" w:fill="D9D9D9" w:themeFill="background2" w:themeFillShade="D9"/>
            <w:noWrap/>
            <w:vAlign w:val="center"/>
          </w:tcPr>
          <w:p w14:paraId="45A1A0B1" w14:textId="35F69C5A" w:rsidR="005A2D04" w:rsidRPr="005A2D04" w:rsidRDefault="005A2D04" w:rsidP="005A2D04">
            <w:pPr>
              <w:spacing w:before="80" w:after="80" w:line="240" w:lineRule="auto"/>
              <w:jc w:val="center"/>
              <w:rPr>
                <w:rFonts w:cs="Arial"/>
                <w:color w:val="000000"/>
                <w:sz w:val="18"/>
                <w:szCs w:val="18"/>
              </w:rPr>
            </w:pPr>
          </w:p>
        </w:tc>
        <w:tc>
          <w:tcPr>
            <w:tcW w:w="1356" w:type="dxa"/>
            <w:tcBorders>
              <w:top w:val="nil"/>
              <w:left w:val="nil"/>
              <w:bottom w:val="single" w:sz="4" w:space="0" w:color="auto"/>
              <w:right w:val="single" w:sz="4" w:space="0" w:color="auto"/>
            </w:tcBorders>
            <w:shd w:val="clear" w:color="auto" w:fill="D9D9D9" w:themeFill="background2" w:themeFillShade="D9"/>
            <w:noWrap/>
            <w:vAlign w:val="center"/>
          </w:tcPr>
          <w:p w14:paraId="649E8562" w14:textId="50D8ECF4" w:rsidR="005A2D04" w:rsidRPr="005A2D04" w:rsidRDefault="005A2D04" w:rsidP="005A2D04">
            <w:pPr>
              <w:spacing w:before="80" w:after="80" w:line="240" w:lineRule="auto"/>
              <w:jc w:val="center"/>
              <w:rPr>
                <w:rFonts w:cs="Arial"/>
                <w:color w:val="000000"/>
                <w:sz w:val="18"/>
                <w:szCs w:val="18"/>
              </w:rPr>
            </w:pPr>
          </w:p>
        </w:tc>
      </w:tr>
      <w:tr w:rsidR="005A2D04" w:rsidRPr="00DE5CDD" w14:paraId="60C5150D" w14:textId="77777777" w:rsidTr="76ABC984">
        <w:trPr>
          <w:cantSplit/>
          <w:trHeight w:val="454"/>
          <w:tblHeader/>
        </w:trPr>
        <w:tc>
          <w:tcPr>
            <w:tcW w:w="2709" w:type="dxa"/>
            <w:tcBorders>
              <w:top w:val="nil"/>
              <w:left w:val="single" w:sz="4" w:space="0" w:color="auto"/>
              <w:bottom w:val="single" w:sz="4" w:space="0" w:color="auto"/>
              <w:right w:val="single" w:sz="4" w:space="0" w:color="auto"/>
            </w:tcBorders>
            <w:vAlign w:val="center"/>
          </w:tcPr>
          <w:p w14:paraId="50FEB17C" w14:textId="77777777" w:rsidR="005A2D04" w:rsidRPr="0035514A" w:rsidRDefault="005A2D04" w:rsidP="005A2D04">
            <w:pPr>
              <w:spacing w:before="80" w:after="80" w:line="240" w:lineRule="auto"/>
              <w:rPr>
                <w:rFonts w:asciiTheme="minorHAnsi" w:hAnsiTheme="minorHAnsi" w:cstheme="minorHAnsi"/>
                <w:color w:val="000000"/>
                <w:sz w:val="18"/>
                <w:szCs w:val="18"/>
              </w:rPr>
            </w:pPr>
            <w:r w:rsidRPr="0035514A">
              <w:rPr>
                <w:rFonts w:asciiTheme="minorHAnsi" w:hAnsiTheme="minorHAnsi" w:cstheme="minorHAnsi"/>
                <w:b/>
                <w:bCs/>
                <w:color w:val="000000"/>
                <w:sz w:val="18"/>
                <w:szCs w:val="18"/>
              </w:rPr>
              <w:t>Subacute</w:t>
            </w:r>
          </w:p>
        </w:tc>
        <w:tc>
          <w:tcPr>
            <w:tcW w:w="1359" w:type="dxa"/>
            <w:tcBorders>
              <w:top w:val="nil"/>
              <w:left w:val="nil"/>
              <w:bottom w:val="single" w:sz="4" w:space="0" w:color="auto"/>
              <w:right w:val="single" w:sz="4" w:space="0" w:color="auto"/>
            </w:tcBorders>
            <w:shd w:val="clear" w:color="auto" w:fill="FFFFFF" w:themeFill="background2"/>
            <w:noWrap/>
            <w:vAlign w:val="center"/>
          </w:tcPr>
          <w:p w14:paraId="55EBCA7F" w14:textId="7D509EC6" w:rsidR="005A2D04" w:rsidRPr="005A2D04" w:rsidRDefault="004A1DC4" w:rsidP="005A2D04">
            <w:pPr>
              <w:spacing w:before="80" w:after="80" w:line="240" w:lineRule="auto"/>
              <w:jc w:val="center"/>
              <w:rPr>
                <w:szCs w:val="22"/>
              </w:rPr>
            </w:pPr>
            <w:r w:rsidRPr="76ABC984">
              <w:rPr>
                <w:rFonts w:cs="Arial"/>
                <w:color w:val="000000" w:themeColor="text1"/>
                <w:sz w:val="18"/>
                <w:szCs w:val="18"/>
              </w:rPr>
              <w:t>93.4</w:t>
            </w:r>
            <w:r w:rsidR="005A2D04" w:rsidRPr="76ABC984">
              <w:rPr>
                <w:rFonts w:cs="Arial"/>
                <w:color w:val="000000" w:themeColor="text1"/>
                <w:sz w:val="18"/>
                <w:szCs w:val="18"/>
              </w:rPr>
              <w:t>%</w:t>
            </w:r>
          </w:p>
        </w:tc>
        <w:tc>
          <w:tcPr>
            <w:tcW w:w="1356" w:type="dxa"/>
            <w:tcBorders>
              <w:top w:val="nil"/>
              <w:left w:val="nil"/>
              <w:bottom w:val="single" w:sz="4" w:space="0" w:color="auto"/>
              <w:right w:val="single" w:sz="4" w:space="0" w:color="auto"/>
            </w:tcBorders>
            <w:shd w:val="clear" w:color="auto" w:fill="FFFFFF" w:themeFill="background2"/>
            <w:noWrap/>
            <w:vAlign w:val="center"/>
          </w:tcPr>
          <w:p w14:paraId="51C44BEB" w14:textId="16CAD99B" w:rsidR="005A2D04" w:rsidRPr="005A2D04" w:rsidRDefault="00934153" w:rsidP="005A2D04">
            <w:pPr>
              <w:spacing w:before="80" w:after="80" w:line="240" w:lineRule="auto"/>
              <w:jc w:val="center"/>
              <w:rPr>
                <w:szCs w:val="22"/>
              </w:rPr>
            </w:pPr>
            <w:r w:rsidRPr="76ABC984">
              <w:rPr>
                <w:rFonts w:cs="Arial"/>
                <w:color w:val="000000" w:themeColor="text1"/>
                <w:sz w:val="18"/>
                <w:szCs w:val="18"/>
              </w:rPr>
              <w:t>93</w:t>
            </w:r>
            <w:r w:rsidR="005A2D04" w:rsidRPr="76ABC984">
              <w:rPr>
                <w:rFonts w:cs="Arial"/>
                <w:color w:val="000000" w:themeColor="text1"/>
                <w:sz w:val="18"/>
                <w:szCs w:val="18"/>
              </w:rPr>
              <w:t>.0%</w:t>
            </w:r>
          </w:p>
        </w:tc>
        <w:tc>
          <w:tcPr>
            <w:tcW w:w="1356" w:type="dxa"/>
            <w:tcBorders>
              <w:top w:val="nil"/>
              <w:left w:val="nil"/>
              <w:bottom w:val="single" w:sz="4" w:space="0" w:color="auto"/>
              <w:right w:val="single" w:sz="4" w:space="0" w:color="auto"/>
            </w:tcBorders>
            <w:shd w:val="clear" w:color="auto" w:fill="FFFFFF" w:themeFill="background2"/>
            <w:noWrap/>
            <w:vAlign w:val="center"/>
          </w:tcPr>
          <w:p w14:paraId="72A151C8" w14:textId="5CB9B55A" w:rsidR="005A2D04" w:rsidRPr="005A2D04" w:rsidRDefault="004A1DC4" w:rsidP="005A2D04">
            <w:pPr>
              <w:spacing w:before="80" w:after="80" w:line="240" w:lineRule="auto"/>
              <w:jc w:val="center"/>
              <w:rPr>
                <w:szCs w:val="22"/>
              </w:rPr>
            </w:pPr>
            <w:r w:rsidRPr="76ABC984">
              <w:rPr>
                <w:rFonts w:cs="Arial"/>
                <w:color w:val="000000" w:themeColor="text1"/>
                <w:sz w:val="18"/>
                <w:szCs w:val="18"/>
              </w:rPr>
              <w:t>83.3</w:t>
            </w:r>
            <w:r w:rsidR="005A2D04" w:rsidRPr="76ABC984">
              <w:rPr>
                <w:rFonts w:cs="Arial"/>
                <w:color w:val="000000" w:themeColor="text1"/>
                <w:sz w:val="18"/>
                <w:szCs w:val="18"/>
              </w:rPr>
              <w:t>%</w:t>
            </w:r>
          </w:p>
        </w:tc>
        <w:tc>
          <w:tcPr>
            <w:tcW w:w="1356" w:type="dxa"/>
            <w:tcBorders>
              <w:top w:val="nil"/>
              <w:left w:val="nil"/>
              <w:bottom w:val="single" w:sz="4" w:space="0" w:color="auto"/>
              <w:right w:val="single" w:sz="4" w:space="0" w:color="auto"/>
            </w:tcBorders>
            <w:shd w:val="clear" w:color="auto" w:fill="FFFFFF" w:themeFill="background2"/>
            <w:noWrap/>
            <w:vAlign w:val="center"/>
          </w:tcPr>
          <w:p w14:paraId="31CB5693" w14:textId="516DA2DA" w:rsidR="005A2D04" w:rsidRPr="005A2D04" w:rsidRDefault="00934153" w:rsidP="005A2D04">
            <w:pPr>
              <w:spacing w:before="80" w:after="80" w:line="240" w:lineRule="auto"/>
              <w:jc w:val="center"/>
              <w:rPr>
                <w:rFonts w:cs="Arial"/>
                <w:color w:val="000000" w:themeColor="text1"/>
                <w:sz w:val="18"/>
                <w:szCs w:val="18"/>
              </w:rPr>
            </w:pPr>
            <w:r w:rsidRPr="76ABC984">
              <w:rPr>
                <w:rFonts w:cs="Arial"/>
                <w:color w:val="000000" w:themeColor="text1"/>
                <w:sz w:val="18"/>
                <w:szCs w:val="18"/>
              </w:rPr>
              <w:t>81.6</w:t>
            </w:r>
            <w:r w:rsidR="005A2D04" w:rsidRPr="76ABC984">
              <w:rPr>
                <w:rFonts w:cs="Arial"/>
                <w:color w:val="000000" w:themeColor="text1"/>
                <w:sz w:val="18"/>
                <w:szCs w:val="18"/>
              </w:rPr>
              <w:t>%</w:t>
            </w:r>
          </w:p>
        </w:tc>
      </w:tr>
    </w:tbl>
    <w:p w14:paraId="03C570CA" w14:textId="355EC3BA" w:rsidR="00561E6C" w:rsidRPr="005A2D04" w:rsidRDefault="00561E6C" w:rsidP="6886BF09">
      <w:pPr>
        <w:spacing w:line="240" w:lineRule="auto"/>
        <w:ind w:left="357"/>
        <w:rPr>
          <w:rFonts w:asciiTheme="minorHAnsi" w:hAnsiTheme="minorHAnsi" w:cstheme="minorBidi"/>
          <w:color w:val="000000"/>
          <w:sz w:val="20"/>
          <w:szCs w:val="20"/>
        </w:rPr>
      </w:pPr>
      <w:r w:rsidRPr="005A2D04">
        <w:rPr>
          <w:rFonts w:asciiTheme="minorHAnsi" w:hAnsiTheme="minorHAnsi" w:cstheme="minorBidi"/>
          <w:color w:val="000000" w:themeColor="text1"/>
          <w:sz w:val="20"/>
          <w:szCs w:val="20"/>
        </w:rPr>
        <w:t>Note: Only the NHCDC activity is used in the non-admitted cost model.</w:t>
      </w:r>
    </w:p>
    <w:p w14:paraId="4884996C" w14:textId="77777777" w:rsidR="00561E6C" w:rsidRDefault="00561E6C" w:rsidP="00561E6C">
      <w:pPr>
        <w:spacing w:after="0" w:line="240" w:lineRule="auto"/>
        <w:rPr>
          <w:rFonts w:cstheme="minorHAnsi"/>
          <w:bCs/>
          <w:color w:val="000000"/>
          <w:sz w:val="20"/>
        </w:rPr>
      </w:pPr>
      <w:r>
        <w:rPr>
          <w:rFonts w:cstheme="minorHAnsi"/>
          <w:bCs/>
          <w:color w:val="000000"/>
          <w:sz w:val="20"/>
        </w:rPr>
        <w:br w:type="page"/>
      </w:r>
    </w:p>
    <w:p w14:paraId="21FEAC3D" w14:textId="77777777" w:rsidR="00561E6C" w:rsidRPr="008672C9" w:rsidRDefault="00561E6C" w:rsidP="00424C8B">
      <w:pPr>
        <w:pStyle w:val="AppendixH1"/>
      </w:pPr>
      <w:bookmarkStart w:id="422" w:name="_Toc467759605"/>
      <w:bookmarkStart w:id="423" w:name="_Ref468263716"/>
      <w:bookmarkStart w:id="424" w:name="_Toc499221021"/>
      <w:bookmarkStart w:id="425" w:name="_Toc499290981"/>
      <w:bookmarkStart w:id="426" w:name="_Toc26278359"/>
      <w:bookmarkStart w:id="427" w:name="_Toc26370537"/>
      <w:bookmarkStart w:id="428" w:name="_Toc65145972"/>
      <w:bookmarkStart w:id="429" w:name="_Toc98882321"/>
      <w:r w:rsidRPr="008672C9">
        <w:lastRenderedPageBreak/>
        <w:t>Appendix D: List of DRGs adopting the L1.5</w:t>
      </w:r>
      <w:r w:rsidR="006D3826" w:rsidRPr="008672C9">
        <w:t> </w:t>
      </w:r>
      <w:r w:rsidRPr="008672C9">
        <w:t>H1.5 methodology</w:t>
      </w:r>
      <w:bookmarkEnd w:id="422"/>
      <w:bookmarkEnd w:id="423"/>
      <w:bookmarkEnd w:id="424"/>
      <w:bookmarkEnd w:id="425"/>
      <w:bookmarkEnd w:id="426"/>
      <w:bookmarkEnd w:id="427"/>
      <w:bookmarkEnd w:id="428"/>
      <w:bookmarkEnd w:id="429"/>
    </w:p>
    <w:p w14:paraId="42225822" w14:textId="77777777" w:rsidR="00FF0D3D" w:rsidRPr="00F22739" w:rsidRDefault="00FF0D3D" w:rsidP="00836FC5">
      <w:pPr>
        <w:pStyle w:val="TableHeading"/>
      </w:pPr>
      <w:r>
        <w:t>T</w:t>
      </w:r>
      <w:r w:rsidR="00176BB4">
        <w:t xml:space="preserve">able </w:t>
      </w:r>
      <w:r w:rsidR="00105BEF">
        <w:t>3</w:t>
      </w:r>
      <w:r w:rsidR="00DE3F2F">
        <w:t>1</w:t>
      </w:r>
      <w:r>
        <w:t xml:space="preserve">: </w:t>
      </w:r>
      <w:r w:rsidRPr="00FF0D3D">
        <w:t>List of DRGs adopting the L1.5 H1.5 methodology</w:t>
      </w:r>
    </w:p>
    <w:tbl>
      <w:tblPr>
        <w:tblW w:w="8574" w:type="dxa"/>
        <w:tblLook w:val="04A0" w:firstRow="1" w:lastRow="0" w:firstColumn="1" w:lastColumn="0" w:noHBand="0" w:noVBand="1"/>
        <w:tblCaption w:val="List of DRG adopting the L1.5 H1.5 methodology"/>
        <w:tblDescription w:val="The table is a list of the 21 DRGs to be converted to L1.5H1.5&#10;&#10;The table consists of two column headings: column 1 is a list of Diagnosis Related Groups (DRGs) and column 2 provides a description of the Diagnosis Related Group (DRG). "/>
      </w:tblPr>
      <w:tblGrid>
        <w:gridCol w:w="1147"/>
        <w:gridCol w:w="7427"/>
      </w:tblGrid>
      <w:tr w:rsidR="00561E6C" w:rsidRPr="005F38AC" w14:paraId="4B6C01F3" w14:textId="77777777" w:rsidTr="00EF4493">
        <w:trPr>
          <w:trHeight w:val="315"/>
          <w:tblHeader/>
        </w:trPr>
        <w:tc>
          <w:tcPr>
            <w:tcW w:w="1147" w:type="dxa"/>
            <w:tcBorders>
              <w:top w:val="single" w:sz="8" w:space="0" w:color="auto"/>
              <w:left w:val="single" w:sz="8" w:space="0" w:color="auto"/>
              <w:bottom w:val="single" w:sz="4" w:space="0" w:color="auto"/>
              <w:right w:val="single" w:sz="8" w:space="0" w:color="auto"/>
            </w:tcBorders>
            <w:shd w:val="clear" w:color="000000" w:fill="288A32"/>
            <w:vAlign w:val="center"/>
            <w:hideMark/>
          </w:tcPr>
          <w:p w14:paraId="3A9BDE21" w14:textId="77777777" w:rsidR="00561E6C" w:rsidRPr="00EA1011" w:rsidRDefault="00561E6C" w:rsidP="00E050EA">
            <w:pPr>
              <w:spacing w:after="0" w:line="240" w:lineRule="auto"/>
              <w:rPr>
                <w:rFonts w:cs="Arial"/>
                <w:b/>
                <w:bCs/>
                <w:color w:val="FFFFFF"/>
                <w:sz w:val="20"/>
                <w:szCs w:val="20"/>
                <w:lang w:val="en-US" w:eastAsia="en-US"/>
              </w:rPr>
            </w:pPr>
            <w:r w:rsidRPr="00EA1011">
              <w:rPr>
                <w:rFonts w:cs="Arial"/>
                <w:b/>
                <w:bCs/>
                <w:color w:val="FFFFFF"/>
                <w:sz w:val="20"/>
                <w:szCs w:val="20"/>
                <w:lang w:eastAsia="en-US"/>
              </w:rPr>
              <w:t>DRG</w:t>
            </w:r>
          </w:p>
        </w:tc>
        <w:tc>
          <w:tcPr>
            <w:tcW w:w="7427" w:type="dxa"/>
            <w:tcBorders>
              <w:top w:val="single" w:sz="8" w:space="0" w:color="auto"/>
              <w:left w:val="nil"/>
              <w:bottom w:val="single" w:sz="4" w:space="0" w:color="auto"/>
              <w:right w:val="single" w:sz="8" w:space="0" w:color="auto"/>
            </w:tcBorders>
            <w:shd w:val="clear" w:color="000000" w:fill="288A32"/>
            <w:vAlign w:val="center"/>
            <w:hideMark/>
          </w:tcPr>
          <w:p w14:paraId="08A5604C" w14:textId="77777777" w:rsidR="00561E6C" w:rsidRPr="00EA1011" w:rsidRDefault="00561E6C" w:rsidP="00E050EA">
            <w:pPr>
              <w:spacing w:after="0" w:line="240" w:lineRule="auto"/>
              <w:rPr>
                <w:rFonts w:cs="Arial"/>
                <w:b/>
                <w:bCs/>
                <w:color w:val="FFFFFF"/>
                <w:sz w:val="20"/>
                <w:szCs w:val="20"/>
                <w:lang w:val="en-US" w:eastAsia="en-US"/>
              </w:rPr>
            </w:pPr>
            <w:r w:rsidRPr="00EA1011">
              <w:rPr>
                <w:rFonts w:cs="Arial"/>
                <w:b/>
                <w:bCs/>
                <w:color w:val="FFFFFF"/>
                <w:sz w:val="20"/>
                <w:szCs w:val="20"/>
                <w:lang w:eastAsia="en-US"/>
              </w:rPr>
              <w:t xml:space="preserve">DRG </w:t>
            </w:r>
            <w:r>
              <w:rPr>
                <w:rFonts w:cs="Arial"/>
                <w:b/>
                <w:bCs/>
                <w:color w:val="FFFFFF"/>
                <w:sz w:val="20"/>
                <w:szCs w:val="20"/>
                <w:lang w:eastAsia="en-US"/>
              </w:rPr>
              <w:t>d</w:t>
            </w:r>
            <w:r w:rsidRPr="00EA1011">
              <w:rPr>
                <w:rFonts w:cs="Arial"/>
                <w:b/>
                <w:bCs/>
                <w:color w:val="FFFFFF"/>
                <w:sz w:val="20"/>
                <w:szCs w:val="20"/>
                <w:lang w:eastAsia="en-US"/>
              </w:rPr>
              <w:t>escription</w:t>
            </w:r>
          </w:p>
        </w:tc>
      </w:tr>
      <w:tr w:rsidR="00561E6C" w:rsidRPr="005F38AC" w14:paraId="35ADAC6F" w14:textId="77777777" w:rsidTr="00EF4493">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3A5EA"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801A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0C54C"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GIs unrelated to principal diagnosis, major complexity</w:t>
            </w:r>
          </w:p>
        </w:tc>
      </w:tr>
      <w:tr w:rsidR="00561E6C" w:rsidRPr="005F38AC" w14:paraId="6176C6F5" w14:textId="77777777" w:rsidTr="00EF4493">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CDE2A"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B83A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3D032"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Acute paraplegia and quadriplegia and spinal cord conditions, major complexity</w:t>
            </w:r>
          </w:p>
        </w:tc>
      </w:tr>
      <w:tr w:rsidR="00561E6C" w:rsidRPr="005F38AC" w14:paraId="3C8FDA7F" w14:textId="77777777" w:rsidTr="00EF4493">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B9912"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E01A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C1FE1"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Major chest interventions, major complexity</w:t>
            </w:r>
          </w:p>
        </w:tc>
      </w:tr>
      <w:tr w:rsidR="00561E6C" w:rsidRPr="005F38AC" w14:paraId="0D98C283" w14:textId="77777777" w:rsidTr="00EF4493">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E1938"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I01A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A6671"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Bilateral and multiple major joint interventions of lower limb, major complexity</w:t>
            </w:r>
          </w:p>
        </w:tc>
      </w:tr>
      <w:tr w:rsidR="00561E6C" w:rsidRPr="005F38AC" w14:paraId="4EE256E6" w14:textId="77777777" w:rsidTr="00EF4493">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ADDAD"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I02A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717A0"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Microvascular tissue transfers or skin grafts, excluding hand, major complexity</w:t>
            </w:r>
          </w:p>
        </w:tc>
      </w:tr>
      <w:tr w:rsidR="00561E6C" w:rsidRPr="005F38AC" w14:paraId="3CC11A80" w14:textId="77777777" w:rsidTr="00EF4493">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CA678"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P06A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B3F88"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Neonate, AdmWt &gt;= 2500g with significant GI/vent &gt;= 96 hrs, major complexity</w:t>
            </w:r>
          </w:p>
        </w:tc>
      </w:tr>
      <w:tr w:rsidR="00561E6C" w:rsidRPr="005F38AC" w14:paraId="229960B2" w14:textId="77777777" w:rsidTr="00EF4493">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26F06"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P06B</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A20CE"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Neonate, AdmWt &gt;= 2500g with significant GI/vent &gt;= 96 hrs, minor complexity</w:t>
            </w:r>
          </w:p>
        </w:tc>
      </w:tr>
      <w:tr w:rsidR="00561E6C" w:rsidRPr="005F38AC" w14:paraId="63EFA4AC" w14:textId="77777777" w:rsidTr="00EF4493">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F48AE"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P67A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42801"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Neonate, AdmWt &gt;= 2500g without significant GI/vent &gt;= 96 hrs, &lt; 37 Comp Wks gest, Ext. complexity</w:t>
            </w:r>
          </w:p>
        </w:tc>
      </w:tr>
      <w:tr w:rsidR="00561E6C" w:rsidRPr="005F38AC" w14:paraId="046691BF" w14:textId="77777777" w:rsidTr="00EF4493">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D536A"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R03A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61027"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Lymphoma and leukaemia with other GIs, major complexity</w:t>
            </w:r>
          </w:p>
        </w:tc>
      </w:tr>
      <w:tr w:rsidR="00561E6C" w:rsidRPr="005F38AC" w14:paraId="64458A1C" w14:textId="77777777" w:rsidTr="00EF4493">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1FD50"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R05A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FD75A"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Allogeneic bone marrow transplant, age &lt;= 16 years or major complexity</w:t>
            </w:r>
          </w:p>
        </w:tc>
      </w:tr>
      <w:tr w:rsidR="00561E6C" w:rsidRPr="005F38AC" w14:paraId="3433A7AD" w14:textId="77777777" w:rsidTr="00EF4493">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03C19"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W04A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E6274"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Multiple significant trauma with other GIs, major complexity</w:t>
            </w:r>
          </w:p>
        </w:tc>
      </w:tr>
      <w:tr w:rsidR="00561E6C" w:rsidRPr="005F38AC" w14:paraId="07BD2062" w14:textId="77777777" w:rsidTr="00EF4493">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CB45FC8"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X02A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6ECB4904"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Microvascular tissue transfer and skin grafts for injuries to hand, major complexity</w:t>
            </w:r>
          </w:p>
        </w:tc>
      </w:tr>
      <w:tr w:rsidR="00561E6C" w:rsidRPr="005F38AC" w14:paraId="09B21D7B" w14:textId="77777777" w:rsidTr="00EF4493">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D9001E0"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X07A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18A4EA02"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Skin grafts for injuries excluding hand, major complexity</w:t>
            </w:r>
          </w:p>
        </w:tc>
      </w:tr>
    </w:tbl>
    <w:p w14:paraId="1121A77E" w14:textId="77777777" w:rsidR="00561E6C" w:rsidRPr="00E33EAE" w:rsidRDefault="00561E6C" w:rsidP="00561E6C">
      <w:pPr>
        <w:spacing w:line="240" w:lineRule="auto"/>
        <w:rPr>
          <w:rFonts w:cs="Arial"/>
          <w:b/>
          <w:color w:val="FFFFFF" w:themeColor="background2"/>
          <w:sz w:val="32"/>
        </w:rPr>
        <w:sectPr w:rsidR="00561E6C" w:rsidRPr="00E33EAE" w:rsidSect="00E050EA">
          <w:footerReference w:type="default" r:id="rId29"/>
          <w:pgSz w:w="11906" w:h="16838"/>
          <w:pgMar w:top="1843" w:right="1440" w:bottom="1440" w:left="851" w:header="426" w:footer="709" w:gutter="0"/>
          <w:cols w:space="708"/>
          <w:docGrid w:linePitch="360"/>
        </w:sectPr>
      </w:pPr>
    </w:p>
    <w:p w14:paraId="53233BE7" w14:textId="00556B62" w:rsidR="00561E6C" w:rsidRPr="00E11117" w:rsidRDefault="00561E6C" w:rsidP="00424C8B">
      <w:pPr>
        <w:pStyle w:val="AppendixH1"/>
      </w:pPr>
      <w:bookmarkStart w:id="430" w:name="_Toc467745646"/>
      <w:bookmarkStart w:id="431" w:name="_Toc467759606"/>
      <w:bookmarkStart w:id="432" w:name="_Ref468442265"/>
      <w:bookmarkStart w:id="433" w:name="_Ref468442279"/>
      <w:bookmarkStart w:id="434" w:name="_Toc499221022"/>
      <w:bookmarkStart w:id="435" w:name="_Toc499290982"/>
      <w:bookmarkStart w:id="436" w:name="_Toc26278360"/>
      <w:bookmarkStart w:id="437" w:name="_Toc26370538"/>
      <w:bookmarkStart w:id="438" w:name="_Toc65145973"/>
      <w:bookmarkStart w:id="439" w:name="_Toc98882322"/>
      <w:bookmarkStart w:id="440" w:name="_Toc465170060"/>
      <w:bookmarkStart w:id="441" w:name="_Toc466470558"/>
      <w:bookmarkStart w:id="442" w:name="_Toc466535645"/>
      <w:bookmarkStart w:id="443" w:name="_Toc466535858"/>
      <w:bookmarkStart w:id="444" w:name="_Toc466553983"/>
      <w:bookmarkStart w:id="445" w:name="_Toc466556137"/>
      <w:r w:rsidRPr="008672C9">
        <w:lastRenderedPageBreak/>
        <w:t xml:space="preserve">Appendix E: </w:t>
      </w:r>
      <w:r w:rsidR="00452416" w:rsidRPr="008672C9">
        <w:t>NEC2</w:t>
      </w:r>
      <w:r w:rsidR="00452416">
        <w:t>2</w:t>
      </w:r>
      <w:r w:rsidR="00452416" w:rsidRPr="008672C9">
        <w:t xml:space="preserve"> </w:t>
      </w:r>
      <w:r w:rsidRPr="008672C9">
        <w:t>data preparation</w:t>
      </w:r>
      <w:bookmarkEnd w:id="430"/>
      <w:bookmarkEnd w:id="431"/>
      <w:bookmarkEnd w:id="432"/>
      <w:bookmarkEnd w:id="433"/>
      <w:bookmarkEnd w:id="434"/>
      <w:bookmarkEnd w:id="435"/>
      <w:bookmarkEnd w:id="436"/>
      <w:bookmarkEnd w:id="437"/>
      <w:bookmarkEnd w:id="438"/>
      <w:bookmarkEnd w:id="439"/>
    </w:p>
    <w:bookmarkEnd w:id="440"/>
    <w:bookmarkEnd w:id="441"/>
    <w:bookmarkEnd w:id="442"/>
    <w:bookmarkEnd w:id="443"/>
    <w:bookmarkEnd w:id="444"/>
    <w:bookmarkEnd w:id="445"/>
    <w:p w14:paraId="09BDF06D" w14:textId="4495D50B" w:rsidR="00550102" w:rsidRDefault="0B1EEC9D" w:rsidP="00836FC5">
      <w:pPr>
        <w:pStyle w:val="TableHeading"/>
      </w:pPr>
      <w:r w:rsidRPr="00B45243">
        <w:t xml:space="preserve">Table </w:t>
      </w:r>
      <w:r w:rsidR="00105BEF" w:rsidRPr="00B45243">
        <w:t>3</w:t>
      </w:r>
      <w:r w:rsidR="00DE3F2F">
        <w:t>2</w:t>
      </w:r>
      <w:r w:rsidR="53DDC79B" w:rsidRPr="00B45243">
        <w:t>:</w:t>
      </w:r>
      <w:r w:rsidR="53DDC79B">
        <w:t xml:space="preserve"> National Efficient Cost </w:t>
      </w:r>
      <w:r w:rsidR="00452416">
        <w:t>2022</w:t>
      </w:r>
      <w:r w:rsidR="00836FC5">
        <w:t>–</w:t>
      </w:r>
      <w:r w:rsidR="00452416">
        <w:t xml:space="preserve">23 </w:t>
      </w:r>
      <w:r>
        <w:t>data preparation</w:t>
      </w:r>
    </w:p>
    <w:p w14:paraId="56BD4177" w14:textId="77777777" w:rsidR="009E2CBD" w:rsidRDefault="009E2CBD" w:rsidP="008B0FE9">
      <w:pPr>
        <w:spacing w:before="0" w:after="0" w:line="240" w:lineRule="auto"/>
      </w:pPr>
      <w:r w:rsidRPr="009B1F94">
        <w:rPr>
          <w:noProof/>
          <w:color w:val="2B579A"/>
          <w:highlight w:val="yellow"/>
          <w:shd w:val="clear" w:color="auto" w:fill="E6E6E6"/>
        </w:rPr>
        <w:drawing>
          <wp:anchor distT="0" distB="0" distL="114300" distR="114300" simplePos="0" relativeHeight="251658243" behindDoc="1" locked="1" layoutInCell="1" allowOverlap="1" wp14:anchorId="4DD69F3D" wp14:editId="3DA7B5AF">
            <wp:simplePos x="0" y="0"/>
            <wp:positionH relativeFrom="margin">
              <wp:posOffset>95885</wp:posOffset>
            </wp:positionH>
            <wp:positionV relativeFrom="paragraph">
              <wp:posOffset>266065</wp:posOffset>
            </wp:positionV>
            <wp:extent cx="8748000" cy="4582800"/>
            <wp:effectExtent l="0" t="0" r="0" b="8255"/>
            <wp:wrapTight wrapText="bothSides">
              <wp:wrapPolygon edited="0">
                <wp:start x="0" y="0"/>
                <wp:lineTo x="0" y="21549"/>
                <wp:lineTo x="21544" y="21549"/>
                <wp:lineTo x="215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bwMode="auto">
                    <a:xfrm>
                      <a:off x="0" y="0"/>
                      <a:ext cx="8748000" cy="45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55117" w14:textId="77777777" w:rsidR="009E2CBD" w:rsidRPr="009E2CBD" w:rsidRDefault="009E2CBD" w:rsidP="008B0FE9">
      <w:pPr>
        <w:spacing w:before="0" w:after="0" w:line="240" w:lineRule="auto"/>
        <w:rPr>
          <w:sz w:val="16"/>
          <w:szCs w:val="16"/>
        </w:rPr>
        <w:sectPr w:rsidR="009E2CBD" w:rsidRPr="009E2CBD" w:rsidSect="001D2EF6">
          <w:headerReference w:type="default" r:id="rId31"/>
          <w:footerReference w:type="default" r:id="rId32"/>
          <w:pgSz w:w="16838" w:h="11906" w:orient="landscape" w:code="9"/>
          <w:pgMar w:top="1021" w:right="2041" w:bottom="1440" w:left="1021" w:header="680" w:footer="680" w:gutter="0"/>
          <w:cols w:space="708"/>
          <w:docGrid w:linePitch="360"/>
        </w:sectPr>
      </w:pPr>
    </w:p>
    <w:p w14:paraId="5684B78C" w14:textId="77777777" w:rsidR="0059283C" w:rsidRPr="00350852" w:rsidRDefault="00562759" w:rsidP="00350852">
      <w:r>
        <w:rPr>
          <w:noProof/>
          <w:color w:val="2B579A"/>
          <w:shd w:val="clear" w:color="auto" w:fill="E6E6E6"/>
        </w:rPr>
        <w:lastRenderedPageBreak/>
        <w:drawing>
          <wp:anchor distT="0" distB="0" distL="114300" distR="114300" simplePos="0" relativeHeight="251658242" behindDoc="1" locked="1" layoutInCell="1" allowOverlap="1" wp14:anchorId="65F1E233" wp14:editId="0B7FA063">
            <wp:simplePos x="0" y="0"/>
            <wp:positionH relativeFrom="page">
              <wp:posOffset>0</wp:posOffset>
            </wp:positionH>
            <wp:positionV relativeFrom="page">
              <wp:posOffset>0</wp:posOffset>
            </wp:positionV>
            <wp:extent cx="7592400" cy="10738800"/>
            <wp:effectExtent l="0" t="0" r="8890" b="5715"/>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98702F">
        <w:rPr>
          <w:noProof/>
          <w:color w:val="2B579A"/>
          <w:shd w:val="clear" w:color="auto" w:fill="E6E6E6"/>
        </w:rPr>
        <mc:AlternateContent>
          <mc:Choice Requires="wps">
            <w:drawing>
              <wp:anchor distT="0" distB="0" distL="114300" distR="114300" simplePos="0" relativeHeight="251658240" behindDoc="0" locked="0" layoutInCell="1" allowOverlap="1" wp14:anchorId="3A38B1FC" wp14:editId="2C10D6FB">
                <wp:simplePos x="0" y="0"/>
                <wp:positionH relativeFrom="column">
                  <wp:align>left</wp:align>
                </wp:positionH>
                <wp:positionV relativeFrom="margin">
                  <wp:align>bottom</wp:align>
                </wp:positionV>
                <wp:extent cx="1943280" cy="1257480"/>
                <wp:effectExtent l="0" t="0" r="12700" b="12700"/>
                <wp:wrapSquare wrapText="bothSides"/>
                <wp:docPr id="3" name="Text Box 3"/>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9AB984" w14:textId="77777777" w:rsidR="0087678E" w:rsidRPr="00562759" w:rsidRDefault="0087678E" w:rsidP="00562759">
                            <w:pPr>
                              <w:pStyle w:val="Address"/>
                            </w:pPr>
                            <w:r w:rsidRPr="00562759">
                              <w:t>Independent Hospital Pricing Authority</w:t>
                            </w:r>
                          </w:p>
                          <w:p w14:paraId="79CBEDCB" w14:textId="77777777" w:rsidR="0087678E" w:rsidRPr="0098702F" w:rsidRDefault="0087678E" w:rsidP="00562759">
                            <w:pPr>
                              <w:pStyle w:val="Address"/>
                            </w:pPr>
                            <w:r w:rsidRPr="0098702F">
                              <w:t> </w:t>
                            </w:r>
                          </w:p>
                          <w:p w14:paraId="1F6E73DE" w14:textId="1D2468AF" w:rsidR="0087678E" w:rsidRPr="00562759" w:rsidRDefault="0087678E" w:rsidP="00562759">
                            <w:pPr>
                              <w:pStyle w:val="Address"/>
                              <w:rPr>
                                <w:color w:val="92D050"/>
                              </w:rPr>
                            </w:pPr>
                            <w:r>
                              <w:rPr>
                                <w:color w:val="92D050"/>
                              </w:rPr>
                              <w:t xml:space="preserve">Eora Nation, </w:t>
                            </w:r>
                            <w:r w:rsidRPr="00562759">
                              <w:rPr>
                                <w:color w:val="92D050"/>
                              </w:rPr>
                              <w:t xml:space="preserve">Level </w:t>
                            </w:r>
                            <w:r>
                              <w:rPr>
                                <w:color w:val="92D050"/>
                              </w:rPr>
                              <w:t>12</w:t>
                            </w:r>
                            <w:r w:rsidRPr="00562759">
                              <w:rPr>
                                <w:color w:val="92D050"/>
                              </w:rPr>
                              <w:t>, 1 Oxford Street</w:t>
                            </w:r>
                          </w:p>
                          <w:p w14:paraId="6B5FCD82" w14:textId="77777777" w:rsidR="0087678E" w:rsidRPr="00562759" w:rsidRDefault="0087678E" w:rsidP="00562759">
                            <w:pPr>
                              <w:pStyle w:val="Address"/>
                              <w:rPr>
                                <w:color w:val="92D050"/>
                              </w:rPr>
                            </w:pPr>
                            <w:r w:rsidRPr="00562759">
                              <w:rPr>
                                <w:color w:val="92D050"/>
                              </w:rPr>
                              <w:t>Sydney NSW 2000</w:t>
                            </w:r>
                          </w:p>
                          <w:p w14:paraId="555BE777" w14:textId="77777777" w:rsidR="0087678E" w:rsidRPr="00562759" w:rsidRDefault="0087678E" w:rsidP="00562759">
                            <w:pPr>
                              <w:pStyle w:val="Address"/>
                            </w:pPr>
                          </w:p>
                          <w:p w14:paraId="41CBA828" w14:textId="77777777" w:rsidR="0087678E" w:rsidRPr="00562759" w:rsidRDefault="0087678E" w:rsidP="00562759">
                            <w:pPr>
                              <w:pStyle w:val="Address"/>
                              <w:rPr>
                                <w:color w:val="7EC352" w:themeColor="accent3"/>
                              </w:rPr>
                            </w:pPr>
                            <w:r w:rsidRPr="00562759">
                              <w:t xml:space="preserve">Phone </w:t>
                            </w:r>
                            <w:r w:rsidRPr="00562759">
                              <w:rPr>
                                <w:color w:val="7EC352" w:themeColor="accent3"/>
                              </w:rPr>
                              <w:t>02 8215 1100</w:t>
                            </w:r>
                          </w:p>
                          <w:p w14:paraId="3CFEDDE6" w14:textId="77777777" w:rsidR="0087678E" w:rsidRPr="00562759" w:rsidRDefault="0087678E" w:rsidP="00562759">
                            <w:pPr>
                              <w:pStyle w:val="Address"/>
                              <w:rPr>
                                <w:color w:val="7EC352" w:themeColor="accent3"/>
                              </w:rPr>
                            </w:pPr>
                            <w:r w:rsidRPr="00562759">
                              <w:t xml:space="preserve">Email </w:t>
                            </w:r>
                            <w:r w:rsidRPr="00562759">
                              <w:rPr>
                                <w:color w:val="7EC352" w:themeColor="accent3"/>
                              </w:rPr>
                              <w:t>enquiries.ihpa@ihpa.gov.au</w:t>
                            </w:r>
                          </w:p>
                          <w:p w14:paraId="18939274" w14:textId="77777777" w:rsidR="0087678E" w:rsidRPr="00562759" w:rsidRDefault="0087678E" w:rsidP="00562759">
                            <w:pPr>
                              <w:pStyle w:val="Address"/>
                              <w:rPr>
                                <w:color w:val="7EC352" w:themeColor="accent3"/>
                              </w:rPr>
                            </w:pPr>
                            <w:r w:rsidRPr="00562759">
                              <w:t xml:space="preserve">Twitter </w:t>
                            </w:r>
                            <w:r w:rsidRPr="00562759">
                              <w:rPr>
                                <w:color w:val="7EC352" w:themeColor="accent3"/>
                              </w:rPr>
                              <w:t>@IHPAnews</w:t>
                            </w:r>
                          </w:p>
                          <w:p w14:paraId="70663412" w14:textId="77777777" w:rsidR="0087678E" w:rsidRPr="00562759" w:rsidRDefault="0087678E" w:rsidP="00562759">
                            <w:pPr>
                              <w:pStyle w:val="Address"/>
                            </w:pPr>
                          </w:p>
                          <w:p w14:paraId="1BE87EC4" w14:textId="77777777" w:rsidR="0087678E" w:rsidRPr="00562759" w:rsidRDefault="0087678E" w:rsidP="00562759">
                            <w:pPr>
                              <w:pStyle w:val="Address"/>
                            </w:pPr>
                            <w:r w:rsidRPr="00562759">
                              <w:t>www.ihpa.gov.au</w:t>
                            </w:r>
                          </w:p>
                          <w:p w14:paraId="4153F228" w14:textId="77777777" w:rsidR="0087678E" w:rsidRPr="0098702F" w:rsidRDefault="0087678E" w:rsidP="0056275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8B1FC" id="Text Box 3" o:spid="_x0000_s1134" type="#_x0000_t202" style="position:absolute;margin-left:0;margin-top:0;width:153pt;height:99pt;z-index:251658240;visibility:visible;mso-wrap-style:square;mso-width-percent:0;mso-height-percent:0;mso-wrap-distance-left:9pt;mso-wrap-distance-top:0;mso-wrap-distance-right:9pt;mso-wrap-distance-bottom:0;mso-position-horizontal:lef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" filled="f" stroked="f">
                <v:textbox inset="0,0,0,0">
                  <w:txbxContent>
                    <w:p w14:paraId="7B9AB984" w14:textId="77777777" w:rsidR="0087678E" w:rsidRPr="00562759" w:rsidRDefault="0087678E" w:rsidP="00562759">
                      <w:pPr>
                        <w:pStyle w:val="Address"/>
                      </w:pPr>
                      <w:r w:rsidRPr="00562759">
                        <w:t>Independent Hospital Pricing Authority</w:t>
                      </w:r>
                    </w:p>
                    <w:p w14:paraId="79CBEDCB" w14:textId="77777777" w:rsidR="0087678E" w:rsidRPr="0098702F" w:rsidRDefault="0087678E" w:rsidP="00562759">
                      <w:pPr>
                        <w:pStyle w:val="Address"/>
                      </w:pPr>
                      <w:r w:rsidRPr="0098702F">
                        <w:t> </w:t>
                      </w:r>
                    </w:p>
                    <w:p w14:paraId="1F6E73DE" w14:textId="1D2468AF" w:rsidR="0087678E" w:rsidRPr="00562759" w:rsidRDefault="0087678E" w:rsidP="00562759">
                      <w:pPr>
                        <w:pStyle w:val="Address"/>
                        <w:rPr>
                          <w:color w:val="92D050"/>
                        </w:rPr>
                      </w:pPr>
                      <w:r>
                        <w:rPr>
                          <w:color w:val="92D050"/>
                        </w:rPr>
                        <w:t xml:space="preserve">Eora Nation, </w:t>
                      </w:r>
                      <w:r w:rsidRPr="00562759">
                        <w:rPr>
                          <w:color w:val="92D050"/>
                        </w:rPr>
                        <w:t xml:space="preserve">Level </w:t>
                      </w:r>
                      <w:r>
                        <w:rPr>
                          <w:color w:val="92D050"/>
                        </w:rPr>
                        <w:t>12</w:t>
                      </w:r>
                      <w:r w:rsidRPr="00562759">
                        <w:rPr>
                          <w:color w:val="92D050"/>
                        </w:rPr>
                        <w:t>, 1 Oxford Street</w:t>
                      </w:r>
                    </w:p>
                    <w:p w14:paraId="6B5FCD82" w14:textId="77777777" w:rsidR="0087678E" w:rsidRPr="00562759" w:rsidRDefault="0087678E" w:rsidP="00562759">
                      <w:pPr>
                        <w:pStyle w:val="Address"/>
                        <w:rPr>
                          <w:color w:val="92D050"/>
                        </w:rPr>
                      </w:pPr>
                      <w:r w:rsidRPr="00562759">
                        <w:rPr>
                          <w:color w:val="92D050"/>
                        </w:rPr>
                        <w:t>Sydney NSW 2000</w:t>
                      </w:r>
                    </w:p>
                    <w:p w14:paraId="555BE777" w14:textId="77777777" w:rsidR="0087678E" w:rsidRPr="00562759" w:rsidRDefault="0087678E" w:rsidP="00562759">
                      <w:pPr>
                        <w:pStyle w:val="Address"/>
                      </w:pPr>
                    </w:p>
                    <w:p w14:paraId="41CBA828" w14:textId="77777777" w:rsidR="0087678E" w:rsidRPr="00562759" w:rsidRDefault="0087678E" w:rsidP="00562759">
                      <w:pPr>
                        <w:pStyle w:val="Address"/>
                        <w:rPr>
                          <w:color w:val="7EC352" w:themeColor="accent3"/>
                        </w:rPr>
                      </w:pPr>
                      <w:r w:rsidRPr="00562759">
                        <w:t xml:space="preserve">Phone </w:t>
                      </w:r>
                      <w:r w:rsidRPr="00562759">
                        <w:rPr>
                          <w:color w:val="7EC352" w:themeColor="accent3"/>
                        </w:rPr>
                        <w:t>02 8215 1100</w:t>
                      </w:r>
                    </w:p>
                    <w:p w14:paraId="3CFEDDE6" w14:textId="77777777" w:rsidR="0087678E" w:rsidRPr="00562759" w:rsidRDefault="0087678E" w:rsidP="00562759">
                      <w:pPr>
                        <w:pStyle w:val="Address"/>
                        <w:rPr>
                          <w:color w:val="7EC352" w:themeColor="accent3"/>
                        </w:rPr>
                      </w:pPr>
                      <w:r w:rsidRPr="00562759">
                        <w:t xml:space="preserve">Email </w:t>
                      </w:r>
                      <w:r w:rsidRPr="00562759">
                        <w:rPr>
                          <w:color w:val="7EC352" w:themeColor="accent3"/>
                        </w:rPr>
                        <w:t>enquiries.ihpa@ihpa.gov.au</w:t>
                      </w:r>
                    </w:p>
                    <w:p w14:paraId="18939274" w14:textId="77777777" w:rsidR="0087678E" w:rsidRPr="00562759" w:rsidRDefault="0087678E" w:rsidP="00562759">
                      <w:pPr>
                        <w:pStyle w:val="Address"/>
                        <w:rPr>
                          <w:color w:val="7EC352" w:themeColor="accent3"/>
                        </w:rPr>
                      </w:pPr>
                      <w:r w:rsidRPr="00562759">
                        <w:t xml:space="preserve">Twitter </w:t>
                      </w:r>
                      <w:r w:rsidRPr="00562759">
                        <w:rPr>
                          <w:color w:val="7EC352" w:themeColor="accent3"/>
                        </w:rPr>
                        <w:t>@IHPAnews</w:t>
                      </w:r>
                    </w:p>
                    <w:p w14:paraId="70663412" w14:textId="77777777" w:rsidR="0087678E" w:rsidRPr="00562759" w:rsidRDefault="0087678E" w:rsidP="00562759">
                      <w:pPr>
                        <w:pStyle w:val="Address"/>
                      </w:pPr>
                    </w:p>
                    <w:p w14:paraId="1BE87EC4" w14:textId="77777777" w:rsidR="0087678E" w:rsidRPr="00562759" w:rsidRDefault="0087678E" w:rsidP="00562759">
                      <w:pPr>
                        <w:pStyle w:val="Address"/>
                      </w:pPr>
                      <w:r w:rsidRPr="00562759">
                        <w:t>www.ihpa.gov.au</w:t>
                      </w:r>
                    </w:p>
                    <w:p w14:paraId="4153F228" w14:textId="77777777" w:rsidR="0087678E" w:rsidRPr="0098702F" w:rsidRDefault="0087678E" w:rsidP="00562759">
                      <w:pPr>
                        <w:pStyle w:val="Address"/>
                      </w:pPr>
                    </w:p>
                  </w:txbxContent>
                </v:textbox>
                <w10:wrap type="square" anchory="margin"/>
              </v:shape>
            </w:pict>
          </mc:Fallback>
        </mc:AlternateContent>
      </w:r>
    </w:p>
    <w:sectPr w:rsidR="0059283C" w:rsidRPr="00350852" w:rsidSect="008C2111">
      <w:footerReference w:type="default" r:id="rId34"/>
      <w:pgSz w:w="11906" w:h="16838" w:code="9"/>
      <w:pgMar w:top="2041"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97393" w14:textId="77777777" w:rsidR="00D1085F" w:rsidRDefault="00D1085F">
      <w:r>
        <w:separator/>
      </w:r>
    </w:p>
  </w:endnote>
  <w:endnote w:type="continuationSeparator" w:id="0">
    <w:p w14:paraId="31A37800" w14:textId="77777777" w:rsidR="00D1085F" w:rsidRDefault="00D1085F">
      <w:r>
        <w:continuationSeparator/>
      </w:r>
    </w:p>
  </w:endnote>
  <w:endnote w:type="continuationNotice" w:id="1">
    <w:p w14:paraId="05AEF16C" w14:textId="77777777" w:rsidR="00D1085F" w:rsidRDefault="00D1085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550"/>
      <w:gridCol w:w="2550"/>
      <w:gridCol w:w="2550"/>
    </w:tblGrid>
    <w:tr w:rsidR="0087678E" w14:paraId="542AC53D" w14:textId="77777777" w:rsidTr="00EF4493">
      <w:tc>
        <w:tcPr>
          <w:tcW w:w="2550" w:type="dxa"/>
        </w:tcPr>
        <w:p w14:paraId="5E7B24DA" w14:textId="22ED4352" w:rsidR="0087678E" w:rsidRDefault="0087678E" w:rsidP="00147EF1">
          <w:pPr>
            <w:pStyle w:val="Header"/>
            <w:ind w:left="-115"/>
            <w:rPr>
              <w:szCs w:val="16"/>
            </w:rPr>
          </w:pPr>
        </w:p>
      </w:tc>
      <w:tc>
        <w:tcPr>
          <w:tcW w:w="2550" w:type="dxa"/>
        </w:tcPr>
        <w:p w14:paraId="620B53A9" w14:textId="2335A9AA" w:rsidR="0087678E" w:rsidRDefault="0087678E" w:rsidP="00147EF1">
          <w:pPr>
            <w:pStyle w:val="Header"/>
            <w:jc w:val="center"/>
            <w:rPr>
              <w:szCs w:val="16"/>
            </w:rPr>
          </w:pPr>
        </w:p>
      </w:tc>
      <w:tc>
        <w:tcPr>
          <w:tcW w:w="2550" w:type="dxa"/>
        </w:tcPr>
        <w:p w14:paraId="16BC23DA" w14:textId="04E14997" w:rsidR="0087678E" w:rsidRDefault="0087678E" w:rsidP="00147EF1">
          <w:pPr>
            <w:pStyle w:val="Header"/>
            <w:ind w:right="-115"/>
            <w:jc w:val="right"/>
            <w:rPr>
              <w:szCs w:val="16"/>
            </w:rPr>
          </w:pPr>
        </w:p>
      </w:tc>
    </w:tr>
  </w:tbl>
  <w:p w14:paraId="1AB48FAA" w14:textId="4F7B9A3F" w:rsidR="0087678E" w:rsidRDefault="0087678E" w:rsidP="00006BAE">
    <w:pPr>
      <w:pStyle w:val="Footer"/>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45"/>
      <w:gridCol w:w="3145"/>
      <w:gridCol w:w="3145"/>
    </w:tblGrid>
    <w:tr w:rsidR="0087678E" w14:paraId="38412D2A" w14:textId="77777777" w:rsidTr="00384218">
      <w:tc>
        <w:tcPr>
          <w:tcW w:w="3145" w:type="dxa"/>
        </w:tcPr>
        <w:p w14:paraId="41E3EA37" w14:textId="73593A16" w:rsidR="0087678E" w:rsidRDefault="0087678E" w:rsidP="00384218">
          <w:pPr>
            <w:pStyle w:val="Header"/>
            <w:ind w:left="-115"/>
            <w:rPr>
              <w:szCs w:val="16"/>
            </w:rPr>
          </w:pPr>
        </w:p>
      </w:tc>
      <w:tc>
        <w:tcPr>
          <w:tcW w:w="3145" w:type="dxa"/>
        </w:tcPr>
        <w:p w14:paraId="0B5B3BE2" w14:textId="1072C228" w:rsidR="0087678E" w:rsidRDefault="0087678E" w:rsidP="00384218">
          <w:pPr>
            <w:pStyle w:val="Header"/>
            <w:jc w:val="center"/>
            <w:rPr>
              <w:szCs w:val="16"/>
            </w:rPr>
          </w:pPr>
        </w:p>
      </w:tc>
      <w:tc>
        <w:tcPr>
          <w:tcW w:w="3145" w:type="dxa"/>
        </w:tcPr>
        <w:p w14:paraId="1D871AA1" w14:textId="226065C5" w:rsidR="0087678E" w:rsidRDefault="0087678E" w:rsidP="00384218">
          <w:pPr>
            <w:pStyle w:val="Header"/>
            <w:ind w:right="-115"/>
            <w:jc w:val="right"/>
            <w:rPr>
              <w:szCs w:val="16"/>
            </w:rPr>
          </w:pPr>
        </w:p>
      </w:tc>
    </w:tr>
  </w:tbl>
  <w:p w14:paraId="478E9F5A" w14:textId="694810D0" w:rsidR="0087678E" w:rsidRDefault="0087678E" w:rsidP="00384218">
    <w:pPr>
      <w:pStyle w:val="Footer"/>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205"/>
      <w:gridCol w:w="3205"/>
      <w:gridCol w:w="3205"/>
    </w:tblGrid>
    <w:tr w:rsidR="0087678E" w14:paraId="559FA4B7" w14:textId="77777777" w:rsidTr="003E3CD8">
      <w:tc>
        <w:tcPr>
          <w:tcW w:w="3205" w:type="dxa"/>
        </w:tcPr>
        <w:p w14:paraId="2984A1BA" w14:textId="473BBF76" w:rsidR="0087678E" w:rsidRDefault="0087678E" w:rsidP="007273FB">
          <w:pPr>
            <w:rPr>
              <w:b/>
              <w:bCs/>
              <w:sz w:val="16"/>
              <w:szCs w:val="16"/>
            </w:rPr>
          </w:pPr>
        </w:p>
      </w:tc>
      <w:tc>
        <w:tcPr>
          <w:tcW w:w="3205" w:type="dxa"/>
        </w:tcPr>
        <w:p w14:paraId="2193D8E3" w14:textId="726AF989" w:rsidR="0087678E" w:rsidRDefault="0087678E" w:rsidP="007273FB">
          <w:pPr>
            <w:rPr>
              <w:b/>
              <w:bCs/>
              <w:sz w:val="16"/>
              <w:szCs w:val="16"/>
            </w:rPr>
          </w:pPr>
        </w:p>
      </w:tc>
      <w:tc>
        <w:tcPr>
          <w:tcW w:w="3205" w:type="dxa"/>
        </w:tcPr>
        <w:p w14:paraId="21200BB4" w14:textId="27A42C18" w:rsidR="0087678E" w:rsidRDefault="0087678E" w:rsidP="007273FB">
          <w:pPr>
            <w:rPr>
              <w:b/>
              <w:bCs/>
              <w:sz w:val="16"/>
              <w:szCs w:val="16"/>
            </w:rPr>
          </w:pPr>
        </w:p>
      </w:tc>
    </w:tr>
  </w:tbl>
  <w:p w14:paraId="294F7154" w14:textId="114E543A" w:rsidR="0087678E" w:rsidRDefault="0087678E" w:rsidP="007273FB">
    <w:pPr>
      <w:rPr>
        <w:b/>
        <w:bCs/>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590"/>
      <w:gridCol w:w="4590"/>
      <w:gridCol w:w="4590"/>
    </w:tblGrid>
    <w:tr w:rsidR="0087678E" w14:paraId="51F1430F" w14:textId="77777777" w:rsidTr="00384218">
      <w:tc>
        <w:tcPr>
          <w:tcW w:w="4590" w:type="dxa"/>
        </w:tcPr>
        <w:p w14:paraId="6981C9FF" w14:textId="76BE469D" w:rsidR="0087678E" w:rsidRDefault="0087678E" w:rsidP="00384218">
          <w:pPr>
            <w:pStyle w:val="Header"/>
            <w:ind w:left="-115"/>
            <w:rPr>
              <w:szCs w:val="16"/>
            </w:rPr>
          </w:pPr>
        </w:p>
      </w:tc>
      <w:tc>
        <w:tcPr>
          <w:tcW w:w="4590" w:type="dxa"/>
        </w:tcPr>
        <w:p w14:paraId="112D99AB" w14:textId="2F119F19" w:rsidR="0087678E" w:rsidRDefault="0087678E" w:rsidP="00384218">
          <w:pPr>
            <w:pStyle w:val="Header"/>
            <w:jc w:val="center"/>
            <w:rPr>
              <w:szCs w:val="16"/>
            </w:rPr>
          </w:pPr>
        </w:p>
      </w:tc>
      <w:tc>
        <w:tcPr>
          <w:tcW w:w="4590" w:type="dxa"/>
        </w:tcPr>
        <w:p w14:paraId="17A365A9" w14:textId="3CB29190" w:rsidR="0087678E" w:rsidRDefault="0087678E" w:rsidP="00384218">
          <w:pPr>
            <w:pStyle w:val="Header"/>
            <w:ind w:right="-115"/>
            <w:jc w:val="right"/>
            <w:rPr>
              <w:szCs w:val="16"/>
            </w:rPr>
          </w:pPr>
        </w:p>
      </w:tc>
    </w:tr>
  </w:tbl>
  <w:p w14:paraId="0072764A" w14:textId="71B220D3" w:rsidR="0087678E" w:rsidRDefault="0087678E" w:rsidP="00384218">
    <w:pPr>
      <w:pStyle w:val="Footer"/>
      <w:rPr>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45"/>
      <w:gridCol w:w="3145"/>
      <w:gridCol w:w="3145"/>
    </w:tblGrid>
    <w:tr w:rsidR="0087678E" w14:paraId="4E49C04C" w14:textId="77777777" w:rsidTr="00E84DB2">
      <w:tc>
        <w:tcPr>
          <w:tcW w:w="3145" w:type="dxa"/>
        </w:tcPr>
        <w:p w14:paraId="241DE6E7" w14:textId="241CF49D" w:rsidR="0087678E" w:rsidRDefault="0087678E" w:rsidP="00E84DB2">
          <w:pPr>
            <w:pStyle w:val="Header"/>
            <w:ind w:left="-115"/>
            <w:rPr>
              <w:szCs w:val="16"/>
            </w:rPr>
          </w:pPr>
        </w:p>
      </w:tc>
      <w:tc>
        <w:tcPr>
          <w:tcW w:w="3145" w:type="dxa"/>
        </w:tcPr>
        <w:p w14:paraId="07C6A794" w14:textId="0D1EC6C2" w:rsidR="0087678E" w:rsidRDefault="0087678E" w:rsidP="00E84DB2">
          <w:pPr>
            <w:pStyle w:val="Header"/>
            <w:jc w:val="center"/>
            <w:rPr>
              <w:szCs w:val="16"/>
            </w:rPr>
          </w:pPr>
        </w:p>
      </w:tc>
      <w:tc>
        <w:tcPr>
          <w:tcW w:w="3145" w:type="dxa"/>
        </w:tcPr>
        <w:p w14:paraId="4E28E081" w14:textId="4B559F0E" w:rsidR="0087678E" w:rsidRDefault="0087678E" w:rsidP="00E84DB2">
          <w:pPr>
            <w:pStyle w:val="Header"/>
            <w:ind w:right="-115"/>
            <w:jc w:val="right"/>
            <w:rPr>
              <w:szCs w:val="16"/>
            </w:rPr>
          </w:pPr>
        </w:p>
      </w:tc>
    </w:tr>
  </w:tbl>
  <w:p w14:paraId="54F9018F" w14:textId="07452618" w:rsidR="0087678E" w:rsidRDefault="0087678E" w:rsidP="00E84DB2">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4C309" w14:textId="77777777" w:rsidR="00D1085F" w:rsidRDefault="00D1085F">
      <w:r>
        <w:separator/>
      </w:r>
    </w:p>
  </w:footnote>
  <w:footnote w:type="continuationSeparator" w:id="0">
    <w:p w14:paraId="3C7C6EF4" w14:textId="77777777" w:rsidR="00D1085F" w:rsidRDefault="00D1085F">
      <w:r>
        <w:continuationSeparator/>
      </w:r>
    </w:p>
  </w:footnote>
  <w:footnote w:type="continuationNotice" w:id="1">
    <w:p w14:paraId="3E94A1E8" w14:textId="77777777" w:rsidR="00D1085F" w:rsidRDefault="00D1085F">
      <w:pPr>
        <w:spacing w:before="0" w:after="0" w:line="240" w:lineRule="auto"/>
      </w:pPr>
    </w:p>
  </w:footnote>
  <w:footnote w:id="2">
    <w:p w14:paraId="3BA6785B" w14:textId="77777777" w:rsidR="0087678E" w:rsidRDefault="0087678E" w:rsidP="008B0FE9">
      <w:pPr>
        <w:pStyle w:val="FootnoteText"/>
      </w:pPr>
      <w:r>
        <w:rPr>
          <w:rStyle w:val="FootnoteReference"/>
        </w:rPr>
        <w:footnoteRef/>
      </w:r>
      <w:r>
        <w:t xml:space="preserve"> </w:t>
      </w:r>
      <w:r w:rsidRPr="00426BD4">
        <w:t xml:space="preserve">See Glossary Item </w:t>
      </w:r>
      <w:r w:rsidRPr="00EC1F9C">
        <w:t>Newborn qualification status</w:t>
      </w:r>
      <w:r w:rsidRPr="00426BD4">
        <w:t xml:space="preserve"> </w:t>
      </w:r>
      <w:r>
        <w:t>(</w:t>
      </w:r>
      <w:r w:rsidRPr="00426BD4">
        <w:t>METeOR identifier: 327254</w:t>
      </w:r>
      <w:r>
        <w:t>)</w:t>
      </w:r>
    </w:p>
  </w:footnote>
  <w:footnote w:id="3">
    <w:p w14:paraId="7C6403D0" w14:textId="62253050" w:rsidR="0087678E" w:rsidRPr="003E7925" w:rsidRDefault="0087678E" w:rsidP="008B0FE9">
      <w:pPr>
        <w:pStyle w:val="FootnoteText"/>
      </w:pPr>
      <w:r>
        <w:rPr>
          <w:rStyle w:val="FootnoteReference"/>
        </w:rPr>
        <w:footnoteRef/>
      </w:r>
      <w:r>
        <w:t xml:space="preserve"> For a list of block funded hospitals see </w:t>
      </w:r>
      <w:r w:rsidRPr="00FE0BD0">
        <w:rPr>
          <w:b/>
        </w:rPr>
        <w:t>Appendices A</w:t>
      </w:r>
      <w:r w:rsidRPr="00FE0BD0">
        <w:t xml:space="preserve"> to </w:t>
      </w:r>
      <w:r w:rsidRPr="00FE0BD0">
        <w:rPr>
          <w:b/>
        </w:rPr>
        <w:t>D</w:t>
      </w:r>
      <w:r>
        <w:t xml:space="preserve"> of the </w:t>
      </w:r>
      <w:r w:rsidRPr="005A1510">
        <w:t>National Efficient Cost Determination 202</w:t>
      </w:r>
      <w:r>
        <w:t>2</w:t>
      </w:r>
      <w:r w:rsidRPr="005A1510">
        <w:t>–2</w:t>
      </w:r>
      <w:r>
        <w:t>3</w:t>
      </w:r>
    </w:p>
  </w:footnote>
  <w:footnote w:id="4">
    <w:p w14:paraId="23F32AB7" w14:textId="77777777" w:rsidR="0087678E" w:rsidRDefault="0087678E">
      <w:pPr>
        <w:pStyle w:val="FootnoteText"/>
      </w:pPr>
      <w:r>
        <w:rPr>
          <w:rStyle w:val="FootnoteReference"/>
        </w:rPr>
        <w:footnoteRef/>
      </w:r>
      <w:r>
        <w:t xml:space="preserve"> See data element Hospital service – care type, code (</w:t>
      </w:r>
      <w:r w:rsidRPr="6149E25A">
        <w:rPr>
          <w:rFonts w:cs="Arial"/>
        </w:rPr>
        <w:t xml:space="preserve">METeOR identifier </w:t>
      </w:r>
      <w:r>
        <w:rPr>
          <w:rFonts w:cs="Arial"/>
        </w:rPr>
        <w:t>711010)</w:t>
      </w:r>
    </w:p>
  </w:footnote>
  <w:footnote w:id="5">
    <w:p w14:paraId="42BA748A" w14:textId="47BB5FED" w:rsidR="0087678E" w:rsidRPr="003D4326" w:rsidRDefault="0087678E" w:rsidP="00550102">
      <w:pPr>
        <w:pStyle w:val="FootnoteText"/>
      </w:pPr>
      <w:r w:rsidRPr="003D4326">
        <w:rPr>
          <w:rStyle w:val="FootnoteReference"/>
        </w:rPr>
        <w:footnoteRef/>
      </w:r>
      <w:r w:rsidRPr="003D4326">
        <w:t xml:space="preserve"> See data element </w:t>
      </w:r>
      <w:r w:rsidRPr="00EC1F9C">
        <w:t>Indigenous status</w:t>
      </w:r>
      <w:r w:rsidRPr="003D4326">
        <w:t xml:space="preserve"> </w:t>
      </w:r>
      <w:r>
        <w:t>(</w:t>
      </w:r>
      <w:r w:rsidRPr="003D4326">
        <w:t xml:space="preserve">METeOR identifier: </w:t>
      </w:r>
      <w:r w:rsidRPr="009A6D0C">
        <w:t>602543</w:t>
      </w:r>
      <w:r>
        <w:t>)</w:t>
      </w:r>
      <w:r w:rsidRPr="003D4326">
        <w:t>.</w:t>
      </w:r>
    </w:p>
  </w:footnote>
  <w:footnote w:id="6">
    <w:p w14:paraId="0615A59B" w14:textId="77777777" w:rsidR="0087678E" w:rsidRPr="003D4326" w:rsidRDefault="0087678E" w:rsidP="00550102">
      <w:pPr>
        <w:pStyle w:val="FootnoteText"/>
      </w:pPr>
      <w:r w:rsidRPr="003D4326">
        <w:rPr>
          <w:rStyle w:val="FootnoteReference"/>
        </w:rPr>
        <w:footnoteRef/>
      </w:r>
      <w:r w:rsidRPr="003D4326">
        <w:t xml:space="preserve"> Remoteness areas are defined in the </w:t>
      </w:r>
      <w:r w:rsidRPr="00EC1F9C">
        <w:t xml:space="preserve">Australian Standard Geographic </w:t>
      </w:r>
      <w:r w:rsidRPr="008E2878">
        <w:t>Standard (ASGS),</w:t>
      </w:r>
      <w:r w:rsidRPr="003D4326">
        <w:rPr>
          <w:i/>
        </w:rPr>
        <w:t xml:space="preserve"> </w:t>
      </w:r>
      <w:r w:rsidRPr="003D4326">
        <w:t xml:space="preserve">which is maintained by the Australian Bureau of </w:t>
      </w:r>
      <w:r w:rsidRPr="00A00895">
        <w:rPr>
          <w:szCs w:val="16"/>
        </w:rPr>
        <w:t>Statistics (see:</w:t>
      </w:r>
      <w:r>
        <w:rPr>
          <w:szCs w:val="16"/>
        </w:rPr>
        <w:t xml:space="preserve"> </w:t>
      </w:r>
      <w:hyperlink r:id="rId1" w:history="1">
        <w:r w:rsidRPr="00F22739">
          <w:rPr>
            <w:rStyle w:val="Hyperlink"/>
            <w:szCs w:val="22"/>
          </w:rPr>
          <w:t>www.abs.gov.au</w:t>
        </w:r>
      </w:hyperlink>
      <w:r w:rsidRPr="00A00895">
        <w:rPr>
          <w:szCs w:val="16"/>
        </w:rPr>
        <w:t>).</w:t>
      </w:r>
      <w:r w:rsidRPr="003D4326">
        <w:t xml:space="preserve"> The</w:t>
      </w:r>
      <w:r>
        <w:t xml:space="preserve"> 2016</w:t>
      </w:r>
      <w:r w:rsidRPr="003D4326">
        <w:t xml:space="preserve"> ASG</w:t>
      </w:r>
      <w:r>
        <w:t>S</w:t>
      </w:r>
      <w:r w:rsidRPr="003D4326">
        <w:t xml:space="preserve"> </w:t>
      </w:r>
      <w:r>
        <w:t>r</w:t>
      </w:r>
      <w:r w:rsidRPr="003D4326">
        <w:t xml:space="preserve">emoteness </w:t>
      </w:r>
      <w:r>
        <w:t>a</w:t>
      </w:r>
      <w:r w:rsidRPr="003D4326">
        <w:t>rea classification was used to classify patients’ place of residence and locality of hospitals.</w:t>
      </w:r>
    </w:p>
  </w:footnote>
  <w:footnote w:id="7">
    <w:p w14:paraId="077EEC20" w14:textId="77777777" w:rsidR="0087678E" w:rsidRPr="003D4326" w:rsidRDefault="0087678E" w:rsidP="00550102">
      <w:pPr>
        <w:pStyle w:val="FootnoteText"/>
      </w:pPr>
      <w:r w:rsidRPr="00E33EAE">
        <w:rPr>
          <w:rStyle w:val="FootnoteReference"/>
        </w:rPr>
        <w:footnoteRef/>
      </w:r>
      <w:r w:rsidRPr="00E33EAE">
        <w:t xml:space="preserve"> For activity data before </w:t>
      </w:r>
      <w:r>
        <w:t>2012–13</w:t>
      </w:r>
      <w:r w:rsidRPr="00E33EAE">
        <w:t xml:space="preserve"> see data element </w:t>
      </w:r>
      <w:r>
        <w:t>‘</w:t>
      </w:r>
      <w:r w:rsidRPr="00EC1F9C">
        <w:t>Principal source of funding (</w:t>
      </w:r>
      <w:r>
        <w:t>f</w:t>
      </w:r>
      <w:r w:rsidRPr="00EC1F9C">
        <w:t>unding source for hospital patient)</w:t>
      </w:r>
      <w:r w:rsidRPr="00E33EAE">
        <w:rPr>
          <w:i/>
        </w:rPr>
        <w:t xml:space="preserve"> </w:t>
      </w:r>
      <w:r>
        <w:t>(</w:t>
      </w:r>
      <w:r w:rsidRPr="00E33EAE">
        <w:t>METeOR identifier: 339080</w:t>
      </w:r>
      <w:r>
        <w:t>)</w:t>
      </w:r>
      <w:r w:rsidRPr="00E33EAE">
        <w:t xml:space="preserve">, values: 01 Australian Health Care Agreements; 02 </w:t>
      </w:r>
      <w:r>
        <w:t>p</w:t>
      </w:r>
      <w:r w:rsidRPr="00E33EAE">
        <w:t xml:space="preserve">rivate health insurance; 10 Other hospital or public authority </w:t>
      </w:r>
      <w:r w:rsidRPr="0077578C">
        <w:t>(contracted</w:t>
      </w:r>
      <w:r w:rsidRPr="00E33EAE">
        <w:t xml:space="preserve"> care); 11 </w:t>
      </w:r>
      <w:r>
        <w:t>r</w:t>
      </w:r>
      <w:r w:rsidRPr="00E33EAE">
        <w:t>eciprocal health care agreements (</w:t>
      </w:r>
      <w:r>
        <w:t>with other countries); 12 other</w:t>
      </w:r>
      <w:r w:rsidRPr="00A43A2C">
        <w:t>.</w:t>
      </w:r>
    </w:p>
  </w:footnote>
  <w:footnote w:id="8">
    <w:p w14:paraId="2B353FAC" w14:textId="77777777" w:rsidR="0087678E" w:rsidRPr="003D4326" w:rsidRDefault="0087678E" w:rsidP="00550102">
      <w:pPr>
        <w:pStyle w:val="FootnoteText"/>
      </w:pPr>
      <w:r w:rsidRPr="003D4326">
        <w:rPr>
          <w:rStyle w:val="FootnoteReference"/>
        </w:rPr>
        <w:footnoteRef/>
      </w:r>
      <w:r>
        <w:t xml:space="preserve"> Data E</w:t>
      </w:r>
      <w:r w:rsidRPr="003D4326">
        <w:t xml:space="preserve">lement </w:t>
      </w:r>
      <w:r>
        <w:t xml:space="preserve">Concept </w:t>
      </w:r>
      <w:r w:rsidRPr="003A708C">
        <w:t>Episode of care—source of funding</w:t>
      </w:r>
      <w:r>
        <w:rPr>
          <w:i/>
        </w:rPr>
        <w:t xml:space="preserve"> </w:t>
      </w:r>
      <w:r>
        <w:t>(</w:t>
      </w:r>
      <w:r w:rsidRPr="003D4326">
        <w:t xml:space="preserve">METeOR identifier: </w:t>
      </w:r>
      <w:r>
        <w:t>472038)</w:t>
      </w:r>
    </w:p>
  </w:footnote>
  <w:footnote w:id="9">
    <w:p w14:paraId="34D87E3B" w14:textId="77777777" w:rsidR="0087678E" w:rsidRPr="003D4326" w:rsidRDefault="0087678E" w:rsidP="00550102">
      <w:pPr>
        <w:pStyle w:val="FootnoteText"/>
      </w:pPr>
      <w:r w:rsidRPr="003D4326">
        <w:rPr>
          <w:rStyle w:val="FootnoteReference"/>
        </w:rPr>
        <w:footnoteRef/>
      </w:r>
      <w:r w:rsidRPr="003D4326">
        <w:t xml:space="preserve"> See object class </w:t>
      </w:r>
      <w:r>
        <w:t>Mental health phase of care</w:t>
      </w:r>
      <w:r w:rsidRPr="003D4326">
        <w:t xml:space="preserve"> </w:t>
      </w:r>
      <w:r>
        <w:t>(</w:t>
      </w:r>
      <w:r w:rsidRPr="003D4326">
        <w:t xml:space="preserve">METeOR identifier: </w:t>
      </w:r>
      <w:r>
        <w:t>730867)</w:t>
      </w:r>
      <w:r w:rsidRPr="003D4326">
        <w:t>.</w:t>
      </w:r>
    </w:p>
  </w:footnote>
  <w:footnote w:id="10">
    <w:p w14:paraId="706F619E" w14:textId="77777777" w:rsidR="0087678E" w:rsidRDefault="0087678E">
      <w:pPr>
        <w:pStyle w:val="FootnoteText"/>
      </w:pPr>
      <w:r>
        <w:rPr>
          <w:rStyle w:val="FootnoteReference"/>
        </w:rPr>
        <w:footnoteRef/>
      </w:r>
      <w:r>
        <w:t xml:space="preserve"> See data element Mental health phase of care start date (METeOR identifier 575257).</w:t>
      </w:r>
    </w:p>
  </w:footnote>
  <w:footnote w:id="11">
    <w:p w14:paraId="7C00CF79" w14:textId="77777777" w:rsidR="0087678E" w:rsidRDefault="0087678E">
      <w:pPr>
        <w:pStyle w:val="FootnoteText"/>
      </w:pPr>
      <w:r>
        <w:rPr>
          <w:rStyle w:val="FootnoteReference"/>
        </w:rPr>
        <w:footnoteRef/>
      </w:r>
      <w:r>
        <w:t xml:space="preserve"> See data element Mental health phase of care end date (METeOR identifier 575251).</w:t>
      </w:r>
    </w:p>
  </w:footnote>
  <w:footnote w:id="12">
    <w:p w14:paraId="450672A8" w14:textId="77777777" w:rsidR="0087678E" w:rsidRPr="003D4326" w:rsidRDefault="0087678E" w:rsidP="000A62A2">
      <w:pPr>
        <w:pStyle w:val="FootnoteText"/>
      </w:pPr>
      <w:r w:rsidRPr="003D4326">
        <w:rPr>
          <w:rStyle w:val="FootnoteReference"/>
        </w:rPr>
        <w:footnoteRef/>
      </w:r>
      <w:r w:rsidRPr="003D4326">
        <w:t xml:space="preserve"> See glossary item </w:t>
      </w:r>
      <w:r w:rsidRPr="00EC1F9C">
        <w:t>Admission</w:t>
      </w:r>
      <w:r w:rsidRPr="003D4326">
        <w:t xml:space="preserve"> </w:t>
      </w:r>
      <w:r>
        <w:t>(</w:t>
      </w:r>
      <w:r w:rsidRPr="003D4326">
        <w:t>METeOR identifier: 327206</w:t>
      </w:r>
      <w:r>
        <w:t>)</w:t>
      </w:r>
      <w:r w:rsidRPr="003D4326">
        <w:t>.</w:t>
      </w:r>
    </w:p>
  </w:footnote>
  <w:footnote w:id="13">
    <w:p w14:paraId="236967F5" w14:textId="595557ED" w:rsidR="0087678E" w:rsidRDefault="0087678E" w:rsidP="000A62A2">
      <w:pPr>
        <w:pStyle w:val="FootnoteText"/>
      </w:pPr>
      <w:r>
        <w:rPr>
          <w:rStyle w:val="FootnoteReference"/>
        </w:rPr>
        <w:footnoteRef/>
      </w:r>
      <w:r>
        <w:t xml:space="preserve"> IHPA ABF MHC Specifications</w:t>
      </w:r>
      <w:r w:rsidRPr="007B2276">
        <w:t xml:space="preserve"> 2018</w:t>
      </w:r>
      <w:r>
        <w:t>–</w:t>
      </w:r>
      <w:r w:rsidRPr="007B2276">
        <w:t>19</w:t>
      </w:r>
      <w:r>
        <w:t xml:space="preserve"> Version 1.0</w:t>
      </w:r>
    </w:p>
  </w:footnote>
  <w:footnote w:id="14">
    <w:p w14:paraId="762E2F84" w14:textId="77777777" w:rsidR="0087678E" w:rsidRDefault="0087678E" w:rsidP="0078745B">
      <w:pPr>
        <w:pStyle w:val="FootnoteText"/>
      </w:pPr>
      <w:r>
        <w:rPr>
          <w:rStyle w:val="FootnoteReference"/>
        </w:rPr>
        <w:footnoteRef/>
      </w:r>
      <w:r>
        <w:t xml:space="preserve"> See data element Hospital service – care type (METeOR identifier 711010)</w:t>
      </w:r>
    </w:p>
  </w:footnote>
  <w:footnote w:id="15">
    <w:p w14:paraId="123F6422" w14:textId="77777777" w:rsidR="0087678E" w:rsidRPr="00BD4DD8" w:rsidRDefault="0087678E" w:rsidP="001E2BD4">
      <w:pPr>
        <w:pStyle w:val="FootnoteText"/>
      </w:pPr>
      <w:r>
        <w:rPr>
          <w:rStyle w:val="FootnoteReference"/>
        </w:rPr>
        <w:footnoteRef/>
      </w:r>
      <w:r>
        <w:t xml:space="preserve"> L1.5H1.5 refers to the trimming method in which the low trim point is the average length of stay (ALOS) divided by 1.5, and the high trim point is 1.5 times the ALOS.</w:t>
      </w:r>
    </w:p>
  </w:footnote>
  <w:footnote w:id="16">
    <w:p w14:paraId="23E9D99C" w14:textId="3E2C833D" w:rsidR="0087678E" w:rsidRDefault="0087678E">
      <w:pPr>
        <w:pStyle w:val="FootnoteText"/>
      </w:pPr>
      <w:r>
        <w:rPr>
          <w:rStyle w:val="FootnoteReference"/>
        </w:rPr>
        <w:footnoteRef/>
      </w:r>
      <w:r>
        <w:t xml:space="preserve"> Data E</w:t>
      </w:r>
      <w:r w:rsidRPr="003D4326">
        <w:t xml:space="preserve">lement </w:t>
      </w:r>
      <w:r>
        <w:t xml:space="preserve">Concept </w:t>
      </w:r>
      <w:r w:rsidRPr="003A708C">
        <w:t>Episode of care—source of funding</w:t>
      </w:r>
      <w:r>
        <w:rPr>
          <w:i/>
        </w:rPr>
        <w:t xml:space="preserve"> </w:t>
      </w:r>
      <w:r>
        <w:t>(</w:t>
      </w:r>
      <w:r w:rsidRPr="003D4326">
        <w:t xml:space="preserve">METeOR identifier: </w:t>
      </w:r>
      <w:r>
        <w:t>472038)</w:t>
      </w:r>
    </w:p>
  </w:footnote>
  <w:footnote w:id="17">
    <w:p w14:paraId="52C800F8" w14:textId="77777777" w:rsidR="0087678E" w:rsidRPr="003D4326" w:rsidRDefault="0087678E" w:rsidP="00550102">
      <w:pPr>
        <w:pStyle w:val="FootnoteText"/>
      </w:pPr>
      <w:r w:rsidRPr="003D4326">
        <w:rPr>
          <w:rStyle w:val="FootnoteReference"/>
        </w:rPr>
        <w:footnoteRef/>
      </w:r>
      <w:r w:rsidRPr="003D4326">
        <w:t xml:space="preserve"> See object class </w:t>
      </w:r>
      <w:r>
        <w:t>‘e</w:t>
      </w:r>
      <w:r w:rsidRPr="00EC1F9C">
        <w:t>pisode of admitted patient care</w:t>
      </w:r>
      <w:r>
        <w:t>’</w:t>
      </w:r>
      <w:r w:rsidRPr="003D4326">
        <w:t xml:space="preserve"> </w:t>
      </w:r>
      <w:r>
        <w:t>(</w:t>
      </w:r>
      <w:r w:rsidRPr="003D4326">
        <w:t>METeOR identifier: 268956</w:t>
      </w:r>
      <w:r>
        <w:t>)</w:t>
      </w:r>
      <w:r w:rsidRPr="003D4326">
        <w:t>.</w:t>
      </w:r>
    </w:p>
  </w:footnote>
  <w:footnote w:id="18">
    <w:p w14:paraId="5DD9FAF1" w14:textId="77777777" w:rsidR="0087678E" w:rsidRPr="003D4326" w:rsidRDefault="0087678E" w:rsidP="00550102">
      <w:pPr>
        <w:pStyle w:val="FootnoteText"/>
      </w:pPr>
      <w:r w:rsidRPr="003D4326">
        <w:rPr>
          <w:rStyle w:val="FootnoteReference"/>
        </w:rPr>
        <w:footnoteRef/>
      </w:r>
      <w:r w:rsidRPr="003D4326">
        <w:t xml:space="preserve"> Ibid.</w:t>
      </w:r>
    </w:p>
  </w:footnote>
  <w:footnote w:id="19">
    <w:p w14:paraId="0E7CC905" w14:textId="77777777" w:rsidR="0087678E" w:rsidRPr="003D4326" w:rsidRDefault="0087678E" w:rsidP="00550102">
      <w:pPr>
        <w:pStyle w:val="FootnoteText"/>
      </w:pPr>
      <w:r w:rsidRPr="003D4326">
        <w:rPr>
          <w:rStyle w:val="FootnoteReference"/>
        </w:rPr>
        <w:footnoteRef/>
      </w:r>
      <w:r w:rsidRPr="003D4326">
        <w:t xml:space="preserve"> See glossary item </w:t>
      </w:r>
      <w:r>
        <w:t>‘a</w:t>
      </w:r>
      <w:r w:rsidRPr="00EC1F9C">
        <w:t>dmission</w:t>
      </w:r>
      <w:r>
        <w:t>’</w:t>
      </w:r>
      <w:r w:rsidRPr="003D4326">
        <w:t xml:space="preserve"> </w:t>
      </w:r>
      <w:r>
        <w:t>(</w:t>
      </w:r>
      <w:r w:rsidRPr="003D4326">
        <w:t>METeOR identifier: 327206</w:t>
      </w:r>
      <w:r>
        <w:t>)</w:t>
      </w:r>
      <w:r w:rsidRPr="003D4326">
        <w:t>.</w:t>
      </w:r>
    </w:p>
  </w:footnote>
  <w:footnote w:id="20">
    <w:p w14:paraId="643873A5" w14:textId="77777777" w:rsidR="0087678E" w:rsidRPr="003D4326" w:rsidRDefault="0087678E" w:rsidP="00550102">
      <w:pPr>
        <w:pStyle w:val="FootnoteText"/>
      </w:pPr>
      <w:r w:rsidRPr="003D4326">
        <w:rPr>
          <w:rStyle w:val="FootnoteReference"/>
        </w:rPr>
        <w:footnoteRef/>
      </w:r>
      <w:r w:rsidRPr="003D4326">
        <w:t xml:space="preserve"> See </w:t>
      </w:r>
      <w:r>
        <w:t>E</w:t>
      </w:r>
      <w:r w:rsidRPr="0047578A">
        <w:t xml:space="preserve">mergency </w:t>
      </w:r>
      <w:r>
        <w:t>department stay – presentation date, DDMMYYYY (METeOR identifier: 684848).</w:t>
      </w:r>
    </w:p>
  </w:footnote>
  <w:footnote w:id="21">
    <w:p w14:paraId="64B96EEF" w14:textId="77777777" w:rsidR="0087678E" w:rsidRDefault="0087678E" w:rsidP="00550102">
      <w:pPr>
        <w:pStyle w:val="FootnoteText"/>
      </w:pPr>
      <w:r>
        <w:rPr>
          <w:rStyle w:val="FootnoteReference"/>
        </w:rPr>
        <w:footnoteRef/>
      </w:r>
      <w:r>
        <w:t xml:space="preserve"> See object class </w:t>
      </w:r>
      <w:r w:rsidRPr="00EC1F9C">
        <w:t>Non-admitted patient service event</w:t>
      </w:r>
      <w:r>
        <w:t xml:space="preserve"> (</w:t>
      </w:r>
      <w:r w:rsidRPr="00BF7DB3">
        <w:t xml:space="preserve">METeOR identifier: </w:t>
      </w:r>
      <w:r w:rsidRPr="00765488">
        <w:t>652089</w:t>
      </w:r>
      <w:r>
        <w:t>)</w:t>
      </w:r>
      <w:r w:rsidRPr="00BF7DB3">
        <w:t>.</w:t>
      </w:r>
    </w:p>
  </w:footnote>
  <w:footnote w:id="22">
    <w:p w14:paraId="38E1B98A" w14:textId="77777777" w:rsidR="0087678E" w:rsidRDefault="0087678E" w:rsidP="00561E6C">
      <w:pPr>
        <w:pStyle w:val="FootnoteText"/>
      </w:pPr>
      <w:r>
        <w:rPr>
          <w:rStyle w:val="FootnoteReference"/>
        </w:rPr>
        <w:footnoteRef/>
      </w:r>
      <w:r>
        <w:t xml:space="preserve"> That is, activity from patient costed sites within the National Hospital Cost Data Collection.</w:t>
      </w:r>
    </w:p>
  </w:footnote>
  <w:footnote w:id="23">
    <w:p w14:paraId="4697C07E" w14:textId="77777777" w:rsidR="0087678E" w:rsidRPr="003D4326" w:rsidRDefault="0087678E" w:rsidP="00561E6C">
      <w:pPr>
        <w:pStyle w:val="FootnoteText"/>
      </w:pPr>
      <w:r w:rsidRPr="003D4326">
        <w:rPr>
          <w:rStyle w:val="FootnoteReference"/>
        </w:rPr>
        <w:footnoteRef/>
      </w:r>
      <w:r w:rsidRPr="003D4326">
        <w:t xml:space="preserve"> Details of each of the classifications are available from:</w:t>
      </w:r>
    </w:p>
    <w:p w14:paraId="46C0880D" w14:textId="39F49DEE" w:rsidR="0087678E" w:rsidRPr="003D4326" w:rsidRDefault="0087678E" w:rsidP="00561E6C">
      <w:pPr>
        <w:pStyle w:val="FootnoteText"/>
      </w:pPr>
      <w:r w:rsidRPr="008B532C">
        <w:t>https://www.ihpa.gov.au/what-we-do/data-collection/data-specifications/abf-data-request-specifications-2019-20</w:t>
      </w:r>
    </w:p>
  </w:footnote>
  <w:footnote w:id="24">
    <w:p w14:paraId="6330323D" w14:textId="77777777" w:rsidR="0087678E" w:rsidRPr="00E33EAE" w:rsidRDefault="0087678E" w:rsidP="00561E6C">
      <w:pPr>
        <w:pStyle w:val="FootnoteText"/>
      </w:pPr>
      <w:r w:rsidRPr="00E33EAE">
        <w:rPr>
          <w:rStyle w:val="FootnoteReference"/>
        </w:rPr>
        <w:footnoteRef/>
      </w:r>
      <w:r w:rsidRPr="00E33EAE">
        <w:t xml:space="preserve"> Or 1 if </w:t>
      </w:r>
      <w:r>
        <w:t>f</w:t>
      </w:r>
      <w:r w:rsidRPr="00E33EAE">
        <w:t xml:space="preserve">unding </w:t>
      </w:r>
      <w:r>
        <w:t>s</w:t>
      </w:r>
      <w:r w:rsidRPr="00E33EAE">
        <w:t xml:space="preserve">ource = 2 or 3 for 2011-12 data or earlier. </w:t>
      </w:r>
    </w:p>
  </w:footnote>
  <w:footnote w:id="25">
    <w:p w14:paraId="4B042DFE" w14:textId="77777777" w:rsidR="0087678E" w:rsidRDefault="0087678E" w:rsidP="00561E6C">
      <w:pPr>
        <w:pStyle w:val="FootnoteText"/>
      </w:pPr>
      <w:r w:rsidRPr="00E33EAE">
        <w:rPr>
          <w:rStyle w:val="FootnoteReference"/>
        </w:rPr>
        <w:footnoteRef/>
      </w:r>
      <w:r w:rsidRPr="00E33EAE">
        <w:t xml:space="preserve"> Or 1 if </w:t>
      </w:r>
      <w:r>
        <w:t>f</w:t>
      </w:r>
      <w:r w:rsidRPr="00E33EAE">
        <w:t xml:space="preserve">unding </w:t>
      </w:r>
      <w:r>
        <w:t>s</w:t>
      </w:r>
      <w:r w:rsidRPr="00E33EAE">
        <w:t>ource = 1, 10 or 11 for 2011-12 data or earlier.</w:t>
      </w:r>
      <w:r>
        <w:t xml:space="preserve"> </w:t>
      </w:r>
    </w:p>
  </w:footnote>
  <w:footnote w:id="26">
    <w:p w14:paraId="0B7E42BA" w14:textId="77777777" w:rsidR="0087678E" w:rsidRPr="00E33EAE" w:rsidRDefault="0087678E" w:rsidP="000C490B">
      <w:pPr>
        <w:pStyle w:val="FootnoteText"/>
      </w:pPr>
      <w:r w:rsidRPr="00E33EAE">
        <w:rPr>
          <w:rStyle w:val="FootnoteReference"/>
        </w:rPr>
        <w:footnoteRef/>
      </w:r>
      <w:r w:rsidRPr="00E33EAE">
        <w:t xml:space="preserve"> Or 1 if </w:t>
      </w:r>
      <w:r>
        <w:t>f</w:t>
      </w:r>
      <w:r w:rsidRPr="00E33EAE">
        <w:t xml:space="preserve">unding </w:t>
      </w:r>
      <w:r>
        <w:t>s</w:t>
      </w:r>
      <w:r w:rsidRPr="00E33EAE">
        <w:t xml:space="preserve">ource = 2 or 3 for 2011-12 data or earlier. </w:t>
      </w:r>
    </w:p>
  </w:footnote>
  <w:footnote w:id="27">
    <w:p w14:paraId="05D2839C" w14:textId="77777777" w:rsidR="0087678E" w:rsidRDefault="0087678E" w:rsidP="000C490B">
      <w:pPr>
        <w:pStyle w:val="FootnoteText"/>
      </w:pPr>
      <w:r w:rsidRPr="00E33EAE">
        <w:rPr>
          <w:rStyle w:val="FootnoteReference"/>
        </w:rPr>
        <w:footnoteRef/>
      </w:r>
      <w:r w:rsidRPr="00E33EAE">
        <w:t xml:space="preserve"> Or 1 if </w:t>
      </w:r>
      <w:r>
        <w:t>f</w:t>
      </w:r>
      <w:r w:rsidRPr="00E33EAE">
        <w:t xml:space="preserve">unding </w:t>
      </w:r>
      <w:r>
        <w:t>s</w:t>
      </w:r>
      <w:r w:rsidRPr="00E33EAE">
        <w:t>ource = 1, 10 or 11 for 2011-12 data or earlier.</w:t>
      </w:r>
      <w:r>
        <w:t xml:space="preserve"> </w:t>
      </w:r>
    </w:p>
  </w:footnote>
  <w:footnote w:id="28">
    <w:p w14:paraId="7A654F53" w14:textId="77777777" w:rsidR="0087678E" w:rsidRPr="006E13C4" w:rsidRDefault="0087678E" w:rsidP="00561E6C">
      <w:pPr>
        <w:pStyle w:val="FootnoteText"/>
      </w:pPr>
      <w:r w:rsidRPr="006E13C4">
        <w:rPr>
          <w:rStyle w:val="FootnoteReference"/>
        </w:rPr>
        <w:footnoteRef/>
      </w:r>
      <w:r w:rsidRPr="006E13C4">
        <w:t xml:space="preserve"> Or 1 if </w:t>
      </w:r>
      <w:r>
        <w:t>f</w:t>
      </w:r>
      <w:r w:rsidRPr="006E13C4">
        <w:t xml:space="preserve">unding </w:t>
      </w:r>
      <w:r>
        <w:t>s</w:t>
      </w:r>
      <w:r w:rsidRPr="006E13C4">
        <w:t xml:space="preserve">ource = 2 or 3 for 2011-12 data or earlier. </w:t>
      </w:r>
    </w:p>
  </w:footnote>
  <w:footnote w:id="29">
    <w:p w14:paraId="1BA10C21" w14:textId="77777777" w:rsidR="0087678E" w:rsidRDefault="0087678E" w:rsidP="00561E6C">
      <w:pPr>
        <w:pStyle w:val="FootnoteText"/>
      </w:pPr>
      <w:r w:rsidRPr="006E13C4">
        <w:rPr>
          <w:rStyle w:val="FootnoteReference"/>
        </w:rPr>
        <w:footnoteRef/>
      </w:r>
      <w:r w:rsidRPr="006E13C4">
        <w:t xml:space="preserve"> Or 1 if </w:t>
      </w:r>
      <w:r>
        <w:t>f</w:t>
      </w:r>
      <w:r w:rsidRPr="006E13C4">
        <w:t xml:space="preserve">unding </w:t>
      </w:r>
      <w:r>
        <w:t>s</w:t>
      </w:r>
      <w:r w:rsidRPr="006E13C4">
        <w:t>ource = 1, 10 or 11 for 2011-12 data or earlier.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20906" w14:textId="648EA50B" w:rsidR="0087678E" w:rsidRPr="00CC2138" w:rsidRDefault="0087678E" w:rsidP="009C6266">
    <w:pPr>
      <w:pStyle w:val="Header"/>
      <w:rPr>
        <w:color w:val="008542" w:themeColor="accent2"/>
      </w:rPr>
    </w:pPr>
    <w:r w:rsidRPr="00F90346">
      <w:rPr>
        <w:noProof/>
        <w:color w:val="2B579A"/>
        <w:shd w:val="clear" w:color="auto" w:fill="E6E6E6"/>
      </w:rPr>
      <w:drawing>
        <wp:anchor distT="0" distB="0" distL="114300" distR="114300" simplePos="0" relativeHeight="251658240" behindDoc="1" locked="0" layoutInCell="0" allowOverlap="1" wp14:anchorId="254A59D7" wp14:editId="3065472D">
          <wp:simplePos x="0" y="0"/>
          <wp:positionH relativeFrom="page">
            <wp:posOffset>0</wp:posOffset>
          </wp:positionH>
          <wp:positionV relativeFrom="page">
            <wp:posOffset>1179</wp:posOffset>
          </wp:positionV>
          <wp:extent cx="6080400" cy="918140"/>
          <wp:effectExtent l="0" t="0" r="0" b="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F90346">
      <w:t>National Pricing Mod</w:t>
    </w:r>
    <w:r>
      <w:t>el Technical Specifications 2022–23</w:t>
    </w:r>
    <w:r>
      <w:tab/>
    </w:r>
    <w:r w:rsidRPr="00147EF1">
      <w:rPr>
        <w:color w:val="008542" w:themeColor="accent2"/>
      </w:rPr>
      <w:fldChar w:fldCharType="begin"/>
    </w:r>
    <w:r w:rsidRPr="00147EF1">
      <w:rPr>
        <w:color w:val="008542" w:themeColor="accent2"/>
      </w:rPr>
      <w:instrText xml:space="preserve"> PAGE   \* MERGEFORMAT </w:instrText>
    </w:r>
    <w:r w:rsidRPr="00147EF1">
      <w:rPr>
        <w:color w:val="008542" w:themeColor="accent2"/>
      </w:rPr>
      <w:fldChar w:fldCharType="separate"/>
    </w:r>
    <w:r w:rsidRPr="00147EF1">
      <w:rPr>
        <w:noProof/>
        <w:color w:val="008542" w:themeColor="accent2"/>
      </w:rPr>
      <w:t>1</w:t>
    </w:r>
    <w:r w:rsidRPr="00147EF1">
      <w:rPr>
        <w:color w:val="008542" w:themeColor="accent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07940" w14:textId="470CE34B" w:rsidR="0087678E" w:rsidRPr="00CC2138" w:rsidRDefault="0087678E" w:rsidP="009C6266">
    <w:pPr>
      <w:pStyle w:val="Header"/>
      <w:rPr>
        <w:color w:val="008542" w:themeColor="accent2"/>
      </w:rPr>
    </w:pPr>
    <w:r w:rsidRPr="00F90346">
      <w:rPr>
        <w:noProof/>
        <w:color w:val="2B579A"/>
        <w:shd w:val="clear" w:color="auto" w:fill="E6E6E6"/>
      </w:rPr>
      <w:drawing>
        <wp:anchor distT="0" distB="0" distL="114300" distR="114300" simplePos="0" relativeHeight="251658241" behindDoc="1" locked="0" layoutInCell="0" allowOverlap="1" wp14:anchorId="38685A6C" wp14:editId="1661A93E">
          <wp:simplePos x="0" y="0"/>
          <wp:positionH relativeFrom="page">
            <wp:posOffset>0</wp:posOffset>
          </wp:positionH>
          <wp:positionV relativeFrom="page">
            <wp:posOffset>1179</wp:posOffset>
          </wp:positionV>
          <wp:extent cx="6080400" cy="918140"/>
          <wp:effectExtent l="0" t="0" r="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F90346">
      <w:t>National Pricing Mo</w:t>
    </w:r>
    <w:r>
      <w:t>del 2022-23</w:t>
    </w:r>
    <w:r w:rsidRPr="00F90346">
      <w:t xml:space="preserve"> – Technical Specifications</w:t>
    </w:r>
    <w:r>
      <w:tab/>
    </w:r>
    <w:r>
      <w:ptab w:relativeTo="margin" w:alignment="right" w:leader="none"/>
    </w:r>
    <w:r w:rsidRPr="009222FE">
      <w:rPr>
        <w:color w:val="008542" w:themeColor="accent2"/>
      </w:rPr>
      <w:fldChar w:fldCharType="begin"/>
    </w:r>
    <w:r w:rsidRPr="009222FE">
      <w:rPr>
        <w:color w:val="008542" w:themeColor="accent2"/>
      </w:rPr>
      <w:instrText xml:space="preserve"> PAGE   \* MERGEFORMAT </w:instrText>
    </w:r>
    <w:r w:rsidRPr="009222FE">
      <w:rPr>
        <w:color w:val="008542" w:themeColor="accent2"/>
      </w:rPr>
      <w:fldChar w:fldCharType="separate"/>
    </w:r>
    <w:r w:rsidRPr="009222FE">
      <w:rPr>
        <w:noProof/>
        <w:color w:val="008542" w:themeColor="accent2"/>
      </w:rPr>
      <w:t>1</w:t>
    </w:r>
    <w:r w:rsidRPr="009222FE">
      <w:rPr>
        <w:color w:val="008542"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B46034F4"/>
    <w:lvl w:ilvl="0" w:tplc="80FE154C">
      <w:start w:val="1"/>
      <w:numFmt w:val="decimal"/>
      <w:pStyle w:val="ListNumber4"/>
      <w:lvlText w:val="%1."/>
      <w:lvlJc w:val="left"/>
      <w:pPr>
        <w:tabs>
          <w:tab w:val="num" w:pos="1209"/>
        </w:tabs>
        <w:ind w:left="1209" w:hanging="360"/>
      </w:pPr>
    </w:lvl>
    <w:lvl w:ilvl="1" w:tplc="579A4B52">
      <w:numFmt w:val="decimal"/>
      <w:lvlText w:val=""/>
      <w:lvlJc w:val="left"/>
    </w:lvl>
    <w:lvl w:ilvl="2" w:tplc="11DA50CC">
      <w:numFmt w:val="decimal"/>
      <w:lvlText w:val=""/>
      <w:lvlJc w:val="left"/>
    </w:lvl>
    <w:lvl w:ilvl="3" w:tplc="26A881C2">
      <w:numFmt w:val="decimal"/>
      <w:lvlText w:val=""/>
      <w:lvlJc w:val="left"/>
    </w:lvl>
    <w:lvl w:ilvl="4" w:tplc="7870EB56">
      <w:numFmt w:val="decimal"/>
      <w:lvlText w:val=""/>
      <w:lvlJc w:val="left"/>
    </w:lvl>
    <w:lvl w:ilvl="5" w:tplc="EF9849D4">
      <w:numFmt w:val="decimal"/>
      <w:lvlText w:val=""/>
      <w:lvlJc w:val="left"/>
    </w:lvl>
    <w:lvl w:ilvl="6" w:tplc="BC823E7E">
      <w:numFmt w:val="decimal"/>
      <w:lvlText w:val=""/>
      <w:lvlJc w:val="left"/>
    </w:lvl>
    <w:lvl w:ilvl="7" w:tplc="D3D05530">
      <w:numFmt w:val="decimal"/>
      <w:lvlText w:val=""/>
      <w:lvlJc w:val="left"/>
    </w:lvl>
    <w:lvl w:ilvl="8" w:tplc="8B42DB44">
      <w:numFmt w:val="decimal"/>
      <w:lvlText w:val=""/>
      <w:lvlJc w:val="left"/>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02040BC8"/>
    <w:multiLevelType w:val="hybridMultilevel"/>
    <w:tmpl w:val="3E50036A"/>
    <w:lvl w:ilvl="0" w:tplc="7696D3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02077091"/>
    <w:multiLevelType w:val="hybridMultilevel"/>
    <w:tmpl w:val="DE20F592"/>
    <w:lvl w:ilvl="0" w:tplc="9E26B9C2">
      <w:start w:val="1"/>
      <w:numFmt w:val="lowerLetter"/>
      <w:lvlText w:val="%1."/>
      <w:lvlJc w:val="left"/>
      <w:pPr>
        <w:ind w:left="720" w:hanging="360"/>
      </w:pPr>
      <w:rPr>
        <w:rFonts w:cs="Times New Roman" w:hint="default"/>
        <w:i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CCFED474">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4C48C9"/>
    <w:multiLevelType w:val="hybridMultilevel"/>
    <w:tmpl w:val="032E77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3BE3B5E"/>
    <w:multiLevelType w:val="multilevel"/>
    <w:tmpl w:val="293ADD3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792"/>
      </w:pPr>
      <w:rPr>
        <w:rFonts w:hint="default"/>
      </w:rPr>
    </w:lvl>
    <w:lvl w:ilvl="2">
      <w:start w:val="1"/>
      <w:numFmt w:val="decimal"/>
      <w:pStyle w:val="Heading3"/>
      <w:lvlText w:val="%1.%2.%3."/>
      <w:lvlJc w:val="left"/>
      <w:pPr>
        <w:ind w:left="1224" w:hanging="122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BC83BFE"/>
    <w:multiLevelType w:val="hybridMultilevel"/>
    <w:tmpl w:val="3E50036A"/>
    <w:lvl w:ilvl="0" w:tplc="7696D3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15E7011E"/>
    <w:multiLevelType w:val="hybridMultilevel"/>
    <w:tmpl w:val="0E52CC3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9F766B"/>
    <w:multiLevelType w:val="hybridMultilevel"/>
    <w:tmpl w:val="3E50036A"/>
    <w:lvl w:ilvl="0" w:tplc="7696D376">
      <w:start w:val="1"/>
      <w:numFmt w:val="lowerLetter"/>
      <w:lvlText w:val="%1."/>
      <w:lvlJc w:val="left"/>
      <w:pPr>
        <w:ind w:left="502" w:hanging="360"/>
      </w:pPr>
      <w:rPr>
        <w:rFonts w:cs="Times New Roman" w:hint="default"/>
      </w:rPr>
    </w:lvl>
    <w:lvl w:ilvl="1" w:tplc="0C090019">
      <w:start w:val="1"/>
      <w:numFmt w:val="lowerLetter"/>
      <w:lvlText w:val="%2."/>
      <w:lvlJc w:val="left"/>
      <w:pPr>
        <w:ind w:left="1222" w:hanging="360"/>
      </w:pPr>
      <w:rPr>
        <w:rFonts w:cs="Times New Roman"/>
      </w:rPr>
    </w:lvl>
    <w:lvl w:ilvl="2" w:tplc="0C09001B" w:tentative="1">
      <w:start w:val="1"/>
      <w:numFmt w:val="lowerRoman"/>
      <w:lvlText w:val="%3."/>
      <w:lvlJc w:val="right"/>
      <w:pPr>
        <w:ind w:left="1942" w:hanging="180"/>
      </w:pPr>
      <w:rPr>
        <w:rFonts w:cs="Times New Roman"/>
      </w:rPr>
    </w:lvl>
    <w:lvl w:ilvl="3" w:tplc="0C09000F" w:tentative="1">
      <w:start w:val="1"/>
      <w:numFmt w:val="decimal"/>
      <w:lvlText w:val="%4."/>
      <w:lvlJc w:val="left"/>
      <w:pPr>
        <w:ind w:left="2662" w:hanging="360"/>
      </w:pPr>
      <w:rPr>
        <w:rFonts w:cs="Times New Roman"/>
      </w:rPr>
    </w:lvl>
    <w:lvl w:ilvl="4" w:tplc="0C090019" w:tentative="1">
      <w:start w:val="1"/>
      <w:numFmt w:val="lowerLetter"/>
      <w:lvlText w:val="%5."/>
      <w:lvlJc w:val="left"/>
      <w:pPr>
        <w:ind w:left="3382" w:hanging="360"/>
      </w:pPr>
      <w:rPr>
        <w:rFonts w:cs="Times New Roman"/>
      </w:rPr>
    </w:lvl>
    <w:lvl w:ilvl="5" w:tplc="0C09001B" w:tentative="1">
      <w:start w:val="1"/>
      <w:numFmt w:val="lowerRoman"/>
      <w:lvlText w:val="%6."/>
      <w:lvlJc w:val="right"/>
      <w:pPr>
        <w:ind w:left="4102" w:hanging="180"/>
      </w:pPr>
      <w:rPr>
        <w:rFonts w:cs="Times New Roman"/>
      </w:rPr>
    </w:lvl>
    <w:lvl w:ilvl="6" w:tplc="0C09000F" w:tentative="1">
      <w:start w:val="1"/>
      <w:numFmt w:val="decimal"/>
      <w:lvlText w:val="%7."/>
      <w:lvlJc w:val="left"/>
      <w:pPr>
        <w:ind w:left="4822" w:hanging="360"/>
      </w:pPr>
      <w:rPr>
        <w:rFonts w:cs="Times New Roman"/>
      </w:rPr>
    </w:lvl>
    <w:lvl w:ilvl="7" w:tplc="0C090019" w:tentative="1">
      <w:start w:val="1"/>
      <w:numFmt w:val="lowerLetter"/>
      <w:lvlText w:val="%8."/>
      <w:lvlJc w:val="left"/>
      <w:pPr>
        <w:ind w:left="5542" w:hanging="360"/>
      </w:pPr>
      <w:rPr>
        <w:rFonts w:cs="Times New Roman"/>
      </w:rPr>
    </w:lvl>
    <w:lvl w:ilvl="8" w:tplc="0C09001B" w:tentative="1">
      <w:start w:val="1"/>
      <w:numFmt w:val="lowerRoman"/>
      <w:lvlText w:val="%9."/>
      <w:lvlJc w:val="right"/>
      <w:pPr>
        <w:ind w:left="6262" w:hanging="180"/>
      </w:pPr>
      <w:rPr>
        <w:rFonts w:cs="Times New Roman"/>
      </w:rPr>
    </w:lvl>
  </w:abstractNum>
  <w:abstractNum w:abstractNumId="16" w15:restartNumberingAfterBreak="0">
    <w:nsid w:val="1E7E0965"/>
    <w:multiLevelType w:val="multilevel"/>
    <w:tmpl w:val="3A32055C"/>
    <w:lvl w:ilvl="0">
      <w:start w:val="1"/>
      <w:numFmt w:val="upperLetter"/>
      <w:lvlText w:val="Appendix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Letter"/>
      <w:lvlText w:val="%4)"/>
      <w:lvlJc w:val="left"/>
      <w:pPr>
        <w:ind w:left="864" w:hanging="144"/>
      </w:pPr>
      <w:rPr>
        <w:rFonts w:hint="default"/>
        <w:b/>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25586A7F"/>
    <w:multiLevelType w:val="hybridMultilevel"/>
    <w:tmpl w:val="ADAE5E18"/>
    <w:lvl w:ilvl="0" w:tplc="F54040DE">
      <w:start w:val="1"/>
      <w:numFmt w:val="bullet"/>
      <w:lvlText w:val=""/>
      <w:lvlJc w:val="left"/>
      <w:pPr>
        <w:ind w:left="360" w:hanging="360"/>
      </w:pPr>
      <w:rPr>
        <w:rFonts w:ascii="Symbol" w:hAnsi="Symbol" w:hint="default"/>
      </w:rPr>
    </w:lvl>
    <w:lvl w:ilvl="1" w:tplc="31FCF082">
      <w:start w:val="1"/>
      <w:numFmt w:val="bullet"/>
      <w:pStyle w:val="List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6EA1709"/>
    <w:multiLevelType w:val="hybridMultilevel"/>
    <w:tmpl w:val="C794FC3E"/>
    <w:lvl w:ilvl="0" w:tplc="04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D41B97"/>
    <w:multiLevelType w:val="hybridMultilevel"/>
    <w:tmpl w:val="56DE00CE"/>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CB7C2B"/>
    <w:multiLevelType w:val="hybridMultilevel"/>
    <w:tmpl w:val="7BD62954"/>
    <w:lvl w:ilvl="0" w:tplc="F54040DE">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D32F2A"/>
    <w:multiLevelType w:val="hybridMultilevel"/>
    <w:tmpl w:val="C97C3E0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5250779"/>
    <w:multiLevelType w:val="hybridMultilevel"/>
    <w:tmpl w:val="0409001D"/>
    <w:numStyleLink w:val="1ai"/>
  </w:abstractNum>
  <w:abstractNum w:abstractNumId="23" w15:restartNumberingAfterBreak="0">
    <w:nsid w:val="36E51E41"/>
    <w:multiLevelType w:val="hybridMultilevel"/>
    <w:tmpl w:val="04EE9320"/>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7F740C5"/>
    <w:multiLevelType w:val="hybridMultilevel"/>
    <w:tmpl w:val="26C6CAE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C854C8D"/>
    <w:multiLevelType w:val="hybridMultilevel"/>
    <w:tmpl w:val="F5660E7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3B7BAA"/>
    <w:multiLevelType w:val="hybridMultilevel"/>
    <w:tmpl w:val="8CC6148C"/>
    <w:lvl w:ilvl="0" w:tplc="8670D6C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2F059E"/>
    <w:multiLevelType w:val="hybridMultilevel"/>
    <w:tmpl w:val="6E58AD1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324554"/>
    <w:multiLevelType w:val="hybridMultilevel"/>
    <w:tmpl w:val="F7F05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A94279E"/>
    <w:multiLevelType w:val="hybridMultilevel"/>
    <w:tmpl w:val="A5BC8C18"/>
    <w:lvl w:ilvl="0" w:tplc="E1504D4A">
      <w:start w:val="1"/>
      <w:numFmt w:val="lowerLetter"/>
      <w:lvlText w:val="%1."/>
      <w:lvlJc w:val="left"/>
      <w:pPr>
        <w:ind w:left="720" w:hanging="360"/>
      </w:pPr>
      <w:rPr>
        <w:rFonts w:cs="Times New Roman" w:hint="default"/>
        <w:i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1778" w:hanging="360"/>
      </w:pPr>
      <w:rPr>
        <w:rFonts w:ascii="Wingdings" w:hAnsi="Wingdings" w:hint="default"/>
      </w:rPr>
    </w:lvl>
    <w:lvl w:ilvl="3" w:tplc="A44C9CE0">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5C58B9"/>
    <w:multiLevelType w:val="hybridMultilevel"/>
    <w:tmpl w:val="D480E5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883B6A"/>
    <w:multiLevelType w:val="hybridMultilevel"/>
    <w:tmpl w:val="60EEF99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3FB5853"/>
    <w:multiLevelType w:val="hybridMultilevel"/>
    <w:tmpl w:val="6B6CA1FA"/>
    <w:lvl w:ilvl="0" w:tplc="D40C8314">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ED2B1A"/>
    <w:multiLevelType w:val="hybridMultilevel"/>
    <w:tmpl w:val="0409001D"/>
    <w:styleLink w:val="1ai"/>
    <w:lvl w:ilvl="0" w:tplc="F39EB590">
      <w:start w:val="1"/>
      <w:numFmt w:val="decimal"/>
      <w:lvlText w:val="%1)"/>
      <w:lvlJc w:val="left"/>
      <w:pPr>
        <w:tabs>
          <w:tab w:val="num" w:pos="360"/>
        </w:tabs>
        <w:ind w:left="360" w:hanging="360"/>
      </w:pPr>
      <w:rPr>
        <w:rFonts w:cs="Times New Roman"/>
      </w:rPr>
    </w:lvl>
    <w:lvl w:ilvl="1" w:tplc="F3802C82">
      <w:start w:val="1"/>
      <w:numFmt w:val="lowerLetter"/>
      <w:lvlText w:val="%2)"/>
      <w:lvlJc w:val="left"/>
      <w:pPr>
        <w:tabs>
          <w:tab w:val="num" w:pos="720"/>
        </w:tabs>
        <w:ind w:left="720" w:hanging="360"/>
      </w:pPr>
      <w:rPr>
        <w:rFonts w:cs="Times New Roman"/>
      </w:rPr>
    </w:lvl>
    <w:lvl w:ilvl="2" w:tplc="C29C50FA">
      <w:start w:val="1"/>
      <w:numFmt w:val="lowerRoman"/>
      <w:lvlText w:val="%3)"/>
      <w:lvlJc w:val="left"/>
      <w:pPr>
        <w:tabs>
          <w:tab w:val="num" w:pos="1080"/>
        </w:tabs>
        <w:ind w:left="1080" w:hanging="360"/>
      </w:pPr>
      <w:rPr>
        <w:rFonts w:cs="Times New Roman"/>
      </w:rPr>
    </w:lvl>
    <w:lvl w:ilvl="3" w:tplc="0E08B374">
      <w:start w:val="1"/>
      <w:numFmt w:val="decimal"/>
      <w:lvlText w:val="(%4)"/>
      <w:lvlJc w:val="left"/>
      <w:pPr>
        <w:tabs>
          <w:tab w:val="num" w:pos="1440"/>
        </w:tabs>
        <w:ind w:left="1440" w:hanging="360"/>
      </w:pPr>
      <w:rPr>
        <w:rFonts w:cs="Times New Roman"/>
      </w:rPr>
    </w:lvl>
    <w:lvl w:ilvl="4" w:tplc="0A9EA93C">
      <w:start w:val="1"/>
      <w:numFmt w:val="lowerLetter"/>
      <w:lvlText w:val="(%5)"/>
      <w:lvlJc w:val="left"/>
      <w:pPr>
        <w:tabs>
          <w:tab w:val="num" w:pos="1800"/>
        </w:tabs>
        <w:ind w:left="1800" w:hanging="360"/>
      </w:pPr>
      <w:rPr>
        <w:rFonts w:cs="Times New Roman"/>
      </w:rPr>
    </w:lvl>
    <w:lvl w:ilvl="5" w:tplc="D0D88682">
      <w:start w:val="1"/>
      <w:numFmt w:val="lowerRoman"/>
      <w:lvlText w:val="(%6)"/>
      <w:lvlJc w:val="left"/>
      <w:pPr>
        <w:tabs>
          <w:tab w:val="num" w:pos="2160"/>
        </w:tabs>
        <w:ind w:left="2160" w:hanging="360"/>
      </w:pPr>
      <w:rPr>
        <w:rFonts w:cs="Times New Roman"/>
      </w:rPr>
    </w:lvl>
    <w:lvl w:ilvl="6" w:tplc="C39A9FFE">
      <w:start w:val="1"/>
      <w:numFmt w:val="decimal"/>
      <w:lvlText w:val="%7."/>
      <w:lvlJc w:val="left"/>
      <w:pPr>
        <w:tabs>
          <w:tab w:val="num" w:pos="2520"/>
        </w:tabs>
        <w:ind w:left="2520" w:hanging="360"/>
      </w:pPr>
      <w:rPr>
        <w:rFonts w:cs="Times New Roman"/>
      </w:rPr>
    </w:lvl>
    <w:lvl w:ilvl="7" w:tplc="5E50AFCA">
      <w:start w:val="1"/>
      <w:numFmt w:val="lowerLetter"/>
      <w:lvlText w:val="%8."/>
      <w:lvlJc w:val="left"/>
      <w:pPr>
        <w:tabs>
          <w:tab w:val="num" w:pos="2880"/>
        </w:tabs>
        <w:ind w:left="2880" w:hanging="360"/>
      </w:pPr>
      <w:rPr>
        <w:rFonts w:cs="Times New Roman"/>
      </w:rPr>
    </w:lvl>
    <w:lvl w:ilvl="8" w:tplc="52FE6594">
      <w:start w:val="1"/>
      <w:numFmt w:val="lowerRoman"/>
      <w:lvlText w:val="%9."/>
      <w:lvlJc w:val="left"/>
      <w:pPr>
        <w:tabs>
          <w:tab w:val="num" w:pos="3240"/>
        </w:tabs>
        <w:ind w:left="3240" w:hanging="360"/>
      </w:pPr>
      <w:rPr>
        <w:rFonts w:cs="Times New Roman"/>
      </w:rPr>
    </w:lvl>
  </w:abstractNum>
  <w:abstractNum w:abstractNumId="35" w15:restartNumberingAfterBreak="0">
    <w:nsid w:val="66FC111D"/>
    <w:multiLevelType w:val="hybridMultilevel"/>
    <w:tmpl w:val="C97C3E0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9E11941"/>
    <w:multiLevelType w:val="hybridMultilevel"/>
    <w:tmpl w:val="2B2C7D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D1510CB"/>
    <w:multiLevelType w:val="hybridMultilevel"/>
    <w:tmpl w:val="D060A698"/>
    <w:lvl w:ilvl="0" w:tplc="0C090019">
      <w:start w:val="1"/>
      <w:numFmt w:val="lowerLetter"/>
      <w:lvlText w:val="%1."/>
      <w:lvlJc w:val="left"/>
      <w:pPr>
        <w:ind w:left="1097" w:hanging="360"/>
      </w:pPr>
      <w:rPr>
        <w:rFonts w:hint="default"/>
        <w:i w:val="0"/>
      </w:rPr>
    </w:lvl>
    <w:lvl w:ilvl="1" w:tplc="0C090001">
      <w:start w:val="1"/>
      <w:numFmt w:val="bullet"/>
      <w:lvlText w:val=""/>
      <w:lvlJc w:val="left"/>
      <w:pPr>
        <w:ind w:left="1817" w:hanging="360"/>
      </w:pPr>
      <w:rPr>
        <w:rFonts w:ascii="Symbol" w:hAnsi="Symbol" w:hint="default"/>
      </w:r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8" w15:restartNumberingAfterBreak="0">
    <w:nsid w:val="6D2A450D"/>
    <w:multiLevelType w:val="hybridMultilevel"/>
    <w:tmpl w:val="30A8F13A"/>
    <w:lvl w:ilvl="0" w:tplc="D67CCBAE">
      <w:start w:val="1"/>
      <w:numFmt w:val="bullet"/>
      <w:lvlText w:val=""/>
      <w:lvlJc w:val="left"/>
      <w:pPr>
        <w:ind w:left="360" w:hanging="360"/>
      </w:pPr>
      <w:rPr>
        <w:rFonts w:ascii="Symbol" w:hAnsi="Symbol" w:hint="default"/>
        <w:b w:val="0"/>
        <w:sz w:val="22"/>
        <w:szCs w:val="22"/>
      </w:rPr>
    </w:lvl>
    <w:lvl w:ilvl="1" w:tplc="0C090019">
      <w:start w:val="1"/>
      <w:numFmt w:val="lowerLetter"/>
      <w:lvlText w:val="%2."/>
      <w:lvlJc w:val="left"/>
      <w:pPr>
        <w:ind w:left="1015" w:hanging="360"/>
      </w:pPr>
    </w:lvl>
    <w:lvl w:ilvl="2" w:tplc="0C09001B">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39" w15:restartNumberingAfterBreak="0">
    <w:nsid w:val="7DC77FF1"/>
    <w:multiLevelType w:val="multilevel"/>
    <w:tmpl w:val="0538767A"/>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25"/>
  </w:num>
  <w:num w:numId="11">
    <w:abstractNumId w:val="21"/>
  </w:num>
  <w:num w:numId="12">
    <w:abstractNumId w:val="35"/>
  </w:num>
  <w:num w:numId="13">
    <w:abstractNumId w:val="10"/>
  </w:num>
  <w:num w:numId="14">
    <w:abstractNumId w:val="9"/>
  </w:num>
  <w:num w:numId="15">
    <w:abstractNumId w:val="30"/>
  </w:num>
  <w:num w:numId="16">
    <w:abstractNumId w:val="15"/>
  </w:num>
  <w:num w:numId="17">
    <w:abstractNumId w:val="13"/>
  </w:num>
  <w:num w:numId="18">
    <w:abstractNumId w:val="32"/>
  </w:num>
  <w:num w:numId="19">
    <w:abstractNumId w:val="18"/>
  </w:num>
  <w:num w:numId="20">
    <w:abstractNumId w:val="37"/>
  </w:num>
  <w:num w:numId="21">
    <w:abstractNumId w:val="34"/>
  </w:num>
  <w:num w:numId="22">
    <w:abstractNumId w:val="23"/>
  </w:num>
  <w:num w:numId="23">
    <w:abstractNumId w:val="22"/>
  </w:num>
  <w:num w:numId="24">
    <w:abstractNumId w:val="27"/>
  </w:num>
  <w:num w:numId="25">
    <w:abstractNumId w:val="11"/>
  </w:num>
  <w:num w:numId="26">
    <w:abstractNumId w:val="16"/>
  </w:num>
  <w:num w:numId="27">
    <w:abstractNumId w:val="38"/>
  </w:num>
  <w:num w:numId="28">
    <w:abstractNumId w:val="36"/>
  </w:num>
  <w:num w:numId="29">
    <w:abstractNumId w:val="33"/>
  </w:num>
  <w:num w:numId="30">
    <w:abstractNumId w:val="39"/>
  </w:num>
  <w:num w:numId="31">
    <w:abstractNumId w:val="12"/>
  </w:num>
  <w:num w:numId="32">
    <w:abstractNumId w:val="12"/>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pStyle w:val="Heading4"/>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9"/>
  </w:num>
  <w:num w:numId="34">
    <w:abstractNumId w:val="17"/>
  </w:num>
  <w:num w:numId="35">
    <w:abstractNumId w:val="19"/>
  </w:num>
  <w:num w:numId="36">
    <w:abstractNumId w:val="20"/>
  </w:num>
  <w:num w:numId="37">
    <w:abstractNumId w:val="26"/>
  </w:num>
  <w:num w:numId="38">
    <w:abstractNumId w:val="31"/>
  </w:num>
  <w:num w:numId="39">
    <w:abstractNumId w:val="28"/>
  </w:num>
  <w:num w:numId="40">
    <w:abstractNumId w:val="14"/>
  </w:num>
  <w:num w:numId="41">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FE9"/>
    <w:rsid w:val="00000669"/>
    <w:rsid w:val="00000E22"/>
    <w:rsid w:val="00001CB6"/>
    <w:rsid w:val="00001D0C"/>
    <w:rsid w:val="00001D43"/>
    <w:rsid w:val="0000277D"/>
    <w:rsid w:val="000039F2"/>
    <w:rsid w:val="0000413F"/>
    <w:rsid w:val="00005785"/>
    <w:rsid w:val="00005C6E"/>
    <w:rsid w:val="00006876"/>
    <w:rsid w:val="00006BAE"/>
    <w:rsid w:val="00006CC0"/>
    <w:rsid w:val="000071E2"/>
    <w:rsid w:val="000078F7"/>
    <w:rsid w:val="000079AD"/>
    <w:rsid w:val="00007D1F"/>
    <w:rsid w:val="00010D84"/>
    <w:rsid w:val="00010F15"/>
    <w:rsid w:val="00011559"/>
    <w:rsid w:val="00011CE3"/>
    <w:rsid w:val="00011DBE"/>
    <w:rsid w:val="000120E9"/>
    <w:rsid w:val="000125C7"/>
    <w:rsid w:val="00012798"/>
    <w:rsid w:val="00012833"/>
    <w:rsid w:val="00012A32"/>
    <w:rsid w:val="0001368F"/>
    <w:rsid w:val="000148D8"/>
    <w:rsid w:val="00014E9D"/>
    <w:rsid w:val="000162EF"/>
    <w:rsid w:val="00016ECA"/>
    <w:rsid w:val="000179AA"/>
    <w:rsid w:val="00017C69"/>
    <w:rsid w:val="00020319"/>
    <w:rsid w:val="00021749"/>
    <w:rsid w:val="00021B50"/>
    <w:rsid w:val="00022E9C"/>
    <w:rsid w:val="0002334C"/>
    <w:rsid w:val="00023C1E"/>
    <w:rsid w:val="00023DC4"/>
    <w:rsid w:val="00024AD7"/>
    <w:rsid w:val="00024EF0"/>
    <w:rsid w:val="00025631"/>
    <w:rsid w:val="00026E8F"/>
    <w:rsid w:val="00027237"/>
    <w:rsid w:val="00027B26"/>
    <w:rsid w:val="00030568"/>
    <w:rsid w:val="00030705"/>
    <w:rsid w:val="000313F8"/>
    <w:rsid w:val="000318E8"/>
    <w:rsid w:val="00031F4A"/>
    <w:rsid w:val="000323A9"/>
    <w:rsid w:val="00032861"/>
    <w:rsid w:val="00032B77"/>
    <w:rsid w:val="00033480"/>
    <w:rsid w:val="00034001"/>
    <w:rsid w:val="000344B9"/>
    <w:rsid w:val="00034D37"/>
    <w:rsid w:val="0003526B"/>
    <w:rsid w:val="000358B9"/>
    <w:rsid w:val="00035965"/>
    <w:rsid w:val="00035CAF"/>
    <w:rsid w:val="00035E24"/>
    <w:rsid w:val="0003620C"/>
    <w:rsid w:val="00037BA8"/>
    <w:rsid w:val="000417E2"/>
    <w:rsid w:val="00041DFB"/>
    <w:rsid w:val="00042285"/>
    <w:rsid w:val="00042413"/>
    <w:rsid w:val="000429D3"/>
    <w:rsid w:val="00043256"/>
    <w:rsid w:val="00043FA9"/>
    <w:rsid w:val="00044419"/>
    <w:rsid w:val="00045A89"/>
    <w:rsid w:val="00046F8E"/>
    <w:rsid w:val="00047524"/>
    <w:rsid w:val="00047E12"/>
    <w:rsid w:val="0005021D"/>
    <w:rsid w:val="0005040E"/>
    <w:rsid w:val="0005087D"/>
    <w:rsid w:val="00050995"/>
    <w:rsid w:val="0005099B"/>
    <w:rsid w:val="00050F9E"/>
    <w:rsid w:val="00051B5E"/>
    <w:rsid w:val="00052132"/>
    <w:rsid w:val="0005321A"/>
    <w:rsid w:val="000547EF"/>
    <w:rsid w:val="00055252"/>
    <w:rsid w:val="00056004"/>
    <w:rsid w:val="000566DD"/>
    <w:rsid w:val="00057693"/>
    <w:rsid w:val="00057977"/>
    <w:rsid w:val="0006075A"/>
    <w:rsid w:val="00060AB7"/>
    <w:rsid w:val="00061C84"/>
    <w:rsid w:val="00062484"/>
    <w:rsid w:val="00062C58"/>
    <w:rsid w:val="00062D5E"/>
    <w:rsid w:val="00063129"/>
    <w:rsid w:val="00063EAE"/>
    <w:rsid w:val="00064181"/>
    <w:rsid w:val="0006429B"/>
    <w:rsid w:val="00064C88"/>
    <w:rsid w:val="00064EE9"/>
    <w:rsid w:val="00065022"/>
    <w:rsid w:val="00065A5E"/>
    <w:rsid w:val="00065BBF"/>
    <w:rsid w:val="00065F1F"/>
    <w:rsid w:val="00066292"/>
    <w:rsid w:val="00066D14"/>
    <w:rsid w:val="00066FA0"/>
    <w:rsid w:val="000702B7"/>
    <w:rsid w:val="00070681"/>
    <w:rsid w:val="00070BE1"/>
    <w:rsid w:val="00071761"/>
    <w:rsid w:val="0007253A"/>
    <w:rsid w:val="00073D14"/>
    <w:rsid w:val="0007411E"/>
    <w:rsid w:val="000743B4"/>
    <w:rsid w:val="00074712"/>
    <w:rsid w:val="00075468"/>
    <w:rsid w:val="00077995"/>
    <w:rsid w:val="000801B1"/>
    <w:rsid w:val="00080A09"/>
    <w:rsid w:val="00080AE6"/>
    <w:rsid w:val="00081CEB"/>
    <w:rsid w:val="00082060"/>
    <w:rsid w:val="000822BA"/>
    <w:rsid w:val="000823A8"/>
    <w:rsid w:val="000828C3"/>
    <w:rsid w:val="00082D70"/>
    <w:rsid w:val="00083082"/>
    <w:rsid w:val="00083514"/>
    <w:rsid w:val="00085BB1"/>
    <w:rsid w:val="00087031"/>
    <w:rsid w:val="000875F5"/>
    <w:rsid w:val="0008780B"/>
    <w:rsid w:val="00087B2C"/>
    <w:rsid w:val="00087DBD"/>
    <w:rsid w:val="0009067E"/>
    <w:rsid w:val="00090718"/>
    <w:rsid w:val="00091B4E"/>
    <w:rsid w:val="00091CD7"/>
    <w:rsid w:val="00092310"/>
    <w:rsid w:val="00092702"/>
    <w:rsid w:val="00092AA7"/>
    <w:rsid w:val="00092CBA"/>
    <w:rsid w:val="00093CD2"/>
    <w:rsid w:val="00093DD5"/>
    <w:rsid w:val="0009510B"/>
    <w:rsid w:val="000954D1"/>
    <w:rsid w:val="000957E8"/>
    <w:rsid w:val="00095A3F"/>
    <w:rsid w:val="00095ACF"/>
    <w:rsid w:val="00095E24"/>
    <w:rsid w:val="00097375"/>
    <w:rsid w:val="000A03DD"/>
    <w:rsid w:val="000A1A09"/>
    <w:rsid w:val="000A257D"/>
    <w:rsid w:val="000A342B"/>
    <w:rsid w:val="000A47A8"/>
    <w:rsid w:val="000A62A2"/>
    <w:rsid w:val="000A673C"/>
    <w:rsid w:val="000A6865"/>
    <w:rsid w:val="000A73FB"/>
    <w:rsid w:val="000B0256"/>
    <w:rsid w:val="000B218A"/>
    <w:rsid w:val="000B24B4"/>
    <w:rsid w:val="000B2771"/>
    <w:rsid w:val="000B3489"/>
    <w:rsid w:val="000B596B"/>
    <w:rsid w:val="000B5EAE"/>
    <w:rsid w:val="000B5F59"/>
    <w:rsid w:val="000B70E6"/>
    <w:rsid w:val="000B7441"/>
    <w:rsid w:val="000B77C4"/>
    <w:rsid w:val="000C014D"/>
    <w:rsid w:val="000C0BA6"/>
    <w:rsid w:val="000C1C38"/>
    <w:rsid w:val="000C25C4"/>
    <w:rsid w:val="000C2852"/>
    <w:rsid w:val="000C29B4"/>
    <w:rsid w:val="000C490B"/>
    <w:rsid w:val="000C4E4E"/>
    <w:rsid w:val="000C50CB"/>
    <w:rsid w:val="000C5CD8"/>
    <w:rsid w:val="000C6F18"/>
    <w:rsid w:val="000C72C1"/>
    <w:rsid w:val="000C7A69"/>
    <w:rsid w:val="000D0167"/>
    <w:rsid w:val="000D0291"/>
    <w:rsid w:val="000D04F5"/>
    <w:rsid w:val="000D0899"/>
    <w:rsid w:val="000D1158"/>
    <w:rsid w:val="000D1244"/>
    <w:rsid w:val="000D1990"/>
    <w:rsid w:val="000D1D81"/>
    <w:rsid w:val="000D202B"/>
    <w:rsid w:val="000D22AA"/>
    <w:rsid w:val="000D327E"/>
    <w:rsid w:val="000D36B9"/>
    <w:rsid w:val="000D384A"/>
    <w:rsid w:val="000D4703"/>
    <w:rsid w:val="000D48B9"/>
    <w:rsid w:val="000D589B"/>
    <w:rsid w:val="000D609B"/>
    <w:rsid w:val="000D6DF4"/>
    <w:rsid w:val="000D77C3"/>
    <w:rsid w:val="000E0886"/>
    <w:rsid w:val="000E0D3C"/>
    <w:rsid w:val="000E12D4"/>
    <w:rsid w:val="000E2C88"/>
    <w:rsid w:val="000E39EF"/>
    <w:rsid w:val="000E42F3"/>
    <w:rsid w:val="000E4744"/>
    <w:rsid w:val="000E4A6F"/>
    <w:rsid w:val="000E56FA"/>
    <w:rsid w:val="000E576A"/>
    <w:rsid w:val="000E620E"/>
    <w:rsid w:val="000E7268"/>
    <w:rsid w:val="000E750A"/>
    <w:rsid w:val="000E7AC7"/>
    <w:rsid w:val="000F0832"/>
    <w:rsid w:val="000F1498"/>
    <w:rsid w:val="000F1819"/>
    <w:rsid w:val="000F2063"/>
    <w:rsid w:val="000F2A4C"/>
    <w:rsid w:val="000F2D99"/>
    <w:rsid w:val="000F2DF7"/>
    <w:rsid w:val="000F2F11"/>
    <w:rsid w:val="000F2FA8"/>
    <w:rsid w:val="000F3D28"/>
    <w:rsid w:val="000F4E50"/>
    <w:rsid w:val="000F557E"/>
    <w:rsid w:val="000F63C4"/>
    <w:rsid w:val="000F6586"/>
    <w:rsid w:val="000F6AE1"/>
    <w:rsid w:val="000F6B20"/>
    <w:rsid w:val="000F72B0"/>
    <w:rsid w:val="00100200"/>
    <w:rsid w:val="00100DB8"/>
    <w:rsid w:val="0010178B"/>
    <w:rsid w:val="00101B5B"/>
    <w:rsid w:val="0010263D"/>
    <w:rsid w:val="00102824"/>
    <w:rsid w:val="0010300A"/>
    <w:rsid w:val="00103167"/>
    <w:rsid w:val="00104C56"/>
    <w:rsid w:val="00105BEF"/>
    <w:rsid w:val="001061C9"/>
    <w:rsid w:val="00106B2E"/>
    <w:rsid w:val="00106E80"/>
    <w:rsid w:val="0011143B"/>
    <w:rsid w:val="00111560"/>
    <w:rsid w:val="00112270"/>
    <w:rsid w:val="001131F0"/>
    <w:rsid w:val="001139C7"/>
    <w:rsid w:val="00114730"/>
    <w:rsid w:val="00114EBC"/>
    <w:rsid w:val="0011612D"/>
    <w:rsid w:val="00117521"/>
    <w:rsid w:val="00117AFA"/>
    <w:rsid w:val="00117F5E"/>
    <w:rsid w:val="00120988"/>
    <w:rsid w:val="00122093"/>
    <w:rsid w:val="00123C4B"/>
    <w:rsid w:val="0012427E"/>
    <w:rsid w:val="001247E0"/>
    <w:rsid w:val="001248F6"/>
    <w:rsid w:val="00124F3F"/>
    <w:rsid w:val="00126750"/>
    <w:rsid w:val="001268EB"/>
    <w:rsid w:val="001271A1"/>
    <w:rsid w:val="00130FD0"/>
    <w:rsid w:val="0013160E"/>
    <w:rsid w:val="00131B6D"/>
    <w:rsid w:val="00131C0F"/>
    <w:rsid w:val="001325BF"/>
    <w:rsid w:val="00132F0D"/>
    <w:rsid w:val="001335F4"/>
    <w:rsid w:val="00133713"/>
    <w:rsid w:val="00135995"/>
    <w:rsid w:val="00135B7E"/>
    <w:rsid w:val="00136131"/>
    <w:rsid w:val="0013685E"/>
    <w:rsid w:val="001372C5"/>
    <w:rsid w:val="001375CD"/>
    <w:rsid w:val="00140168"/>
    <w:rsid w:val="001406A5"/>
    <w:rsid w:val="00140FC9"/>
    <w:rsid w:val="001413C5"/>
    <w:rsid w:val="0014231B"/>
    <w:rsid w:val="00142956"/>
    <w:rsid w:val="00142D10"/>
    <w:rsid w:val="001440F8"/>
    <w:rsid w:val="00144166"/>
    <w:rsid w:val="00144199"/>
    <w:rsid w:val="00144868"/>
    <w:rsid w:val="001452BC"/>
    <w:rsid w:val="00145C5F"/>
    <w:rsid w:val="0014635C"/>
    <w:rsid w:val="00146F2B"/>
    <w:rsid w:val="0014740B"/>
    <w:rsid w:val="00147EF1"/>
    <w:rsid w:val="00150820"/>
    <w:rsid w:val="00150D2A"/>
    <w:rsid w:val="00150E25"/>
    <w:rsid w:val="00150EA9"/>
    <w:rsid w:val="00151650"/>
    <w:rsid w:val="00152BF6"/>
    <w:rsid w:val="00154A1E"/>
    <w:rsid w:val="0015527D"/>
    <w:rsid w:val="00155B98"/>
    <w:rsid w:val="00157001"/>
    <w:rsid w:val="001575CF"/>
    <w:rsid w:val="00157709"/>
    <w:rsid w:val="00160E91"/>
    <w:rsid w:val="001614A8"/>
    <w:rsid w:val="0016187F"/>
    <w:rsid w:val="00162035"/>
    <w:rsid w:val="0016319D"/>
    <w:rsid w:val="001634C8"/>
    <w:rsid w:val="001638C6"/>
    <w:rsid w:val="001649F9"/>
    <w:rsid w:val="00165626"/>
    <w:rsid w:val="001658D3"/>
    <w:rsid w:val="001660FC"/>
    <w:rsid w:val="00166C0C"/>
    <w:rsid w:val="00167B41"/>
    <w:rsid w:val="00167CF4"/>
    <w:rsid w:val="0017018F"/>
    <w:rsid w:val="00170640"/>
    <w:rsid w:val="001706A3"/>
    <w:rsid w:val="00170F9B"/>
    <w:rsid w:val="001710E0"/>
    <w:rsid w:val="0017147C"/>
    <w:rsid w:val="00171593"/>
    <w:rsid w:val="0017194E"/>
    <w:rsid w:val="0017249B"/>
    <w:rsid w:val="001727A4"/>
    <w:rsid w:val="00172CFF"/>
    <w:rsid w:val="001739D7"/>
    <w:rsid w:val="001751B5"/>
    <w:rsid w:val="00175A44"/>
    <w:rsid w:val="00176900"/>
    <w:rsid w:val="001769F0"/>
    <w:rsid w:val="00176BB4"/>
    <w:rsid w:val="0017733F"/>
    <w:rsid w:val="00177EC4"/>
    <w:rsid w:val="001811DB"/>
    <w:rsid w:val="00181533"/>
    <w:rsid w:val="001824C8"/>
    <w:rsid w:val="00182698"/>
    <w:rsid w:val="001835ED"/>
    <w:rsid w:val="001837C6"/>
    <w:rsid w:val="001845E9"/>
    <w:rsid w:val="001864FD"/>
    <w:rsid w:val="00186717"/>
    <w:rsid w:val="00190A86"/>
    <w:rsid w:val="00191E08"/>
    <w:rsid w:val="00192490"/>
    <w:rsid w:val="00192BFF"/>
    <w:rsid w:val="00193D09"/>
    <w:rsid w:val="00194258"/>
    <w:rsid w:val="001943DD"/>
    <w:rsid w:val="001944E5"/>
    <w:rsid w:val="0019453A"/>
    <w:rsid w:val="00194803"/>
    <w:rsid w:val="00195EDA"/>
    <w:rsid w:val="0019685F"/>
    <w:rsid w:val="00196BAC"/>
    <w:rsid w:val="00196E1C"/>
    <w:rsid w:val="00197722"/>
    <w:rsid w:val="00197EAE"/>
    <w:rsid w:val="00199CD9"/>
    <w:rsid w:val="001A0452"/>
    <w:rsid w:val="001A0CDB"/>
    <w:rsid w:val="001A0E0E"/>
    <w:rsid w:val="001A13F6"/>
    <w:rsid w:val="001A2269"/>
    <w:rsid w:val="001A2732"/>
    <w:rsid w:val="001A2B4E"/>
    <w:rsid w:val="001A2D78"/>
    <w:rsid w:val="001A3342"/>
    <w:rsid w:val="001A3B5D"/>
    <w:rsid w:val="001A43FD"/>
    <w:rsid w:val="001A4498"/>
    <w:rsid w:val="001A59BF"/>
    <w:rsid w:val="001A5D34"/>
    <w:rsid w:val="001A66C6"/>
    <w:rsid w:val="001A6D9D"/>
    <w:rsid w:val="001A71B7"/>
    <w:rsid w:val="001A7249"/>
    <w:rsid w:val="001B1696"/>
    <w:rsid w:val="001B385A"/>
    <w:rsid w:val="001B3904"/>
    <w:rsid w:val="001B3AEC"/>
    <w:rsid w:val="001B3B3A"/>
    <w:rsid w:val="001B3C17"/>
    <w:rsid w:val="001B3E8D"/>
    <w:rsid w:val="001B5259"/>
    <w:rsid w:val="001B60D4"/>
    <w:rsid w:val="001B6F28"/>
    <w:rsid w:val="001B711C"/>
    <w:rsid w:val="001C0076"/>
    <w:rsid w:val="001C1EF5"/>
    <w:rsid w:val="001C2D5A"/>
    <w:rsid w:val="001C3204"/>
    <w:rsid w:val="001C391A"/>
    <w:rsid w:val="001C3A02"/>
    <w:rsid w:val="001C3D45"/>
    <w:rsid w:val="001C4386"/>
    <w:rsid w:val="001C4F4F"/>
    <w:rsid w:val="001C6BA1"/>
    <w:rsid w:val="001D141C"/>
    <w:rsid w:val="001D1A0B"/>
    <w:rsid w:val="001D2904"/>
    <w:rsid w:val="001D2EF6"/>
    <w:rsid w:val="001D3720"/>
    <w:rsid w:val="001D405B"/>
    <w:rsid w:val="001D5120"/>
    <w:rsid w:val="001D583E"/>
    <w:rsid w:val="001D652D"/>
    <w:rsid w:val="001D693F"/>
    <w:rsid w:val="001D6F9E"/>
    <w:rsid w:val="001D73EB"/>
    <w:rsid w:val="001D775E"/>
    <w:rsid w:val="001D7C42"/>
    <w:rsid w:val="001E0693"/>
    <w:rsid w:val="001E1A4A"/>
    <w:rsid w:val="001E1C1A"/>
    <w:rsid w:val="001E25EA"/>
    <w:rsid w:val="001E2BD4"/>
    <w:rsid w:val="001E38FB"/>
    <w:rsid w:val="001E3B64"/>
    <w:rsid w:val="001E3FBA"/>
    <w:rsid w:val="001E40D3"/>
    <w:rsid w:val="001E437C"/>
    <w:rsid w:val="001E4AE7"/>
    <w:rsid w:val="001E4D15"/>
    <w:rsid w:val="001E51EE"/>
    <w:rsid w:val="001E52C2"/>
    <w:rsid w:val="001E5FAB"/>
    <w:rsid w:val="001E6243"/>
    <w:rsid w:val="001F03F6"/>
    <w:rsid w:val="001F0BE1"/>
    <w:rsid w:val="001F101A"/>
    <w:rsid w:val="001F11EE"/>
    <w:rsid w:val="001F2020"/>
    <w:rsid w:val="001F24EF"/>
    <w:rsid w:val="001F2C19"/>
    <w:rsid w:val="001F3F34"/>
    <w:rsid w:val="001F3FF4"/>
    <w:rsid w:val="001F56C7"/>
    <w:rsid w:val="001F6427"/>
    <w:rsid w:val="001F7202"/>
    <w:rsid w:val="002002D3"/>
    <w:rsid w:val="00200530"/>
    <w:rsid w:val="00203039"/>
    <w:rsid w:val="0020463F"/>
    <w:rsid w:val="00204B17"/>
    <w:rsid w:val="00206376"/>
    <w:rsid w:val="002069D2"/>
    <w:rsid w:val="002069D3"/>
    <w:rsid w:val="00206A8B"/>
    <w:rsid w:val="00206BB7"/>
    <w:rsid w:val="0021080D"/>
    <w:rsid w:val="00211DA2"/>
    <w:rsid w:val="00211E3C"/>
    <w:rsid w:val="002129CD"/>
    <w:rsid w:val="00212BF0"/>
    <w:rsid w:val="00213693"/>
    <w:rsid w:val="002142F6"/>
    <w:rsid w:val="00215057"/>
    <w:rsid w:val="002153B1"/>
    <w:rsid w:val="00215AF4"/>
    <w:rsid w:val="00215B46"/>
    <w:rsid w:val="00215CCB"/>
    <w:rsid w:val="00216A6F"/>
    <w:rsid w:val="00216CF5"/>
    <w:rsid w:val="00217388"/>
    <w:rsid w:val="002179E8"/>
    <w:rsid w:val="0022037B"/>
    <w:rsid w:val="002214AD"/>
    <w:rsid w:val="0022267C"/>
    <w:rsid w:val="002227B0"/>
    <w:rsid w:val="00222C8D"/>
    <w:rsid w:val="002256A8"/>
    <w:rsid w:val="00225DF2"/>
    <w:rsid w:val="002309DF"/>
    <w:rsid w:val="00230E6B"/>
    <w:rsid w:val="002321DA"/>
    <w:rsid w:val="00232A92"/>
    <w:rsid w:val="00232B97"/>
    <w:rsid w:val="00234076"/>
    <w:rsid w:val="002340BF"/>
    <w:rsid w:val="002342AE"/>
    <w:rsid w:val="00234924"/>
    <w:rsid w:val="0023523A"/>
    <w:rsid w:val="00235EEA"/>
    <w:rsid w:val="00236828"/>
    <w:rsid w:val="00236A4C"/>
    <w:rsid w:val="00237168"/>
    <w:rsid w:val="0023757C"/>
    <w:rsid w:val="00237C47"/>
    <w:rsid w:val="002402E4"/>
    <w:rsid w:val="0024058D"/>
    <w:rsid w:val="00241009"/>
    <w:rsid w:val="00242092"/>
    <w:rsid w:val="002421A0"/>
    <w:rsid w:val="00242B98"/>
    <w:rsid w:val="00242D70"/>
    <w:rsid w:val="00243145"/>
    <w:rsid w:val="002432EE"/>
    <w:rsid w:val="002445A1"/>
    <w:rsid w:val="00245976"/>
    <w:rsid w:val="00246DB2"/>
    <w:rsid w:val="00246FE6"/>
    <w:rsid w:val="002470E3"/>
    <w:rsid w:val="00247484"/>
    <w:rsid w:val="00247514"/>
    <w:rsid w:val="0025207D"/>
    <w:rsid w:val="00253692"/>
    <w:rsid w:val="00253B3E"/>
    <w:rsid w:val="00254DE9"/>
    <w:rsid w:val="00255C77"/>
    <w:rsid w:val="00255F0A"/>
    <w:rsid w:val="00256895"/>
    <w:rsid w:val="00256E2B"/>
    <w:rsid w:val="002570FB"/>
    <w:rsid w:val="002575D3"/>
    <w:rsid w:val="00257ECE"/>
    <w:rsid w:val="002615D3"/>
    <w:rsid w:val="00262468"/>
    <w:rsid w:val="00263154"/>
    <w:rsid w:val="00263AA1"/>
    <w:rsid w:val="002640DB"/>
    <w:rsid w:val="0026641B"/>
    <w:rsid w:val="00266B13"/>
    <w:rsid w:val="002672F1"/>
    <w:rsid w:val="00270214"/>
    <w:rsid w:val="00270287"/>
    <w:rsid w:val="00270462"/>
    <w:rsid w:val="00270FF8"/>
    <w:rsid w:val="00271414"/>
    <w:rsid w:val="00271922"/>
    <w:rsid w:val="00272236"/>
    <w:rsid w:val="00272337"/>
    <w:rsid w:val="00273412"/>
    <w:rsid w:val="002734CD"/>
    <w:rsid w:val="0027373F"/>
    <w:rsid w:val="002739CB"/>
    <w:rsid w:val="00274ACF"/>
    <w:rsid w:val="00276460"/>
    <w:rsid w:val="00277D98"/>
    <w:rsid w:val="00280BCE"/>
    <w:rsid w:val="00280FBD"/>
    <w:rsid w:val="0028159B"/>
    <w:rsid w:val="00282671"/>
    <w:rsid w:val="00282861"/>
    <w:rsid w:val="0028321B"/>
    <w:rsid w:val="002843E2"/>
    <w:rsid w:val="00285032"/>
    <w:rsid w:val="002851FB"/>
    <w:rsid w:val="00286437"/>
    <w:rsid w:val="00286C9A"/>
    <w:rsid w:val="0028780E"/>
    <w:rsid w:val="00287BAA"/>
    <w:rsid w:val="00290CF2"/>
    <w:rsid w:val="002914F0"/>
    <w:rsid w:val="00291682"/>
    <w:rsid w:val="00291BDA"/>
    <w:rsid w:val="00293489"/>
    <w:rsid w:val="002954D1"/>
    <w:rsid w:val="0029560F"/>
    <w:rsid w:val="0029574C"/>
    <w:rsid w:val="00296F5E"/>
    <w:rsid w:val="002970B9"/>
    <w:rsid w:val="00297FC9"/>
    <w:rsid w:val="002A01E9"/>
    <w:rsid w:val="002A0A4D"/>
    <w:rsid w:val="002A0ABE"/>
    <w:rsid w:val="002A0EFB"/>
    <w:rsid w:val="002A30F0"/>
    <w:rsid w:val="002A3CD3"/>
    <w:rsid w:val="002A3D70"/>
    <w:rsid w:val="002A46C4"/>
    <w:rsid w:val="002A47A2"/>
    <w:rsid w:val="002A695B"/>
    <w:rsid w:val="002A6DF5"/>
    <w:rsid w:val="002A762E"/>
    <w:rsid w:val="002B1114"/>
    <w:rsid w:val="002B2FFF"/>
    <w:rsid w:val="002B3F0F"/>
    <w:rsid w:val="002B4587"/>
    <w:rsid w:val="002B5B66"/>
    <w:rsid w:val="002B6406"/>
    <w:rsid w:val="002B6809"/>
    <w:rsid w:val="002B6B29"/>
    <w:rsid w:val="002B7F9D"/>
    <w:rsid w:val="002C088D"/>
    <w:rsid w:val="002C0E11"/>
    <w:rsid w:val="002C2C0C"/>
    <w:rsid w:val="002C3CB5"/>
    <w:rsid w:val="002C3F3A"/>
    <w:rsid w:val="002C4231"/>
    <w:rsid w:val="002C4E74"/>
    <w:rsid w:val="002C665D"/>
    <w:rsid w:val="002C66DC"/>
    <w:rsid w:val="002C7080"/>
    <w:rsid w:val="002C71ED"/>
    <w:rsid w:val="002C7999"/>
    <w:rsid w:val="002D00B0"/>
    <w:rsid w:val="002D0BAB"/>
    <w:rsid w:val="002D1921"/>
    <w:rsid w:val="002D2364"/>
    <w:rsid w:val="002D24FC"/>
    <w:rsid w:val="002D28D4"/>
    <w:rsid w:val="002D2E16"/>
    <w:rsid w:val="002D32FC"/>
    <w:rsid w:val="002D3F57"/>
    <w:rsid w:val="002D4A0B"/>
    <w:rsid w:val="002D4C26"/>
    <w:rsid w:val="002D509F"/>
    <w:rsid w:val="002D5A58"/>
    <w:rsid w:val="002D6172"/>
    <w:rsid w:val="002D6A51"/>
    <w:rsid w:val="002E0001"/>
    <w:rsid w:val="002E0FEF"/>
    <w:rsid w:val="002E14A3"/>
    <w:rsid w:val="002E1896"/>
    <w:rsid w:val="002E1F6F"/>
    <w:rsid w:val="002E3007"/>
    <w:rsid w:val="002E45F0"/>
    <w:rsid w:val="002E5732"/>
    <w:rsid w:val="002E5F95"/>
    <w:rsid w:val="002E65F7"/>
    <w:rsid w:val="002E753D"/>
    <w:rsid w:val="002E7778"/>
    <w:rsid w:val="002F002D"/>
    <w:rsid w:val="002F0BEA"/>
    <w:rsid w:val="002F278B"/>
    <w:rsid w:val="002F320A"/>
    <w:rsid w:val="002F4072"/>
    <w:rsid w:val="002F40C5"/>
    <w:rsid w:val="002F57F8"/>
    <w:rsid w:val="00301964"/>
    <w:rsid w:val="00301DD8"/>
    <w:rsid w:val="00302145"/>
    <w:rsid w:val="0030219E"/>
    <w:rsid w:val="00302244"/>
    <w:rsid w:val="003047C2"/>
    <w:rsid w:val="00304B3E"/>
    <w:rsid w:val="00304CEA"/>
    <w:rsid w:val="00304D97"/>
    <w:rsid w:val="00305035"/>
    <w:rsid w:val="00305B23"/>
    <w:rsid w:val="00306034"/>
    <w:rsid w:val="0031180A"/>
    <w:rsid w:val="00313127"/>
    <w:rsid w:val="00313304"/>
    <w:rsid w:val="0031383F"/>
    <w:rsid w:val="00313BD9"/>
    <w:rsid w:val="0031473C"/>
    <w:rsid w:val="003149D0"/>
    <w:rsid w:val="003155F4"/>
    <w:rsid w:val="00315E0E"/>
    <w:rsid w:val="00320309"/>
    <w:rsid w:val="00320CD4"/>
    <w:rsid w:val="00320FDD"/>
    <w:rsid w:val="003211D9"/>
    <w:rsid w:val="0032148F"/>
    <w:rsid w:val="00321D1E"/>
    <w:rsid w:val="00322677"/>
    <w:rsid w:val="00322B53"/>
    <w:rsid w:val="003231E9"/>
    <w:rsid w:val="00324383"/>
    <w:rsid w:val="00324ACB"/>
    <w:rsid w:val="00324F70"/>
    <w:rsid w:val="0032530E"/>
    <w:rsid w:val="00325A61"/>
    <w:rsid w:val="003262FB"/>
    <w:rsid w:val="00326976"/>
    <w:rsid w:val="00326DB6"/>
    <w:rsid w:val="00327C1B"/>
    <w:rsid w:val="00330097"/>
    <w:rsid w:val="003308AC"/>
    <w:rsid w:val="00330ADF"/>
    <w:rsid w:val="003311D7"/>
    <w:rsid w:val="00332B8B"/>
    <w:rsid w:val="00332FE5"/>
    <w:rsid w:val="003344E3"/>
    <w:rsid w:val="0033521E"/>
    <w:rsid w:val="00337CA2"/>
    <w:rsid w:val="003404A4"/>
    <w:rsid w:val="003407D9"/>
    <w:rsid w:val="00340F1C"/>
    <w:rsid w:val="003416E4"/>
    <w:rsid w:val="00341ED5"/>
    <w:rsid w:val="00341EDB"/>
    <w:rsid w:val="00342230"/>
    <w:rsid w:val="0034344E"/>
    <w:rsid w:val="003438AF"/>
    <w:rsid w:val="003447FB"/>
    <w:rsid w:val="00344DC3"/>
    <w:rsid w:val="00345BD9"/>
    <w:rsid w:val="003460B8"/>
    <w:rsid w:val="00346128"/>
    <w:rsid w:val="003467F4"/>
    <w:rsid w:val="0034697F"/>
    <w:rsid w:val="00347069"/>
    <w:rsid w:val="00347104"/>
    <w:rsid w:val="00347D87"/>
    <w:rsid w:val="00350536"/>
    <w:rsid w:val="00350852"/>
    <w:rsid w:val="0035096E"/>
    <w:rsid w:val="00351D1C"/>
    <w:rsid w:val="0035219F"/>
    <w:rsid w:val="003525B9"/>
    <w:rsid w:val="003554CD"/>
    <w:rsid w:val="00355D01"/>
    <w:rsid w:val="003564DD"/>
    <w:rsid w:val="00356786"/>
    <w:rsid w:val="00360B81"/>
    <w:rsid w:val="00361DAF"/>
    <w:rsid w:val="00362059"/>
    <w:rsid w:val="00364F62"/>
    <w:rsid w:val="00365903"/>
    <w:rsid w:val="00366283"/>
    <w:rsid w:val="00366877"/>
    <w:rsid w:val="003673A4"/>
    <w:rsid w:val="0036777E"/>
    <w:rsid w:val="003701FA"/>
    <w:rsid w:val="00371D82"/>
    <w:rsid w:val="00372A26"/>
    <w:rsid w:val="00373B68"/>
    <w:rsid w:val="0037465F"/>
    <w:rsid w:val="0037484C"/>
    <w:rsid w:val="003749CD"/>
    <w:rsid w:val="00374A6C"/>
    <w:rsid w:val="00375F11"/>
    <w:rsid w:val="00376FED"/>
    <w:rsid w:val="00377E5D"/>
    <w:rsid w:val="00380DA8"/>
    <w:rsid w:val="003810C7"/>
    <w:rsid w:val="0038133F"/>
    <w:rsid w:val="00382718"/>
    <w:rsid w:val="00382B3B"/>
    <w:rsid w:val="0038342B"/>
    <w:rsid w:val="00384218"/>
    <w:rsid w:val="003853B8"/>
    <w:rsid w:val="00385ED2"/>
    <w:rsid w:val="0038750A"/>
    <w:rsid w:val="00391302"/>
    <w:rsid w:val="0039180C"/>
    <w:rsid w:val="00391C0E"/>
    <w:rsid w:val="00391F86"/>
    <w:rsid w:val="00392156"/>
    <w:rsid w:val="003923FB"/>
    <w:rsid w:val="0039341B"/>
    <w:rsid w:val="00393F00"/>
    <w:rsid w:val="003945C0"/>
    <w:rsid w:val="00394FA3"/>
    <w:rsid w:val="003956B9"/>
    <w:rsid w:val="00395D75"/>
    <w:rsid w:val="00396677"/>
    <w:rsid w:val="0039681A"/>
    <w:rsid w:val="003969DA"/>
    <w:rsid w:val="00396AB7"/>
    <w:rsid w:val="003A0319"/>
    <w:rsid w:val="003A08FD"/>
    <w:rsid w:val="003A25A7"/>
    <w:rsid w:val="003A3DD7"/>
    <w:rsid w:val="003A57EA"/>
    <w:rsid w:val="003A708C"/>
    <w:rsid w:val="003A7DA2"/>
    <w:rsid w:val="003B0CE2"/>
    <w:rsid w:val="003B2906"/>
    <w:rsid w:val="003B42E2"/>
    <w:rsid w:val="003B535C"/>
    <w:rsid w:val="003B5476"/>
    <w:rsid w:val="003B5518"/>
    <w:rsid w:val="003B55EA"/>
    <w:rsid w:val="003B6EDF"/>
    <w:rsid w:val="003C0686"/>
    <w:rsid w:val="003C0B85"/>
    <w:rsid w:val="003C0FBE"/>
    <w:rsid w:val="003C1D09"/>
    <w:rsid w:val="003C2120"/>
    <w:rsid w:val="003C2771"/>
    <w:rsid w:val="003C2FB4"/>
    <w:rsid w:val="003C3E3E"/>
    <w:rsid w:val="003C4E66"/>
    <w:rsid w:val="003C4FDF"/>
    <w:rsid w:val="003C51B0"/>
    <w:rsid w:val="003C5A8B"/>
    <w:rsid w:val="003C64F8"/>
    <w:rsid w:val="003C7080"/>
    <w:rsid w:val="003C7CE6"/>
    <w:rsid w:val="003D030E"/>
    <w:rsid w:val="003D040D"/>
    <w:rsid w:val="003D06CE"/>
    <w:rsid w:val="003D1966"/>
    <w:rsid w:val="003D197C"/>
    <w:rsid w:val="003D1F49"/>
    <w:rsid w:val="003D2061"/>
    <w:rsid w:val="003D217D"/>
    <w:rsid w:val="003D2A55"/>
    <w:rsid w:val="003D3914"/>
    <w:rsid w:val="003D44CB"/>
    <w:rsid w:val="003D4730"/>
    <w:rsid w:val="003D64C2"/>
    <w:rsid w:val="003D7D31"/>
    <w:rsid w:val="003E004A"/>
    <w:rsid w:val="003E1FE3"/>
    <w:rsid w:val="003E2E83"/>
    <w:rsid w:val="003E32A7"/>
    <w:rsid w:val="003E3CD8"/>
    <w:rsid w:val="003E42D9"/>
    <w:rsid w:val="003E4A4F"/>
    <w:rsid w:val="003E5F2A"/>
    <w:rsid w:val="003E7925"/>
    <w:rsid w:val="003E794F"/>
    <w:rsid w:val="003F0785"/>
    <w:rsid w:val="003F1530"/>
    <w:rsid w:val="003F1A33"/>
    <w:rsid w:val="003F234C"/>
    <w:rsid w:val="003F3072"/>
    <w:rsid w:val="003F33F6"/>
    <w:rsid w:val="003F3DC7"/>
    <w:rsid w:val="003F4D04"/>
    <w:rsid w:val="003F4DE2"/>
    <w:rsid w:val="003F58F8"/>
    <w:rsid w:val="003F6301"/>
    <w:rsid w:val="003F6729"/>
    <w:rsid w:val="003F683F"/>
    <w:rsid w:val="003F7343"/>
    <w:rsid w:val="00400361"/>
    <w:rsid w:val="004007F1"/>
    <w:rsid w:val="00400FDD"/>
    <w:rsid w:val="004014B0"/>
    <w:rsid w:val="004024E4"/>
    <w:rsid w:val="00404E77"/>
    <w:rsid w:val="004054EB"/>
    <w:rsid w:val="00406289"/>
    <w:rsid w:val="00406578"/>
    <w:rsid w:val="004074EF"/>
    <w:rsid w:val="004077E6"/>
    <w:rsid w:val="00407AF9"/>
    <w:rsid w:val="004102C3"/>
    <w:rsid w:val="00411AF4"/>
    <w:rsid w:val="00412250"/>
    <w:rsid w:val="00412A27"/>
    <w:rsid w:val="00412FC7"/>
    <w:rsid w:val="0041307C"/>
    <w:rsid w:val="00413699"/>
    <w:rsid w:val="004144E8"/>
    <w:rsid w:val="00414943"/>
    <w:rsid w:val="004151DB"/>
    <w:rsid w:val="0041550D"/>
    <w:rsid w:val="00415AE8"/>
    <w:rsid w:val="004167B4"/>
    <w:rsid w:val="004167BC"/>
    <w:rsid w:val="00416A2C"/>
    <w:rsid w:val="004173A9"/>
    <w:rsid w:val="0042032D"/>
    <w:rsid w:val="004213B3"/>
    <w:rsid w:val="004225DC"/>
    <w:rsid w:val="00423A41"/>
    <w:rsid w:val="00424C8B"/>
    <w:rsid w:val="004253CF"/>
    <w:rsid w:val="00425FBA"/>
    <w:rsid w:val="00426403"/>
    <w:rsid w:val="00426928"/>
    <w:rsid w:val="004271B4"/>
    <w:rsid w:val="00430D7E"/>
    <w:rsid w:val="00430FF2"/>
    <w:rsid w:val="00432332"/>
    <w:rsid w:val="00432368"/>
    <w:rsid w:val="00433B04"/>
    <w:rsid w:val="00433BAB"/>
    <w:rsid w:val="00434017"/>
    <w:rsid w:val="00434D6C"/>
    <w:rsid w:val="004364D6"/>
    <w:rsid w:val="0043731B"/>
    <w:rsid w:val="00437840"/>
    <w:rsid w:val="0043784D"/>
    <w:rsid w:val="00440256"/>
    <w:rsid w:val="00440E22"/>
    <w:rsid w:val="00441051"/>
    <w:rsid w:val="0044112D"/>
    <w:rsid w:val="00441B15"/>
    <w:rsid w:val="00442078"/>
    <w:rsid w:val="004427C9"/>
    <w:rsid w:val="00443270"/>
    <w:rsid w:val="004434A0"/>
    <w:rsid w:val="00443835"/>
    <w:rsid w:val="00443B7B"/>
    <w:rsid w:val="00444E8F"/>
    <w:rsid w:val="0044547D"/>
    <w:rsid w:val="00446F93"/>
    <w:rsid w:val="00447421"/>
    <w:rsid w:val="00447D21"/>
    <w:rsid w:val="00451221"/>
    <w:rsid w:val="00451785"/>
    <w:rsid w:val="00451A74"/>
    <w:rsid w:val="00451FB7"/>
    <w:rsid w:val="00452416"/>
    <w:rsid w:val="004532F9"/>
    <w:rsid w:val="004532FB"/>
    <w:rsid w:val="00454F61"/>
    <w:rsid w:val="004552AB"/>
    <w:rsid w:val="0045622C"/>
    <w:rsid w:val="004562D3"/>
    <w:rsid w:val="004565F8"/>
    <w:rsid w:val="00456A0D"/>
    <w:rsid w:val="00456BEE"/>
    <w:rsid w:val="00456D29"/>
    <w:rsid w:val="004571AD"/>
    <w:rsid w:val="0045778A"/>
    <w:rsid w:val="0046012A"/>
    <w:rsid w:val="004616A7"/>
    <w:rsid w:val="004648DB"/>
    <w:rsid w:val="004649AC"/>
    <w:rsid w:val="00464FB1"/>
    <w:rsid w:val="00465398"/>
    <w:rsid w:val="00465EFB"/>
    <w:rsid w:val="00467185"/>
    <w:rsid w:val="00467736"/>
    <w:rsid w:val="0047050C"/>
    <w:rsid w:val="00470D8C"/>
    <w:rsid w:val="00472150"/>
    <w:rsid w:val="00473F0E"/>
    <w:rsid w:val="004746D1"/>
    <w:rsid w:val="00474D6A"/>
    <w:rsid w:val="004750DB"/>
    <w:rsid w:val="004768C1"/>
    <w:rsid w:val="0047732E"/>
    <w:rsid w:val="00477AD8"/>
    <w:rsid w:val="004808C2"/>
    <w:rsid w:val="00480F21"/>
    <w:rsid w:val="0048108E"/>
    <w:rsid w:val="004815B4"/>
    <w:rsid w:val="00482C87"/>
    <w:rsid w:val="004840B3"/>
    <w:rsid w:val="00485174"/>
    <w:rsid w:val="0048537F"/>
    <w:rsid w:val="00486014"/>
    <w:rsid w:val="004874E5"/>
    <w:rsid w:val="00487885"/>
    <w:rsid w:val="0049080E"/>
    <w:rsid w:val="00490A65"/>
    <w:rsid w:val="0049116C"/>
    <w:rsid w:val="004915DD"/>
    <w:rsid w:val="00491B56"/>
    <w:rsid w:val="004926BD"/>
    <w:rsid w:val="004930C9"/>
    <w:rsid w:val="004933DA"/>
    <w:rsid w:val="004937E0"/>
    <w:rsid w:val="00493F62"/>
    <w:rsid w:val="00494832"/>
    <w:rsid w:val="00495429"/>
    <w:rsid w:val="004957C2"/>
    <w:rsid w:val="00495AF1"/>
    <w:rsid w:val="00495D18"/>
    <w:rsid w:val="00495E61"/>
    <w:rsid w:val="00496F99"/>
    <w:rsid w:val="004975E2"/>
    <w:rsid w:val="00497903"/>
    <w:rsid w:val="00497A89"/>
    <w:rsid w:val="00497EA1"/>
    <w:rsid w:val="004A03A2"/>
    <w:rsid w:val="004A1BB9"/>
    <w:rsid w:val="004A1DC4"/>
    <w:rsid w:val="004A2858"/>
    <w:rsid w:val="004A4CED"/>
    <w:rsid w:val="004A6BE6"/>
    <w:rsid w:val="004A7D29"/>
    <w:rsid w:val="004B0828"/>
    <w:rsid w:val="004B0BEC"/>
    <w:rsid w:val="004B1714"/>
    <w:rsid w:val="004B2382"/>
    <w:rsid w:val="004B3100"/>
    <w:rsid w:val="004B3304"/>
    <w:rsid w:val="004B3DF1"/>
    <w:rsid w:val="004B4BC0"/>
    <w:rsid w:val="004B5555"/>
    <w:rsid w:val="004B6879"/>
    <w:rsid w:val="004C0484"/>
    <w:rsid w:val="004C0CF7"/>
    <w:rsid w:val="004C1482"/>
    <w:rsid w:val="004C1495"/>
    <w:rsid w:val="004C1B7D"/>
    <w:rsid w:val="004C2C89"/>
    <w:rsid w:val="004C2ED5"/>
    <w:rsid w:val="004C3792"/>
    <w:rsid w:val="004C39F3"/>
    <w:rsid w:val="004C3F91"/>
    <w:rsid w:val="004C5B9F"/>
    <w:rsid w:val="004C6AE8"/>
    <w:rsid w:val="004C6C5D"/>
    <w:rsid w:val="004C777E"/>
    <w:rsid w:val="004D01E2"/>
    <w:rsid w:val="004D1408"/>
    <w:rsid w:val="004D15C4"/>
    <w:rsid w:val="004D16A4"/>
    <w:rsid w:val="004D1F0B"/>
    <w:rsid w:val="004D22D4"/>
    <w:rsid w:val="004D34F7"/>
    <w:rsid w:val="004D37AC"/>
    <w:rsid w:val="004D3D6A"/>
    <w:rsid w:val="004D4A97"/>
    <w:rsid w:val="004D544F"/>
    <w:rsid w:val="004D65A1"/>
    <w:rsid w:val="004D6A25"/>
    <w:rsid w:val="004E0214"/>
    <w:rsid w:val="004E0F49"/>
    <w:rsid w:val="004E2537"/>
    <w:rsid w:val="004E2E61"/>
    <w:rsid w:val="004E58B8"/>
    <w:rsid w:val="004E6682"/>
    <w:rsid w:val="004E6D8A"/>
    <w:rsid w:val="004E73FB"/>
    <w:rsid w:val="004E7641"/>
    <w:rsid w:val="004F0C04"/>
    <w:rsid w:val="004F11E7"/>
    <w:rsid w:val="004F15EF"/>
    <w:rsid w:val="004F2017"/>
    <w:rsid w:val="004F22FE"/>
    <w:rsid w:val="004F3FAB"/>
    <w:rsid w:val="004F68E7"/>
    <w:rsid w:val="004F6E0B"/>
    <w:rsid w:val="004F7435"/>
    <w:rsid w:val="004F774D"/>
    <w:rsid w:val="004F79E5"/>
    <w:rsid w:val="00500424"/>
    <w:rsid w:val="00500C96"/>
    <w:rsid w:val="005013B0"/>
    <w:rsid w:val="005015E4"/>
    <w:rsid w:val="005017A6"/>
    <w:rsid w:val="00501C80"/>
    <w:rsid w:val="00502279"/>
    <w:rsid w:val="0050256A"/>
    <w:rsid w:val="0050291D"/>
    <w:rsid w:val="005030F6"/>
    <w:rsid w:val="005031A0"/>
    <w:rsid w:val="005034F8"/>
    <w:rsid w:val="005036E3"/>
    <w:rsid w:val="00503743"/>
    <w:rsid w:val="00503CF4"/>
    <w:rsid w:val="00505AA5"/>
    <w:rsid w:val="00506174"/>
    <w:rsid w:val="005064CD"/>
    <w:rsid w:val="00506C00"/>
    <w:rsid w:val="00506C78"/>
    <w:rsid w:val="00507D50"/>
    <w:rsid w:val="00511016"/>
    <w:rsid w:val="00512336"/>
    <w:rsid w:val="00513D9A"/>
    <w:rsid w:val="0051440F"/>
    <w:rsid w:val="005159B3"/>
    <w:rsid w:val="00515CFB"/>
    <w:rsid w:val="00515CFE"/>
    <w:rsid w:val="00515F56"/>
    <w:rsid w:val="00516730"/>
    <w:rsid w:val="005169B9"/>
    <w:rsid w:val="00516F22"/>
    <w:rsid w:val="00517ED8"/>
    <w:rsid w:val="0052142D"/>
    <w:rsid w:val="00521F7C"/>
    <w:rsid w:val="005221A7"/>
    <w:rsid w:val="00522C03"/>
    <w:rsid w:val="00525144"/>
    <w:rsid w:val="0052514A"/>
    <w:rsid w:val="005256B9"/>
    <w:rsid w:val="005257D6"/>
    <w:rsid w:val="00525EA4"/>
    <w:rsid w:val="00527721"/>
    <w:rsid w:val="0052791F"/>
    <w:rsid w:val="00531856"/>
    <w:rsid w:val="00531E3A"/>
    <w:rsid w:val="005324E9"/>
    <w:rsid w:val="00532CC9"/>
    <w:rsid w:val="00532CFF"/>
    <w:rsid w:val="0053301C"/>
    <w:rsid w:val="00534CD7"/>
    <w:rsid w:val="00536880"/>
    <w:rsid w:val="005374BA"/>
    <w:rsid w:val="00537885"/>
    <w:rsid w:val="00537CF9"/>
    <w:rsid w:val="005396BE"/>
    <w:rsid w:val="005407E0"/>
    <w:rsid w:val="00540AD0"/>
    <w:rsid w:val="0054280B"/>
    <w:rsid w:val="00543A0F"/>
    <w:rsid w:val="00543A6D"/>
    <w:rsid w:val="00543A76"/>
    <w:rsid w:val="00543F98"/>
    <w:rsid w:val="00545AA7"/>
    <w:rsid w:val="005460F7"/>
    <w:rsid w:val="005465DD"/>
    <w:rsid w:val="005479DC"/>
    <w:rsid w:val="00550102"/>
    <w:rsid w:val="0055165A"/>
    <w:rsid w:val="005520CB"/>
    <w:rsid w:val="005523D1"/>
    <w:rsid w:val="00552BDF"/>
    <w:rsid w:val="00553516"/>
    <w:rsid w:val="005544C4"/>
    <w:rsid w:val="00554A4B"/>
    <w:rsid w:val="0055532E"/>
    <w:rsid w:val="005554D4"/>
    <w:rsid w:val="00555BC3"/>
    <w:rsid w:val="00555EA3"/>
    <w:rsid w:val="00557C8E"/>
    <w:rsid w:val="00561B2B"/>
    <w:rsid w:val="00561E6C"/>
    <w:rsid w:val="005621AB"/>
    <w:rsid w:val="00562759"/>
    <w:rsid w:val="0056357E"/>
    <w:rsid w:val="00564290"/>
    <w:rsid w:val="00564952"/>
    <w:rsid w:val="00564B8E"/>
    <w:rsid w:val="00565201"/>
    <w:rsid w:val="0056520A"/>
    <w:rsid w:val="00565FFE"/>
    <w:rsid w:val="0056645F"/>
    <w:rsid w:val="0056654B"/>
    <w:rsid w:val="00566989"/>
    <w:rsid w:val="00567044"/>
    <w:rsid w:val="0056727E"/>
    <w:rsid w:val="00571AB1"/>
    <w:rsid w:val="00573410"/>
    <w:rsid w:val="00574CAE"/>
    <w:rsid w:val="00576DC9"/>
    <w:rsid w:val="00577477"/>
    <w:rsid w:val="00577978"/>
    <w:rsid w:val="00577E1C"/>
    <w:rsid w:val="00580DB1"/>
    <w:rsid w:val="005814AC"/>
    <w:rsid w:val="00581536"/>
    <w:rsid w:val="005824DF"/>
    <w:rsid w:val="0058328D"/>
    <w:rsid w:val="00584676"/>
    <w:rsid w:val="00584734"/>
    <w:rsid w:val="00584A06"/>
    <w:rsid w:val="00584BA6"/>
    <w:rsid w:val="005854B7"/>
    <w:rsid w:val="0058590F"/>
    <w:rsid w:val="00586470"/>
    <w:rsid w:val="00587AB1"/>
    <w:rsid w:val="00590560"/>
    <w:rsid w:val="0059070B"/>
    <w:rsid w:val="00590C8B"/>
    <w:rsid w:val="00590D88"/>
    <w:rsid w:val="0059283C"/>
    <w:rsid w:val="0059555C"/>
    <w:rsid w:val="005A004D"/>
    <w:rsid w:val="005A01C3"/>
    <w:rsid w:val="005A0D95"/>
    <w:rsid w:val="005A1510"/>
    <w:rsid w:val="005A16D4"/>
    <w:rsid w:val="005A1894"/>
    <w:rsid w:val="005A1A68"/>
    <w:rsid w:val="005A224B"/>
    <w:rsid w:val="005A249F"/>
    <w:rsid w:val="005A2D04"/>
    <w:rsid w:val="005A3CE5"/>
    <w:rsid w:val="005A4E67"/>
    <w:rsid w:val="005A590F"/>
    <w:rsid w:val="005A6FBB"/>
    <w:rsid w:val="005A7602"/>
    <w:rsid w:val="005A76AC"/>
    <w:rsid w:val="005A787D"/>
    <w:rsid w:val="005A7E78"/>
    <w:rsid w:val="005B1225"/>
    <w:rsid w:val="005B17D8"/>
    <w:rsid w:val="005B1D82"/>
    <w:rsid w:val="005B4077"/>
    <w:rsid w:val="005B4405"/>
    <w:rsid w:val="005B4BAF"/>
    <w:rsid w:val="005B5348"/>
    <w:rsid w:val="005B6ACF"/>
    <w:rsid w:val="005B6BB4"/>
    <w:rsid w:val="005B777C"/>
    <w:rsid w:val="005C0456"/>
    <w:rsid w:val="005C0531"/>
    <w:rsid w:val="005C192F"/>
    <w:rsid w:val="005C1EDA"/>
    <w:rsid w:val="005C28B0"/>
    <w:rsid w:val="005C2975"/>
    <w:rsid w:val="005C2F01"/>
    <w:rsid w:val="005C32FD"/>
    <w:rsid w:val="005C3798"/>
    <w:rsid w:val="005C3D23"/>
    <w:rsid w:val="005C4161"/>
    <w:rsid w:val="005C4932"/>
    <w:rsid w:val="005C5F3C"/>
    <w:rsid w:val="005C61A3"/>
    <w:rsid w:val="005C62D9"/>
    <w:rsid w:val="005C6359"/>
    <w:rsid w:val="005C7046"/>
    <w:rsid w:val="005C7D78"/>
    <w:rsid w:val="005D0045"/>
    <w:rsid w:val="005D01BE"/>
    <w:rsid w:val="005D1177"/>
    <w:rsid w:val="005D125E"/>
    <w:rsid w:val="005D126A"/>
    <w:rsid w:val="005D1965"/>
    <w:rsid w:val="005D1D13"/>
    <w:rsid w:val="005D2BA1"/>
    <w:rsid w:val="005D2D1F"/>
    <w:rsid w:val="005D4135"/>
    <w:rsid w:val="005D492A"/>
    <w:rsid w:val="005D5460"/>
    <w:rsid w:val="005E08CD"/>
    <w:rsid w:val="005E10AA"/>
    <w:rsid w:val="005E127B"/>
    <w:rsid w:val="005E13F3"/>
    <w:rsid w:val="005E16AC"/>
    <w:rsid w:val="005E1B0D"/>
    <w:rsid w:val="005E2403"/>
    <w:rsid w:val="005E28C6"/>
    <w:rsid w:val="005E2DE8"/>
    <w:rsid w:val="005E326A"/>
    <w:rsid w:val="005E37E8"/>
    <w:rsid w:val="005E49D0"/>
    <w:rsid w:val="005E52DD"/>
    <w:rsid w:val="005E555A"/>
    <w:rsid w:val="005E660F"/>
    <w:rsid w:val="005E7319"/>
    <w:rsid w:val="005E74C5"/>
    <w:rsid w:val="005E77D6"/>
    <w:rsid w:val="005F1382"/>
    <w:rsid w:val="005F16AC"/>
    <w:rsid w:val="005F219D"/>
    <w:rsid w:val="005F2437"/>
    <w:rsid w:val="005F318A"/>
    <w:rsid w:val="005F32CD"/>
    <w:rsid w:val="005F3B6C"/>
    <w:rsid w:val="005F4693"/>
    <w:rsid w:val="005F4928"/>
    <w:rsid w:val="005F5C24"/>
    <w:rsid w:val="005F7354"/>
    <w:rsid w:val="005F7710"/>
    <w:rsid w:val="006004F7"/>
    <w:rsid w:val="00600619"/>
    <w:rsid w:val="00600682"/>
    <w:rsid w:val="00601211"/>
    <w:rsid w:val="00601286"/>
    <w:rsid w:val="0060217F"/>
    <w:rsid w:val="00603261"/>
    <w:rsid w:val="006037BD"/>
    <w:rsid w:val="00603E9B"/>
    <w:rsid w:val="006049C4"/>
    <w:rsid w:val="00604EF5"/>
    <w:rsid w:val="006067AA"/>
    <w:rsid w:val="0060690B"/>
    <w:rsid w:val="00607597"/>
    <w:rsid w:val="006105E9"/>
    <w:rsid w:val="00610F93"/>
    <w:rsid w:val="006113C4"/>
    <w:rsid w:val="00611857"/>
    <w:rsid w:val="006127CC"/>
    <w:rsid w:val="00613FC7"/>
    <w:rsid w:val="006146FD"/>
    <w:rsid w:val="00614B2E"/>
    <w:rsid w:val="00615918"/>
    <w:rsid w:val="00616FBF"/>
    <w:rsid w:val="0061D9B5"/>
    <w:rsid w:val="00621B2D"/>
    <w:rsid w:val="006236A0"/>
    <w:rsid w:val="00624284"/>
    <w:rsid w:val="006243C6"/>
    <w:rsid w:val="00625ADE"/>
    <w:rsid w:val="006273BC"/>
    <w:rsid w:val="00627561"/>
    <w:rsid w:val="006308F1"/>
    <w:rsid w:val="00630FA5"/>
    <w:rsid w:val="00632009"/>
    <w:rsid w:val="00633A07"/>
    <w:rsid w:val="00633CF1"/>
    <w:rsid w:val="006341C3"/>
    <w:rsid w:val="006341EE"/>
    <w:rsid w:val="0063441F"/>
    <w:rsid w:val="00634954"/>
    <w:rsid w:val="00634FBB"/>
    <w:rsid w:val="00635A6C"/>
    <w:rsid w:val="00636D3B"/>
    <w:rsid w:val="00637091"/>
    <w:rsid w:val="0063980D"/>
    <w:rsid w:val="00640AFD"/>
    <w:rsid w:val="00640FD5"/>
    <w:rsid w:val="00642839"/>
    <w:rsid w:val="006428DB"/>
    <w:rsid w:val="006452A0"/>
    <w:rsid w:val="006457F8"/>
    <w:rsid w:val="00645BF5"/>
    <w:rsid w:val="00645CCB"/>
    <w:rsid w:val="0064700E"/>
    <w:rsid w:val="006478CB"/>
    <w:rsid w:val="006479CD"/>
    <w:rsid w:val="00650110"/>
    <w:rsid w:val="00650A6B"/>
    <w:rsid w:val="00650B88"/>
    <w:rsid w:val="00652C58"/>
    <w:rsid w:val="006530EF"/>
    <w:rsid w:val="00654688"/>
    <w:rsid w:val="00655257"/>
    <w:rsid w:val="006552B5"/>
    <w:rsid w:val="006554DD"/>
    <w:rsid w:val="006563DA"/>
    <w:rsid w:val="0066070C"/>
    <w:rsid w:val="00660951"/>
    <w:rsid w:val="00661FB7"/>
    <w:rsid w:val="00662885"/>
    <w:rsid w:val="00662AAB"/>
    <w:rsid w:val="006636E2"/>
    <w:rsid w:val="00663F07"/>
    <w:rsid w:val="006653EB"/>
    <w:rsid w:val="00666273"/>
    <w:rsid w:val="006665B8"/>
    <w:rsid w:val="00667FA9"/>
    <w:rsid w:val="00670281"/>
    <w:rsid w:val="0067139D"/>
    <w:rsid w:val="006721BE"/>
    <w:rsid w:val="0067233D"/>
    <w:rsid w:val="00672624"/>
    <w:rsid w:val="00672B2E"/>
    <w:rsid w:val="00673EB9"/>
    <w:rsid w:val="0067406D"/>
    <w:rsid w:val="006743D9"/>
    <w:rsid w:val="006745AE"/>
    <w:rsid w:val="0067473F"/>
    <w:rsid w:val="0067619B"/>
    <w:rsid w:val="00676204"/>
    <w:rsid w:val="0067652D"/>
    <w:rsid w:val="00676870"/>
    <w:rsid w:val="00676AA8"/>
    <w:rsid w:val="00676AF3"/>
    <w:rsid w:val="00676C7E"/>
    <w:rsid w:val="00677895"/>
    <w:rsid w:val="00677BEF"/>
    <w:rsid w:val="00677C8C"/>
    <w:rsid w:val="006814A3"/>
    <w:rsid w:val="00681D36"/>
    <w:rsid w:val="00682AFC"/>
    <w:rsid w:val="00682DD2"/>
    <w:rsid w:val="00683204"/>
    <w:rsid w:val="00683344"/>
    <w:rsid w:val="00683ADE"/>
    <w:rsid w:val="00684FC9"/>
    <w:rsid w:val="006869D2"/>
    <w:rsid w:val="00686B91"/>
    <w:rsid w:val="00686E8A"/>
    <w:rsid w:val="006878EB"/>
    <w:rsid w:val="00690141"/>
    <w:rsid w:val="006902D4"/>
    <w:rsid w:val="0069072B"/>
    <w:rsid w:val="00690DBB"/>
    <w:rsid w:val="0069174B"/>
    <w:rsid w:val="00692533"/>
    <w:rsid w:val="00692A9D"/>
    <w:rsid w:val="00693340"/>
    <w:rsid w:val="006938BD"/>
    <w:rsid w:val="006942B9"/>
    <w:rsid w:val="0069471F"/>
    <w:rsid w:val="00697550"/>
    <w:rsid w:val="00697B84"/>
    <w:rsid w:val="006A04C7"/>
    <w:rsid w:val="006A04E0"/>
    <w:rsid w:val="006A0900"/>
    <w:rsid w:val="006A0BE4"/>
    <w:rsid w:val="006A0E6A"/>
    <w:rsid w:val="006A16B9"/>
    <w:rsid w:val="006A1F8B"/>
    <w:rsid w:val="006A3018"/>
    <w:rsid w:val="006A4220"/>
    <w:rsid w:val="006A5A7E"/>
    <w:rsid w:val="006A6E66"/>
    <w:rsid w:val="006B029B"/>
    <w:rsid w:val="006B05E3"/>
    <w:rsid w:val="006B09BC"/>
    <w:rsid w:val="006B4039"/>
    <w:rsid w:val="006B406F"/>
    <w:rsid w:val="006B4155"/>
    <w:rsid w:val="006B4A3F"/>
    <w:rsid w:val="006B6D5D"/>
    <w:rsid w:val="006B6DDC"/>
    <w:rsid w:val="006B7863"/>
    <w:rsid w:val="006B7A33"/>
    <w:rsid w:val="006B7B5A"/>
    <w:rsid w:val="006C038D"/>
    <w:rsid w:val="006C0801"/>
    <w:rsid w:val="006C08D9"/>
    <w:rsid w:val="006C09A6"/>
    <w:rsid w:val="006C0C11"/>
    <w:rsid w:val="006C0C2C"/>
    <w:rsid w:val="006C11D0"/>
    <w:rsid w:val="006C1EAA"/>
    <w:rsid w:val="006C216F"/>
    <w:rsid w:val="006C22E5"/>
    <w:rsid w:val="006C30C8"/>
    <w:rsid w:val="006C366B"/>
    <w:rsid w:val="006C36E7"/>
    <w:rsid w:val="006C3B1A"/>
    <w:rsid w:val="006C3D49"/>
    <w:rsid w:val="006C3EF8"/>
    <w:rsid w:val="006C45D4"/>
    <w:rsid w:val="006C4C9F"/>
    <w:rsid w:val="006C4CE4"/>
    <w:rsid w:val="006C5B90"/>
    <w:rsid w:val="006C6367"/>
    <w:rsid w:val="006C69D4"/>
    <w:rsid w:val="006C7C89"/>
    <w:rsid w:val="006D0DAA"/>
    <w:rsid w:val="006D2042"/>
    <w:rsid w:val="006D2C5C"/>
    <w:rsid w:val="006D2CE7"/>
    <w:rsid w:val="006D307C"/>
    <w:rsid w:val="006D3826"/>
    <w:rsid w:val="006D3A4B"/>
    <w:rsid w:val="006D4209"/>
    <w:rsid w:val="006D5855"/>
    <w:rsid w:val="006D66E3"/>
    <w:rsid w:val="006D691A"/>
    <w:rsid w:val="006D6A7D"/>
    <w:rsid w:val="006D7017"/>
    <w:rsid w:val="006D703C"/>
    <w:rsid w:val="006D7855"/>
    <w:rsid w:val="006D7F64"/>
    <w:rsid w:val="006E010C"/>
    <w:rsid w:val="006E0B9D"/>
    <w:rsid w:val="006E0BBD"/>
    <w:rsid w:val="006E1003"/>
    <w:rsid w:val="006E16BF"/>
    <w:rsid w:val="006E18F0"/>
    <w:rsid w:val="006E33B0"/>
    <w:rsid w:val="006E38AF"/>
    <w:rsid w:val="006E4F93"/>
    <w:rsid w:val="006E580A"/>
    <w:rsid w:val="006E6267"/>
    <w:rsid w:val="006E62F5"/>
    <w:rsid w:val="006E6BE3"/>
    <w:rsid w:val="006E70B2"/>
    <w:rsid w:val="006E78F1"/>
    <w:rsid w:val="006E7DE3"/>
    <w:rsid w:val="006F02A0"/>
    <w:rsid w:val="006F0F94"/>
    <w:rsid w:val="006F1174"/>
    <w:rsid w:val="006F138D"/>
    <w:rsid w:val="006F1C5A"/>
    <w:rsid w:val="006F1DF9"/>
    <w:rsid w:val="006F216F"/>
    <w:rsid w:val="006F4E6E"/>
    <w:rsid w:val="006F5A0A"/>
    <w:rsid w:val="006F702F"/>
    <w:rsid w:val="00700135"/>
    <w:rsid w:val="007001D6"/>
    <w:rsid w:val="00700E65"/>
    <w:rsid w:val="007016D7"/>
    <w:rsid w:val="00702490"/>
    <w:rsid w:val="007032F0"/>
    <w:rsid w:val="00704163"/>
    <w:rsid w:val="00705180"/>
    <w:rsid w:val="007060CD"/>
    <w:rsid w:val="007060E7"/>
    <w:rsid w:val="00706436"/>
    <w:rsid w:val="007065C7"/>
    <w:rsid w:val="007074A0"/>
    <w:rsid w:val="00710083"/>
    <w:rsid w:val="00710148"/>
    <w:rsid w:val="00710A45"/>
    <w:rsid w:val="007114BD"/>
    <w:rsid w:val="00711605"/>
    <w:rsid w:val="00711DF6"/>
    <w:rsid w:val="00712B8A"/>
    <w:rsid w:val="00713291"/>
    <w:rsid w:val="00714D8A"/>
    <w:rsid w:val="00715487"/>
    <w:rsid w:val="00715AA7"/>
    <w:rsid w:val="00716D76"/>
    <w:rsid w:val="00716EC9"/>
    <w:rsid w:val="00716FBC"/>
    <w:rsid w:val="00717090"/>
    <w:rsid w:val="00717B06"/>
    <w:rsid w:val="00720739"/>
    <w:rsid w:val="00721C69"/>
    <w:rsid w:val="00721E4F"/>
    <w:rsid w:val="0072253E"/>
    <w:rsid w:val="00723E1F"/>
    <w:rsid w:val="0072443D"/>
    <w:rsid w:val="007247E5"/>
    <w:rsid w:val="007248B7"/>
    <w:rsid w:val="007254CA"/>
    <w:rsid w:val="00725B01"/>
    <w:rsid w:val="007273FB"/>
    <w:rsid w:val="007309EA"/>
    <w:rsid w:val="00730CF8"/>
    <w:rsid w:val="00731079"/>
    <w:rsid w:val="00731A90"/>
    <w:rsid w:val="00731D4E"/>
    <w:rsid w:val="00732608"/>
    <w:rsid w:val="00732983"/>
    <w:rsid w:val="00733251"/>
    <w:rsid w:val="0073523E"/>
    <w:rsid w:val="00735307"/>
    <w:rsid w:val="00735373"/>
    <w:rsid w:val="00736DCA"/>
    <w:rsid w:val="00737C93"/>
    <w:rsid w:val="00737F46"/>
    <w:rsid w:val="00742C7D"/>
    <w:rsid w:val="0074370F"/>
    <w:rsid w:val="00744143"/>
    <w:rsid w:val="0074437B"/>
    <w:rsid w:val="00744E4F"/>
    <w:rsid w:val="00745C47"/>
    <w:rsid w:val="0074674B"/>
    <w:rsid w:val="00746A4A"/>
    <w:rsid w:val="00747F76"/>
    <w:rsid w:val="0075003D"/>
    <w:rsid w:val="0075022F"/>
    <w:rsid w:val="00750B44"/>
    <w:rsid w:val="00751D97"/>
    <w:rsid w:val="00751E72"/>
    <w:rsid w:val="00752C55"/>
    <w:rsid w:val="00753764"/>
    <w:rsid w:val="00753878"/>
    <w:rsid w:val="007538B6"/>
    <w:rsid w:val="007545A1"/>
    <w:rsid w:val="00754E84"/>
    <w:rsid w:val="00755433"/>
    <w:rsid w:val="007562D4"/>
    <w:rsid w:val="0075636A"/>
    <w:rsid w:val="007569AA"/>
    <w:rsid w:val="007573FA"/>
    <w:rsid w:val="00757516"/>
    <w:rsid w:val="007577FB"/>
    <w:rsid w:val="00757CFC"/>
    <w:rsid w:val="00760739"/>
    <w:rsid w:val="00760BA8"/>
    <w:rsid w:val="00761DBF"/>
    <w:rsid w:val="00761FCF"/>
    <w:rsid w:val="00762567"/>
    <w:rsid w:val="00762D30"/>
    <w:rsid w:val="00763706"/>
    <w:rsid w:val="007644BE"/>
    <w:rsid w:val="00764860"/>
    <w:rsid w:val="00765503"/>
    <w:rsid w:val="007658E2"/>
    <w:rsid w:val="00765FE1"/>
    <w:rsid w:val="00766F00"/>
    <w:rsid w:val="00767B7E"/>
    <w:rsid w:val="00767D14"/>
    <w:rsid w:val="00770C74"/>
    <w:rsid w:val="0077119B"/>
    <w:rsid w:val="00771D7D"/>
    <w:rsid w:val="00773167"/>
    <w:rsid w:val="007745B7"/>
    <w:rsid w:val="007747B1"/>
    <w:rsid w:val="00774E6F"/>
    <w:rsid w:val="007750C8"/>
    <w:rsid w:val="00776538"/>
    <w:rsid w:val="007769EA"/>
    <w:rsid w:val="00776DAA"/>
    <w:rsid w:val="00776DEA"/>
    <w:rsid w:val="00777675"/>
    <w:rsid w:val="00777990"/>
    <w:rsid w:val="00780140"/>
    <w:rsid w:val="007802BE"/>
    <w:rsid w:val="00780EEF"/>
    <w:rsid w:val="0078134C"/>
    <w:rsid w:val="00781970"/>
    <w:rsid w:val="00781C47"/>
    <w:rsid w:val="00782DE8"/>
    <w:rsid w:val="007832BA"/>
    <w:rsid w:val="007837C7"/>
    <w:rsid w:val="00784286"/>
    <w:rsid w:val="00784B44"/>
    <w:rsid w:val="00784F40"/>
    <w:rsid w:val="00785465"/>
    <w:rsid w:val="00785764"/>
    <w:rsid w:val="0078586C"/>
    <w:rsid w:val="0078599F"/>
    <w:rsid w:val="0078745B"/>
    <w:rsid w:val="00787656"/>
    <w:rsid w:val="00787D79"/>
    <w:rsid w:val="007900A5"/>
    <w:rsid w:val="0079107E"/>
    <w:rsid w:val="007911D4"/>
    <w:rsid w:val="00791767"/>
    <w:rsid w:val="00791C68"/>
    <w:rsid w:val="0079268A"/>
    <w:rsid w:val="0079353E"/>
    <w:rsid w:val="00793D6E"/>
    <w:rsid w:val="007943FB"/>
    <w:rsid w:val="00794859"/>
    <w:rsid w:val="00794886"/>
    <w:rsid w:val="00795629"/>
    <w:rsid w:val="00797804"/>
    <w:rsid w:val="00797C88"/>
    <w:rsid w:val="007A0CF5"/>
    <w:rsid w:val="007A1013"/>
    <w:rsid w:val="007A11BB"/>
    <w:rsid w:val="007A18D0"/>
    <w:rsid w:val="007A1F68"/>
    <w:rsid w:val="007A4CA9"/>
    <w:rsid w:val="007A51DC"/>
    <w:rsid w:val="007A7D19"/>
    <w:rsid w:val="007A7EC2"/>
    <w:rsid w:val="007B042D"/>
    <w:rsid w:val="007B05BB"/>
    <w:rsid w:val="007B0682"/>
    <w:rsid w:val="007B07F8"/>
    <w:rsid w:val="007B2276"/>
    <w:rsid w:val="007B2DE8"/>
    <w:rsid w:val="007B2EF6"/>
    <w:rsid w:val="007B4A69"/>
    <w:rsid w:val="007B50FB"/>
    <w:rsid w:val="007B6E0A"/>
    <w:rsid w:val="007B7061"/>
    <w:rsid w:val="007B764C"/>
    <w:rsid w:val="007C035A"/>
    <w:rsid w:val="007C118A"/>
    <w:rsid w:val="007C348F"/>
    <w:rsid w:val="007C4830"/>
    <w:rsid w:val="007C4F21"/>
    <w:rsid w:val="007C61FE"/>
    <w:rsid w:val="007C636F"/>
    <w:rsid w:val="007D010A"/>
    <w:rsid w:val="007D03BD"/>
    <w:rsid w:val="007D0E16"/>
    <w:rsid w:val="007D129F"/>
    <w:rsid w:val="007D1846"/>
    <w:rsid w:val="007D1CDE"/>
    <w:rsid w:val="007D33D4"/>
    <w:rsid w:val="007D35D4"/>
    <w:rsid w:val="007D39EB"/>
    <w:rsid w:val="007D417A"/>
    <w:rsid w:val="007D42EE"/>
    <w:rsid w:val="007D4CA7"/>
    <w:rsid w:val="007D4DB3"/>
    <w:rsid w:val="007D61BD"/>
    <w:rsid w:val="007D621C"/>
    <w:rsid w:val="007D6D3F"/>
    <w:rsid w:val="007E1AA1"/>
    <w:rsid w:val="007E1E3E"/>
    <w:rsid w:val="007E2165"/>
    <w:rsid w:val="007E3A18"/>
    <w:rsid w:val="007E3E47"/>
    <w:rsid w:val="007E4A2F"/>
    <w:rsid w:val="007E74E1"/>
    <w:rsid w:val="007E77A8"/>
    <w:rsid w:val="007F19C8"/>
    <w:rsid w:val="007F3014"/>
    <w:rsid w:val="007F322D"/>
    <w:rsid w:val="007F327C"/>
    <w:rsid w:val="007F3322"/>
    <w:rsid w:val="007F3EA7"/>
    <w:rsid w:val="007F491C"/>
    <w:rsid w:val="007F4B84"/>
    <w:rsid w:val="007F4ECF"/>
    <w:rsid w:val="007F5279"/>
    <w:rsid w:val="007F69AF"/>
    <w:rsid w:val="008008A0"/>
    <w:rsid w:val="00800BDA"/>
    <w:rsid w:val="008011E5"/>
    <w:rsid w:val="00801368"/>
    <w:rsid w:val="008021CB"/>
    <w:rsid w:val="0080294D"/>
    <w:rsid w:val="00802DD4"/>
    <w:rsid w:val="00803212"/>
    <w:rsid w:val="00803BF8"/>
    <w:rsid w:val="0080438D"/>
    <w:rsid w:val="00804830"/>
    <w:rsid w:val="0080529F"/>
    <w:rsid w:val="00805FE2"/>
    <w:rsid w:val="008061C9"/>
    <w:rsid w:val="008066D8"/>
    <w:rsid w:val="00807139"/>
    <w:rsid w:val="00807221"/>
    <w:rsid w:val="008112D3"/>
    <w:rsid w:val="00811626"/>
    <w:rsid w:val="00811A18"/>
    <w:rsid w:val="008126B4"/>
    <w:rsid w:val="00812970"/>
    <w:rsid w:val="00812B18"/>
    <w:rsid w:val="00813711"/>
    <w:rsid w:val="00813790"/>
    <w:rsid w:val="008142D3"/>
    <w:rsid w:val="00815781"/>
    <w:rsid w:val="00815790"/>
    <w:rsid w:val="0081584A"/>
    <w:rsid w:val="00817755"/>
    <w:rsid w:val="00817CCD"/>
    <w:rsid w:val="00821C55"/>
    <w:rsid w:val="00821C90"/>
    <w:rsid w:val="00821E63"/>
    <w:rsid w:val="00821E64"/>
    <w:rsid w:val="00823636"/>
    <w:rsid w:val="0082413B"/>
    <w:rsid w:val="0082578F"/>
    <w:rsid w:val="00826181"/>
    <w:rsid w:val="008263C2"/>
    <w:rsid w:val="008266AD"/>
    <w:rsid w:val="00830410"/>
    <w:rsid w:val="008307DB"/>
    <w:rsid w:val="008315DA"/>
    <w:rsid w:val="0083204D"/>
    <w:rsid w:val="00832DEE"/>
    <w:rsid w:val="00832DFC"/>
    <w:rsid w:val="00833398"/>
    <w:rsid w:val="008356A6"/>
    <w:rsid w:val="00835C43"/>
    <w:rsid w:val="00835D9D"/>
    <w:rsid w:val="00835FC9"/>
    <w:rsid w:val="008363F8"/>
    <w:rsid w:val="0083640D"/>
    <w:rsid w:val="008368F8"/>
    <w:rsid w:val="00836FC5"/>
    <w:rsid w:val="008370E3"/>
    <w:rsid w:val="00837203"/>
    <w:rsid w:val="008403D5"/>
    <w:rsid w:val="008407FF"/>
    <w:rsid w:val="00840F4C"/>
    <w:rsid w:val="008418FA"/>
    <w:rsid w:val="00842959"/>
    <w:rsid w:val="00842E20"/>
    <w:rsid w:val="00843390"/>
    <w:rsid w:val="008437B3"/>
    <w:rsid w:val="0084428A"/>
    <w:rsid w:val="00847621"/>
    <w:rsid w:val="008478A8"/>
    <w:rsid w:val="00847967"/>
    <w:rsid w:val="008504C0"/>
    <w:rsid w:val="00851D1A"/>
    <w:rsid w:val="0085235A"/>
    <w:rsid w:val="008523C1"/>
    <w:rsid w:val="00854138"/>
    <w:rsid w:val="00854410"/>
    <w:rsid w:val="008544AF"/>
    <w:rsid w:val="008544DF"/>
    <w:rsid w:val="00856A37"/>
    <w:rsid w:val="00857B8F"/>
    <w:rsid w:val="00860AAD"/>
    <w:rsid w:val="00860B92"/>
    <w:rsid w:val="00861AA6"/>
    <w:rsid w:val="00862538"/>
    <w:rsid w:val="00862A3F"/>
    <w:rsid w:val="0086393D"/>
    <w:rsid w:val="00863D70"/>
    <w:rsid w:val="00864EFC"/>
    <w:rsid w:val="00866990"/>
    <w:rsid w:val="00866D5B"/>
    <w:rsid w:val="008672C9"/>
    <w:rsid w:val="0087033D"/>
    <w:rsid w:val="008708F3"/>
    <w:rsid w:val="00870E37"/>
    <w:rsid w:val="00871354"/>
    <w:rsid w:val="00873611"/>
    <w:rsid w:val="00873A17"/>
    <w:rsid w:val="00873C8F"/>
    <w:rsid w:val="0087463E"/>
    <w:rsid w:val="00874EE2"/>
    <w:rsid w:val="00874FB3"/>
    <w:rsid w:val="0087528F"/>
    <w:rsid w:val="008754BD"/>
    <w:rsid w:val="0087678E"/>
    <w:rsid w:val="00876D93"/>
    <w:rsid w:val="008776A2"/>
    <w:rsid w:val="00877C34"/>
    <w:rsid w:val="00880B61"/>
    <w:rsid w:val="00880BE3"/>
    <w:rsid w:val="00881335"/>
    <w:rsid w:val="00881359"/>
    <w:rsid w:val="00881515"/>
    <w:rsid w:val="00881722"/>
    <w:rsid w:val="0088196B"/>
    <w:rsid w:val="00881E26"/>
    <w:rsid w:val="00882093"/>
    <w:rsid w:val="00882369"/>
    <w:rsid w:val="00882588"/>
    <w:rsid w:val="008836FA"/>
    <w:rsid w:val="0088438A"/>
    <w:rsid w:val="00884ADE"/>
    <w:rsid w:val="008852DA"/>
    <w:rsid w:val="008856CF"/>
    <w:rsid w:val="00885864"/>
    <w:rsid w:val="0088670B"/>
    <w:rsid w:val="00886BDD"/>
    <w:rsid w:val="008871EA"/>
    <w:rsid w:val="00887853"/>
    <w:rsid w:val="00887AE7"/>
    <w:rsid w:val="00890A1D"/>
    <w:rsid w:val="00891110"/>
    <w:rsid w:val="00893529"/>
    <w:rsid w:val="0089383B"/>
    <w:rsid w:val="00893EF4"/>
    <w:rsid w:val="0089534B"/>
    <w:rsid w:val="0089616F"/>
    <w:rsid w:val="008966D1"/>
    <w:rsid w:val="008970FE"/>
    <w:rsid w:val="008A0232"/>
    <w:rsid w:val="008A1244"/>
    <w:rsid w:val="008A33A1"/>
    <w:rsid w:val="008A457D"/>
    <w:rsid w:val="008A539D"/>
    <w:rsid w:val="008A7CDE"/>
    <w:rsid w:val="008A7F56"/>
    <w:rsid w:val="008B0470"/>
    <w:rsid w:val="008B06C5"/>
    <w:rsid w:val="008B0FE9"/>
    <w:rsid w:val="008B164E"/>
    <w:rsid w:val="008B1688"/>
    <w:rsid w:val="008B1D8E"/>
    <w:rsid w:val="008B26D1"/>
    <w:rsid w:val="008B2E1C"/>
    <w:rsid w:val="008B303D"/>
    <w:rsid w:val="008B3BE6"/>
    <w:rsid w:val="008B4C4F"/>
    <w:rsid w:val="008B502A"/>
    <w:rsid w:val="008B532C"/>
    <w:rsid w:val="008B57D8"/>
    <w:rsid w:val="008B5EB8"/>
    <w:rsid w:val="008B6E10"/>
    <w:rsid w:val="008B717D"/>
    <w:rsid w:val="008B7A65"/>
    <w:rsid w:val="008B7DC0"/>
    <w:rsid w:val="008C010D"/>
    <w:rsid w:val="008C1219"/>
    <w:rsid w:val="008C123E"/>
    <w:rsid w:val="008C137D"/>
    <w:rsid w:val="008C2111"/>
    <w:rsid w:val="008C22DD"/>
    <w:rsid w:val="008C3ED0"/>
    <w:rsid w:val="008C4F86"/>
    <w:rsid w:val="008C5E94"/>
    <w:rsid w:val="008C6A73"/>
    <w:rsid w:val="008C6B67"/>
    <w:rsid w:val="008C7225"/>
    <w:rsid w:val="008D01B7"/>
    <w:rsid w:val="008D01F4"/>
    <w:rsid w:val="008D025A"/>
    <w:rsid w:val="008D037E"/>
    <w:rsid w:val="008D127A"/>
    <w:rsid w:val="008D140A"/>
    <w:rsid w:val="008D1719"/>
    <w:rsid w:val="008D196A"/>
    <w:rsid w:val="008D3D8D"/>
    <w:rsid w:val="008D567B"/>
    <w:rsid w:val="008D569E"/>
    <w:rsid w:val="008D5B4E"/>
    <w:rsid w:val="008D6515"/>
    <w:rsid w:val="008D7758"/>
    <w:rsid w:val="008D78D9"/>
    <w:rsid w:val="008D7A3A"/>
    <w:rsid w:val="008E0705"/>
    <w:rsid w:val="008E12C6"/>
    <w:rsid w:val="008E1842"/>
    <w:rsid w:val="008E2878"/>
    <w:rsid w:val="008E2D7D"/>
    <w:rsid w:val="008E37BD"/>
    <w:rsid w:val="008E3EF2"/>
    <w:rsid w:val="008E51C9"/>
    <w:rsid w:val="008E5517"/>
    <w:rsid w:val="008E5BEB"/>
    <w:rsid w:val="008E6306"/>
    <w:rsid w:val="008E6B9D"/>
    <w:rsid w:val="008E7EC9"/>
    <w:rsid w:val="008F041A"/>
    <w:rsid w:val="008F06A3"/>
    <w:rsid w:val="008F0B02"/>
    <w:rsid w:val="008F12B4"/>
    <w:rsid w:val="008F3CDE"/>
    <w:rsid w:val="008F3E3C"/>
    <w:rsid w:val="008F4659"/>
    <w:rsid w:val="008F471B"/>
    <w:rsid w:val="008F4A08"/>
    <w:rsid w:val="008F4C83"/>
    <w:rsid w:val="008F523F"/>
    <w:rsid w:val="008F5E3B"/>
    <w:rsid w:val="008F617F"/>
    <w:rsid w:val="008F61D9"/>
    <w:rsid w:val="008F68F7"/>
    <w:rsid w:val="0090019F"/>
    <w:rsid w:val="009005A6"/>
    <w:rsid w:val="009006CF"/>
    <w:rsid w:val="00900C71"/>
    <w:rsid w:val="00900EFB"/>
    <w:rsid w:val="00902A1C"/>
    <w:rsid w:val="00903241"/>
    <w:rsid w:val="009037B6"/>
    <w:rsid w:val="00904888"/>
    <w:rsid w:val="0090686E"/>
    <w:rsid w:val="00906CB9"/>
    <w:rsid w:val="00906CBE"/>
    <w:rsid w:val="00907318"/>
    <w:rsid w:val="00910024"/>
    <w:rsid w:val="00910291"/>
    <w:rsid w:val="00910384"/>
    <w:rsid w:val="00910DBD"/>
    <w:rsid w:val="0091489B"/>
    <w:rsid w:val="0091643D"/>
    <w:rsid w:val="00916E33"/>
    <w:rsid w:val="00916F8A"/>
    <w:rsid w:val="00917A65"/>
    <w:rsid w:val="00917CB6"/>
    <w:rsid w:val="0092093B"/>
    <w:rsid w:val="009222FE"/>
    <w:rsid w:val="00922615"/>
    <w:rsid w:val="009241D6"/>
    <w:rsid w:val="00924509"/>
    <w:rsid w:val="00925B44"/>
    <w:rsid w:val="00925FD2"/>
    <w:rsid w:val="009267D1"/>
    <w:rsid w:val="00926CB8"/>
    <w:rsid w:val="00927237"/>
    <w:rsid w:val="009275C1"/>
    <w:rsid w:val="00930669"/>
    <w:rsid w:val="00932C33"/>
    <w:rsid w:val="009337B6"/>
    <w:rsid w:val="00933891"/>
    <w:rsid w:val="00933BA6"/>
    <w:rsid w:val="00934153"/>
    <w:rsid w:val="009421D3"/>
    <w:rsid w:val="009424C0"/>
    <w:rsid w:val="009427A1"/>
    <w:rsid w:val="00942FFE"/>
    <w:rsid w:val="00943159"/>
    <w:rsid w:val="00943173"/>
    <w:rsid w:val="00944383"/>
    <w:rsid w:val="00945057"/>
    <w:rsid w:val="00945B81"/>
    <w:rsid w:val="00945D4E"/>
    <w:rsid w:val="009468B2"/>
    <w:rsid w:val="00946C9F"/>
    <w:rsid w:val="00946CA7"/>
    <w:rsid w:val="00950F3A"/>
    <w:rsid w:val="00951A0B"/>
    <w:rsid w:val="0095348E"/>
    <w:rsid w:val="0095359E"/>
    <w:rsid w:val="00954E98"/>
    <w:rsid w:val="009551E0"/>
    <w:rsid w:val="0095539E"/>
    <w:rsid w:val="00955938"/>
    <w:rsid w:val="00955DE8"/>
    <w:rsid w:val="0095654E"/>
    <w:rsid w:val="00956F3C"/>
    <w:rsid w:val="009570E6"/>
    <w:rsid w:val="0095725C"/>
    <w:rsid w:val="0095753B"/>
    <w:rsid w:val="00961168"/>
    <w:rsid w:val="00961844"/>
    <w:rsid w:val="00961BB1"/>
    <w:rsid w:val="00962864"/>
    <w:rsid w:val="00963D3E"/>
    <w:rsid w:val="009640AD"/>
    <w:rsid w:val="009641BB"/>
    <w:rsid w:val="009651E1"/>
    <w:rsid w:val="00967022"/>
    <w:rsid w:val="009671F7"/>
    <w:rsid w:val="00970E19"/>
    <w:rsid w:val="0097159A"/>
    <w:rsid w:val="00971C34"/>
    <w:rsid w:val="00972488"/>
    <w:rsid w:val="009725DA"/>
    <w:rsid w:val="009726D0"/>
    <w:rsid w:val="00973DC3"/>
    <w:rsid w:val="0097421D"/>
    <w:rsid w:val="00974569"/>
    <w:rsid w:val="00974A84"/>
    <w:rsid w:val="00975153"/>
    <w:rsid w:val="009753A7"/>
    <w:rsid w:val="00976117"/>
    <w:rsid w:val="00976328"/>
    <w:rsid w:val="00976A23"/>
    <w:rsid w:val="009800BC"/>
    <w:rsid w:val="00980A30"/>
    <w:rsid w:val="00980CEA"/>
    <w:rsid w:val="009816F6"/>
    <w:rsid w:val="009817F2"/>
    <w:rsid w:val="009837DA"/>
    <w:rsid w:val="00984B61"/>
    <w:rsid w:val="009850F8"/>
    <w:rsid w:val="00985A9A"/>
    <w:rsid w:val="00986592"/>
    <w:rsid w:val="0098702F"/>
    <w:rsid w:val="0098759B"/>
    <w:rsid w:val="009900F0"/>
    <w:rsid w:val="009905BB"/>
    <w:rsid w:val="00990AF5"/>
    <w:rsid w:val="00990B89"/>
    <w:rsid w:val="00990B9B"/>
    <w:rsid w:val="00991769"/>
    <w:rsid w:val="00993236"/>
    <w:rsid w:val="00993462"/>
    <w:rsid w:val="00993D8C"/>
    <w:rsid w:val="00994E3D"/>
    <w:rsid w:val="00995E99"/>
    <w:rsid w:val="009A03BE"/>
    <w:rsid w:val="009A1846"/>
    <w:rsid w:val="009A21FF"/>
    <w:rsid w:val="009A24BF"/>
    <w:rsid w:val="009A297E"/>
    <w:rsid w:val="009A2B6C"/>
    <w:rsid w:val="009A3E37"/>
    <w:rsid w:val="009A45C1"/>
    <w:rsid w:val="009A5482"/>
    <w:rsid w:val="009A5721"/>
    <w:rsid w:val="009A5884"/>
    <w:rsid w:val="009A6127"/>
    <w:rsid w:val="009A692C"/>
    <w:rsid w:val="009A6D0C"/>
    <w:rsid w:val="009A724F"/>
    <w:rsid w:val="009B04F9"/>
    <w:rsid w:val="009B0CC1"/>
    <w:rsid w:val="009B0EC4"/>
    <w:rsid w:val="009B119E"/>
    <w:rsid w:val="009B1250"/>
    <w:rsid w:val="009B12B8"/>
    <w:rsid w:val="009B1BC6"/>
    <w:rsid w:val="009B1F94"/>
    <w:rsid w:val="009B339F"/>
    <w:rsid w:val="009B3753"/>
    <w:rsid w:val="009B5C6E"/>
    <w:rsid w:val="009B6252"/>
    <w:rsid w:val="009B713C"/>
    <w:rsid w:val="009C0D4E"/>
    <w:rsid w:val="009C0EA8"/>
    <w:rsid w:val="009C0F18"/>
    <w:rsid w:val="009C12C6"/>
    <w:rsid w:val="009C2555"/>
    <w:rsid w:val="009C25EC"/>
    <w:rsid w:val="009C2648"/>
    <w:rsid w:val="009C3322"/>
    <w:rsid w:val="009C3558"/>
    <w:rsid w:val="009C3A99"/>
    <w:rsid w:val="009C402A"/>
    <w:rsid w:val="009C5565"/>
    <w:rsid w:val="009C5FA7"/>
    <w:rsid w:val="009C6266"/>
    <w:rsid w:val="009C7282"/>
    <w:rsid w:val="009C7778"/>
    <w:rsid w:val="009D06AE"/>
    <w:rsid w:val="009D0962"/>
    <w:rsid w:val="009D09E2"/>
    <w:rsid w:val="009D1E42"/>
    <w:rsid w:val="009D271E"/>
    <w:rsid w:val="009D55EE"/>
    <w:rsid w:val="009D5F46"/>
    <w:rsid w:val="009D7148"/>
    <w:rsid w:val="009D7E09"/>
    <w:rsid w:val="009E02FD"/>
    <w:rsid w:val="009E244A"/>
    <w:rsid w:val="009E2C96"/>
    <w:rsid w:val="009E2CBD"/>
    <w:rsid w:val="009E2F97"/>
    <w:rsid w:val="009E44CF"/>
    <w:rsid w:val="009E4C74"/>
    <w:rsid w:val="009E62B6"/>
    <w:rsid w:val="009E6CC4"/>
    <w:rsid w:val="009F12F1"/>
    <w:rsid w:val="009F1E88"/>
    <w:rsid w:val="009F2E16"/>
    <w:rsid w:val="009F35DA"/>
    <w:rsid w:val="009F43D0"/>
    <w:rsid w:val="009F4A12"/>
    <w:rsid w:val="009F5BF9"/>
    <w:rsid w:val="009F732E"/>
    <w:rsid w:val="009F7B27"/>
    <w:rsid w:val="00A00134"/>
    <w:rsid w:val="00A00568"/>
    <w:rsid w:val="00A00884"/>
    <w:rsid w:val="00A00A50"/>
    <w:rsid w:val="00A00D84"/>
    <w:rsid w:val="00A01F00"/>
    <w:rsid w:val="00A02618"/>
    <w:rsid w:val="00A02C23"/>
    <w:rsid w:val="00A02DF7"/>
    <w:rsid w:val="00A02F62"/>
    <w:rsid w:val="00A02FA3"/>
    <w:rsid w:val="00A030C3"/>
    <w:rsid w:val="00A03A89"/>
    <w:rsid w:val="00A04803"/>
    <w:rsid w:val="00A048AA"/>
    <w:rsid w:val="00A0660E"/>
    <w:rsid w:val="00A06659"/>
    <w:rsid w:val="00A066F2"/>
    <w:rsid w:val="00A06B33"/>
    <w:rsid w:val="00A07F8F"/>
    <w:rsid w:val="00A10147"/>
    <w:rsid w:val="00A10513"/>
    <w:rsid w:val="00A11331"/>
    <w:rsid w:val="00A115EE"/>
    <w:rsid w:val="00A11846"/>
    <w:rsid w:val="00A12D15"/>
    <w:rsid w:val="00A13045"/>
    <w:rsid w:val="00A131E6"/>
    <w:rsid w:val="00A13551"/>
    <w:rsid w:val="00A13843"/>
    <w:rsid w:val="00A146A5"/>
    <w:rsid w:val="00A1565A"/>
    <w:rsid w:val="00A15EFD"/>
    <w:rsid w:val="00A16B65"/>
    <w:rsid w:val="00A17466"/>
    <w:rsid w:val="00A204B3"/>
    <w:rsid w:val="00A20576"/>
    <w:rsid w:val="00A20642"/>
    <w:rsid w:val="00A21593"/>
    <w:rsid w:val="00A21CE6"/>
    <w:rsid w:val="00A221F7"/>
    <w:rsid w:val="00A22C21"/>
    <w:rsid w:val="00A2438B"/>
    <w:rsid w:val="00A252D0"/>
    <w:rsid w:val="00A2604E"/>
    <w:rsid w:val="00A26978"/>
    <w:rsid w:val="00A277B9"/>
    <w:rsid w:val="00A27A14"/>
    <w:rsid w:val="00A31CCE"/>
    <w:rsid w:val="00A32246"/>
    <w:rsid w:val="00A33B68"/>
    <w:rsid w:val="00A33C95"/>
    <w:rsid w:val="00A33F7B"/>
    <w:rsid w:val="00A34F93"/>
    <w:rsid w:val="00A34FF3"/>
    <w:rsid w:val="00A35351"/>
    <w:rsid w:val="00A361C7"/>
    <w:rsid w:val="00A36723"/>
    <w:rsid w:val="00A37151"/>
    <w:rsid w:val="00A4046F"/>
    <w:rsid w:val="00A406AA"/>
    <w:rsid w:val="00A40A01"/>
    <w:rsid w:val="00A4464A"/>
    <w:rsid w:val="00A446AA"/>
    <w:rsid w:val="00A4478C"/>
    <w:rsid w:val="00A44B39"/>
    <w:rsid w:val="00A458EE"/>
    <w:rsid w:val="00A4613F"/>
    <w:rsid w:val="00A46DF5"/>
    <w:rsid w:val="00A4704C"/>
    <w:rsid w:val="00A470C6"/>
    <w:rsid w:val="00A47612"/>
    <w:rsid w:val="00A47C8F"/>
    <w:rsid w:val="00A47F6C"/>
    <w:rsid w:val="00A5149A"/>
    <w:rsid w:val="00A5151A"/>
    <w:rsid w:val="00A51C98"/>
    <w:rsid w:val="00A52312"/>
    <w:rsid w:val="00A5314C"/>
    <w:rsid w:val="00A53159"/>
    <w:rsid w:val="00A53650"/>
    <w:rsid w:val="00A53E51"/>
    <w:rsid w:val="00A542E0"/>
    <w:rsid w:val="00A54C35"/>
    <w:rsid w:val="00A55302"/>
    <w:rsid w:val="00A55879"/>
    <w:rsid w:val="00A562B2"/>
    <w:rsid w:val="00A57183"/>
    <w:rsid w:val="00A57F50"/>
    <w:rsid w:val="00A605D2"/>
    <w:rsid w:val="00A60693"/>
    <w:rsid w:val="00A610E8"/>
    <w:rsid w:val="00A6196D"/>
    <w:rsid w:val="00A619C0"/>
    <w:rsid w:val="00A61A5E"/>
    <w:rsid w:val="00A61ADF"/>
    <w:rsid w:val="00A624CB"/>
    <w:rsid w:val="00A62AC0"/>
    <w:rsid w:val="00A64075"/>
    <w:rsid w:val="00A6487D"/>
    <w:rsid w:val="00A65044"/>
    <w:rsid w:val="00A66C44"/>
    <w:rsid w:val="00A67829"/>
    <w:rsid w:val="00A71099"/>
    <w:rsid w:val="00A71445"/>
    <w:rsid w:val="00A7303F"/>
    <w:rsid w:val="00A73F23"/>
    <w:rsid w:val="00A74B96"/>
    <w:rsid w:val="00A752F0"/>
    <w:rsid w:val="00A75343"/>
    <w:rsid w:val="00A75BD8"/>
    <w:rsid w:val="00A76BD2"/>
    <w:rsid w:val="00A77141"/>
    <w:rsid w:val="00A77749"/>
    <w:rsid w:val="00A80795"/>
    <w:rsid w:val="00A81471"/>
    <w:rsid w:val="00A8267D"/>
    <w:rsid w:val="00A82E14"/>
    <w:rsid w:val="00A82EEB"/>
    <w:rsid w:val="00A83D4B"/>
    <w:rsid w:val="00A842CD"/>
    <w:rsid w:val="00A84D5C"/>
    <w:rsid w:val="00A8551B"/>
    <w:rsid w:val="00A8688E"/>
    <w:rsid w:val="00A86FD9"/>
    <w:rsid w:val="00A8722B"/>
    <w:rsid w:val="00A875FB"/>
    <w:rsid w:val="00A901E9"/>
    <w:rsid w:val="00A90491"/>
    <w:rsid w:val="00A90801"/>
    <w:rsid w:val="00A913DC"/>
    <w:rsid w:val="00A917B6"/>
    <w:rsid w:val="00A91831"/>
    <w:rsid w:val="00A91B3B"/>
    <w:rsid w:val="00A9202B"/>
    <w:rsid w:val="00A92614"/>
    <w:rsid w:val="00A93648"/>
    <w:rsid w:val="00A93B4F"/>
    <w:rsid w:val="00A93E4B"/>
    <w:rsid w:val="00A94F7A"/>
    <w:rsid w:val="00A954D2"/>
    <w:rsid w:val="00A95D3B"/>
    <w:rsid w:val="00A96ACE"/>
    <w:rsid w:val="00A96BC5"/>
    <w:rsid w:val="00A96FF8"/>
    <w:rsid w:val="00A97341"/>
    <w:rsid w:val="00A9775D"/>
    <w:rsid w:val="00AA0081"/>
    <w:rsid w:val="00AA26D8"/>
    <w:rsid w:val="00AA2FA3"/>
    <w:rsid w:val="00AA4E4D"/>
    <w:rsid w:val="00AA674C"/>
    <w:rsid w:val="00AA753E"/>
    <w:rsid w:val="00AA7D9F"/>
    <w:rsid w:val="00AB09ED"/>
    <w:rsid w:val="00AB1F0F"/>
    <w:rsid w:val="00AB3147"/>
    <w:rsid w:val="00AB3DC0"/>
    <w:rsid w:val="00AB4041"/>
    <w:rsid w:val="00AB4616"/>
    <w:rsid w:val="00AB4CBB"/>
    <w:rsid w:val="00AB5D88"/>
    <w:rsid w:val="00AB5FA3"/>
    <w:rsid w:val="00AB6E72"/>
    <w:rsid w:val="00AB767A"/>
    <w:rsid w:val="00AB7824"/>
    <w:rsid w:val="00AB7F79"/>
    <w:rsid w:val="00AC125E"/>
    <w:rsid w:val="00AC2664"/>
    <w:rsid w:val="00AC28F5"/>
    <w:rsid w:val="00AC2B86"/>
    <w:rsid w:val="00AC39DB"/>
    <w:rsid w:val="00AC3B1D"/>
    <w:rsid w:val="00AC45DF"/>
    <w:rsid w:val="00AC474D"/>
    <w:rsid w:val="00AC4DFD"/>
    <w:rsid w:val="00AC54D5"/>
    <w:rsid w:val="00AC5663"/>
    <w:rsid w:val="00AC58FD"/>
    <w:rsid w:val="00AC5C13"/>
    <w:rsid w:val="00AC6D87"/>
    <w:rsid w:val="00AC6F0C"/>
    <w:rsid w:val="00AD0F6D"/>
    <w:rsid w:val="00AD1166"/>
    <w:rsid w:val="00AD19D2"/>
    <w:rsid w:val="00AD1A96"/>
    <w:rsid w:val="00AD1B9C"/>
    <w:rsid w:val="00AD3042"/>
    <w:rsid w:val="00AD3C52"/>
    <w:rsid w:val="00AD3DE7"/>
    <w:rsid w:val="00AD6887"/>
    <w:rsid w:val="00AD6EA8"/>
    <w:rsid w:val="00AD764B"/>
    <w:rsid w:val="00AD793A"/>
    <w:rsid w:val="00AD7C13"/>
    <w:rsid w:val="00AE0120"/>
    <w:rsid w:val="00AE0296"/>
    <w:rsid w:val="00AE1BA5"/>
    <w:rsid w:val="00AE2E0B"/>
    <w:rsid w:val="00AE3038"/>
    <w:rsid w:val="00AE3D4A"/>
    <w:rsid w:val="00AE3FA9"/>
    <w:rsid w:val="00AE516F"/>
    <w:rsid w:val="00AE5956"/>
    <w:rsid w:val="00AE5B98"/>
    <w:rsid w:val="00AE619F"/>
    <w:rsid w:val="00AE6A2A"/>
    <w:rsid w:val="00AE6B7F"/>
    <w:rsid w:val="00AE7A52"/>
    <w:rsid w:val="00AE7A56"/>
    <w:rsid w:val="00AE7A88"/>
    <w:rsid w:val="00AF04A0"/>
    <w:rsid w:val="00AF2432"/>
    <w:rsid w:val="00AF2A56"/>
    <w:rsid w:val="00AF4885"/>
    <w:rsid w:val="00AF56D6"/>
    <w:rsid w:val="00AF63AB"/>
    <w:rsid w:val="00AF652F"/>
    <w:rsid w:val="00AF6C42"/>
    <w:rsid w:val="00AF7F58"/>
    <w:rsid w:val="00B00B2A"/>
    <w:rsid w:val="00B01784"/>
    <w:rsid w:val="00B02647"/>
    <w:rsid w:val="00B02863"/>
    <w:rsid w:val="00B0388B"/>
    <w:rsid w:val="00B03BEE"/>
    <w:rsid w:val="00B0517E"/>
    <w:rsid w:val="00B0614D"/>
    <w:rsid w:val="00B06355"/>
    <w:rsid w:val="00B06FC0"/>
    <w:rsid w:val="00B1031E"/>
    <w:rsid w:val="00B11314"/>
    <w:rsid w:val="00B113E3"/>
    <w:rsid w:val="00B1156A"/>
    <w:rsid w:val="00B12528"/>
    <w:rsid w:val="00B129DE"/>
    <w:rsid w:val="00B132B4"/>
    <w:rsid w:val="00B138E3"/>
    <w:rsid w:val="00B13FB5"/>
    <w:rsid w:val="00B14BBA"/>
    <w:rsid w:val="00B14D47"/>
    <w:rsid w:val="00B1593A"/>
    <w:rsid w:val="00B15ED0"/>
    <w:rsid w:val="00B162B1"/>
    <w:rsid w:val="00B16429"/>
    <w:rsid w:val="00B16D0F"/>
    <w:rsid w:val="00B178FA"/>
    <w:rsid w:val="00B17C5E"/>
    <w:rsid w:val="00B17D8E"/>
    <w:rsid w:val="00B17FD8"/>
    <w:rsid w:val="00B207C3"/>
    <w:rsid w:val="00B2151D"/>
    <w:rsid w:val="00B218EC"/>
    <w:rsid w:val="00B21DED"/>
    <w:rsid w:val="00B23267"/>
    <w:rsid w:val="00B23906"/>
    <w:rsid w:val="00B23A75"/>
    <w:rsid w:val="00B24DBD"/>
    <w:rsid w:val="00B257BF"/>
    <w:rsid w:val="00B262D8"/>
    <w:rsid w:val="00B27149"/>
    <w:rsid w:val="00B301F1"/>
    <w:rsid w:val="00B34EAB"/>
    <w:rsid w:val="00B34FDC"/>
    <w:rsid w:val="00B356B1"/>
    <w:rsid w:val="00B35924"/>
    <w:rsid w:val="00B35B4D"/>
    <w:rsid w:val="00B3616F"/>
    <w:rsid w:val="00B362F0"/>
    <w:rsid w:val="00B36652"/>
    <w:rsid w:val="00B37291"/>
    <w:rsid w:val="00B375C2"/>
    <w:rsid w:val="00B37AF9"/>
    <w:rsid w:val="00B401DC"/>
    <w:rsid w:val="00B40829"/>
    <w:rsid w:val="00B40D1D"/>
    <w:rsid w:val="00B41392"/>
    <w:rsid w:val="00B414B3"/>
    <w:rsid w:val="00B41AAB"/>
    <w:rsid w:val="00B41D0B"/>
    <w:rsid w:val="00B425AB"/>
    <w:rsid w:val="00B43BF4"/>
    <w:rsid w:val="00B43E54"/>
    <w:rsid w:val="00B443FB"/>
    <w:rsid w:val="00B45243"/>
    <w:rsid w:val="00B4683B"/>
    <w:rsid w:val="00B47090"/>
    <w:rsid w:val="00B4723B"/>
    <w:rsid w:val="00B474D9"/>
    <w:rsid w:val="00B475EF"/>
    <w:rsid w:val="00B47640"/>
    <w:rsid w:val="00B501B5"/>
    <w:rsid w:val="00B51420"/>
    <w:rsid w:val="00B51734"/>
    <w:rsid w:val="00B5205A"/>
    <w:rsid w:val="00B52B28"/>
    <w:rsid w:val="00B532D1"/>
    <w:rsid w:val="00B53398"/>
    <w:rsid w:val="00B53411"/>
    <w:rsid w:val="00B55F9E"/>
    <w:rsid w:val="00B56878"/>
    <w:rsid w:val="00B60624"/>
    <w:rsid w:val="00B61A9E"/>
    <w:rsid w:val="00B61E3E"/>
    <w:rsid w:val="00B61EEE"/>
    <w:rsid w:val="00B62665"/>
    <w:rsid w:val="00B637AA"/>
    <w:rsid w:val="00B639AE"/>
    <w:rsid w:val="00B652A3"/>
    <w:rsid w:val="00B66039"/>
    <w:rsid w:val="00B668AB"/>
    <w:rsid w:val="00B66CBE"/>
    <w:rsid w:val="00B66D79"/>
    <w:rsid w:val="00B67A79"/>
    <w:rsid w:val="00B7034A"/>
    <w:rsid w:val="00B712B3"/>
    <w:rsid w:val="00B724CE"/>
    <w:rsid w:val="00B72D62"/>
    <w:rsid w:val="00B73C22"/>
    <w:rsid w:val="00B73F9C"/>
    <w:rsid w:val="00B7501F"/>
    <w:rsid w:val="00B75B03"/>
    <w:rsid w:val="00B75B79"/>
    <w:rsid w:val="00B75B7F"/>
    <w:rsid w:val="00B767AF"/>
    <w:rsid w:val="00B76A39"/>
    <w:rsid w:val="00B7720A"/>
    <w:rsid w:val="00B77C0E"/>
    <w:rsid w:val="00B79C3C"/>
    <w:rsid w:val="00B80511"/>
    <w:rsid w:val="00B80798"/>
    <w:rsid w:val="00B80876"/>
    <w:rsid w:val="00B8149A"/>
    <w:rsid w:val="00B82C3C"/>
    <w:rsid w:val="00B82DE6"/>
    <w:rsid w:val="00B831CD"/>
    <w:rsid w:val="00B8403A"/>
    <w:rsid w:val="00B843E1"/>
    <w:rsid w:val="00B85329"/>
    <w:rsid w:val="00B8640A"/>
    <w:rsid w:val="00B86B96"/>
    <w:rsid w:val="00B86FF7"/>
    <w:rsid w:val="00B8779F"/>
    <w:rsid w:val="00B90593"/>
    <w:rsid w:val="00B90D33"/>
    <w:rsid w:val="00B90FF1"/>
    <w:rsid w:val="00B9141F"/>
    <w:rsid w:val="00B91B9D"/>
    <w:rsid w:val="00B91CF1"/>
    <w:rsid w:val="00B93D83"/>
    <w:rsid w:val="00B9511C"/>
    <w:rsid w:val="00B955A4"/>
    <w:rsid w:val="00B95C85"/>
    <w:rsid w:val="00BA1224"/>
    <w:rsid w:val="00BA18F5"/>
    <w:rsid w:val="00BA1EE8"/>
    <w:rsid w:val="00BA1F39"/>
    <w:rsid w:val="00BA31B8"/>
    <w:rsid w:val="00BA3844"/>
    <w:rsid w:val="00BA3C78"/>
    <w:rsid w:val="00BA5E20"/>
    <w:rsid w:val="00BA607C"/>
    <w:rsid w:val="00BA66ED"/>
    <w:rsid w:val="00BA6734"/>
    <w:rsid w:val="00BA6792"/>
    <w:rsid w:val="00BA7235"/>
    <w:rsid w:val="00BA7276"/>
    <w:rsid w:val="00BA77D1"/>
    <w:rsid w:val="00BB2574"/>
    <w:rsid w:val="00BB2975"/>
    <w:rsid w:val="00BB29D3"/>
    <w:rsid w:val="00BB3247"/>
    <w:rsid w:val="00BB3254"/>
    <w:rsid w:val="00BB3E2A"/>
    <w:rsid w:val="00BB4E7C"/>
    <w:rsid w:val="00BB545C"/>
    <w:rsid w:val="00BB620F"/>
    <w:rsid w:val="00BB7121"/>
    <w:rsid w:val="00BC0479"/>
    <w:rsid w:val="00BC1032"/>
    <w:rsid w:val="00BC1651"/>
    <w:rsid w:val="00BC16F5"/>
    <w:rsid w:val="00BC18FF"/>
    <w:rsid w:val="00BC19F8"/>
    <w:rsid w:val="00BC23B9"/>
    <w:rsid w:val="00BC27E0"/>
    <w:rsid w:val="00BC287D"/>
    <w:rsid w:val="00BC2A38"/>
    <w:rsid w:val="00BC45EE"/>
    <w:rsid w:val="00BC46EB"/>
    <w:rsid w:val="00BC4991"/>
    <w:rsid w:val="00BC4C31"/>
    <w:rsid w:val="00BC5773"/>
    <w:rsid w:val="00BC643B"/>
    <w:rsid w:val="00BC7E21"/>
    <w:rsid w:val="00BD1A80"/>
    <w:rsid w:val="00BD32E5"/>
    <w:rsid w:val="00BD36C4"/>
    <w:rsid w:val="00BD4005"/>
    <w:rsid w:val="00BD4D64"/>
    <w:rsid w:val="00BD6482"/>
    <w:rsid w:val="00BD7A28"/>
    <w:rsid w:val="00BE03AC"/>
    <w:rsid w:val="00BE0AEB"/>
    <w:rsid w:val="00BE104C"/>
    <w:rsid w:val="00BE1095"/>
    <w:rsid w:val="00BE1444"/>
    <w:rsid w:val="00BE150A"/>
    <w:rsid w:val="00BE2068"/>
    <w:rsid w:val="00BE247F"/>
    <w:rsid w:val="00BE2908"/>
    <w:rsid w:val="00BE4F37"/>
    <w:rsid w:val="00BE6767"/>
    <w:rsid w:val="00BE7077"/>
    <w:rsid w:val="00BE78EC"/>
    <w:rsid w:val="00BE7E43"/>
    <w:rsid w:val="00BF0E12"/>
    <w:rsid w:val="00BF1F00"/>
    <w:rsid w:val="00BF2A8F"/>
    <w:rsid w:val="00BF3367"/>
    <w:rsid w:val="00BF46EE"/>
    <w:rsid w:val="00BF714E"/>
    <w:rsid w:val="00BF74B1"/>
    <w:rsid w:val="00BF7C32"/>
    <w:rsid w:val="00C00B0E"/>
    <w:rsid w:val="00C00D83"/>
    <w:rsid w:val="00C01264"/>
    <w:rsid w:val="00C015F7"/>
    <w:rsid w:val="00C0193B"/>
    <w:rsid w:val="00C0296E"/>
    <w:rsid w:val="00C036C5"/>
    <w:rsid w:val="00C03C28"/>
    <w:rsid w:val="00C04DF8"/>
    <w:rsid w:val="00C060A4"/>
    <w:rsid w:val="00C0613C"/>
    <w:rsid w:val="00C06348"/>
    <w:rsid w:val="00C06463"/>
    <w:rsid w:val="00C073B0"/>
    <w:rsid w:val="00C10A66"/>
    <w:rsid w:val="00C10A78"/>
    <w:rsid w:val="00C10D05"/>
    <w:rsid w:val="00C115A9"/>
    <w:rsid w:val="00C13E1B"/>
    <w:rsid w:val="00C1479E"/>
    <w:rsid w:val="00C14FBA"/>
    <w:rsid w:val="00C1596D"/>
    <w:rsid w:val="00C15EA1"/>
    <w:rsid w:val="00C16ACC"/>
    <w:rsid w:val="00C1770B"/>
    <w:rsid w:val="00C17A8E"/>
    <w:rsid w:val="00C2001B"/>
    <w:rsid w:val="00C2012D"/>
    <w:rsid w:val="00C2044A"/>
    <w:rsid w:val="00C20DB6"/>
    <w:rsid w:val="00C20ED9"/>
    <w:rsid w:val="00C213C1"/>
    <w:rsid w:val="00C23816"/>
    <w:rsid w:val="00C24F70"/>
    <w:rsid w:val="00C25039"/>
    <w:rsid w:val="00C25DC2"/>
    <w:rsid w:val="00C25FC6"/>
    <w:rsid w:val="00C26B42"/>
    <w:rsid w:val="00C2745B"/>
    <w:rsid w:val="00C3075B"/>
    <w:rsid w:val="00C30C67"/>
    <w:rsid w:val="00C31543"/>
    <w:rsid w:val="00C31F56"/>
    <w:rsid w:val="00C33375"/>
    <w:rsid w:val="00C33479"/>
    <w:rsid w:val="00C33B97"/>
    <w:rsid w:val="00C34F7B"/>
    <w:rsid w:val="00C3584F"/>
    <w:rsid w:val="00C35BC1"/>
    <w:rsid w:val="00C365E4"/>
    <w:rsid w:val="00C36999"/>
    <w:rsid w:val="00C36A9E"/>
    <w:rsid w:val="00C40ED2"/>
    <w:rsid w:val="00C4190B"/>
    <w:rsid w:val="00C41F10"/>
    <w:rsid w:val="00C42A57"/>
    <w:rsid w:val="00C432DD"/>
    <w:rsid w:val="00C4367D"/>
    <w:rsid w:val="00C439A2"/>
    <w:rsid w:val="00C43AB8"/>
    <w:rsid w:val="00C4423A"/>
    <w:rsid w:val="00C46265"/>
    <w:rsid w:val="00C46591"/>
    <w:rsid w:val="00C467F6"/>
    <w:rsid w:val="00C501FE"/>
    <w:rsid w:val="00C503B2"/>
    <w:rsid w:val="00C50CA6"/>
    <w:rsid w:val="00C54AB3"/>
    <w:rsid w:val="00C563B4"/>
    <w:rsid w:val="00C572D8"/>
    <w:rsid w:val="00C5784B"/>
    <w:rsid w:val="00C60B94"/>
    <w:rsid w:val="00C6102A"/>
    <w:rsid w:val="00C62C87"/>
    <w:rsid w:val="00C632B4"/>
    <w:rsid w:val="00C63636"/>
    <w:rsid w:val="00C639FF"/>
    <w:rsid w:val="00C6411B"/>
    <w:rsid w:val="00C6442A"/>
    <w:rsid w:val="00C64D15"/>
    <w:rsid w:val="00C65BA0"/>
    <w:rsid w:val="00C65DD0"/>
    <w:rsid w:val="00C66088"/>
    <w:rsid w:val="00C66652"/>
    <w:rsid w:val="00C66D7F"/>
    <w:rsid w:val="00C67C4C"/>
    <w:rsid w:val="00C71BC0"/>
    <w:rsid w:val="00C71E2E"/>
    <w:rsid w:val="00C72797"/>
    <w:rsid w:val="00C72F26"/>
    <w:rsid w:val="00C736A0"/>
    <w:rsid w:val="00C74658"/>
    <w:rsid w:val="00C74749"/>
    <w:rsid w:val="00C74B5D"/>
    <w:rsid w:val="00C74EC4"/>
    <w:rsid w:val="00C74F74"/>
    <w:rsid w:val="00C7554B"/>
    <w:rsid w:val="00C76771"/>
    <w:rsid w:val="00C76B38"/>
    <w:rsid w:val="00C76CB2"/>
    <w:rsid w:val="00C80951"/>
    <w:rsid w:val="00C8205E"/>
    <w:rsid w:val="00C8228C"/>
    <w:rsid w:val="00C82EB5"/>
    <w:rsid w:val="00C8434B"/>
    <w:rsid w:val="00C84590"/>
    <w:rsid w:val="00C852AE"/>
    <w:rsid w:val="00C85983"/>
    <w:rsid w:val="00C85CF6"/>
    <w:rsid w:val="00C865A2"/>
    <w:rsid w:val="00C878AA"/>
    <w:rsid w:val="00C87966"/>
    <w:rsid w:val="00C902DE"/>
    <w:rsid w:val="00C9046B"/>
    <w:rsid w:val="00C90EF7"/>
    <w:rsid w:val="00C9105B"/>
    <w:rsid w:val="00C9135B"/>
    <w:rsid w:val="00C915B3"/>
    <w:rsid w:val="00C916AE"/>
    <w:rsid w:val="00C92F76"/>
    <w:rsid w:val="00C936EA"/>
    <w:rsid w:val="00C93AAA"/>
    <w:rsid w:val="00C9448E"/>
    <w:rsid w:val="00C94797"/>
    <w:rsid w:val="00C948BB"/>
    <w:rsid w:val="00C94A6F"/>
    <w:rsid w:val="00C94EE5"/>
    <w:rsid w:val="00C95FCD"/>
    <w:rsid w:val="00C968A9"/>
    <w:rsid w:val="00C968DF"/>
    <w:rsid w:val="00C97188"/>
    <w:rsid w:val="00C97974"/>
    <w:rsid w:val="00CA05B2"/>
    <w:rsid w:val="00CA0639"/>
    <w:rsid w:val="00CA0C77"/>
    <w:rsid w:val="00CA0CA2"/>
    <w:rsid w:val="00CA11D0"/>
    <w:rsid w:val="00CA2070"/>
    <w:rsid w:val="00CA21EE"/>
    <w:rsid w:val="00CA27ED"/>
    <w:rsid w:val="00CA2E02"/>
    <w:rsid w:val="00CA51ED"/>
    <w:rsid w:val="00CA583A"/>
    <w:rsid w:val="00CA5D9F"/>
    <w:rsid w:val="00CA5EC6"/>
    <w:rsid w:val="00CA7438"/>
    <w:rsid w:val="00CA7E73"/>
    <w:rsid w:val="00CB1632"/>
    <w:rsid w:val="00CB2837"/>
    <w:rsid w:val="00CB2B4F"/>
    <w:rsid w:val="00CB2BFE"/>
    <w:rsid w:val="00CB3A21"/>
    <w:rsid w:val="00CB54C7"/>
    <w:rsid w:val="00CB5553"/>
    <w:rsid w:val="00CB5744"/>
    <w:rsid w:val="00CB5CAE"/>
    <w:rsid w:val="00CB6CA5"/>
    <w:rsid w:val="00CB7022"/>
    <w:rsid w:val="00CB7314"/>
    <w:rsid w:val="00CB7A58"/>
    <w:rsid w:val="00CB7BC5"/>
    <w:rsid w:val="00CC2138"/>
    <w:rsid w:val="00CC2931"/>
    <w:rsid w:val="00CC3B9E"/>
    <w:rsid w:val="00CC57ED"/>
    <w:rsid w:val="00CC586D"/>
    <w:rsid w:val="00CC6582"/>
    <w:rsid w:val="00CC6DE9"/>
    <w:rsid w:val="00CC7DBC"/>
    <w:rsid w:val="00CD1455"/>
    <w:rsid w:val="00CD1BA3"/>
    <w:rsid w:val="00CD1D23"/>
    <w:rsid w:val="00CD2DA5"/>
    <w:rsid w:val="00CD3612"/>
    <w:rsid w:val="00CD3E69"/>
    <w:rsid w:val="00CD509A"/>
    <w:rsid w:val="00CD5C01"/>
    <w:rsid w:val="00CD64A8"/>
    <w:rsid w:val="00CD6589"/>
    <w:rsid w:val="00CD6A32"/>
    <w:rsid w:val="00CD6B7D"/>
    <w:rsid w:val="00CD70D0"/>
    <w:rsid w:val="00CD7780"/>
    <w:rsid w:val="00CD7D11"/>
    <w:rsid w:val="00CD7D29"/>
    <w:rsid w:val="00CE0847"/>
    <w:rsid w:val="00CE0B6C"/>
    <w:rsid w:val="00CE0D7E"/>
    <w:rsid w:val="00CE11D0"/>
    <w:rsid w:val="00CE2324"/>
    <w:rsid w:val="00CE28A3"/>
    <w:rsid w:val="00CE2FDC"/>
    <w:rsid w:val="00CE3156"/>
    <w:rsid w:val="00CE4708"/>
    <w:rsid w:val="00CE4AFB"/>
    <w:rsid w:val="00CE4C50"/>
    <w:rsid w:val="00CE4DFC"/>
    <w:rsid w:val="00CE50A6"/>
    <w:rsid w:val="00CE581C"/>
    <w:rsid w:val="00CE6858"/>
    <w:rsid w:val="00CE6A8A"/>
    <w:rsid w:val="00CE6E96"/>
    <w:rsid w:val="00CE707C"/>
    <w:rsid w:val="00CE7450"/>
    <w:rsid w:val="00CE770C"/>
    <w:rsid w:val="00CF0147"/>
    <w:rsid w:val="00CF11B9"/>
    <w:rsid w:val="00CF35C6"/>
    <w:rsid w:val="00CF4C65"/>
    <w:rsid w:val="00CF50BE"/>
    <w:rsid w:val="00CF61D7"/>
    <w:rsid w:val="00CF7625"/>
    <w:rsid w:val="00D0034D"/>
    <w:rsid w:val="00D033C3"/>
    <w:rsid w:val="00D047E7"/>
    <w:rsid w:val="00D04BEF"/>
    <w:rsid w:val="00D0506A"/>
    <w:rsid w:val="00D05643"/>
    <w:rsid w:val="00D06AE5"/>
    <w:rsid w:val="00D07EF6"/>
    <w:rsid w:val="00D103D1"/>
    <w:rsid w:val="00D1085F"/>
    <w:rsid w:val="00D10AB5"/>
    <w:rsid w:val="00D10E8A"/>
    <w:rsid w:val="00D11388"/>
    <w:rsid w:val="00D118BD"/>
    <w:rsid w:val="00D1289C"/>
    <w:rsid w:val="00D13613"/>
    <w:rsid w:val="00D13F93"/>
    <w:rsid w:val="00D14791"/>
    <w:rsid w:val="00D14AA4"/>
    <w:rsid w:val="00D16256"/>
    <w:rsid w:val="00D1655B"/>
    <w:rsid w:val="00D1666F"/>
    <w:rsid w:val="00D17139"/>
    <w:rsid w:val="00D2071A"/>
    <w:rsid w:val="00D21DE2"/>
    <w:rsid w:val="00D2261C"/>
    <w:rsid w:val="00D22771"/>
    <w:rsid w:val="00D227CF"/>
    <w:rsid w:val="00D23491"/>
    <w:rsid w:val="00D238C9"/>
    <w:rsid w:val="00D23C74"/>
    <w:rsid w:val="00D23F00"/>
    <w:rsid w:val="00D24CCE"/>
    <w:rsid w:val="00D25FDB"/>
    <w:rsid w:val="00D264E0"/>
    <w:rsid w:val="00D26A27"/>
    <w:rsid w:val="00D26D00"/>
    <w:rsid w:val="00D30F73"/>
    <w:rsid w:val="00D30F97"/>
    <w:rsid w:val="00D313A0"/>
    <w:rsid w:val="00D317F6"/>
    <w:rsid w:val="00D321DC"/>
    <w:rsid w:val="00D33357"/>
    <w:rsid w:val="00D3373A"/>
    <w:rsid w:val="00D339E6"/>
    <w:rsid w:val="00D33EC6"/>
    <w:rsid w:val="00D34693"/>
    <w:rsid w:val="00D34932"/>
    <w:rsid w:val="00D34DFA"/>
    <w:rsid w:val="00D35E66"/>
    <w:rsid w:val="00D3613E"/>
    <w:rsid w:val="00D36D64"/>
    <w:rsid w:val="00D36FE0"/>
    <w:rsid w:val="00D37315"/>
    <w:rsid w:val="00D40799"/>
    <w:rsid w:val="00D40AF1"/>
    <w:rsid w:val="00D4127C"/>
    <w:rsid w:val="00D4138C"/>
    <w:rsid w:val="00D41A06"/>
    <w:rsid w:val="00D42ABF"/>
    <w:rsid w:val="00D42F40"/>
    <w:rsid w:val="00D43147"/>
    <w:rsid w:val="00D43CE4"/>
    <w:rsid w:val="00D451B6"/>
    <w:rsid w:val="00D45B67"/>
    <w:rsid w:val="00D500C5"/>
    <w:rsid w:val="00D5034A"/>
    <w:rsid w:val="00D51E76"/>
    <w:rsid w:val="00D51F49"/>
    <w:rsid w:val="00D52480"/>
    <w:rsid w:val="00D5403D"/>
    <w:rsid w:val="00D55148"/>
    <w:rsid w:val="00D55EE8"/>
    <w:rsid w:val="00D560CA"/>
    <w:rsid w:val="00D562CB"/>
    <w:rsid w:val="00D56610"/>
    <w:rsid w:val="00D569D1"/>
    <w:rsid w:val="00D56AD8"/>
    <w:rsid w:val="00D56C05"/>
    <w:rsid w:val="00D5740B"/>
    <w:rsid w:val="00D5785A"/>
    <w:rsid w:val="00D60E6E"/>
    <w:rsid w:val="00D611E9"/>
    <w:rsid w:val="00D61672"/>
    <w:rsid w:val="00D619EC"/>
    <w:rsid w:val="00D626D9"/>
    <w:rsid w:val="00D636F8"/>
    <w:rsid w:val="00D6375F"/>
    <w:rsid w:val="00D644A7"/>
    <w:rsid w:val="00D64C48"/>
    <w:rsid w:val="00D65045"/>
    <w:rsid w:val="00D6572F"/>
    <w:rsid w:val="00D659EF"/>
    <w:rsid w:val="00D6680B"/>
    <w:rsid w:val="00D66F16"/>
    <w:rsid w:val="00D67F58"/>
    <w:rsid w:val="00D7003C"/>
    <w:rsid w:val="00D7089C"/>
    <w:rsid w:val="00D70EC9"/>
    <w:rsid w:val="00D724EC"/>
    <w:rsid w:val="00D72F4F"/>
    <w:rsid w:val="00D731C4"/>
    <w:rsid w:val="00D74EB4"/>
    <w:rsid w:val="00D75B9A"/>
    <w:rsid w:val="00D76A54"/>
    <w:rsid w:val="00D76E8E"/>
    <w:rsid w:val="00D77975"/>
    <w:rsid w:val="00D801FC"/>
    <w:rsid w:val="00D81FEA"/>
    <w:rsid w:val="00D82007"/>
    <w:rsid w:val="00D826F3"/>
    <w:rsid w:val="00D82AF4"/>
    <w:rsid w:val="00D8458D"/>
    <w:rsid w:val="00D84C47"/>
    <w:rsid w:val="00D85BE0"/>
    <w:rsid w:val="00D85C51"/>
    <w:rsid w:val="00D87FD7"/>
    <w:rsid w:val="00D901E0"/>
    <w:rsid w:val="00D907D2"/>
    <w:rsid w:val="00D9080F"/>
    <w:rsid w:val="00D90DE3"/>
    <w:rsid w:val="00D90EA8"/>
    <w:rsid w:val="00D91466"/>
    <w:rsid w:val="00D915ED"/>
    <w:rsid w:val="00D92128"/>
    <w:rsid w:val="00D92300"/>
    <w:rsid w:val="00D926D4"/>
    <w:rsid w:val="00D93592"/>
    <w:rsid w:val="00D94AFC"/>
    <w:rsid w:val="00D950E6"/>
    <w:rsid w:val="00D95110"/>
    <w:rsid w:val="00D97047"/>
    <w:rsid w:val="00D97985"/>
    <w:rsid w:val="00DA1757"/>
    <w:rsid w:val="00DA31DE"/>
    <w:rsid w:val="00DA345D"/>
    <w:rsid w:val="00DA3619"/>
    <w:rsid w:val="00DA3B72"/>
    <w:rsid w:val="00DA4A91"/>
    <w:rsid w:val="00DA538D"/>
    <w:rsid w:val="00DA5E16"/>
    <w:rsid w:val="00DA7FE9"/>
    <w:rsid w:val="00DB0B88"/>
    <w:rsid w:val="00DB1652"/>
    <w:rsid w:val="00DB1731"/>
    <w:rsid w:val="00DB406E"/>
    <w:rsid w:val="00DB4FCF"/>
    <w:rsid w:val="00DB58A6"/>
    <w:rsid w:val="00DB6B99"/>
    <w:rsid w:val="00DB7864"/>
    <w:rsid w:val="00DC001A"/>
    <w:rsid w:val="00DC0970"/>
    <w:rsid w:val="00DC191F"/>
    <w:rsid w:val="00DC3C36"/>
    <w:rsid w:val="00DC52D1"/>
    <w:rsid w:val="00DC67C8"/>
    <w:rsid w:val="00DD0D29"/>
    <w:rsid w:val="00DD23D5"/>
    <w:rsid w:val="00DD49FA"/>
    <w:rsid w:val="00DD4D49"/>
    <w:rsid w:val="00DD4F44"/>
    <w:rsid w:val="00DD5EA4"/>
    <w:rsid w:val="00DD6260"/>
    <w:rsid w:val="00DD686C"/>
    <w:rsid w:val="00DD6C57"/>
    <w:rsid w:val="00DD704E"/>
    <w:rsid w:val="00DD7EC6"/>
    <w:rsid w:val="00DD7FB2"/>
    <w:rsid w:val="00DE0DC0"/>
    <w:rsid w:val="00DE11F6"/>
    <w:rsid w:val="00DE2AC3"/>
    <w:rsid w:val="00DE2D72"/>
    <w:rsid w:val="00DE2E40"/>
    <w:rsid w:val="00DE3598"/>
    <w:rsid w:val="00DE35F6"/>
    <w:rsid w:val="00DE3F2F"/>
    <w:rsid w:val="00DE3FBD"/>
    <w:rsid w:val="00DE43F5"/>
    <w:rsid w:val="00DE5307"/>
    <w:rsid w:val="00DE58D8"/>
    <w:rsid w:val="00DE5B8F"/>
    <w:rsid w:val="00DE65C3"/>
    <w:rsid w:val="00DE65FB"/>
    <w:rsid w:val="00DE6B51"/>
    <w:rsid w:val="00DE6FDC"/>
    <w:rsid w:val="00DE7071"/>
    <w:rsid w:val="00DE77A8"/>
    <w:rsid w:val="00DF0C4A"/>
    <w:rsid w:val="00DF1DD2"/>
    <w:rsid w:val="00DF3782"/>
    <w:rsid w:val="00DF3D8A"/>
    <w:rsid w:val="00DF420A"/>
    <w:rsid w:val="00DF443D"/>
    <w:rsid w:val="00DF5FE1"/>
    <w:rsid w:val="00DF76D9"/>
    <w:rsid w:val="00E007B2"/>
    <w:rsid w:val="00E0135F"/>
    <w:rsid w:val="00E013A3"/>
    <w:rsid w:val="00E015CD"/>
    <w:rsid w:val="00E02472"/>
    <w:rsid w:val="00E03FD8"/>
    <w:rsid w:val="00E041F0"/>
    <w:rsid w:val="00E04CCC"/>
    <w:rsid w:val="00E050EA"/>
    <w:rsid w:val="00E053B9"/>
    <w:rsid w:val="00E05D6C"/>
    <w:rsid w:val="00E068FD"/>
    <w:rsid w:val="00E06C0F"/>
    <w:rsid w:val="00E106E3"/>
    <w:rsid w:val="00E10A4D"/>
    <w:rsid w:val="00E10AED"/>
    <w:rsid w:val="00E11117"/>
    <w:rsid w:val="00E12828"/>
    <w:rsid w:val="00E128D8"/>
    <w:rsid w:val="00E130C3"/>
    <w:rsid w:val="00E133FF"/>
    <w:rsid w:val="00E1591E"/>
    <w:rsid w:val="00E159F3"/>
    <w:rsid w:val="00E16BE0"/>
    <w:rsid w:val="00E17543"/>
    <w:rsid w:val="00E177B7"/>
    <w:rsid w:val="00E17EDF"/>
    <w:rsid w:val="00E20283"/>
    <w:rsid w:val="00E2082D"/>
    <w:rsid w:val="00E21D51"/>
    <w:rsid w:val="00E221E2"/>
    <w:rsid w:val="00E22C0B"/>
    <w:rsid w:val="00E22EF5"/>
    <w:rsid w:val="00E24303"/>
    <w:rsid w:val="00E24499"/>
    <w:rsid w:val="00E252C0"/>
    <w:rsid w:val="00E25B90"/>
    <w:rsid w:val="00E262B6"/>
    <w:rsid w:val="00E26FA0"/>
    <w:rsid w:val="00E27A16"/>
    <w:rsid w:val="00E32503"/>
    <w:rsid w:val="00E325B0"/>
    <w:rsid w:val="00E33733"/>
    <w:rsid w:val="00E34B1D"/>
    <w:rsid w:val="00E355E2"/>
    <w:rsid w:val="00E3576F"/>
    <w:rsid w:val="00E36E79"/>
    <w:rsid w:val="00E40083"/>
    <w:rsid w:val="00E40F7B"/>
    <w:rsid w:val="00E41111"/>
    <w:rsid w:val="00E412C8"/>
    <w:rsid w:val="00E43AC4"/>
    <w:rsid w:val="00E43FC4"/>
    <w:rsid w:val="00E46A2B"/>
    <w:rsid w:val="00E46B17"/>
    <w:rsid w:val="00E46D60"/>
    <w:rsid w:val="00E47627"/>
    <w:rsid w:val="00E47C33"/>
    <w:rsid w:val="00E47F58"/>
    <w:rsid w:val="00E51DBA"/>
    <w:rsid w:val="00E52198"/>
    <w:rsid w:val="00E52230"/>
    <w:rsid w:val="00E52254"/>
    <w:rsid w:val="00E5228B"/>
    <w:rsid w:val="00E52D23"/>
    <w:rsid w:val="00E537F4"/>
    <w:rsid w:val="00E54BFC"/>
    <w:rsid w:val="00E55251"/>
    <w:rsid w:val="00E55D0A"/>
    <w:rsid w:val="00E56D9D"/>
    <w:rsid w:val="00E60E2E"/>
    <w:rsid w:val="00E61043"/>
    <w:rsid w:val="00E6106E"/>
    <w:rsid w:val="00E615D5"/>
    <w:rsid w:val="00E616F6"/>
    <w:rsid w:val="00E6195A"/>
    <w:rsid w:val="00E62A97"/>
    <w:rsid w:val="00E62F8D"/>
    <w:rsid w:val="00E64A85"/>
    <w:rsid w:val="00E64F11"/>
    <w:rsid w:val="00E6541F"/>
    <w:rsid w:val="00E65EF2"/>
    <w:rsid w:val="00E67254"/>
    <w:rsid w:val="00E67B77"/>
    <w:rsid w:val="00E702C7"/>
    <w:rsid w:val="00E707F6"/>
    <w:rsid w:val="00E71A2D"/>
    <w:rsid w:val="00E71A34"/>
    <w:rsid w:val="00E71E0D"/>
    <w:rsid w:val="00E721D5"/>
    <w:rsid w:val="00E74A73"/>
    <w:rsid w:val="00E74C1C"/>
    <w:rsid w:val="00E766DD"/>
    <w:rsid w:val="00E76AED"/>
    <w:rsid w:val="00E76DC5"/>
    <w:rsid w:val="00E77DDB"/>
    <w:rsid w:val="00E818D0"/>
    <w:rsid w:val="00E823C1"/>
    <w:rsid w:val="00E82DB7"/>
    <w:rsid w:val="00E84DB2"/>
    <w:rsid w:val="00E8579C"/>
    <w:rsid w:val="00E85F57"/>
    <w:rsid w:val="00E86358"/>
    <w:rsid w:val="00E8653F"/>
    <w:rsid w:val="00E865FE"/>
    <w:rsid w:val="00E872D8"/>
    <w:rsid w:val="00E8748E"/>
    <w:rsid w:val="00E87FE9"/>
    <w:rsid w:val="00E91408"/>
    <w:rsid w:val="00E91759"/>
    <w:rsid w:val="00E91F11"/>
    <w:rsid w:val="00E9301F"/>
    <w:rsid w:val="00E93228"/>
    <w:rsid w:val="00E9508B"/>
    <w:rsid w:val="00E95AB0"/>
    <w:rsid w:val="00E95B2B"/>
    <w:rsid w:val="00E9654B"/>
    <w:rsid w:val="00E97AA3"/>
    <w:rsid w:val="00EA0E7A"/>
    <w:rsid w:val="00EA0EE1"/>
    <w:rsid w:val="00EA14EF"/>
    <w:rsid w:val="00EA18DB"/>
    <w:rsid w:val="00EA2A53"/>
    <w:rsid w:val="00EA2FBA"/>
    <w:rsid w:val="00EA36C0"/>
    <w:rsid w:val="00EA46C5"/>
    <w:rsid w:val="00EA4DC5"/>
    <w:rsid w:val="00EA4F13"/>
    <w:rsid w:val="00EA66DF"/>
    <w:rsid w:val="00EA6ADC"/>
    <w:rsid w:val="00EA7274"/>
    <w:rsid w:val="00EB0BB3"/>
    <w:rsid w:val="00EB1313"/>
    <w:rsid w:val="00EB13A7"/>
    <w:rsid w:val="00EB14DF"/>
    <w:rsid w:val="00EB1A4D"/>
    <w:rsid w:val="00EB1A9E"/>
    <w:rsid w:val="00EB2132"/>
    <w:rsid w:val="00EB3132"/>
    <w:rsid w:val="00EB39B8"/>
    <w:rsid w:val="00EB3A07"/>
    <w:rsid w:val="00EB4076"/>
    <w:rsid w:val="00EB4EA8"/>
    <w:rsid w:val="00EB5539"/>
    <w:rsid w:val="00EB642C"/>
    <w:rsid w:val="00EB6C6B"/>
    <w:rsid w:val="00EB79A0"/>
    <w:rsid w:val="00EC0EED"/>
    <w:rsid w:val="00EC2095"/>
    <w:rsid w:val="00EC2E54"/>
    <w:rsid w:val="00EC3F31"/>
    <w:rsid w:val="00EC52E7"/>
    <w:rsid w:val="00EC632E"/>
    <w:rsid w:val="00ED0CB3"/>
    <w:rsid w:val="00ED12E9"/>
    <w:rsid w:val="00ED2121"/>
    <w:rsid w:val="00ED2C1A"/>
    <w:rsid w:val="00ED2C8D"/>
    <w:rsid w:val="00ED2DFF"/>
    <w:rsid w:val="00ED34C6"/>
    <w:rsid w:val="00ED3698"/>
    <w:rsid w:val="00ED4794"/>
    <w:rsid w:val="00ED4DD5"/>
    <w:rsid w:val="00ED6257"/>
    <w:rsid w:val="00ED70FD"/>
    <w:rsid w:val="00ED7CB1"/>
    <w:rsid w:val="00EE112B"/>
    <w:rsid w:val="00EE1E03"/>
    <w:rsid w:val="00EE265C"/>
    <w:rsid w:val="00EE5927"/>
    <w:rsid w:val="00EE5C63"/>
    <w:rsid w:val="00EE7666"/>
    <w:rsid w:val="00EF203C"/>
    <w:rsid w:val="00EF2614"/>
    <w:rsid w:val="00EF2991"/>
    <w:rsid w:val="00EF35E8"/>
    <w:rsid w:val="00EF4493"/>
    <w:rsid w:val="00EF4C80"/>
    <w:rsid w:val="00EF53EE"/>
    <w:rsid w:val="00EF58E9"/>
    <w:rsid w:val="00EF5CCE"/>
    <w:rsid w:val="00EF7673"/>
    <w:rsid w:val="00F0064B"/>
    <w:rsid w:val="00F0095C"/>
    <w:rsid w:val="00F00C71"/>
    <w:rsid w:val="00F00DCB"/>
    <w:rsid w:val="00F01129"/>
    <w:rsid w:val="00F01345"/>
    <w:rsid w:val="00F01361"/>
    <w:rsid w:val="00F01736"/>
    <w:rsid w:val="00F01CCA"/>
    <w:rsid w:val="00F01F2C"/>
    <w:rsid w:val="00F02104"/>
    <w:rsid w:val="00F03307"/>
    <w:rsid w:val="00F04455"/>
    <w:rsid w:val="00F04536"/>
    <w:rsid w:val="00F04B7E"/>
    <w:rsid w:val="00F05847"/>
    <w:rsid w:val="00F0616C"/>
    <w:rsid w:val="00F06244"/>
    <w:rsid w:val="00F065F3"/>
    <w:rsid w:val="00F06C17"/>
    <w:rsid w:val="00F07E7F"/>
    <w:rsid w:val="00F1170A"/>
    <w:rsid w:val="00F12C3A"/>
    <w:rsid w:val="00F14FA7"/>
    <w:rsid w:val="00F15157"/>
    <w:rsid w:val="00F1549C"/>
    <w:rsid w:val="00F15879"/>
    <w:rsid w:val="00F159D0"/>
    <w:rsid w:val="00F15EDD"/>
    <w:rsid w:val="00F1632B"/>
    <w:rsid w:val="00F16B0E"/>
    <w:rsid w:val="00F16BAC"/>
    <w:rsid w:val="00F16BBB"/>
    <w:rsid w:val="00F17654"/>
    <w:rsid w:val="00F17711"/>
    <w:rsid w:val="00F17CA4"/>
    <w:rsid w:val="00F17E9F"/>
    <w:rsid w:val="00F203C2"/>
    <w:rsid w:val="00F20A46"/>
    <w:rsid w:val="00F20F51"/>
    <w:rsid w:val="00F235DE"/>
    <w:rsid w:val="00F23637"/>
    <w:rsid w:val="00F237ED"/>
    <w:rsid w:val="00F23B33"/>
    <w:rsid w:val="00F246CF"/>
    <w:rsid w:val="00F260ED"/>
    <w:rsid w:val="00F26461"/>
    <w:rsid w:val="00F30200"/>
    <w:rsid w:val="00F30E3A"/>
    <w:rsid w:val="00F314E8"/>
    <w:rsid w:val="00F31557"/>
    <w:rsid w:val="00F31F04"/>
    <w:rsid w:val="00F32016"/>
    <w:rsid w:val="00F334CB"/>
    <w:rsid w:val="00F3495A"/>
    <w:rsid w:val="00F34E2C"/>
    <w:rsid w:val="00F35191"/>
    <w:rsid w:val="00F35E85"/>
    <w:rsid w:val="00F36962"/>
    <w:rsid w:val="00F3706E"/>
    <w:rsid w:val="00F370BC"/>
    <w:rsid w:val="00F37143"/>
    <w:rsid w:val="00F374A6"/>
    <w:rsid w:val="00F37EE6"/>
    <w:rsid w:val="00F400A8"/>
    <w:rsid w:val="00F40279"/>
    <w:rsid w:val="00F40E5C"/>
    <w:rsid w:val="00F415F9"/>
    <w:rsid w:val="00F41C22"/>
    <w:rsid w:val="00F44456"/>
    <w:rsid w:val="00F44C33"/>
    <w:rsid w:val="00F45493"/>
    <w:rsid w:val="00F45871"/>
    <w:rsid w:val="00F464B0"/>
    <w:rsid w:val="00F47656"/>
    <w:rsid w:val="00F50293"/>
    <w:rsid w:val="00F50562"/>
    <w:rsid w:val="00F50A92"/>
    <w:rsid w:val="00F50D01"/>
    <w:rsid w:val="00F50E12"/>
    <w:rsid w:val="00F50F6A"/>
    <w:rsid w:val="00F5111F"/>
    <w:rsid w:val="00F51353"/>
    <w:rsid w:val="00F518A1"/>
    <w:rsid w:val="00F52D98"/>
    <w:rsid w:val="00F52E92"/>
    <w:rsid w:val="00F55FAC"/>
    <w:rsid w:val="00F5667D"/>
    <w:rsid w:val="00F56BC1"/>
    <w:rsid w:val="00F57FA6"/>
    <w:rsid w:val="00F613A6"/>
    <w:rsid w:val="00F618C4"/>
    <w:rsid w:val="00F62164"/>
    <w:rsid w:val="00F622A6"/>
    <w:rsid w:val="00F630D2"/>
    <w:rsid w:val="00F63A85"/>
    <w:rsid w:val="00F63BA7"/>
    <w:rsid w:val="00F64414"/>
    <w:rsid w:val="00F6454A"/>
    <w:rsid w:val="00F65774"/>
    <w:rsid w:val="00F65A34"/>
    <w:rsid w:val="00F65F4C"/>
    <w:rsid w:val="00F679D0"/>
    <w:rsid w:val="00F716ED"/>
    <w:rsid w:val="00F71A60"/>
    <w:rsid w:val="00F72120"/>
    <w:rsid w:val="00F7247A"/>
    <w:rsid w:val="00F725DA"/>
    <w:rsid w:val="00F74E0D"/>
    <w:rsid w:val="00F75260"/>
    <w:rsid w:val="00F7536E"/>
    <w:rsid w:val="00F75652"/>
    <w:rsid w:val="00F76D59"/>
    <w:rsid w:val="00F77263"/>
    <w:rsid w:val="00F772FF"/>
    <w:rsid w:val="00F77534"/>
    <w:rsid w:val="00F779D2"/>
    <w:rsid w:val="00F8168B"/>
    <w:rsid w:val="00F81CF2"/>
    <w:rsid w:val="00F81F93"/>
    <w:rsid w:val="00F82234"/>
    <w:rsid w:val="00F833A3"/>
    <w:rsid w:val="00F844A8"/>
    <w:rsid w:val="00F84680"/>
    <w:rsid w:val="00F857B0"/>
    <w:rsid w:val="00F857D1"/>
    <w:rsid w:val="00F859C2"/>
    <w:rsid w:val="00F8633A"/>
    <w:rsid w:val="00F90346"/>
    <w:rsid w:val="00F90A29"/>
    <w:rsid w:val="00F90C35"/>
    <w:rsid w:val="00F91DCC"/>
    <w:rsid w:val="00F91EC0"/>
    <w:rsid w:val="00F91F57"/>
    <w:rsid w:val="00F925FC"/>
    <w:rsid w:val="00F92C64"/>
    <w:rsid w:val="00F9323F"/>
    <w:rsid w:val="00F941D0"/>
    <w:rsid w:val="00F943FE"/>
    <w:rsid w:val="00F94F80"/>
    <w:rsid w:val="00F9513B"/>
    <w:rsid w:val="00F95442"/>
    <w:rsid w:val="00F95814"/>
    <w:rsid w:val="00F95CE9"/>
    <w:rsid w:val="00F96104"/>
    <w:rsid w:val="00F96633"/>
    <w:rsid w:val="00F97100"/>
    <w:rsid w:val="00F979A4"/>
    <w:rsid w:val="00FA01D9"/>
    <w:rsid w:val="00FA0321"/>
    <w:rsid w:val="00FA0983"/>
    <w:rsid w:val="00FA0B80"/>
    <w:rsid w:val="00FA1177"/>
    <w:rsid w:val="00FA2163"/>
    <w:rsid w:val="00FA3219"/>
    <w:rsid w:val="00FA3241"/>
    <w:rsid w:val="00FA3FA2"/>
    <w:rsid w:val="00FA4136"/>
    <w:rsid w:val="00FA4250"/>
    <w:rsid w:val="00FA51E2"/>
    <w:rsid w:val="00FA6B46"/>
    <w:rsid w:val="00FB0401"/>
    <w:rsid w:val="00FB0720"/>
    <w:rsid w:val="00FB1303"/>
    <w:rsid w:val="00FB17D4"/>
    <w:rsid w:val="00FB1882"/>
    <w:rsid w:val="00FB1B9C"/>
    <w:rsid w:val="00FB2D0C"/>
    <w:rsid w:val="00FB30DE"/>
    <w:rsid w:val="00FB3716"/>
    <w:rsid w:val="00FB3B18"/>
    <w:rsid w:val="00FB49BF"/>
    <w:rsid w:val="00FB49C3"/>
    <w:rsid w:val="00FB4A4C"/>
    <w:rsid w:val="00FB4E3D"/>
    <w:rsid w:val="00FB64B1"/>
    <w:rsid w:val="00FB6EEE"/>
    <w:rsid w:val="00FB7194"/>
    <w:rsid w:val="00FC05CC"/>
    <w:rsid w:val="00FC1644"/>
    <w:rsid w:val="00FC1DFB"/>
    <w:rsid w:val="00FC1EF2"/>
    <w:rsid w:val="00FC3212"/>
    <w:rsid w:val="00FC3343"/>
    <w:rsid w:val="00FC33BA"/>
    <w:rsid w:val="00FC35AB"/>
    <w:rsid w:val="00FC4102"/>
    <w:rsid w:val="00FC431C"/>
    <w:rsid w:val="00FC5428"/>
    <w:rsid w:val="00FC6134"/>
    <w:rsid w:val="00FC654D"/>
    <w:rsid w:val="00FC6F65"/>
    <w:rsid w:val="00FC6F81"/>
    <w:rsid w:val="00FC7DCB"/>
    <w:rsid w:val="00FD0442"/>
    <w:rsid w:val="00FD0555"/>
    <w:rsid w:val="00FD0728"/>
    <w:rsid w:val="00FD110F"/>
    <w:rsid w:val="00FD12E2"/>
    <w:rsid w:val="00FD17B7"/>
    <w:rsid w:val="00FD3E58"/>
    <w:rsid w:val="00FD46DB"/>
    <w:rsid w:val="00FD5961"/>
    <w:rsid w:val="00FD629E"/>
    <w:rsid w:val="00FD6DC6"/>
    <w:rsid w:val="00FD72E5"/>
    <w:rsid w:val="00FE0514"/>
    <w:rsid w:val="00FE0BD0"/>
    <w:rsid w:val="00FE1EA1"/>
    <w:rsid w:val="00FE1FE6"/>
    <w:rsid w:val="00FE3273"/>
    <w:rsid w:val="00FE35D5"/>
    <w:rsid w:val="00FE3EFA"/>
    <w:rsid w:val="00FE4B7E"/>
    <w:rsid w:val="00FE4CFF"/>
    <w:rsid w:val="00FE5C56"/>
    <w:rsid w:val="00FE5E20"/>
    <w:rsid w:val="00FE5E76"/>
    <w:rsid w:val="00FE7346"/>
    <w:rsid w:val="00FE7AAC"/>
    <w:rsid w:val="00FE7B06"/>
    <w:rsid w:val="00FE7E98"/>
    <w:rsid w:val="00FF06BC"/>
    <w:rsid w:val="00FF0D3D"/>
    <w:rsid w:val="00FF1B02"/>
    <w:rsid w:val="00FF20AC"/>
    <w:rsid w:val="00FF27AC"/>
    <w:rsid w:val="00FF3601"/>
    <w:rsid w:val="00FF3801"/>
    <w:rsid w:val="00FF39A0"/>
    <w:rsid w:val="00FF3A27"/>
    <w:rsid w:val="00FF3B27"/>
    <w:rsid w:val="00FF4589"/>
    <w:rsid w:val="00FF5CFA"/>
    <w:rsid w:val="00FF6197"/>
    <w:rsid w:val="00FF669F"/>
    <w:rsid w:val="01206A6C"/>
    <w:rsid w:val="012A78E6"/>
    <w:rsid w:val="013BF4BF"/>
    <w:rsid w:val="013FACAA"/>
    <w:rsid w:val="014CF7AF"/>
    <w:rsid w:val="015AD6BA"/>
    <w:rsid w:val="015D0358"/>
    <w:rsid w:val="017DEDC0"/>
    <w:rsid w:val="01AE676C"/>
    <w:rsid w:val="01D29A3A"/>
    <w:rsid w:val="01E6FC3F"/>
    <w:rsid w:val="01EC6F9A"/>
    <w:rsid w:val="01EDABBD"/>
    <w:rsid w:val="01F2ED84"/>
    <w:rsid w:val="01FB886C"/>
    <w:rsid w:val="02015A4A"/>
    <w:rsid w:val="0212F47B"/>
    <w:rsid w:val="021349B6"/>
    <w:rsid w:val="0217426A"/>
    <w:rsid w:val="021C06C6"/>
    <w:rsid w:val="0227A946"/>
    <w:rsid w:val="023C8151"/>
    <w:rsid w:val="024137A9"/>
    <w:rsid w:val="0248DE41"/>
    <w:rsid w:val="026BE099"/>
    <w:rsid w:val="0278D1BE"/>
    <w:rsid w:val="027D9931"/>
    <w:rsid w:val="028237B2"/>
    <w:rsid w:val="02C11B86"/>
    <w:rsid w:val="02C9B431"/>
    <w:rsid w:val="02D236CF"/>
    <w:rsid w:val="02FC5101"/>
    <w:rsid w:val="032502A6"/>
    <w:rsid w:val="033AB0AA"/>
    <w:rsid w:val="03482A35"/>
    <w:rsid w:val="0350E283"/>
    <w:rsid w:val="035A3273"/>
    <w:rsid w:val="03629FC9"/>
    <w:rsid w:val="03BFAAF1"/>
    <w:rsid w:val="03D024B4"/>
    <w:rsid w:val="03EE98DD"/>
    <w:rsid w:val="03F76A75"/>
    <w:rsid w:val="03FDE81F"/>
    <w:rsid w:val="04115265"/>
    <w:rsid w:val="04350830"/>
    <w:rsid w:val="04384C46"/>
    <w:rsid w:val="04553298"/>
    <w:rsid w:val="046D45B1"/>
    <w:rsid w:val="04723CF1"/>
    <w:rsid w:val="04775BEF"/>
    <w:rsid w:val="048A2CF7"/>
    <w:rsid w:val="049D9BCC"/>
    <w:rsid w:val="04C1ED0B"/>
    <w:rsid w:val="04C6983B"/>
    <w:rsid w:val="04D991EB"/>
    <w:rsid w:val="04D9AF1A"/>
    <w:rsid w:val="04E9A0A3"/>
    <w:rsid w:val="05035998"/>
    <w:rsid w:val="050EF010"/>
    <w:rsid w:val="0530E91B"/>
    <w:rsid w:val="055C529B"/>
    <w:rsid w:val="0561E654"/>
    <w:rsid w:val="05937AD3"/>
    <w:rsid w:val="05972034"/>
    <w:rsid w:val="05A48085"/>
    <w:rsid w:val="05C042F0"/>
    <w:rsid w:val="05C38C49"/>
    <w:rsid w:val="05CED7E8"/>
    <w:rsid w:val="05E1EFBD"/>
    <w:rsid w:val="05E31E80"/>
    <w:rsid w:val="05F2D463"/>
    <w:rsid w:val="05F7D6D1"/>
    <w:rsid w:val="05FCEA6C"/>
    <w:rsid w:val="06044D6C"/>
    <w:rsid w:val="0622E075"/>
    <w:rsid w:val="062AF0D9"/>
    <w:rsid w:val="062F94FF"/>
    <w:rsid w:val="0642C20D"/>
    <w:rsid w:val="0644A551"/>
    <w:rsid w:val="0670D065"/>
    <w:rsid w:val="06AAE9E8"/>
    <w:rsid w:val="0720A68B"/>
    <w:rsid w:val="0730E858"/>
    <w:rsid w:val="073987E4"/>
    <w:rsid w:val="074F03AB"/>
    <w:rsid w:val="07864E09"/>
    <w:rsid w:val="07AF235E"/>
    <w:rsid w:val="07EDE302"/>
    <w:rsid w:val="0810FB60"/>
    <w:rsid w:val="0818E4E3"/>
    <w:rsid w:val="082603E0"/>
    <w:rsid w:val="0828DCA3"/>
    <w:rsid w:val="083A9BF1"/>
    <w:rsid w:val="08404DCE"/>
    <w:rsid w:val="086BA5FC"/>
    <w:rsid w:val="08779C85"/>
    <w:rsid w:val="087BD924"/>
    <w:rsid w:val="089F9AC3"/>
    <w:rsid w:val="08D6EAC9"/>
    <w:rsid w:val="08DE40C9"/>
    <w:rsid w:val="08F59165"/>
    <w:rsid w:val="08FAD81A"/>
    <w:rsid w:val="0908D1F5"/>
    <w:rsid w:val="095AE898"/>
    <w:rsid w:val="098818DE"/>
    <w:rsid w:val="098C4DD1"/>
    <w:rsid w:val="09B38CF5"/>
    <w:rsid w:val="09E5B005"/>
    <w:rsid w:val="0A3BC6C9"/>
    <w:rsid w:val="0A3C48C5"/>
    <w:rsid w:val="0A5D68BB"/>
    <w:rsid w:val="0A6C54C2"/>
    <w:rsid w:val="0A70985B"/>
    <w:rsid w:val="0A7DA88C"/>
    <w:rsid w:val="0A97336E"/>
    <w:rsid w:val="0AB1C20A"/>
    <w:rsid w:val="0AB92331"/>
    <w:rsid w:val="0AC947C7"/>
    <w:rsid w:val="0ACD3A7B"/>
    <w:rsid w:val="0B1EB967"/>
    <w:rsid w:val="0B1EEC9D"/>
    <w:rsid w:val="0B311A3C"/>
    <w:rsid w:val="0B345F1E"/>
    <w:rsid w:val="0B92A4DD"/>
    <w:rsid w:val="0BA9DC0E"/>
    <w:rsid w:val="0BB52045"/>
    <w:rsid w:val="0BC6637D"/>
    <w:rsid w:val="0BCD114B"/>
    <w:rsid w:val="0BD3AA55"/>
    <w:rsid w:val="0BEAEE75"/>
    <w:rsid w:val="0C0225C7"/>
    <w:rsid w:val="0C1626AE"/>
    <w:rsid w:val="0C16E57C"/>
    <w:rsid w:val="0C2C3242"/>
    <w:rsid w:val="0C2D1480"/>
    <w:rsid w:val="0C4A186F"/>
    <w:rsid w:val="0C5277BF"/>
    <w:rsid w:val="0C5B5FE7"/>
    <w:rsid w:val="0C63C6D8"/>
    <w:rsid w:val="0C8B8800"/>
    <w:rsid w:val="0C99B948"/>
    <w:rsid w:val="0CC169C8"/>
    <w:rsid w:val="0CF9A893"/>
    <w:rsid w:val="0CFF7F9C"/>
    <w:rsid w:val="0D09368F"/>
    <w:rsid w:val="0D190B87"/>
    <w:rsid w:val="0D50FDAA"/>
    <w:rsid w:val="0D5D8BAB"/>
    <w:rsid w:val="0D732E68"/>
    <w:rsid w:val="0D86ADF8"/>
    <w:rsid w:val="0DB8EF2C"/>
    <w:rsid w:val="0DC6C2B6"/>
    <w:rsid w:val="0DCA2EB4"/>
    <w:rsid w:val="0DDAE362"/>
    <w:rsid w:val="0E045168"/>
    <w:rsid w:val="0E2AEB50"/>
    <w:rsid w:val="0E2B348E"/>
    <w:rsid w:val="0E33CDF9"/>
    <w:rsid w:val="0E57321C"/>
    <w:rsid w:val="0E58B175"/>
    <w:rsid w:val="0E5DE0D4"/>
    <w:rsid w:val="0E638567"/>
    <w:rsid w:val="0E79B07B"/>
    <w:rsid w:val="0E7A39FC"/>
    <w:rsid w:val="0E7B7149"/>
    <w:rsid w:val="0E809160"/>
    <w:rsid w:val="0E868D04"/>
    <w:rsid w:val="0E8E79D0"/>
    <w:rsid w:val="0E9349C9"/>
    <w:rsid w:val="0E983052"/>
    <w:rsid w:val="0E9DC577"/>
    <w:rsid w:val="0E9FBE30"/>
    <w:rsid w:val="0EC495F9"/>
    <w:rsid w:val="0EE850B9"/>
    <w:rsid w:val="0F044856"/>
    <w:rsid w:val="0F0DDE50"/>
    <w:rsid w:val="0F32445E"/>
    <w:rsid w:val="0F511988"/>
    <w:rsid w:val="0F531D80"/>
    <w:rsid w:val="0F5381E7"/>
    <w:rsid w:val="0F5B07B0"/>
    <w:rsid w:val="0F5E9D6D"/>
    <w:rsid w:val="0F84AFE6"/>
    <w:rsid w:val="0F889412"/>
    <w:rsid w:val="0F8CDF7E"/>
    <w:rsid w:val="0F91E7CA"/>
    <w:rsid w:val="0FA884BD"/>
    <w:rsid w:val="0FD4BD04"/>
    <w:rsid w:val="0FFEDB39"/>
    <w:rsid w:val="0FFF342F"/>
    <w:rsid w:val="1021852D"/>
    <w:rsid w:val="102FD23F"/>
    <w:rsid w:val="10388F2F"/>
    <w:rsid w:val="104B17CF"/>
    <w:rsid w:val="104C8522"/>
    <w:rsid w:val="10620F11"/>
    <w:rsid w:val="10716068"/>
    <w:rsid w:val="1073DAD3"/>
    <w:rsid w:val="1086BEC3"/>
    <w:rsid w:val="109FFC94"/>
    <w:rsid w:val="10D0206E"/>
    <w:rsid w:val="10DAB0BF"/>
    <w:rsid w:val="10F5643D"/>
    <w:rsid w:val="10F705FC"/>
    <w:rsid w:val="10FBAB5F"/>
    <w:rsid w:val="111D9ADA"/>
    <w:rsid w:val="112922D8"/>
    <w:rsid w:val="1155119B"/>
    <w:rsid w:val="11584AC8"/>
    <w:rsid w:val="1174962C"/>
    <w:rsid w:val="119B498D"/>
    <w:rsid w:val="11A0DD8B"/>
    <w:rsid w:val="11CE4A16"/>
    <w:rsid w:val="11D12CC1"/>
    <w:rsid w:val="11D36739"/>
    <w:rsid w:val="11E6470B"/>
    <w:rsid w:val="11E96311"/>
    <w:rsid w:val="12128C22"/>
    <w:rsid w:val="12142D9F"/>
    <w:rsid w:val="12188EFC"/>
    <w:rsid w:val="1229686E"/>
    <w:rsid w:val="122C4EE8"/>
    <w:rsid w:val="122F8D0D"/>
    <w:rsid w:val="123A456B"/>
    <w:rsid w:val="123A7D51"/>
    <w:rsid w:val="125C3839"/>
    <w:rsid w:val="125CCB16"/>
    <w:rsid w:val="12708096"/>
    <w:rsid w:val="12946CFA"/>
    <w:rsid w:val="12A85F1E"/>
    <w:rsid w:val="12C5C4D5"/>
    <w:rsid w:val="12D576AD"/>
    <w:rsid w:val="12E85EF9"/>
    <w:rsid w:val="12EB3804"/>
    <w:rsid w:val="12EDBD92"/>
    <w:rsid w:val="12F2A5CE"/>
    <w:rsid w:val="12F55564"/>
    <w:rsid w:val="132CBC2A"/>
    <w:rsid w:val="132FE18D"/>
    <w:rsid w:val="13437AB1"/>
    <w:rsid w:val="135507EB"/>
    <w:rsid w:val="136CE0BC"/>
    <w:rsid w:val="13CBA4EF"/>
    <w:rsid w:val="13CC1DB9"/>
    <w:rsid w:val="13DBBE14"/>
    <w:rsid w:val="13E2AF2A"/>
    <w:rsid w:val="13EF60B5"/>
    <w:rsid w:val="1417D5E3"/>
    <w:rsid w:val="1420E9C5"/>
    <w:rsid w:val="14468D7E"/>
    <w:rsid w:val="14835556"/>
    <w:rsid w:val="14ACFD7E"/>
    <w:rsid w:val="14C8D688"/>
    <w:rsid w:val="14D38DDA"/>
    <w:rsid w:val="14DC2221"/>
    <w:rsid w:val="14DDCC13"/>
    <w:rsid w:val="15161704"/>
    <w:rsid w:val="1561BE4D"/>
    <w:rsid w:val="15654B0F"/>
    <w:rsid w:val="1590CF21"/>
    <w:rsid w:val="1591165D"/>
    <w:rsid w:val="1595068C"/>
    <w:rsid w:val="159EA3BA"/>
    <w:rsid w:val="15B33E56"/>
    <w:rsid w:val="1626BAAA"/>
    <w:rsid w:val="162BDEAB"/>
    <w:rsid w:val="1633E71F"/>
    <w:rsid w:val="1667E9CB"/>
    <w:rsid w:val="166F12BC"/>
    <w:rsid w:val="167828E7"/>
    <w:rsid w:val="169165E6"/>
    <w:rsid w:val="16BF989B"/>
    <w:rsid w:val="16BFC036"/>
    <w:rsid w:val="16CE7C48"/>
    <w:rsid w:val="16D4F872"/>
    <w:rsid w:val="16DAF46B"/>
    <w:rsid w:val="171DE4E0"/>
    <w:rsid w:val="17411DA6"/>
    <w:rsid w:val="174BA8D1"/>
    <w:rsid w:val="1754F1E5"/>
    <w:rsid w:val="17734D58"/>
    <w:rsid w:val="179D5E8A"/>
    <w:rsid w:val="17DF1AAB"/>
    <w:rsid w:val="18000E74"/>
    <w:rsid w:val="1814CC0B"/>
    <w:rsid w:val="18202929"/>
    <w:rsid w:val="182850A5"/>
    <w:rsid w:val="187CFB69"/>
    <w:rsid w:val="18B7D5F6"/>
    <w:rsid w:val="18D08C6C"/>
    <w:rsid w:val="18D9BD84"/>
    <w:rsid w:val="18E396C7"/>
    <w:rsid w:val="192A499A"/>
    <w:rsid w:val="192E7B04"/>
    <w:rsid w:val="193449B5"/>
    <w:rsid w:val="1949363C"/>
    <w:rsid w:val="197BAC2E"/>
    <w:rsid w:val="19827153"/>
    <w:rsid w:val="1993C26B"/>
    <w:rsid w:val="19B66897"/>
    <w:rsid w:val="19D9EFB2"/>
    <w:rsid w:val="19DA142F"/>
    <w:rsid w:val="19E15B8A"/>
    <w:rsid w:val="19F0F147"/>
    <w:rsid w:val="1A0BF094"/>
    <w:rsid w:val="1A187E53"/>
    <w:rsid w:val="1A261BCE"/>
    <w:rsid w:val="1A302EAC"/>
    <w:rsid w:val="1A44D78E"/>
    <w:rsid w:val="1A4509A7"/>
    <w:rsid w:val="1A4B3937"/>
    <w:rsid w:val="1A508B00"/>
    <w:rsid w:val="1A61DFDE"/>
    <w:rsid w:val="1A6969DD"/>
    <w:rsid w:val="1A69A5C9"/>
    <w:rsid w:val="1A74F960"/>
    <w:rsid w:val="1A755F7E"/>
    <w:rsid w:val="1A8A8B5C"/>
    <w:rsid w:val="1AA6637D"/>
    <w:rsid w:val="1AB092AD"/>
    <w:rsid w:val="1AC9126B"/>
    <w:rsid w:val="1AE35A03"/>
    <w:rsid w:val="1B00F65C"/>
    <w:rsid w:val="1B0982C4"/>
    <w:rsid w:val="1B2640AD"/>
    <w:rsid w:val="1B771CFA"/>
    <w:rsid w:val="1B7EF35C"/>
    <w:rsid w:val="1B97CA6D"/>
    <w:rsid w:val="1B9A92FD"/>
    <w:rsid w:val="1BA7A5B7"/>
    <w:rsid w:val="1BD61FB2"/>
    <w:rsid w:val="1BEA9810"/>
    <w:rsid w:val="1BF1E27A"/>
    <w:rsid w:val="1BFABD42"/>
    <w:rsid w:val="1C1C3AC5"/>
    <w:rsid w:val="1C41783E"/>
    <w:rsid w:val="1C432713"/>
    <w:rsid w:val="1C8014D1"/>
    <w:rsid w:val="1C902B0D"/>
    <w:rsid w:val="1C9F2F20"/>
    <w:rsid w:val="1CB19C21"/>
    <w:rsid w:val="1CB531AF"/>
    <w:rsid w:val="1D098E82"/>
    <w:rsid w:val="1D107934"/>
    <w:rsid w:val="1D132134"/>
    <w:rsid w:val="1D437618"/>
    <w:rsid w:val="1D553874"/>
    <w:rsid w:val="1D568C32"/>
    <w:rsid w:val="1D60CD06"/>
    <w:rsid w:val="1D658F1C"/>
    <w:rsid w:val="1D6CCF6F"/>
    <w:rsid w:val="1D70F293"/>
    <w:rsid w:val="1DAAAC2E"/>
    <w:rsid w:val="1DAECC83"/>
    <w:rsid w:val="1DC4B035"/>
    <w:rsid w:val="1DC592A9"/>
    <w:rsid w:val="1DD6E2B0"/>
    <w:rsid w:val="1DE7CFA2"/>
    <w:rsid w:val="1DE8FF0B"/>
    <w:rsid w:val="1DFDAD7A"/>
    <w:rsid w:val="1E08CD76"/>
    <w:rsid w:val="1E266170"/>
    <w:rsid w:val="1E368B8C"/>
    <w:rsid w:val="1E505542"/>
    <w:rsid w:val="1E58A8BE"/>
    <w:rsid w:val="1E5BB324"/>
    <w:rsid w:val="1E5D52E8"/>
    <w:rsid w:val="1E5E257A"/>
    <w:rsid w:val="1E745DED"/>
    <w:rsid w:val="1E7EF926"/>
    <w:rsid w:val="1EB71B42"/>
    <w:rsid w:val="1ED70DB9"/>
    <w:rsid w:val="1EF0BEB9"/>
    <w:rsid w:val="1EF108D5"/>
    <w:rsid w:val="1F254B36"/>
    <w:rsid w:val="1F25B419"/>
    <w:rsid w:val="1F2D4CE3"/>
    <w:rsid w:val="1F378ECD"/>
    <w:rsid w:val="1F6DEC1F"/>
    <w:rsid w:val="1F75B41D"/>
    <w:rsid w:val="1FCBE549"/>
    <w:rsid w:val="1FCDBBD6"/>
    <w:rsid w:val="1FE59B15"/>
    <w:rsid w:val="1FEAAB52"/>
    <w:rsid w:val="1FF0B7F9"/>
    <w:rsid w:val="20170591"/>
    <w:rsid w:val="20207845"/>
    <w:rsid w:val="203373BE"/>
    <w:rsid w:val="2040FAAE"/>
    <w:rsid w:val="2043977D"/>
    <w:rsid w:val="204A8E1D"/>
    <w:rsid w:val="204D3FC5"/>
    <w:rsid w:val="2053EECC"/>
    <w:rsid w:val="205B9C1A"/>
    <w:rsid w:val="2068F762"/>
    <w:rsid w:val="208096A6"/>
    <w:rsid w:val="208857BD"/>
    <w:rsid w:val="2095DE03"/>
    <w:rsid w:val="20AAD2F0"/>
    <w:rsid w:val="20C8019A"/>
    <w:rsid w:val="20C96201"/>
    <w:rsid w:val="20F00416"/>
    <w:rsid w:val="20FE56A4"/>
    <w:rsid w:val="2103F4E0"/>
    <w:rsid w:val="211656B5"/>
    <w:rsid w:val="2117144E"/>
    <w:rsid w:val="216826BE"/>
    <w:rsid w:val="218D44E1"/>
    <w:rsid w:val="218DA2A1"/>
    <w:rsid w:val="21A7271E"/>
    <w:rsid w:val="21B72CE5"/>
    <w:rsid w:val="21BC693F"/>
    <w:rsid w:val="21C13A52"/>
    <w:rsid w:val="21C3C187"/>
    <w:rsid w:val="21E0DBCA"/>
    <w:rsid w:val="220A9DFE"/>
    <w:rsid w:val="226F6134"/>
    <w:rsid w:val="2289B1DF"/>
    <w:rsid w:val="22A6F844"/>
    <w:rsid w:val="22AC5D19"/>
    <w:rsid w:val="22D681CF"/>
    <w:rsid w:val="22F5B593"/>
    <w:rsid w:val="22F96370"/>
    <w:rsid w:val="23064EE8"/>
    <w:rsid w:val="236B58D1"/>
    <w:rsid w:val="23816397"/>
    <w:rsid w:val="238B8984"/>
    <w:rsid w:val="239A6BC4"/>
    <w:rsid w:val="239D5A12"/>
    <w:rsid w:val="23B02280"/>
    <w:rsid w:val="23B4E824"/>
    <w:rsid w:val="23C45CCC"/>
    <w:rsid w:val="23EB84E7"/>
    <w:rsid w:val="23EC3C40"/>
    <w:rsid w:val="241C0496"/>
    <w:rsid w:val="242A1D82"/>
    <w:rsid w:val="244C5C17"/>
    <w:rsid w:val="2452E9A9"/>
    <w:rsid w:val="2459E2D8"/>
    <w:rsid w:val="247F4CA4"/>
    <w:rsid w:val="24971912"/>
    <w:rsid w:val="24997A90"/>
    <w:rsid w:val="24A45C98"/>
    <w:rsid w:val="24B07CF6"/>
    <w:rsid w:val="24C93787"/>
    <w:rsid w:val="24D9671C"/>
    <w:rsid w:val="24E5B43A"/>
    <w:rsid w:val="24E95E96"/>
    <w:rsid w:val="2501CFB4"/>
    <w:rsid w:val="2503741D"/>
    <w:rsid w:val="25112D36"/>
    <w:rsid w:val="2539978D"/>
    <w:rsid w:val="25A91B78"/>
    <w:rsid w:val="25A9422E"/>
    <w:rsid w:val="2601F075"/>
    <w:rsid w:val="260A9894"/>
    <w:rsid w:val="263F2012"/>
    <w:rsid w:val="2653E906"/>
    <w:rsid w:val="266012C3"/>
    <w:rsid w:val="266A00AE"/>
    <w:rsid w:val="267AE825"/>
    <w:rsid w:val="2691EF89"/>
    <w:rsid w:val="269C1644"/>
    <w:rsid w:val="26AB8410"/>
    <w:rsid w:val="26B381CB"/>
    <w:rsid w:val="26B9CFA1"/>
    <w:rsid w:val="26D25923"/>
    <w:rsid w:val="26D3A261"/>
    <w:rsid w:val="26E462A9"/>
    <w:rsid w:val="26E70847"/>
    <w:rsid w:val="26EA5151"/>
    <w:rsid w:val="26ED4CEB"/>
    <w:rsid w:val="26FBB9C0"/>
    <w:rsid w:val="2715542A"/>
    <w:rsid w:val="27174A4D"/>
    <w:rsid w:val="271B9FFE"/>
    <w:rsid w:val="2739EC49"/>
    <w:rsid w:val="2760F58F"/>
    <w:rsid w:val="279CDFC8"/>
    <w:rsid w:val="27C2F5D0"/>
    <w:rsid w:val="27E58C93"/>
    <w:rsid w:val="27E80A45"/>
    <w:rsid w:val="27FE0BF1"/>
    <w:rsid w:val="28085166"/>
    <w:rsid w:val="28156FF1"/>
    <w:rsid w:val="2824D6B3"/>
    <w:rsid w:val="288EBA6E"/>
    <w:rsid w:val="28960BEC"/>
    <w:rsid w:val="28C6683A"/>
    <w:rsid w:val="290932E4"/>
    <w:rsid w:val="291F26D4"/>
    <w:rsid w:val="2947643C"/>
    <w:rsid w:val="294B3BC0"/>
    <w:rsid w:val="295DB2B2"/>
    <w:rsid w:val="2998681F"/>
    <w:rsid w:val="29C08A8C"/>
    <w:rsid w:val="29D75840"/>
    <w:rsid w:val="2A03F0FB"/>
    <w:rsid w:val="2A17E036"/>
    <w:rsid w:val="2A1951FE"/>
    <w:rsid w:val="2A1FB0D3"/>
    <w:rsid w:val="2A26A34D"/>
    <w:rsid w:val="2A2CACAE"/>
    <w:rsid w:val="2A40451A"/>
    <w:rsid w:val="2A4BF267"/>
    <w:rsid w:val="2A62353F"/>
    <w:rsid w:val="2A724073"/>
    <w:rsid w:val="2A8EE5B0"/>
    <w:rsid w:val="2A93C3C2"/>
    <w:rsid w:val="2A97F25A"/>
    <w:rsid w:val="2AA5E6B1"/>
    <w:rsid w:val="2ACE2A77"/>
    <w:rsid w:val="2B0D1EBB"/>
    <w:rsid w:val="2B46DD4D"/>
    <w:rsid w:val="2B651752"/>
    <w:rsid w:val="2B6D5F02"/>
    <w:rsid w:val="2B856414"/>
    <w:rsid w:val="2BB580AD"/>
    <w:rsid w:val="2BB8F09C"/>
    <w:rsid w:val="2BD51F22"/>
    <w:rsid w:val="2BE377A2"/>
    <w:rsid w:val="2C12B195"/>
    <w:rsid w:val="2C33B36D"/>
    <w:rsid w:val="2C36AA6B"/>
    <w:rsid w:val="2C3BC3AA"/>
    <w:rsid w:val="2C873AA0"/>
    <w:rsid w:val="2C88A151"/>
    <w:rsid w:val="2CB893E8"/>
    <w:rsid w:val="2CCB4057"/>
    <w:rsid w:val="2D15107E"/>
    <w:rsid w:val="2D191CE7"/>
    <w:rsid w:val="2D31D47F"/>
    <w:rsid w:val="2D350C2A"/>
    <w:rsid w:val="2D3E12D4"/>
    <w:rsid w:val="2D4EF4B8"/>
    <w:rsid w:val="2D61BD60"/>
    <w:rsid w:val="2D65FA10"/>
    <w:rsid w:val="2D68B374"/>
    <w:rsid w:val="2D6A061D"/>
    <w:rsid w:val="2D77547C"/>
    <w:rsid w:val="2D7C7652"/>
    <w:rsid w:val="2D92FA20"/>
    <w:rsid w:val="2D9A30B5"/>
    <w:rsid w:val="2D9C7095"/>
    <w:rsid w:val="2DA0806F"/>
    <w:rsid w:val="2DA2C55B"/>
    <w:rsid w:val="2DAFF984"/>
    <w:rsid w:val="2DBACEBA"/>
    <w:rsid w:val="2DBC138E"/>
    <w:rsid w:val="2DC83124"/>
    <w:rsid w:val="2DDF61BE"/>
    <w:rsid w:val="2DDFC3EE"/>
    <w:rsid w:val="2DFCD6FC"/>
    <w:rsid w:val="2E229D71"/>
    <w:rsid w:val="2E25EA53"/>
    <w:rsid w:val="2E2FAE9F"/>
    <w:rsid w:val="2E3F45CD"/>
    <w:rsid w:val="2E982CCA"/>
    <w:rsid w:val="2EB21116"/>
    <w:rsid w:val="2EC278F3"/>
    <w:rsid w:val="2ED3266B"/>
    <w:rsid w:val="2EE2F22D"/>
    <w:rsid w:val="2EE9F28F"/>
    <w:rsid w:val="2F00D043"/>
    <w:rsid w:val="2F0B1E56"/>
    <w:rsid w:val="2F1D681D"/>
    <w:rsid w:val="2F25D687"/>
    <w:rsid w:val="2F2DDBDE"/>
    <w:rsid w:val="2F30647A"/>
    <w:rsid w:val="2F60ED8B"/>
    <w:rsid w:val="2F6769CF"/>
    <w:rsid w:val="2F6E4B2D"/>
    <w:rsid w:val="2F7A2772"/>
    <w:rsid w:val="2F849AAB"/>
    <w:rsid w:val="2F8B7BCE"/>
    <w:rsid w:val="2F93ED5F"/>
    <w:rsid w:val="2FB11E48"/>
    <w:rsid w:val="2FC712B2"/>
    <w:rsid w:val="2FCB3B89"/>
    <w:rsid w:val="2FCE5134"/>
    <w:rsid w:val="2FD01E02"/>
    <w:rsid w:val="2FD50445"/>
    <w:rsid w:val="2FD78F49"/>
    <w:rsid w:val="2FEEE635"/>
    <w:rsid w:val="30011F05"/>
    <w:rsid w:val="3020F01A"/>
    <w:rsid w:val="302227D2"/>
    <w:rsid w:val="302CA756"/>
    <w:rsid w:val="3034A3EA"/>
    <w:rsid w:val="307FE862"/>
    <w:rsid w:val="3090A4C1"/>
    <w:rsid w:val="30A26A84"/>
    <w:rsid w:val="30A959E7"/>
    <w:rsid w:val="30B4E41D"/>
    <w:rsid w:val="30BAB13B"/>
    <w:rsid w:val="30BF16EF"/>
    <w:rsid w:val="30C148A9"/>
    <w:rsid w:val="30D9A168"/>
    <w:rsid w:val="30F309F0"/>
    <w:rsid w:val="3153EC6B"/>
    <w:rsid w:val="31B98E8F"/>
    <w:rsid w:val="31BAEFAD"/>
    <w:rsid w:val="31E6CAB4"/>
    <w:rsid w:val="31F4F2EA"/>
    <w:rsid w:val="31F91959"/>
    <w:rsid w:val="3201F9AC"/>
    <w:rsid w:val="3215E286"/>
    <w:rsid w:val="32305F86"/>
    <w:rsid w:val="323DEB60"/>
    <w:rsid w:val="325864F9"/>
    <w:rsid w:val="3272D2E2"/>
    <w:rsid w:val="3292D5B2"/>
    <w:rsid w:val="32AF63AF"/>
    <w:rsid w:val="32AF6CFF"/>
    <w:rsid w:val="32BF072B"/>
    <w:rsid w:val="32C8EDCD"/>
    <w:rsid w:val="32CED0DA"/>
    <w:rsid w:val="33139586"/>
    <w:rsid w:val="331948DF"/>
    <w:rsid w:val="331A19FA"/>
    <w:rsid w:val="3339EA63"/>
    <w:rsid w:val="33405882"/>
    <w:rsid w:val="33479FFC"/>
    <w:rsid w:val="334D1E90"/>
    <w:rsid w:val="3355776F"/>
    <w:rsid w:val="335947CD"/>
    <w:rsid w:val="3369A756"/>
    <w:rsid w:val="336C7508"/>
    <w:rsid w:val="3386120F"/>
    <w:rsid w:val="33A0402F"/>
    <w:rsid w:val="33A868F0"/>
    <w:rsid w:val="33B51F4B"/>
    <w:rsid w:val="33C0846A"/>
    <w:rsid w:val="33D118C8"/>
    <w:rsid w:val="33D542ED"/>
    <w:rsid w:val="33E0FAA9"/>
    <w:rsid w:val="33EBE627"/>
    <w:rsid w:val="33F01924"/>
    <w:rsid w:val="33F5F24E"/>
    <w:rsid w:val="341212F4"/>
    <w:rsid w:val="3425893E"/>
    <w:rsid w:val="3428AC03"/>
    <w:rsid w:val="343AA094"/>
    <w:rsid w:val="34693BCD"/>
    <w:rsid w:val="3488B522"/>
    <w:rsid w:val="349618E3"/>
    <w:rsid w:val="34A025E5"/>
    <w:rsid w:val="34BE8BA0"/>
    <w:rsid w:val="34C0802F"/>
    <w:rsid w:val="34C3CC3B"/>
    <w:rsid w:val="34CBFB8D"/>
    <w:rsid w:val="34CE296A"/>
    <w:rsid w:val="34FCF22F"/>
    <w:rsid w:val="3501C779"/>
    <w:rsid w:val="351CF007"/>
    <w:rsid w:val="353960F4"/>
    <w:rsid w:val="35464E88"/>
    <w:rsid w:val="3550EFAC"/>
    <w:rsid w:val="35545D1C"/>
    <w:rsid w:val="355B254D"/>
    <w:rsid w:val="35784EE0"/>
    <w:rsid w:val="357AECB0"/>
    <w:rsid w:val="357E5BA9"/>
    <w:rsid w:val="358DA138"/>
    <w:rsid w:val="35A57A44"/>
    <w:rsid w:val="35BCF3B6"/>
    <w:rsid w:val="35D11D09"/>
    <w:rsid w:val="35E2B3B5"/>
    <w:rsid w:val="35F44E29"/>
    <w:rsid w:val="35FB3EF3"/>
    <w:rsid w:val="360CF69E"/>
    <w:rsid w:val="363A7D0D"/>
    <w:rsid w:val="3645593D"/>
    <w:rsid w:val="3678D7DB"/>
    <w:rsid w:val="36999B03"/>
    <w:rsid w:val="36A2FFBC"/>
    <w:rsid w:val="3706E930"/>
    <w:rsid w:val="37396F88"/>
    <w:rsid w:val="3745553D"/>
    <w:rsid w:val="3763CB33"/>
    <w:rsid w:val="37970F54"/>
    <w:rsid w:val="379DAFF0"/>
    <w:rsid w:val="37BE9F9D"/>
    <w:rsid w:val="37D4DF40"/>
    <w:rsid w:val="384B1CD9"/>
    <w:rsid w:val="38618A41"/>
    <w:rsid w:val="38CC586D"/>
    <w:rsid w:val="38DA7752"/>
    <w:rsid w:val="38FD4BAE"/>
    <w:rsid w:val="39152D73"/>
    <w:rsid w:val="39306088"/>
    <w:rsid w:val="393FB35C"/>
    <w:rsid w:val="39468357"/>
    <w:rsid w:val="394D8B8C"/>
    <w:rsid w:val="395F759E"/>
    <w:rsid w:val="39653BA1"/>
    <w:rsid w:val="396E9726"/>
    <w:rsid w:val="3984B6D6"/>
    <w:rsid w:val="399B15D1"/>
    <w:rsid w:val="39F39571"/>
    <w:rsid w:val="39FD7A28"/>
    <w:rsid w:val="3A24A175"/>
    <w:rsid w:val="3A44A2C7"/>
    <w:rsid w:val="3A6DFD7D"/>
    <w:rsid w:val="3A7541C9"/>
    <w:rsid w:val="3A81708F"/>
    <w:rsid w:val="3A8CC9D7"/>
    <w:rsid w:val="3AC58929"/>
    <w:rsid w:val="3AC66EA3"/>
    <w:rsid w:val="3AC97FEE"/>
    <w:rsid w:val="3ADA60C1"/>
    <w:rsid w:val="3ADDA4E0"/>
    <w:rsid w:val="3AECFABC"/>
    <w:rsid w:val="3AEF3A50"/>
    <w:rsid w:val="3B0F495A"/>
    <w:rsid w:val="3B250CE0"/>
    <w:rsid w:val="3B3A5BC9"/>
    <w:rsid w:val="3BC40AAC"/>
    <w:rsid w:val="3BC6BA1D"/>
    <w:rsid w:val="3BCEB7DE"/>
    <w:rsid w:val="3BEBA35E"/>
    <w:rsid w:val="3C229948"/>
    <w:rsid w:val="3C48023E"/>
    <w:rsid w:val="3C56B3F9"/>
    <w:rsid w:val="3C970EF8"/>
    <w:rsid w:val="3CB2B24F"/>
    <w:rsid w:val="3CB394D2"/>
    <w:rsid w:val="3CE16D9F"/>
    <w:rsid w:val="3CFA0A95"/>
    <w:rsid w:val="3D0911E0"/>
    <w:rsid w:val="3D3E98EA"/>
    <w:rsid w:val="3D4DE67E"/>
    <w:rsid w:val="3D4F1A98"/>
    <w:rsid w:val="3D77A539"/>
    <w:rsid w:val="3D7CAF18"/>
    <w:rsid w:val="3D95B1CE"/>
    <w:rsid w:val="3D99EDC9"/>
    <w:rsid w:val="3DA50E7B"/>
    <w:rsid w:val="3DC470C9"/>
    <w:rsid w:val="3DC5D8F3"/>
    <w:rsid w:val="3DCD358D"/>
    <w:rsid w:val="3E04275E"/>
    <w:rsid w:val="3E09AC7A"/>
    <w:rsid w:val="3E10661E"/>
    <w:rsid w:val="3E339C53"/>
    <w:rsid w:val="3E3730C2"/>
    <w:rsid w:val="3E4800FE"/>
    <w:rsid w:val="3E548F0F"/>
    <w:rsid w:val="3E62FDA7"/>
    <w:rsid w:val="3E6BC6DA"/>
    <w:rsid w:val="3E6E8823"/>
    <w:rsid w:val="3EA1CF9B"/>
    <w:rsid w:val="3EB53F78"/>
    <w:rsid w:val="3EC67DA4"/>
    <w:rsid w:val="3ECB1B56"/>
    <w:rsid w:val="3EE5F251"/>
    <w:rsid w:val="3EFD93E0"/>
    <w:rsid w:val="3EFE739E"/>
    <w:rsid w:val="3F0665FB"/>
    <w:rsid w:val="3F2F7E2F"/>
    <w:rsid w:val="3F3C7A97"/>
    <w:rsid w:val="3F684B15"/>
    <w:rsid w:val="3F6E9995"/>
    <w:rsid w:val="3F8A9268"/>
    <w:rsid w:val="3F8E2C9B"/>
    <w:rsid w:val="3F954D37"/>
    <w:rsid w:val="3FA04E48"/>
    <w:rsid w:val="3FB09B1E"/>
    <w:rsid w:val="3FC18D73"/>
    <w:rsid w:val="3FD9B544"/>
    <w:rsid w:val="3FE33D05"/>
    <w:rsid w:val="3FFE58EA"/>
    <w:rsid w:val="4037AA70"/>
    <w:rsid w:val="4040636B"/>
    <w:rsid w:val="40569EBB"/>
    <w:rsid w:val="406C4BDB"/>
    <w:rsid w:val="4073C7FA"/>
    <w:rsid w:val="40856ACB"/>
    <w:rsid w:val="408A06C4"/>
    <w:rsid w:val="40956E49"/>
    <w:rsid w:val="40A15865"/>
    <w:rsid w:val="40EFE2C7"/>
    <w:rsid w:val="40FC996B"/>
    <w:rsid w:val="41137725"/>
    <w:rsid w:val="41227CB8"/>
    <w:rsid w:val="4131AB22"/>
    <w:rsid w:val="4150B8FB"/>
    <w:rsid w:val="4151D5F1"/>
    <w:rsid w:val="41583B36"/>
    <w:rsid w:val="4179DA23"/>
    <w:rsid w:val="419A6BB2"/>
    <w:rsid w:val="41D54360"/>
    <w:rsid w:val="41D5C050"/>
    <w:rsid w:val="41ED2BBE"/>
    <w:rsid w:val="41EEBDA6"/>
    <w:rsid w:val="420B763B"/>
    <w:rsid w:val="42245D7C"/>
    <w:rsid w:val="42368C4F"/>
    <w:rsid w:val="4239C8AF"/>
    <w:rsid w:val="42573D44"/>
    <w:rsid w:val="42594076"/>
    <w:rsid w:val="425A59C4"/>
    <w:rsid w:val="427132EB"/>
    <w:rsid w:val="42877E53"/>
    <w:rsid w:val="42889017"/>
    <w:rsid w:val="42AC25A4"/>
    <w:rsid w:val="42C3FD3F"/>
    <w:rsid w:val="42F0FF1C"/>
    <w:rsid w:val="4303EFBD"/>
    <w:rsid w:val="43138C93"/>
    <w:rsid w:val="431CD011"/>
    <w:rsid w:val="432386C1"/>
    <w:rsid w:val="4329EB82"/>
    <w:rsid w:val="43403A6A"/>
    <w:rsid w:val="43524826"/>
    <w:rsid w:val="435D7CFB"/>
    <w:rsid w:val="43688FBE"/>
    <w:rsid w:val="43B60844"/>
    <w:rsid w:val="43C17B1C"/>
    <w:rsid w:val="43D2810B"/>
    <w:rsid w:val="43E63056"/>
    <w:rsid w:val="43F4FECE"/>
    <w:rsid w:val="4403B1FD"/>
    <w:rsid w:val="444A4D91"/>
    <w:rsid w:val="4455A9DF"/>
    <w:rsid w:val="4456102A"/>
    <w:rsid w:val="44691E77"/>
    <w:rsid w:val="44733E1E"/>
    <w:rsid w:val="448E4861"/>
    <w:rsid w:val="44B597EF"/>
    <w:rsid w:val="44BA4D1B"/>
    <w:rsid w:val="450EC208"/>
    <w:rsid w:val="4517B3E5"/>
    <w:rsid w:val="451E1C9E"/>
    <w:rsid w:val="45408F54"/>
    <w:rsid w:val="45467DE7"/>
    <w:rsid w:val="455B5088"/>
    <w:rsid w:val="4584141C"/>
    <w:rsid w:val="458DFE72"/>
    <w:rsid w:val="45EC275E"/>
    <w:rsid w:val="461AFFC4"/>
    <w:rsid w:val="46516850"/>
    <w:rsid w:val="466640AA"/>
    <w:rsid w:val="4673EE7D"/>
    <w:rsid w:val="4679D23D"/>
    <w:rsid w:val="468E6499"/>
    <w:rsid w:val="469EB58D"/>
    <w:rsid w:val="46C1847C"/>
    <w:rsid w:val="46CA7A4C"/>
    <w:rsid w:val="46DD6760"/>
    <w:rsid w:val="47039AFE"/>
    <w:rsid w:val="475BC820"/>
    <w:rsid w:val="475EB57E"/>
    <w:rsid w:val="4763C10B"/>
    <w:rsid w:val="477281DE"/>
    <w:rsid w:val="4786D51D"/>
    <w:rsid w:val="478EDA99"/>
    <w:rsid w:val="479F20E1"/>
    <w:rsid w:val="47A8C993"/>
    <w:rsid w:val="47B81C18"/>
    <w:rsid w:val="47D99C55"/>
    <w:rsid w:val="47E3405B"/>
    <w:rsid w:val="47EB32AE"/>
    <w:rsid w:val="47FFFEB9"/>
    <w:rsid w:val="4826A2BD"/>
    <w:rsid w:val="483ED8BA"/>
    <w:rsid w:val="48690EE4"/>
    <w:rsid w:val="48817E35"/>
    <w:rsid w:val="48B8617B"/>
    <w:rsid w:val="48BC8982"/>
    <w:rsid w:val="49A3ABAC"/>
    <w:rsid w:val="49B153CB"/>
    <w:rsid w:val="49C5E0AE"/>
    <w:rsid w:val="49E225DC"/>
    <w:rsid w:val="4A1E8B1D"/>
    <w:rsid w:val="4A23FA0D"/>
    <w:rsid w:val="4A2D387F"/>
    <w:rsid w:val="4A49F749"/>
    <w:rsid w:val="4A89D7A3"/>
    <w:rsid w:val="4A8BEE6C"/>
    <w:rsid w:val="4AAF9B5C"/>
    <w:rsid w:val="4ABEDCF4"/>
    <w:rsid w:val="4AD9528B"/>
    <w:rsid w:val="4AE472D0"/>
    <w:rsid w:val="4AEC5EDA"/>
    <w:rsid w:val="4B23B616"/>
    <w:rsid w:val="4B24D973"/>
    <w:rsid w:val="4B25E4A6"/>
    <w:rsid w:val="4B29D229"/>
    <w:rsid w:val="4B69739E"/>
    <w:rsid w:val="4B9AF22C"/>
    <w:rsid w:val="4B9C2AA8"/>
    <w:rsid w:val="4BA15303"/>
    <w:rsid w:val="4BCBBE55"/>
    <w:rsid w:val="4BE21598"/>
    <w:rsid w:val="4C0DC80A"/>
    <w:rsid w:val="4C0F5B82"/>
    <w:rsid w:val="4C186ABA"/>
    <w:rsid w:val="4C19FDDC"/>
    <w:rsid w:val="4C1C38B1"/>
    <w:rsid w:val="4C305CCA"/>
    <w:rsid w:val="4C327D06"/>
    <w:rsid w:val="4C4E2E13"/>
    <w:rsid w:val="4C9BC576"/>
    <w:rsid w:val="4CACF1C2"/>
    <w:rsid w:val="4CAEA784"/>
    <w:rsid w:val="4CD14F93"/>
    <w:rsid w:val="4CE9C822"/>
    <w:rsid w:val="4D01D69F"/>
    <w:rsid w:val="4D0EE6FB"/>
    <w:rsid w:val="4D549BD8"/>
    <w:rsid w:val="4D623145"/>
    <w:rsid w:val="4D91D3B3"/>
    <w:rsid w:val="4DA419D3"/>
    <w:rsid w:val="4DA962C3"/>
    <w:rsid w:val="4DAD4307"/>
    <w:rsid w:val="4DD21942"/>
    <w:rsid w:val="4DED95B0"/>
    <w:rsid w:val="4E08C330"/>
    <w:rsid w:val="4E19DA92"/>
    <w:rsid w:val="4E1BEC22"/>
    <w:rsid w:val="4E2162D2"/>
    <w:rsid w:val="4E26EBBA"/>
    <w:rsid w:val="4E4D124C"/>
    <w:rsid w:val="4E518EBE"/>
    <w:rsid w:val="4E6CE8E9"/>
    <w:rsid w:val="4EAC3191"/>
    <w:rsid w:val="4EB07AB4"/>
    <w:rsid w:val="4EB56843"/>
    <w:rsid w:val="4EC023F8"/>
    <w:rsid w:val="4ED56F52"/>
    <w:rsid w:val="4EE83A02"/>
    <w:rsid w:val="4EFEFD58"/>
    <w:rsid w:val="4EFF3BC3"/>
    <w:rsid w:val="4F0463F7"/>
    <w:rsid w:val="4F055481"/>
    <w:rsid w:val="4F0D32A4"/>
    <w:rsid w:val="4F1C327B"/>
    <w:rsid w:val="4F2D9591"/>
    <w:rsid w:val="4F4A50BE"/>
    <w:rsid w:val="4F4FFCF1"/>
    <w:rsid w:val="4F6463DA"/>
    <w:rsid w:val="4F7228DA"/>
    <w:rsid w:val="4FA59F22"/>
    <w:rsid w:val="4FB35F3A"/>
    <w:rsid w:val="4FB5C4C4"/>
    <w:rsid w:val="4FCAF38D"/>
    <w:rsid w:val="4FD10953"/>
    <w:rsid w:val="4FDABCB4"/>
    <w:rsid w:val="4FE8A6D3"/>
    <w:rsid w:val="4FF72F8D"/>
    <w:rsid w:val="50093869"/>
    <w:rsid w:val="50326B61"/>
    <w:rsid w:val="50411C1E"/>
    <w:rsid w:val="5049E6DF"/>
    <w:rsid w:val="506833D7"/>
    <w:rsid w:val="5072F95E"/>
    <w:rsid w:val="5078F73F"/>
    <w:rsid w:val="50831FEE"/>
    <w:rsid w:val="5085E368"/>
    <w:rsid w:val="509C4E6F"/>
    <w:rsid w:val="50DEA68F"/>
    <w:rsid w:val="50E92014"/>
    <w:rsid w:val="50EB3E30"/>
    <w:rsid w:val="50EEF0DC"/>
    <w:rsid w:val="51019C20"/>
    <w:rsid w:val="5107972B"/>
    <w:rsid w:val="512D3F34"/>
    <w:rsid w:val="512D9ED7"/>
    <w:rsid w:val="5136073E"/>
    <w:rsid w:val="51400611"/>
    <w:rsid w:val="51458574"/>
    <w:rsid w:val="514ABC88"/>
    <w:rsid w:val="517F7415"/>
    <w:rsid w:val="51AA4F01"/>
    <w:rsid w:val="51AF88BA"/>
    <w:rsid w:val="51D413EB"/>
    <w:rsid w:val="51D78916"/>
    <w:rsid w:val="51D972F6"/>
    <w:rsid w:val="51EE24E1"/>
    <w:rsid w:val="51F29280"/>
    <w:rsid w:val="51F7AD43"/>
    <w:rsid w:val="5218974C"/>
    <w:rsid w:val="522CD204"/>
    <w:rsid w:val="522EAFFA"/>
    <w:rsid w:val="523BA463"/>
    <w:rsid w:val="52479A63"/>
    <w:rsid w:val="524A26F0"/>
    <w:rsid w:val="5253FB68"/>
    <w:rsid w:val="528270CA"/>
    <w:rsid w:val="52F65FE1"/>
    <w:rsid w:val="533FF3C3"/>
    <w:rsid w:val="534090DB"/>
    <w:rsid w:val="53707D66"/>
    <w:rsid w:val="5373CAF3"/>
    <w:rsid w:val="539E62DA"/>
    <w:rsid w:val="53D2B20A"/>
    <w:rsid w:val="53D38B28"/>
    <w:rsid w:val="53DDC79B"/>
    <w:rsid w:val="53EABD96"/>
    <w:rsid w:val="540AD534"/>
    <w:rsid w:val="54128367"/>
    <w:rsid w:val="5426166E"/>
    <w:rsid w:val="542C4A99"/>
    <w:rsid w:val="5435B9FA"/>
    <w:rsid w:val="5461590C"/>
    <w:rsid w:val="5475E346"/>
    <w:rsid w:val="5496DA6C"/>
    <w:rsid w:val="54AFE2AA"/>
    <w:rsid w:val="54DA3BEC"/>
    <w:rsid w:val="54E53412"/>
    <w:rsid w:val="54EC30B3"/>
    <w:rsid w:val="54F0D493"/>
    <w:rsid w:val="55007044"/>
    <w:rsid w:val="551EE099"/>
    <w:rsid w:val="556D1083"/>
    <w:rsid w:val="55A87DAB"/>
    <w:rsid w:val="55AA36F0"/>
    <w:rsid w:val="55FD33B3"/>
    <w:rsid w:val="5616532E"/>
    <w:rsid w:val="561977B5"/>
    <w:rsid w:val="562C3E34"/>
    <w:rsid w:val="56494FBC"/>
    <w:rsid w:val="564BB614"/>
    <w:rsid w:val="566FCC29"/>
    <w:rsid w:val="5671FF6B"/>
    <w:rsid w:val="5680B477"/>
    <w:rsid w:val="56A59D64"/>
    <w:rsid w:val="56F0A1DE"/>
    <w:rsid w:val="56FB7F21"/>
    <w:rsid w:val="5717AE30"/>
    <w:rsid w:val="576E1000"/>
    <w:rsid w:val="578C9A1D"/>
    <w:rsid w:val="5798736D"/>
    <w:rsid w:val="57A5352C"/>
    <w:rsid w:val="57E18E38"/>
    <w:rsid w:val="57F395E0"/>
    <w:rsid w:val="57F3A545"/>
    <w:rsid w:val="5845EC6B"/>
    <w:rsid w:val="58823068"/>
    <w:rsid w:val="588D7D97"/>
    <w:rsid w:val="58A9EAFE"/>
    <w:rsid w:val="58B2E83A"/>
    <w:rsid w:val="58D1C12C"/>
    <w:rsid w:val="58E16F5F"/>
    <w:rsid w:val="58EA4CAA"/>
    <w:rsid w:val="59117FD1"/>
    <w:rsid w:val="598356D6"/>
    <w:rsid w:val="5983741A"/>
    <w:rsid w:val="59877B0C"/>
    <w:rsid w:val="59AE7758"/>
    <w:rsid w:val="59AFD596"/>
    <w:rsid w:val="59B535EE"/>
    <w:rsid w:val="59C1645D"/>
    <w:rsid w:val="59D25CF6"/>
    <w:rsid w:val="59DF47D5"/>
    <w:rsid w:val="59E18EE6"/>
    <w:rsid w:val="59F772EE"/>
    <w:rsid w:val="5A24409A"/>
    <w:rsid w:val="5A2D4DFA"/>
    <w:rsid w:val="5A3F4740"/>
    <w:rsid w:val="5A590D94"/>
    <w:rsid w:val="5A5B6808"/>
    <w:rsid w:val="5A847125"/>
    <w:rsid w:val="5AC5A09E"/>
    <w:rsid w:val="5AC5BF35"/>
    <w:rsid w:val="5ACC0ABA"/>
    <w:rsid w:val="5AD4A707"/>
    <w:rsid w:val="5AEC4665"/>
    <w:rsid w:val="5AFD3B80"/>
    <w:rsid w:val="5B20B642"/>
    <w:rsid w:val="5B5D48B7"/>
    <w:rsid w:val="5B72F2E9"/>
    <w:rsid w:val="5B9647E9"/>
    <w:rsid w:val="5BB1869D"/>
    <w:rsid w:val="5BCB2C81"/>
    <w:rsid w:val="5BEE35C8"/>
    <w:rsid w:val="5C0BADFD"/>
    <w:rsid w:val="5C3C7431"/>
    <w:rsid w:val="5C536B47"/>
    <w:rsid w:val="5C5D1E22"/>
    <w:rsid w:val="5C7A3867"/>
    <w:rsid w:val="5C83F549"/>
    <w:rsid w:val="5C868C22"/>
    <w:rsid w:val="5C8B4C0F"/>
    <w:rsid w:val="5C8C9BA6"/>
    <w:rsid w:val="5CA13138"/>
    <w:rsid w:val="5CB4788F"/>
    <w:rsid w:val="5CBD37E7"/>
    <w:rsid w:val="5CC6A6B8"/>
    <w:rsid w:val="5D08CEC8"/>
    <w:rsid w:val="5D10DD91"/>
    <w:rsid w:val="5D2A7BC0"/>
    <w:rsid w:val="5D75282A"/>
    <w:rsid w:val="5D9F52E3"/>
    <w:rsid w:val="5DB5E9AF"/>
    <w:rsid w:val="5DC9F678"/>
    <w:rsid w:val="5DE8428A"/>
    <w:rsid w:val="5DE9E8CC"/>
    <w:rsid w:val="5DF9835F"/>
    <w:rsid w:val="5E26CEA9"/>
    <w:rsid w:val="5E3D9F9C"/>
    <w:rsid w:val="5E470F35"/>
    <w:rsid w:val="5E49FAFB"/>
    <w:rsid w:val="5E7251CD"/>
    <w:rsid w:val="5E81A993"/>
    <w:rsid w:val="5E82B871"/>
    <w:rsid w:val="5E8A82E9"/>
    <w:rsid w:val="5E9CE3C1"/>
    <w:rsid w:val="5EF4C9B4"/>
    <w:rsid w:val="5EF8580F"/>
    <w:rsid w:val="5F00A496"/>
    <w:rsid w:val="5F2D3E1A"/>
    <w:rsid w:val="5F4D8C3D"/>
    <w:rsid w:val="5F50AB91"/>
    <w:rsid w:val="5F551D9F"/>
    <w:rsid w:val="5F6DBF51"/>
    <w:rsid w:val="5F6E4E78"/>
    <w:rsid w:val="5F7E8174"/>
    <w:rsid w:val="5F864F62"/>
    <w:rsid w:val="5F86F388"/>
    <w:rsid w:val="5F8F0866"/>
    <w:rsid w:val="5F9ABFFC"/>
    <w:rsid w:val="5FB3CE74"/>
    <w:rsid w:val="5FB7C409"/>
    <w:rsid w:val="5FC62ED7"/>
    <w:rsid w:val="60153910"/>
    <w:rsid w:val="6020DBAA"/>
    <w:rsid w:val="602DD652"/>
    <w:rsid w:val="6042B22C"/>
    <w:rsid w:val="60672C85"/>
    <w:rsid w:val="609CA04E"/>
    <w:rsid w:val="609DC49F"/>
    <w:rsid w:val="60BBF85D"/>
    <w:rsid w:val="60C6A9AC"/>
    <w:rsid w:val="60DAA3C2"/>
    <w:rsid w:val="611711D0"/>
    <w:rsid w:val="611DC4F7"/>
    <w:rsid w:val="61303684"/>
    <w:rsid w:val="6132D2AA"/>
    <w:rsid w:val="6138D957"/>
    <w:rsid w:val="6149E25A"/>
    <w:rsid w:val="6164583F"/>
    <w:rsid w:val="6188F9D8"/>
    <w:rsid w:val="619C2DCF"/>
    <w:rsid w:val="619F774E"/>
    <w:rsid w:val="61A89329"/>
    <w:rsid w:val="61B706C2"/>
    <w:rsid w:val="61CE0DEB"/>
    <w:rsid w:val="61D08605"/>
    <w:rsid w:val="61E1A7C3"/>
    <w:rsid w:val="61ED9203"/>
    <w:rsid w:val="61EECE73"/>
    <w:rsid w:val="61F4FC87"/>
    <w:rsid w:val="623A9CBB"/>
    <w:rsid w:val="62497D2D"/>
    <w:rsid w:val="626C30C0"/>
    <w:rsid w:val="6279478C"/>
    <w:rsid w:val="62A366F9"/>
    <w:rsid w:val="62AD5F17"/>
    <w:rsid w:val="62BA0E2E"/>
    <w:rsid w:val="62EC1087"/>
    <w:rsid w:val="62F1E569"/>
    <w:rsid w:val="630B4273"/>
    <w:rsid w:val="6323B750"/>
    <w:rsid w:val="632E30F8"/>
    <w:rsid w:val="6333B342"/>
    <w:rsid w:val="6346E14E"/>
    <w:rsid w:val="6354F64D"/>
    <w:rsid w:val="635DE86D"/>
    <w:rsid w:val="63711091"/>
    <w:rsid w:val="6377142D"/>
    <w:rsid w:val="63A0E3BE"/>
    <w:rsid w:val="63AF8A02"/>
    <w:rsid w:val="63BA35EA"/>
    <w:rsid w:val="63BAAC1A"/>
    <w:rsid w:val="63C03D93"/>
    <w:rsid w:val="63CB4B19"/>
    <w:rsid w:val="63D669CD"/>
    <w:rsid w:val="6404F0C8"/>
    <w:rsid w:val="64722F98"/>
    <w:rsid w:val="64748B1F"/>
    <w:rsid w:val="648B6EF1"/>
    <w:rsid w:val="64BB456B"/>
    <w:rsid w:val="64C83324"/>
    <w:rsid w:val="64D888C0"/>
    <w:rsid w:val="64DAECDE"/>
    <w:rsid w:val="64EBEF88"/>
    <w:rsid w:val="64FD01C6"/>
    <w:rsid w:val="650DD668"/>
    <w:rsid w:val="65252380"/>
    <w:rsid w:val="654C0982"/>
    <w:rsid w:val="6557C9CB"/>
    <w:rsid w:val="655996E9"/>
    <w:rsid w:val="6566AFCA"/>
    <w:rsid w:val="657EE4B2"/>
    <w:rsid w:val="659096C2"/>
    <w:rsid w:val="659401F9"/>
    <w:rsid w:val="65BB0C5D"/>
    <w:rsid w:val="65BB7101"/>
    <w:rsid w:val="65BC1A7C"/>
    <w:rsid w:val="660643CD"/>
    <w:rsid w:val="660B0B47"/>
    <w:rsid w:val="666581D6"/>
    <w:rsid w:val="666EE3A7"/>
    <w:rsid w:val="66936C86"/>
    <w:rsid w:val="66A1784A"/>
    <w:rsid w:val="66ACC038"/>
    <w:rsid w:val="66B5DF56"/>
    <w:rsid w:val="66FA8A98"/>
    <w:rsid w:val="66FE08AE"/>
    <w:rsid w:val="6717E3D7"/>
    <w:rsid w:val="67214DD5"/>
    <w:rsid w:val="67269507"/>
    <w:rsid w:val="672EDE4E"/>
    <w:rsid w:val="6757F09A"/>
    <w:rsid w:val="675B6D8B"/>
    <w:rsid w:val="6762B360"/>
    <w:rsid w:val="67680CFD"/>
    <w:rsid w:val="67C65044"/>
    <w:rsid w:val="67CCC831"/>
    <w:rsid w:val="67DC3593"/>
    <w:rsid w:val="67EF9CF7"/>
    <w:rsid w:val="67F143EC"/>
    <w:rsid w:val="67F50879"/>
    <w:rsid w:val="67F8334F"/>
    <w:rsid w:val="67FB0575"/>
    <w:rsid w:val="67FEC83C"/>
    <w:rsid w:val="68619C04"/>
    <w:rsid w:val="6886BF09"/>
    <w:rsid w:val="688E205F"/>
    <w:rsid w:val="68B706D1"/>
    <w:rsid w:val="68C3A35B"/>
    <w:rsid w:val="68D015E7"/>
    <w:rsid w:val="68E02165"/>
    <w:rsid w:val="68FC9F08"/>
    <w:rsid w:val="69237331"/>
    <w:rsid w:val="696F1B54"/>
    <w:rsid w:val="698EE444"/>
    <w:rsid w:val="6999DCBF"/>
    <w:rsid w:val="69F037DE"/>
    <w:rsid w:val="69F4BBD0"/>
    <w:rsid w:val="6A01E534"/>
    <w:rsid w:val="6A0521E9"/>
    <w:rsid w:val="6A0B9928"/>
    <w:rsid w:val="6A2C7476"/>
    <w:rsid w:val="6A2D54EA"/>
    <w:rsid w:val="6A33B6FA"/>
    <w:rsid w:val="6A4EEB1F"/>
    <w:rsid w:val="6A51118D"/>
    <w:rsid w:val="6A6B51DC"/>
    <w:rsid w:val="6A6BAD46"/>
    <w:rsid w:val="6A84125F"/>
    <w:rsid w:val="6A84C120"/>
    <w:rsid w:val="6A9628F5"/>
    <w:rsid w:val="6AA3B000"/>
    <w:rsid w:val="6AAEF789"/>
    <w:rsid w:val="6AE551B1"/>
    <w:rsid w:val="6B184054"/>
    <w:rsid w:val="6B2F3D4C"/>
    <w:rsid w:val="6B3BE488"/>
    <w:rsid w:val="6B42DDD8"/>
    <w:rsid w:val="6B46A982"/>
    <w:rsid w:val="6B556464"/>
    <w:rsid w:val="6B847AFF"/>
    <w:rsid w:val="6B946504"/>
    <w:rsid w:val="6B9587DB"/>
    <w:rsid w:val="6BA9589F"/>
    <w:rsid w:val="6BAADEE5"/>
    <w:rsid w:val="6BBC7271"/>
    <w:rsid w:val="6BC827EE"/>
    <w:rsid w:val="6BD3EB85"/>
    <w:rsid w:val="6BD8DAE6"/>
    <w:rsid w:val="6BD93CA1"/>
    <w:rsid w:val="6BEB54FA"/>
    <w:rsid w:val="6BF6A6A2"/>
    <w:rsid w:val="6BFE2E86"/>
    <w:rsid w:val="6C07223D"/>
    <w:rsid w:val="6C263CEB"/>
    <w:rsid w:val="6CB265FE"/>
    <w:rsid w:val="6CC3256E"/>
    <w:rsid w:val="6CD315E8"/>
    <w:rsid w:val="6CDBBE15"/>
    <w:rsid w:val="6CF3B69B"/>
    <w:rsid w:val="6D029EE8"/>
    <w:rsid w:val="6D06EAED"/>
    <w:rsid w:val="6D1257A8"/>
    <w:rsid w:val="6D1A1087"/>
    <w:rsid w:val="6D1E10D4"/>
    <w:rsid w:val="6D2544DB"/>
    <w:rsid w:val="6D481551"/>
    <w:rsid w:val="6D61DF91"/>
    <w:rsid w:val="6D7D5DE8"/>
    <w:rsid w:val="6D88033F"/>
    <w:rsid w:val="6DA2D925"/>
    <w:rsid w:val="6DAE510F"/>
    <w:rsid w:val="6DE292E5"/>
    <w:rsid w:val="6DF6ACE3"/>
    <w:rsid w:val="6DFF89B1"/>
    <w:rsid w:val="6E3150BF"/>
    <w:rsid w:val="6E68944E"/>
    <w:rsid w:val="6E741573"/>
    <w:rsid w:val="6E7E8D87"/>
    <w:rsid w:val="6E7FF672"/>
    <w:rsid w:val="6E9072C1"/>
    <w:rsid w:val="6EA1A292"/>
    <w:rsid w:val="6EA59598"/>
    <w:rsid w:val="6ECEBB46"/>
    <w:rsid w:val="6EED62EF"/>
    <w:rsid w:val="6F067F92"/>
    <w:rsid w:val="6F16F3B7"/>
    <w:rsid w:val="6F1D846B"/>
    <w:rsid w:val="6F1E3604"/>
    <w:rsid w:val="6F2783FA"/>
    <w:rsid w:val="6F3C3C79"/>
    <w:rsid w:val="6F5DAE02"/>
    <w:rsid w:val="6F6EAF02"/>
    <w:rsid w:val="6F9AC124"/>
    <w:rsid w:val="6FA0BFEA"/>
    <w:rsid w:val="6FC55063"/>
    <w:rsid w:val="6FCAB726"/>
    <w:rsid w:val="6FF02B12"/>
    <w:rsid w:val="700AA5DA"/>
    <w:rsid w:val="701375CE"/>
    <w:rsid w:val="70301518"/>
    <w:rsid w:val="703A66DD"/>
    <w:rsid w:val="70597347"/>
    <w:rsid w:val="7063D376"/>
    <w:rsid w:val="7071BC64"/>
    <w:rsid w:val="70808FDB"/>
    <w:rsid w:val="70836379"/>
    <w:rsid w:val="70C54A85"/>
    <w:rsid w:val="70DF8456"/>
    <w:rsid w:val="70E00850"/>
    <w:rsid w:val="70E12675"/>
    <w:rsid w:val="70E39002"/>
    <w:rsid w:val="71205253"/>
    <w:rsid w:val="717165F7"/>
    <w:rsid w:val="7183FD07"/>
    <w:rsid w:val="71C2A3AC"/>
    <w:rsid w:val="71C59B05"/>
    <w:rsid w:val="71DA8C70"/>
    <w:rsid w:val="71E94CB3"/>
    <w:rsid w:val="71EDF3EE"/>
    <w:rsid w:val="71F6F59C"/>
    <w:rsid w:val="71F7F93C"/>
    <w:rsid w:val="72107837"/>
    <w:rsid w:val="721278E7"/>
    <w:rsid w:val="724E9479"/>
    <w:rsid w:val="72753D9D"/>
    <w:rsid w:val="72837139"/>
    <w:rsid w:val="72A02D3B"/>
    <w:rsid w:val="72A416B1"/>
    <w:rsid w:val="72A5B85B"/>
    <w:rsid w:val="72D895F0"/>
    <w:rsid w:val="72E19902"/>
    <w:rsid w:val="72FE0C72"/>
    <w:rsid w:val="73014836"/>
    <w:rsid w:val="732A69C6"/>
    <w:rsid w:val="734F5291"/>
    <w:rsid w:val="73AC43F8"/>
    <w:rsid w:val="73B4A0BD"/>
    <w:rsid w:val="73EA4426"/>
    <w:rsid w:val="74009D31"/>
    <w:rsid w:val="74400F1B"/>
    <w:rsid w:val="749A331C"/>
    <w:rsid w:val="74AE7E32"/>
    <w:rsid w:val="74E79848"/>
    <w:rsid w:val="74EDFEF8"/>
    <w:rsid w:val="7508B69F"/>
    <w:rsid w:val="752D7F39"/>
    <w:rsid w:val="75429575"/>
    <w:rsid w:val="7549BF14"/>
    <w:rsid w:val="75828D03"/>
    <w:rsid w:val="7585605C"/>
    <w:rsid w:val="75A0DD8F"/>
    <w:rsid w:val="75A4A479"/>
    <w:rsid w:val="75B488C8"/>
    <w:rsid w:val="75D88151"/>
    <w:rsid w:val="760FD5E9"/>
    <w:rsid w:val="76573EA6"/>
    <w:rsid w:val="7661922D"/>
    <w:rsid w:val="76696F1B"/>
    <w:rsid w:val="766B28B3"/>
    <w:rsid w:val="7679AC13"/>
    <w:rsid w:val="7685FA33"/>
    <w:rsid w:val="76911F76"/>
    <w:rsid w:val="76A74A90"/>
    <w:rsid w:val="76ABC984"/>
    <w:rsid w:val="76BFE755"/>
    <w:rsid w:val="76C98477"/>
    <w:rsid w:val="7708CE4A"/>
    <w:rsid w:val="7708F293"/>
    <w:rsid w:val="77177790"/>
    <w:rsid w:val="7729F322"/>
    <w:rsid w:val="7744F3A7"/>
    <w:rsid w:val="774D86FE"/>
    <w:rsid w:val="777708CF"/>
    <w:rsid w:val="77D37AE9"/>
    <w:rsid w:val="77E2E72C"/>
    <w:rsid w:val="77F359C0"/>
    <w:rsid w:val="7801335F"/>
    <w:rsid w:val="78029332"/>
    <w:rsid w:val="781B3B60"/>
    <w:rsid w:val="7828D232"/>
    <w:rsid w:val="7834260D"/>
    <w:rsid w:val="78471D11"/>
    <w:rsid w:val="784A8DD1"/>
    <w:rsid w:val="78686EBB"/>
    <w:rsid w:val="7872E1FE"/>
    <w:rsid w:val="787346A5"/>
    <w:rsid w:val="78874EB4"/>
    <w:rsid w:val="78939881"/>
    <w:rsid w:val="78C212E2"/>
    <w:rsid w:val="78D35622"/>
    <w:rsid w:val="78F006A7"/>
    <w:rsid w:val="78F03837"/>
    <w:rsid w:val="78F18533"/>
    <w:rsid w:val="78F72AA2"/>
    <w:rsid w:val="78FB1C71"/>
    <w:rsid w:val="78FC9DA1"/>
    <w:rsid w:val="791963A9"/>
    <w:rsid w:val="792F2792"/>
    <w:rsid w:val="792F34FE"/>
    <w:rsid w:val="79359508"/>
    <w:rsid w:val="79650517"/>
    <w:rsid w:val="796C33F5"/>
    <w:rsid w:val="798764DD"/>
    <w:rsid w:val="79880021"/>
    <w:rsid w:val="79A4EDF0"/>
    <w:rsid w:val="79A98432"/>
    <w:rsid w:val="79AB76FC"/>
    <w:rsid w:val="79C4FFB8"/>
    <w:rsid w:val="79CE691D"/>
    <w:rsid w:val="7A5262C4"/>
    <w:rsid w:val="7A59D833"/>
    <w:rsid w:val="7A61C327"/>
    <w:rsid w:val="7A90E409"/>
    <w:rsid w:val="7AA5F01F"/>
    <w:rsid w:val="7AB1281A"/>
    <w:rsid w:val="7AB3FDDE"/>
    <w:rsid w:val="7AB53ADB"/>
    <w:rsid w:val="7AD3828A"/>
    <w:rsid w:val="7AEF324D"/>
    <w:rsid w:val="7B161A49"/>
    <w:rsid w:val="7B735FAD"/>
    <w:rsid w:val="7B8753AF"/>
    <w:rsid w:val="7BD28A7A"/>
    <w:rsid w:val="7BD4DC77"/>
    <w:rsid w:val="7C078E9A"/>
    <w:rsid w:val="7C1327F2"/>
    <w:rsid w:val="7C17CC09"/>
    <w:rsid w:val="7C67B415"/>
    <w:rsid w:val="7C7448E2"/>
    <w:rsid w:val="7C7D30CB"/>
    <w:rsid w:val="7C8E6633"/>
    <w:rsid w:val="7CC8EB63"/>
    <w:rsid w:val="7CE825C8"/>
    <w:rsid w:val="7CFCA19F"/>
    <w:rsid w:val="7D05AC54"/>
    <w:rsid w:val="7D1108FA"/>
    <w:rsid w:val="7D114511"/>
    <w:rsid w:val="7D139CCD"/>
    <w:rsid w:val="7D47F2A8"/>
    <w:rsid w:val="7D49220E"/>
    <w:rsid w:val="7D68BB7E"/>
    <w:rsid w:val="7D69B892"/>
    <w:rsid w:val="7D700A5E"/>
    <w:rsid w:val="7D7F76F0"/>
    <w:rsid w:val="7D9465BA"/>
    <w:rsid w:val="7DD047BD"/>
    <w:rsid w:val="7E055B8B"/>
    <w:rsid w:val="7E13BCA0"/>
    <w:rsid w:val="7E2608D9"/>
    <w:rsid w:val="7E30B130"/>
    <w:rsid w:val="7E3B76C7"/>
    <w:rsid w:val="7E5AB66D"/>
    <w:rsid w:val="7E5EEB4E"/>
    <w:rsid w:val="7E75682A"/>
    <w:rsid w:val="7E7DC861"/>
    <w:rsid w:val="7E7E5104"/>
    <w:rsid w:val="7E7ED429"/>
    <w:rsid w:val="7E849F6D"/>
    <w:rsid w:val="7E8DAABC"/>
    <w:rsid w:val="7ECBF470"/>
    <w:rsid w:val="7ED2B5D1"/>
    <w:rsid w:val="7ED9599E"/>
    <w:rsid w:val="7F06DCDD"/>
    <w:rsid w:val="7F072C6C"/>
    <w:rsid w:val="7F0CC66C"/>
    <w:rsid w:val="7F0F1762"/>
    <w:rsid w:val="7F39EC6E"/>
    <w:rsid w:val="7F68892B"/>
    <w:rsid w:val="7FAF0010"/>
    <w:rsid w:val="7FC319A9"/>
    <w:rsid w:val="7FD8BC2A"/>
    <w:rsid w:val="7FDE597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05C5C0"/>
  <w15:docId w15:val="{45471DA9-A06D-4A0F-A80D-1B466D336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1" w:qFormat="1"/>
    <w:lsdException w:name="heading 1" w:uiPriority="4" w:qFormat="1"/>
    <w:lsdException w:name="heading 2" w:uiPriority="6" w:qFormat="1"/>
    <w:lsdException w:name="heading 3" w:uiPriority="2" w:qFormat="1"/>
    <w:lsdException w:name="heading 4" w:uiPriority="8"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link w:val="Heading1Char"/>
    <w:autoRedefine/>
    <w:uiPriority w:val="4"/>
    <w:qFormat/>
    <w:rsid w:val="00A33F7B"/>
    <w:pPr>
      <w:keepNext/>
      <w:keepLines/>
      <w:pageBreakBefore/>
      <w:numPr>
        <w:numId w:val="32"/>
      </w:numPr>
      <w:spacing w:before="600" w:after="100" w:afterAutospacing="1" w:line="240" w:lineRule="auto"/>
      <w:outlineLvl w:val="0"/>
    </w:pPr>
    <w:rPr>
      <w:rFonts w:asciiTheme="majorHAnsi" w:hAnsiTheme="majorHAnsi"/>
      <w:b/>
      <w:sz w:val="64"/>
      <w:szCs w:val="44"/>
    </w:rPr>
  </w:style>
  <w:style w:type="paragraph" w:styleId="Heading2">
    <w:name w:val="heading 2"/>
    <w:basedOn w:val="Normal"/>
    <w:next w:val="Normal"/>
    <w:link w:val="Heading2Char"/>
    <w:autoRedefine/>
    <w:uiPriority w:val="6"/>
    <w:qFormat/>
    <w:rsid w:val="00755433"/>
    <w:pPr>
      <w:keepNext/>
      <w:keepLines/>
      <w:numPr>
        <w:ilvl w:val="1"/>
        <w:numId w:val="32"/>
      </w:numPr>
      <w:spacing w:before="360" w:after="40" w:line="240" w:lineRule="auto"/>
      <w:ind w:left="794" w:right="-28" w:hanging="794"/>
      <w:contextualSpacing/>
      <w:outlineLvl w:val="1"/>
    </w:pPr>
    <w:rPr>
      <w:rFonts w:asciiTheme="majorHAnsi" w:hAnsiTheme="majorHAnsi"/>
      <w:b/>
      <w:sz w:val="28"/>
      <w:szCs w:val="44"/>
    </w:rPr>
  </w:style>
  <w:style w:type="paragraph" w:styleId="Heading3">
    <w:name w:val="heading 3"/>
    <w:basedOn w:val="Normal"/>
    <w:next w:val="Normal"/>
    <w:link w:val="Heading3Char"/>
    <w:autoRedefine/>
    <w:uiPriority w:val="2"/>
    <w:qFormat/>
    <w:rsid w:val="00755433"/>
    <w:pPr>
      <w:keepNext/>
      <w:keepLines/>
      <w:numPr>
        <w:ilvl w:val="2"/>
        <w:numId w:val="31"/>
      </w:numPr>
      <w:spacing w:before="200" w:line="240" w:lineRule="auto"/>
      <w:outlineLvl w:val="2"/>
    </w:pPr>
    <w:rPr>
      <w:b/>
      <w:color w:val="004200" w:themeColor="accent1"/>
      <w:sz w:val="24"/>
      <w:szCs w:val="28"/>
    </w:rPr>
  </w:style>
  <w:style w:type="paragraph" w:styleId="Heading4">
    <w:name w:val="heading 4"/>
    <w:basedOn w:val="Normal"/>
    <w:next w:val="Normal"/>
    <w:link w:val="Heading4Char"/>
    <w:autoRedefine/>
    <w:uiPriority w:val="8"/>
    <w:qFormat/>
    <w:rsid w:val="00EB13A7"/>
    <w:pPr>
      <w:keepNext/>
      <w:keepLines/>
      <w:numPr>
        <w:ilvl w:val="3"/>
        <w:numId w:val="31"/>
      </w:numPr>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uiPriority w:val="99"/>
    <w:rsid w:val="009C6266"/>
    <w:pPr>
      <w:tabs>
        <w:tab w:val="right" w:pos="10319"/>
      </w:tabs>
      <w:spacing w:before="0" w:after="0" w:line="240" w:lineRule="auto"/>
    </w:pPr>
    <w:rPr>
      <w:b/>
      <w:sz w:val="16"/>
    </w:rPr>
  </w:style>
  <w:style w:type="paragraph" w:styleId="Title">
    <w:name w:val="Title"/>
    <w:aliases w:val="Title Artwork"/>
    <w:basedOn w:val="Normal"/>
    <w:next w:val="Subtitle"/>
    <w:link w:val="TitleChar"/>
    <w:autoRedefine/>
    <w:uiPriority w:val="11"/>
    <w:qFormat/>
    <w:rsid w:val="00562759"/>
    <w:pPr>
      <w:spacing w:before="480" w:after="360" w:line="204" w:lineRule="auto"/>
      <w:contextualSpacing/>
      <w:outlineLvl w:val="0"/>
    </w:pPr>
    <w:rPr>
      <w:rFonts w:ascii="Arial Bold" w:hAnsi="Arial Bold" w:cs="Arial"/>
      <w:b/>
      <w:bCs/>
      <w:color w:val="FFFFFF" w:themeColor="background1"/>
      <w:kern w:val="28"/>
      <w:sz w:val="84"/>
      <w:szCs w:val="32"/>
    </w:rPr>
  </w:style>
  <w:style w:type="paragraph" w:styleId="ListBullet">
    <w:name w:val="List Bullet"/>
    <w:basedOn w:val="Normal"/>
    <w:autoRedefine/>
    <w:uiPriority w:val="2"/>
    <w:qFormat/>
    <w:rsid w:val="00887853"/>
    <w:pPr>
      <w:numPr>
        <w:ilvl w:val="1"/>
        <w:numId w:val="34"/>
      </w:numPr>
      <w:spacing w:before="60" w:after="60" w:line="240" w:lineRule="auto"/>
    </w:pPr>
  </w:style>
  <w:style w:type="paragraph" w:styleId="Footer">
    <w:name w:val="footer"/>
    <w:basedOn w:val="Heade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Recommendation,List Paragraph1,Bullet table,Bullet L1"/>
    <w:basedOn w:val="Normal"/>
    <w:link w:val="ListParagraphChar"/>
    <w:autoRedefine/>
    <w:uiPriority w:val="34"/>
    <w:qFormat/>
    <w:rsid w:val="00FE1EA1"/>
    <w:pPr>
      <w:keepLines/>
      <w:numPr>
        <w:numId w:val="24"/>
      </w:numPr>
      <w:spacing w:line="240" w:lineRule="auto"/>
    </w:pPr>
    <w:rPr>
      <w:szCs w:val="18"/>
    </w:rPr>
  </w:style>
  <w:style w:type="character" w:customStyle="1" w:styleId="Heading2Char">
    <w:name w:val="Heading 2 Char"/>
    <w:basedOn w:val="DefaultParagraphFont"/>
    <w:link w:val="Heading2"/>
    <w:uiPriority w:val="6"/>
    <w:rsid w:val="00755433"/>
    <w:rPr>
      <w:rFonts w:asciiTheme="majorHAnsi" w:hAnsiTheme="majorHAnsi"/>
      <w:b/>
      <w:sz w:val="28"/>
      <w:szCs w:val="44"/>
    </w:rPr>
  </w:style>
  <w:style w:type="paragraph" w:styleId="TOC1">
    <w:name w:val="toc 1"/>
    <w:basedOn w:val="Normal"/>
    <w:next w:val="Normal"/>
    <w:autoRedefine/>
    <w:uiPriority w:val="39"/>
    <w:rsid w:val="00E65EF2"/>
    <w:pPr>
      <w:tabs>
        <w:tab w:val="right" w:pos="7643"/>
      </w:tabs>
      <w:spacing w:before="240" w:after="60" w:line="240" w:lineRule="auto"/>
      <w:ind w:right="567"/>
    </w:pPr>
    <w:rPr>
      <w:b/>
      <w:noProof/>
    </w:rPr>
  </w:style>
  <w:style w:type="paragraph" w:styleId="TOC2">
    <w:name w:val="toc 2"/>
    <w:basedOn w:val="Normal"/>
    <w:next w:val="Normal"/>
    <w:autoRedefine/>
    <w:uiPriority w:val="39"/>
    <w:rsid w:val="00DE3F2F"/>
    <w:pPr>
      <w:tabs>
        <w:tab w:val="left" w:pos="660"/>
        <w:tab w:val="right" w:leader="dot" w:pos="7643"/>
      </w:tabs>
      <w:spacing w:before="60" w:after="60" w:line="240" w:lineRule="auto"/>
      <w:ind w:right="567"/>
    </w:pPr>
    <w:rPr>
      <w:noProof/>
    </w:rPr>
  </w:style>
  <w:style w:type="paragraph" w:customStyle="1" w:styleId="TableText">
    <w:name w:val="Table Text"/>
    <w:basedOn w:val="Normal"/>
    <w:autoRedefine/>
    <w:uiPriority w:val="99"/>
    <w:qFormat/>
    <w:rsid w:val="00434017"/>
    <w:pPr>
      <w:spacing w:before="80" w:after="80" w:line="240" w:lineRule="auto"/>
      <w:ind w:firstLine="737"/>
    </w:pPr>
    <w:rPr>
      <w:sz w:val="20"/>
    </w:rPr>
  </w:style>
  <w:style w:type="character" w:styleId="Emphasis">
    <w:name w:val="Emphasis"/>
    <w:basedOn w:val="DefaultParagraphFon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173A9"/>
    <w:pPr>
      <w:spacing w:before="40" w:after="40"/>
      <w:ind w:right="-28"/>
    </w:pPr>
    <w:rPr>
      <w:rFonts w:ascii="Arial" w:hAnsi="Arial" w:cs="Arial"/>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456D29"/>
    <w:pPr>
      <w:numPr>
        <w:ilvl w:val="1"/>
      </w:numPr>
      <w:spacing w:before="480" w:after="360"/>
      <w:contextualSpacing/>
    </w:pPr>
    <w:rPr>
      <w:rFonts w:asciiTheme="majorHAnsi" w:eastAsiaTheme="majorEastAsia" w:hAnsiTheme="majorHAnsi" w:cstheme="majorBidi"/>
      <w:b/>
      <w:iCs/>
      <w:color w:val="004200" w:themeColor="accent1"/>
      <w:sz w:val="40"/>
    </w:rPr>
  </w:style>
  <w:style w:type="character" w:customStyle="1" w:styleId="SubtitleChar">
    <w:name w:val="Subtitle Char"/>
    <w:basedOn w:val="DefaultParagraphFont"/>
    <w:link w:val="Subtitle"/>
    <w:rsid w:val="00456D29"/>
    <w:rPr>
      <w:rFonts w:asciiTheme="majorHAnsi" w:eastAsiaTheme="majorEastAsia" w:hAnsiTheme="majorHAnsi" w:cstheme="majorBidi"/>
      <w:b/>
      <w:iCs/>
      <w:color w:val="004200" w:themeColor="accent1"/>
      <w:sz w:val="40"/>
      <w:szCs w:val="24"/>
    </w:rPr>
  </w:style>
  <w:style w:type="paragraph" w:customStyle="1" w:styleId="TableHeading">
    <w:name w:val="Table Heading"/>
    <w:basedOn w:val="Normal"/>
    <w:next w:val="TableText"/>
    <w:autoRedefine/>
    <w:uiPriority w:val="99"/>
    <w:rsid w:val="00836FC5"/>
    <w:pPr>
      <w:keepNext/>
      <w:keepLines/>
      <w:spacing w:before="360" w:line="240" w:lineRule="auto"/>
    </w:pPr>
    <w:rPr>
      <w:b/>
      <w:szCs w:val="20"/>
    </w:rPr>
  </w:style>
  <w:style w:type="paragraph" w:customStyle="1" w:styleId="FigureHeading">
    <w:name w:val="Figure Heading"/>
    <w:basedOn w:val="Normal"/>
    <w:next w:val="Normal"/>
    <w:autoRedefine/>
    <w:uiPriority w:val="99"/>
    <w:qFormat/>
    <w:rsid w:val="00E74A73"/>
    <w:pPr>
      <w:keepNext/>
      <w:keepLines/>
      <w:numPr>
        <w:numId w:val="10"/>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numPr>
        <w:ilvl w:val="0"/>
        <w:numId w:val="0"/>
      </w:numPr>
      <w:spacing w:before="120"/>
      <w:ind w:left="864" w:hanging="864"/>
    </w:pPr>
    <w:rPr>
      <w:rFonts w:ascii="Arial Bold" w:hAnsi="Arial Bold"/>
      <w:lang w:val="en-GB"/>
    </w:rPr>
  </w:style>
  <w:style w:type="paragraph" w:customStyle="1" w:styleId="FinancialsH5">
    <w:name w:val="Financials H5"/>
    <w:basedOn w:val="Heading5"/>
    <w:autoRedefine/>
    <w:uiPriority w:val="1"/>
    <w:semiHidden/>
    <w:rsid w:val="00A00568"/>
    <w:pPr>
      <w:spacing w:before="120"/>
      <w:ind w:left="1008" w:hanging="1008"/>
    </w:pPr>
    <w:rPr>
      <w:bCs/>
      <w:lang w:val="en-GB"/>
    </w:rPr>
  </w:style>
  <w:style w:type="paragraph" w:customStyle="1" w:styleId="FinancialsTableH2">
    <w:name w:val="Financials Table H2"/>
    <w:basedOn w:val="TableText"/>
    <w:autoRedefine/>
    <w:uiPriority w:val="1"/>
    <w:semiHidden/>
    <w:rsid w:val="00660951"/>
    <w:pPr>
      <w:spacing w:before="120" w:after="40"/>
    </w:pPr>
    <w:rPr>
      <w:b/>
      <w:color w:val="008542" w:themeColor="accent2"/>
    </w:rPr>
  </w:style>
  <w:style w:type="paragraph" w:customStyle="1" w:styleId="FinancialsTableText">
    <w:name w:val="Financials Table Text"/>
    <w:basedOn w:val="TableText"/>
    <w:autoRedefine/>
    <w:uiPriority w:val="1"/>
    <w:semiHidden/>
    <w:rsid w:val="00660951"/>
    <w:pPr>
      <w:spacing w:before="40" w:after="40"/>
    </w:pPr>
  </w:style>
  <w:style w:type="paragraph" w:customStyle="1" w:styleId="FinancialsTableTextIndented">
    <w:name w:val="Financials Table Text Indented"/>
    <w:basedOn w:val="TableText"/>
    <w:autoRedefine/>
    <w:uiPriority w:val="1"/>
    <w:semiHidden/>
    <w:rsid w:val="00F3495A"/>
    <w:pPr>
      <w:spacing w:before="40" w:after="40"/>
      <w:ind w:left="170"/>
    </w:pPr>
    <w:rPr>
      <w:i/>
    </w:rPr>
  </w:style>
  <w:style w:type="paragraph" w:customStyle="1" w:styleId="FinancialsTableH1">
    <w:name w:val="Financials Table H1"/>
    <w:basedOn w:val="TableText"/>
    <w:autoRedefine/>
    <w:uiPriority w:val="1"/>
    <w:semiHidden/>
    <w:rsid w:val="007A7D19"/>
    <w:pPr>
      <w:spacing w:before="160" w:after="40"/>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7545A1"/>
    <w:pPr>
      <w:numPr>
        <w:numId w:val="0"/>
      </w:numPr>
      <w:spacing w:after="100"/>
    </w:pPr>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F41C22"/>
    <w:pPr>
      <w:spacing w:before="0" w:after="1320"/>
    </w:pPr>
    <w:rPr>
      <w:b/>
      <w:noProof/>
      <w:color w:val="004200" w:themeColor="accent1"/>
      <w:sz w:val="20"/>
      <w:szCs w:val="16"/>
    </w:rPr>
  </w:style>
  <w:style w:type="paragraph" w:customStyle="1" w:styleId="Versionanddate">
    <w:name w:val="Version and date"/>
    <w:basedOn w:val="Subtitle"/>
    <w:next w:val="Normal"/>
    <w:autoRedefine/>
    <w:uiPriority w:val="1"/>
    <w:qFormat/>
    <w:rsid w:val="00CD509A"/>
    <w:rPr>
      <w:color w:val="008542" w:themeColor="accent2"/>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rsid w:val="00302145"/>
    <w:pPr>
      <w:keepNext/>
      <w:spacing w:before="0" w:after="200" w:line="240" w:lineRule="auto"/>
    </w:pPr>
    <w:rPr>
      <w:b/>
      <w:bCs/>
      <w:color w:val="004200" w:themeColor="accent1"/>
      <w:sz w:val="18"/>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uiPriority w:val="99"/>
    <w:unhideWhenUsed/>
    <w:rsid w:val="00CC2138"/>
    <w:rPr>
      <w:sz w:val="16"/>
      <w:szCs w:val="16"/>
    </w:rPr>
  </w:style>
  <w:style w:type="paragraph" w:styleId="CommentText">
    <w:name w:val="annotation text"/>
    <w:basedOn w:val="Normal"/>
    <w:link w:val="CommentTextChar"/>
    <w:autoRedefine/>
    <w:uiPriority w:val="99"/>
    <w:unhideWhenUsed/>
    <w:rsid w:val="006F4E6E"/>
    <w:pPr>
      <w:spacing w:before="0" w:line="240" w:lineRule="auto"/>
    </w:pPr>
    <w:rPr>
      <w:rFonts w:cs="Arial"/>
      <w:szCs w:val="22"/>
    </w:rPr>
  </w:style>
  <w:style w:type="character" w:customStyle="1" w:styleId="CommentTextChar">
    <w:name w:val="Comment Text Char"/>
    <w:basedOn w:val="DefaultParagraphFont"/>
    <w:link w:val="CommentText"/>
    <w:uiPriority w:val="99"/>
    <w:rsid w:val="006F4E6E"/>
    <w:rPr>
      <w:rFonts w:ascii="Arial" w:hAnsi="Arial" w:cs="Arial"/>
      <w:sz w:val="22"/>
      <w:szCs w:val="22"/>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cs="Arial"/>
      <w:b/>
      <w:bCs/>
      <w:sz w:val="22"/>
      <w:szCs w:val="22"/>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1"/>
      </w:numPr>
      <w:contextualSpacing/>
    </w:pPr>
  </w:style>
  <w:style w:type="paragraph" w:styleId="ListBullet3">
    <w:name w:val="List Bullet 3"/>
    <w:basedOn w:val="Normal"/>
    <w:autoRedefine/>
    <w:uiPriority w:val="3"/>
    <w:semiHidden/>
    <w:unhideWhenUsed/>
    <w:rsid w:val="00465398"/>
    <w:pPr>
      <w:numPr>
        <w:numId w:val="2"/>
      </w:numPr>
      <w:contextualSpacing/>
    </w:pPr>
  </w:style>
  <w:style w:type="paragraph" w:styleId="ListBullet4">
    <w:name w:val="List Bullet 4"/>
    <w:basedOn w:val="Normal"/>
    <w:autoRedefine/>
    <w:uiPriority w:val="3"/>
    <w:semiHidden/>
    <w:unhideWhenUsed/>
    <w:rsid w:val="00465398"/>
    <w:pPr>
      <w:numPr>
        <w:numId w:val="3"/>
      </w:numPr>
      <w:contextualSpacing/>
    </w:pPr>
  </w:style>
  <w:style w:type="paragraph" w:styleId="ListBullet5">
    <w:name w:val="List Bullet 5"/>
    <w:basedOn w:val="Normal"/>
    <w:autoRedefine/>
    <w:uiPriority w:val="3"/>
    <w:semiHidden/>
    <w:unhideWhenUsed/>
    <w:rsid w:val="00465398"/>
    <w:pPr>
      <w:numPr>
        <w:numId w:val="4"/>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rsid w:val="00465398"/>
    <w:pPr>
      <w:numPr>
        <w:numId w:val="5"/>
      </w:numPr>
      <w:contextualSpacing/>
    </w:pPr>
  </w:style>
  <w:style w:type="paragraph" w:styleId="ListNumber2">
    <w:name w:val="List Number 2"/>
    <w:basedOn w:val="Normal"/>
    <w:autoRedefine/>
    <w:uiPriority w:val="3"/>
    <w:semiHidden/>
    <w:unhideWhenUsed/>
    <w:rsid w:val="00465398"/>
    <w:pPr>
      <w:numPr>
        <w:numId w:val="6"/>
      </w:numPr>
      <w:contextualSpacing/>
    </w:pPr>
  </w:style>
  <w:style w:type="paragraph" w:styleId="ListNumber3">
    <w:name w:val="List Number 3"/>
    <w:basedOn w:val="Normal"/>
    <w:autoRedefine/>
    <w:uiPriority w:val="3"/>
    <w:semiHidden/>
    <w:unhideWhenUsed/>
    <w:rsid w:val="00465398"/>
    <w:pPr>
      <w:numPr>
        <w:numId w:val="7"/>
      </w:numPr>
      <w:contextualSpacing/>
    </w:pPr>
  </w:style>
  <w:style w:type="paragraph" w:styleId="ListNumber4">
    <w:name w:val="List Number 4"/>
    <w:basedOn w:val="Normal"/>
    <w:autoRedefine/>
    <w:uiPriority w:val="3"/>
    <w:semiHidden/>
    <w:unhideWhenUsed/>
    <w:rsid w:val="00465398"/>
    <w:pPr>
      <w:numPr>
        <w:numId w:val="8"/>
      </w:numPr>
      <w:contextualSpacing/>
    </w:pPr>
  </w:style>
  <w:style w:type="paragraph" w:styleId="ListNumber5">
    <w:name w:val="List Number 5"/>
    <w:basedOn w:val="Normal"/>
    <w:autoRedefine/>
    <w:uiPriority w:val="3"/>
    <w:semiHidden/>
    <w:unhideWhenUsed/>
    <w:rsid w:val="00465398"/>
    <w:pPr>
      <w:numPr>
        <w:numId w:val="9"/>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unhideWhenUsed/>
    <w:rsid w:val="005031A0"/>
    <w:pPr>
      <w:spacing w:before="0" w:after="200" w:line="276" w:lineRule="auto"/>
    </w:pPr>
    <w:rPr>
      <w:rFonts w:asciiTheme="minorHAnsi" w:eastAsia="Calibri" w:hAnsiTheme="minorHAnsi" w:cstheme="minorHAnsi"/>
      <w:sz w:val="16"/>
      <w:szCs w:val="16"/>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465398"/>
    <w:pPr>
      <w:spacing w:after="100"/>
      <w:ind w:left="440"/>
    </w:pPr>
  </w:style>
  <w:style w:type="paragraph" w:styleId="TOC4">
    <w:name w:val="toc 4"/>
    <w:basedOn w:val="Normal"/>
    <w:next w:val="Normal"/>
    <w:autoRedefine/>
    <w:uiPriority w:val="39"/>
    <w:unhideWhenUsed/>
    <w:rsid w:val="00465398"/>
    <w:pPr>
      <w:spacing w:after="100"/>
      <w:ind w:left="660"/>
    </w:pPr>
  </w:style>
  <w:style w:type="paragraph" w:styleId="TOC5">
    <w:name w:val="toc 5"/>
    <w:basedOn w:val="Normal"/>
    <w:next w:val="Normal"/>
    <w:autoRedefine/>
    <w:uiPriority w:val="39"/>
    <w:unhideWhenUsed/>
    <w:rsid w:val="00465398"/>
    <w:pPr>
      <w:spacing w:after="100"/>
      <w:ind w:left="880"/>
    </w:pPr>
  </w:style>
  <w:style w:type="paragraph" w:styleId="TOC6">
    <w:name w:val="toc 6"/>
    <w:basedOn w:val="Normal"/>
    <w:next w:val="Normal"/>
    <w:autoRedefine/>
    <w:uiPriority w:val="39"/>
    <w:unhideWhenUsed/>
    <w:rsid w:val="00465398"/>
    <w:pPr>
      <w:spacing w:after="100"/>
      <w:ind w:left="1100"/>
    </w:pPr>
  </w:style>
  <w:style w:type="paragraph" w:styleId="TOC7">
    <w:name w:val="toc 7"/>
    <w:basedOn w:val="Normal"/>
    <w:next w:val="Normal"/>
    <w:autoRedefine/>
    <w:uiPriority w:val="39"/>
    <w:unhideWhenUsed/>
    <w:rsid w:val="00465398"/>
    <w:pPr>
      <w:spacing w:after="100"/>
      <w:ind w:left="1320"/>
    </w:pPr>
  </w:style>
  <w:style w:type="paragraph" w:styleId="TOC8">
    <w:name w:val="toc 8"/>
    <w:basedOn w:val="Normal"/>
    <w:next w:val="Normal"/>
    <w:autoRedefine/>
    <w:uiPriority w:val="39"/>
    <w:unhideWhenUsed/>
    <w:rsid w:val="00465398"/>
    <w:pPr>
      <w:spacing w:after="100"/>
      <w:ind w:left="1540"/>
    </w:pPr>
  </w:style>
  <w:style w:type="paragraph" w:styleId="TOC9">
    <w:name w:val="toc 9"/>
    <w:basedOn w:val="Normal"/>
    <w:next w:val="Normal"/>
    <w:autoRedefine/>
    <w:uiPriority w:val="39"/>
    <w:unhideWhenUsed/>
    <w:rsid w:val="00465398"/>
    <w:pPr>
      <w:spacing w:after="100"/>
      <w:ind w:left="1760"/>
    </w:pPr>
  </w:style>
  <w:style w:type="character" w:styleId="Hyperlink">
    <w:name w:val="Hyperlink"/>
    <w:basedOn w:val="DefaultParagraphFont"/>
    <w:uiPriority w:val="99"/>
    <w:unhideWhenUsed/>
    <w:rsid w:val="00562759"/>
    <w:rPr>
      <w:color w:val="000000" w:themeColor="hyperlink"/>
      <w:u w:val="single"/>
    </w:rPr>
  </w:style>
  <w:style w:type="character" w:customStyle="1" w:styleId="TitleChar">
    <w:name w:val="Title Char"/>
    <w:aliases w:val="Title Artwork Char"/>
    <w:basedOn w:val="DefaultParagraphFont"/>
    <w:link w:val="Title"/>
    <w:uiPriority w:val="11"/>
    <w:rsid w:val="008B0FE9"/>
    <w:rPr>
      <w:rFonts w:ascii="Arial Bold" w:hAnsi="Arial Bold" w:cs="Arial"/>
      <w:b/>
      <w:bCs/>
      <w:color w:val="FFFFFF" w:themeColor="background1"/>
      <w:kern w:val="28"/>
      <w:sz w:val="84"/>
      <w:szCs w:val="32"/>
    </w:rPr>
  </w:style>
  <w:style w:type="character" w:customStyle="1" w:styleId="Heading1Char">
    <w:name w:val="Heading 1 Char"/>
    <w:basedOn w:val="DefaultParagraphFont"/>
    <w:link w:val="Heading1"/>
    <w:uiPriority w:val="4"/>
    <w:rsid w:val="00A33F7B"/>
    <w:rPr>
      <w:rFonts w:asciiTheme="majorHAnsi" w:hAnsiTheme="majorHAnsi"/>
      <w:b/>
      <w:sz w:val="64"/>
      <w:szCs w:val="44"/>
    </w:rPr>
  </w:style>
  <w:style w:type="character" w:customStyle="1" w:styleId="ListParagraphChar">
    <w:name w:val="List Paragraph Char"/>
    <w:aliases w:val="Recommendation Char,List Paragraph1 Char,Bullet table Char,Bullet L1 Char"/>
    <w:link w:val="ListParagraph"/>
    <w:uiPriority w:val="34"/>
    <w:locked/>
    <w:rsid w:val="00FE1EA1"/>
    <w:rPr>
      <w:rFonts w:ascii="Arial" w:hAnsi="Arial"/>
      <w:sz w:val="22"/>
      <w:szCs w:val="18"/>
    </w:rPr>
  </w:style>
  <w:style w:type="character" w:customStyle="1" w:styleId="Heading3Char">
    <w:name w:val="Heading 3 Char"/>
    <w:basedOn w:val="DefaultParagraphFont"/>
    <w:link w:val="Heading3"/>
    <w:uiPriority w:val="2"/>
    <w:rsid w:val="00755433"/>
    <w:rPr>
      <w:rFonts w:ascii="Arial" w:hAnsi="Arial"/>
      <w:b/>
      <w:color w:val="004200" w:themeColor="accent1"/>
      <w:sz w:val="24"/>
      <w:szCs w:val="28"/>
    </w:rPr>
  </w:style>
  <w:style w:type="numbering" w:styleId="1ai">
    <w:name w:val="Outline List 1"/>
    <w:basedOn w:val="NoList"/>
    <w:rsid w:val="00550102"/>
    <w:pPr>
      <w:numPr>
        <w:numId w:val="21"/>
      </w:numPr>
    </w:pPr>
  </w:style>
  <w:style w:type="table" w:customStyle="1" w:styleId="TableGrid1">
    <w:name w:val="Table Grid1"/>
    <w:basedOn w:val="TableNormal"/>
    <w:next w:val="TableGrid"/>
    <w:uiPriority w:val="59"/>
    <w:rsid w:val="00550102"/>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8"/>
    <w:rsid w:val="00561E6C"/>
    <w:rPr>
      <w:rFonts w:ascii="Arial" w:hAnsi="Arial"/>
      <w:color w:val="636466" w:themeColor="accent4"/>
      <w:sz w:val="22"/>
      <w:szCs w:val="24"/>
    </w:rPr>
  </w:style>
  <w:style w:type="paragraph" w:customStyle="1" w:styleId="Headingnonumber">
    <w:name w:val="Heading no number"/>
    <w:basedOn w:val="Header"/>
    <w:autoRedefine/>
    <w:rsid w:val="00C073B0"/>
    <w:pPr>
      <w:keepNext/>
      <w:tabs>
        <w:tab w:val="clear" w:pos="10319"/>
      </w:tabs>
      <w:spacing w:before="240" w:after="200"/>
    </w:pPr>
    <w:rPr>
      <w:rFonts w:asciiTheme="minorHAnsi" w:eastAsiaTheme="minorHAnsi" w:hAnsiTheme="minorHAnsi" w:cstheme="minorBidi"/>
      <w:sz w:val="22"/>
      <w:szCs w:val="22"/>
      <w:lang w:eastAsia="en-US"/>
    </w:rPr>
  </w:style>
  <w:style w:type="paragraph" w:customStyle="1" w:styleId="TitlePlain">
    <w:name w:val="Title Plain"/>
    <w:basedOn w:val="Title"/>
    <w:link w:val="TitlePlainChar"/>
    <w:qFormat/>
    <w:rsid w:val="00561E6C"/>
    <w:pPr>
      <w:spacing w:before="6000" w:after="300" w:line="240" w:lineRule="auto"/>
      <w:ind w:right="3095"/>
      <w:outlineLvl w:val="9"/>
    </w:pPr>
    <w:rPr>
      <w:rFonts w:asciiTheme="majorHAnsi" w:eastAsiaTheme="majorEastAsia" w:hAnsiTheme="majorHAnsi" w:cstheme="majorBidi"/>
      <w:b w:val="0"/>
      <w:bCs w:val="0"/>
      <w:color w:val="000000" w:themeColor="text1"/>
      <w:spacing w:val="5"/>
      <w:sz w:val="72"/>
      <w:szCs w:val="72"/>
    </w:rPr>
  </w:style>
  <w:style w:type="character" w:customStyle="1" w:styleId="TitlePlainChar">
    <w:name w:val="Title Plain Char"/>
    <w:basedOn w:val="TitleChar"/>
    <w:link w:val="TitlePlain"/>
    <w:rsid w:val="00561E6C"/>
    <w:rPr>
      <w:rFonts w:asciiTheme="majorHAnsi" w:eastAsiaTheme="majorEastAsia" w:hAnsiTheme="majorHAnsi" w:cstheme="majorBidi"/>
      <w:b w:val="0"/>
      <w:bCs w:val="0"/>
      <w:color w:val="000000" w:themeColor="text1"/>
      <w:spacing w:val="5"/>
      <w:kern w:val="28"/>
      <w:sz w:val="72"/>
      <w:szCs w:val="72"/>
    </w:rPr>
  </w:style>
  <w:style w:type="paragraph" w:styleId="Revision">
    <w:name w:val="Revision"/>
    <w:hidden/>
    <w:uiPriority w:val="99"/>
    <w:semiHidden/>
    <w:rsid w:val="005A1A68"/>
    <w:rPr>
      <w:rFonts w:ascii="Arial" w:hAnsi="Arial"/>
      <w:sz w:val="22"/>
      <w:szCs w:val="24"/>
    </w:rPr>
  </w:style>
  <w:style w:type="paragraph" w:customStyle="1" w:styleId="paragraph">
    <w:name w:val="paragraph"/>
    <w:basedOn w:val="Normal"/>
    <w:rsid w:val="00EB6C6B"/>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EB6C6B"/>
  </w:style>
  <w:style w:type="character" w:customStyle="1" w:styleId="eop">
    <w:name w:val="eop"/>
    <w:basedOn w:val="DefaultParagraphFont"/>
    <w:rsid w:val="00EB6C6B"/>
  </w:style>
  <w:style w:type="character" w:customStyle="1" w:styleId="superscript">
    <w:name w:val="superscript"/>
    <w:basedOn w:val="DefaultParagraphFont"/>
    <w:rsid w:val="00EB6C6B"/>
  </w:style>
  <w:style w:type="paragraph" w:customStyle="1" w:styleId="Default">
    <w:name w:val="Default"/>
    <w:rsid w:val="003F1530"/>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unhideWhenUsed/>
    <w:rsid w:val="009F1E88"/>
    <w:rPr>
      <w:color w:val="605E5C"/>
      <w:shd w:val="clear" w:color="auto" w:fill="E1DFDD"/>
    </w:rPr>
  </w:style>
  <w:style w:type="character" w:customStyle="1" w:styleId="Mention1">
    <w:name w:val="Mention1"/>
    <w:basedOn w:val="DefaultParagraphFont"/>
    <w:uiPriority w:val="99"/>
    <w:unhideWhenUsed/>
    <w:rsid w:val="009F1E88"/>
    <w:rPr>
      <w:color w:val="2B579A"/>
      <w:shd w:val="clear" w:color="auto" w:fill="E1DFDD"/>
    </w:rPr>
  </w:style>
  <w:style w:type="character" w:styleId="Mention">
    <w:name w:val="Mention"/>
    <w:basedOn w:val="DefaultParagraphFont"/>
    <w:uiPriority w:val="99"/>
    <w:unhideWhenUsed/>
    <w:rsid w:val="00DF1DD2"/>
    <w:rPr>
      <w:color w:val="2B579A"/>
      <w:shd w:val="clear" w:color="auto" w:fill="E6E6E6"/>
    </w:rPr>
  </w:style>
  <w:style w:type="character" w:styleId="UnresolvedMention">
    <w:name w:val="Unresolved Mention"/>
    <w:basedOn w:val="DefaultParagraphFont"/>
    <w:uiPriority w:val="99"/>
    <w:unhideWhenUsed/>
    <w:rsid w:val="00AD7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810929">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023165998">
      <w:bodyDiv w:val="1"/>
      <w:marLeft w:val="0"/>
      <w:marRight w:val="0"/>
      <w:marTop w:val="0"/>
      <w:marBottom w:val="0"/>
      <w:divBdr>
        <w:top w:val="none" w:sz="0" w:space="0" w:color="auto"/>
        <w:left w:val="none" w:sz="0" w:space="0" w:color="auto"/>
        <w:bottom w:val="none" w:sz="0" w:space="0" w:color="auto"/>
        <w:right w:val="none" w:sz="0" w:space="0" w:color="auto"/>
      </w:divBdr>
    </w:div>
    <w:div w:id="1264262385">
      <w:bodyDiv w:val="1"/>
      <w:marLeft w:val="0"/>
      <w:marRight w:val="0"/>
      <w:marTop w:val="0"/>
      <w:marBottom w:val="0"/>
      <w:divBdr>
        <w:top w:val="none" w:sz="0" w:space="0" w:color="auto"/>
        <w:left w:val="none" w:sz="0" w:space="0" w:color="auto"/>
        <w:bottom w:val="none" w:sz="0" w:space="0" w:color="auto"/>
        <w:right w:val="none" w:sz="0" w:space="0" w:color="auto"/>
      </w:divBdr>
      <w:divsChild>
        <w:div w:id="30812197">
          <w:marLeft w:val="0"/>
          <w:marRight w:val="0"/>
          <w:marTop w:val="0"/>
          <w:marBottom w:val="0"/>
          <w:divBdr>
            <w:top w:val="none" w:sz="0" w:space="0" w:color="auto"/>
            <w:left w:val="none" w:sz="0" w:space="0" w:color="auto"/>
            <w:bottom w:val="none" w:sz="0" w:space="0" w:color="auto"/>
            <w:right w:val="none" w:sz="0" w:space="0" w:color="auto"/>
          </w:divBdr>
          <w:divsChild>
            <w:div w:id="397366334">
              <w:marLeft w:val="0"/>
              <w:marRight w:val="0"/>
              <w:marTop w:val="0"/>
              <w:marBottom w:val="0"/>
              <w:divBdr>
                <w:top w:val="none" w:sz="0" w:space="0" w:color="auto"/>
                <w:left w:val="none" w:sz="0" w:space="0" w:color="auto"/>
                <w:bottom w:val="none" w:sz="0" w:space="0" w:color="auto"/>
                <w:right w:val="none" w:sz="0" w:space="0" w:color="auto"/>
              </w:divBdr>
            </w:div>
          </w:divsChild>
        </w:div>
        <w:div w:id="125706033">
          <w:marLeft w:val="0"/>
          <w:marRight w:val="0"/>
          <w:marTop w:val="0"/>
          <w:marBottom w:val="0"/>
          <w:divBdr>
            <w:top w:val="none" w:sz="0" w:space="0" w:color="auto"/>
            <w:left w:val="none" w:sz="0" w:space="0" w:color="auto"/>
            <w:bottom w:val="none" w:sz="0" w:space="0" w:color="auto"/>
            <w:right w:val="none" w:sz="0" w:space="0" w:color="auto"/>
          </w:divBdr>
          <w:divsChild>
            <w:div w:id="337998489">
              <w:marLeft w:val="0"/>
              <w:marRight w:val="0"/>
              <w:marTop w:val="0"/>
              <w:marBottom w:val="0"/>
              <w:divBdr>
                <w:top w:val="none" w:sz="0" w:space="0" w:color="auto"/>
                <w:left w:val="none" w:sz="0" w:space="0" w:color="auto"/>
                <w:bottom w:val="none" w:sz="0" w:space="0" w:color="auto"/>
                <w:right w:val="none" w:sz="0" w:space="0" w:color="auto"/>
              </w:divBdr>
            </w:div>
          </w:divsChild>
        </w:div>
        <w:div w:id="346520002">
          <w:marLeft w:val="0"/>
          <w:marRight w:val="0"/>
          <w:marTop w:val="0"/>
          <w:marBottom w:val="0"/>
          <w:divBdr>
            <w:top w:val="none" w:sz="0" w:space="0" w:color="auto"/>
            <w:left w:val="none" w:sz="0" w:space="0" w:color="auto"/>
            <w:bottom w:val="none" w:sz="0" w:space="0" w:color="auto"/>
            <w:right w:val="none" w:sz="0" w:space="0" w:color="auto"/>
          </w:divBdr>
          <w:divsChild>
            <w:div w:id="1857846812">
              <w:marLeft w:val="0"/>
              <w:marRight w:val="0"/>
              <w:marTop w:val="0"/>
              <w:marBottom w:val="0"/>
              <w:divBdr>
                <w:top w:val="none" w:sz="0" w:space="0" w:color="auto"/>
                <w:left w:val="none" w:sz="0" w:space="0" w:color="auto"/>
                <w:bottom w:val="none" w:sz="0" w:space="0" w:color="auto"/>
                <w:right w:val="none" w:sz="0" w:space="0" w:color="auto"/>
              </w:divBdr>
            </w:div>
          </w:divsChild>
        </w:div>
        <w:div w:id="484056038">
          <w:marLeft w:val="0"/>
          <w:marRight w:val="0"/>
          <w:marTop w:val="0"/>
          <w:marBottom w:val="0"/>
          <w:divBdr>
            <w:top w:val="none" w:sz="0" w:space="0" w:color="auto"/>
            <w:left w:val="none" w:sz="0" w:space="0" w:color="auto"/>
            <w:bottom w:val="none" w:sz="0" w:space="0" w:color="auto"/>
            <w:right w:val="none" w:sz="0" w:space="0" w:color="auto"/>
          </w:divBdr>
          <w:divsChild>
            <w:div w:id="1403601115">
              <w:marLeft w:val="0"/>
              <w:marRight w:val="0"/>
              <w:marTop w:val="0"/>
              <w:marBottom w:val="0"/>
              <w:divBdr>
                <w:top w:val="none" w:sz="0" w:space="0" w:color="auto"/>
                <w:left w:val="none" w:sz="0" w:space="0" w:color="auto"/>
                <w:bottom w:val="none" w:sz="0" w:space="0" w:color="auto"/>
                <w:right w:val="none" w:sz="0" w:space="0" w:color="auto"/>
              </w:divBdr>
            </w:div>
          </w:divsChild>
        </w:div>
        <w:div w:id="576137254">
          <w:marLeft w:val="0"/>
          <w:marRight w:val="0"/>
          <w:marTop w:val="0"/>
          <w:marBottom w:val="0"/>
          <w:divBdr>
            <w:top w:val="none" w:sz="0" w:space="0" w:color="auto"/>
            <w:left w:val="none" w:sz="0" w:space="0" w:color="auto"/>
            <w:bottom w:val="none" w:sz="0" w:space="0" w:color="auto"/>
            <w:right w:val="none" w:sz="0" w:space="0" w:color="auto"/>
          </w:divBdr>
          <w:divsChild>
            <w:div w:id="1495296498">
              <w:marLeft w:val="0"/>
              <w:marRight w:val="0"/>
              <w:marTop w:val="0"/>
              <w:marBottom w:val="0"/>
              <w:divBdr>
                <w:top w:val="none" w:sz="0" w:space="0" w:color="auto"/>
                <w:left w:val="none" w:sz="0" w:space="0" w:color="auto"/>
                <w:bottom w:val="none" w:sz="0" w:space="0" w:color="auto"/>
                <w:right w:val="none" w:sz="0" w:space="0" w:color="auto"/>
              </w:divBdr>
            </w:div>
          </w:divsChild>
        </w:div>
        <w:div w:id="581717890">
          <w:marLeft w:val="0"/>
          <w:marRight w:val="0"/>
          <w:marTop w:val="0"/>
          <w:marBottom w:val="0"/>
          <w:divBdr>
            <w:top w:val="none" w:sz="0" w:space="0" w:color="auto"/>
            <w:left w:val="none" w:sz="0" w:space="0" w:color="auto"/>
            <w:bottom w:val="none" w:sz="0" w:space="0" w:color="auto"/>
            <w:right w:val="none" w:sz="0" w:space="0" w:color="auto"/>
          </w:divBdr>
          <w:divsChild>
            <w:div w:id="1657416861">
              <w:marLeft w:val="0"/>
              <w:marRight w:val="0"/>
              <w:marTop w:val="0"/>
              <w:marBottom w:val="0"/>
              <w:divBdr>
                <w:top w:val="none" w:sz="0" w:space="0" w:color="auto"/>
                <w:left w:val="none" w:sz="0" w:space="0" w:color="auto"/>
                <w:bottom w:val="none" w:sz="0" w:space="0" w:color="auto"/>
                <w:right w:val="none" w:sz="0" w:space="0" w:color="auto"/>
              </w:divBdr>
            </w:div>
          </w:divsChild>
        </w:div>
        <w:div w:id="1085106210">
          <w:marLeft w:val="0"/>
          <w:marRight w:val="0"/>
          <w:marTop w:val="0"/>
          <w:marBottom w:val="0"/>
          <w:divBdr>
            <w:top w:val="none" w:sz="0" w:space="0" w:color="auto"/>
            <w:left w:val="none" w:sz="0" w:space="0" w:color="auto"/>
            <w:bottom w:val="none" w:sz="0" w:space="0" w:color="auto"/>
            <w:right w:val="none" w:sz="0" w:space="0" w:color="auto"/>
          </w:divBdr>
          <w:divsChild>
            <w:div w:id="435952627">
              <w:marLeft w:val="0"/>
              <w:marRight w:val="0"/>
              <w:marTop w:val="0"/>
              <w:marBottom w:val="0"/>
              <w:divBdr>
                <w:top w:val="none" w:sz="0" w:space="0" w:color="auto"/>
                <w:left w:val="none" w:sz="0" w:space="0" w:color="auto"/>
                <w:bottom w:val="none" w:sz="0" w:space="0" w:color="auto"/>
                <w:right w:val="none" w:sz="0" w:space="0" w:color="auto"/>
              </w:divBdr>
            </w:div>
          </w:divsChild>
        </w:div>
        <w:div w:id="1169442657">
          <w:marLeft w:val="0"/>
          <w:marRight w:val="0"/>
          <w:marTop w:val="0"/>
          <w:marBottom w:val="0"/>
          <w:divBdr>
            <w:top w:val="none" w:sz="0" w:space="0" w:color="auto"/>
            <w:left w:val="none" w:sz="0" w:space="0" w:color="auto"/>
            <w:bottom w:val="none" w:sz="0" w:space="0" w:color="auto"/>
            <w:right w:val="none" w:sz="0" w:space="0" w:color="auto"/>
          </w:divBdr>
          <w:divsChild>
            <w:div w:id="651329006">
              <w:marLeft w:val="0"/>
              <w:marRight w:val="0"/>
              <w:marTop w:val="0"/>
              <w:marBottom w:val="0"/>
              <w:divBdr>
                <w:top w:val="none" w:sz="0" w:space="0" w:color="auto"/>
                <w:left w:val="none" w:sz="0" w:space="0" w:color="auto"/>
                <w:bottom w:val="none" w:sz="0" w:space="0" w:color="auto"/>
                <w:right w:val="none" w:sz="0" w:space="0" w:color="auto"/>
              </w:divBdr>
            </w:div>
          </w:divsChild>
        </w:div>
        <w:div w:id="1415125638">
          <w:marLeft w:val="0"/>
          <w:marRight w:val="0"/>
          <w:marTop w:val="0"/>
          <w:marBottom w:val="0"/>
          <w:divBdr>
            <w:top w:val="none" w:sz="0" w:space="0" w:color="auto"/>
            <w:left w:val="none" w:sz="0" w:space="0" w:color="auto"/>
            <w:bottom w:val="none" w:sz="0" w:space="0" w:color="auto"/>
            <w:right w:val="none" w:sz="0" w:space="0" w:color="auto"/>
          </w:divBdr>
          <w:divsChild>
            <w:div w:id="258418563">
              <w:marLeft w:val="0"/>
              <w:marRight w:val="0"/>
              <w:marTop w:val="0"/>
              <w:marBottom w:val="0"/>
              <w:divBdr>
                <w:top w:val="none" w:sz="0" w:space="0" w:color="auto"/>
                <w:left w:val="none" w:sz="0" w:space="0" w:color="auto"/>
                <w:bottom w:val="none" w:sz="0" w:space="0" w:color="auto"/>
                <w:right w:val="none" w:sz="0" w:space="0" w:color="auto"/>
              </w:divBdr>
            </w:div>
          </w:divsChild>
        </w:div>
        <w:div w:id="1434595579">
          <w:marLeft w:val="0"/>
          <w:marRight w:val="0"/>
          <w:marTop w:val="0"/>
          <w:marBottom w:val="0"/>
          <w:divBdr>
            <w:top w:val="none" w:sz="0" w:space="0" w:color="auto"/>
            <w:left w:val="none" w:sz="0" w:space="0" w:color="auto"/>
            <w:bottom w:val="none" w:sz="0" w:space="0" w:color="auto"/>
            <w:right w:val="none" w:sz="0" w:space="0" w:color="auto"/>
          </w:divBdr>
          <w:divsChild>
            <w:div w:id="842161868">
              <w:marLeft w:val="0"/>
              <w:marRight w:val="0"/>
              <w:marTop w:val="0"/>
              <w:marBottom w:val="0"/>
              <w:divBdr>
                <w:top w:val="none" w:sz="0" w:space="0" w:color="auto"/>
                <w:left w:val="none" w:sz="0" w:space="0" w:color="auto"/>
                <w:bottom w:val="none" w:sz="0" w:space="0" w:color="auto"/>
                <w:right w:val="none" w:sz="0" w:space="0" w:color="auto"/>
              </w:divBdr>
            </w:div>
          </w:divsChild>
        </w:div>
        <w:div w:id="1447038124">
          <w:marLeft w:val="0"/>
          <w:marRight w:val="0"/>
          <w:marTop w:val="0"/>
          <w:marBottom w:val="0"/>
          <w:divBdr>
            <w:top w:val="none" w:sz="0" w:space="0" w:color="auto"/>
            <w:left w:val="none" w:sz="0" w:space="0" w:color="auto"/>
            <w:bottom w:val="none" w:sz="0" w:space="0" w:color="auto"/>
            <w:right w:val="none" w:sz="0" w:space="0" w:color="auto"/>
          </w:divBdr>
          <w:divsChild>
            <w:div w:id="1604729836">
              <w:marLeft w:val="0"/>
              <w:marRight w:val="0"/>
              <w:marTop w:val="0"/>
              <w:marBottom w:val="0"/>
              <w:divBdr>
                <w:top w:val="none" w:sz="0" w:space="0" w:color="auto"/>
                <w:left w:val="none" w:sz="0" w:space="0" w:color="auto"/>
                <w:bottom w:val="none" w:sz="0" w:space="0" w:color="auto"/>
                <w:right w:val="none" w:sz="0" w:space="0" w:color="auto"/>
              </w:divBdr>
            </w:div>
          </w:divsChild>
        </w:div>
        <w:div w:id="1474446223">
          <w:marLeft w:val="0"/>
          <w:marRight w:val="0"/>
          <w:marTop w:val="0"/>
          <w:marBottom w:val="0"/>
          <w:divBdr>
            <w:top w:val="none" w:sz="0" w:space="0" w:color="auto"/>
            <w:left w:val="none" w:sz="0" w:space="0" w:color="auto"/>
            <w:bottom w:val="none" w:sz="0" w:space="0" w:color="auto"/>
            <w:right w:val="none" w:sz="0" w:space="0" w:color="auto"/>
          </w:divBdr>
          <w:divsChild>
            <w:div w:id="1022243963">
              <w:marLeft w:val="0"/>
              <w:marRight w:val="0"/>
              <w:marTop w:val="0"/>
              <w:marBottom w:val="0"/>
              <w:divBdr>
                <w:top w:val="none" w:sz="0" w:space="0" w:color="auto"/>
                <w:left w:val="none" w:sz="0" w:space="0" w:color="auto"/>
                <w:bottom w:val="none" w:sz="0" w:space="0" w:color="auto"/>
                <w:right w:val="none" w:sz="0" w:space="0" w:color="auto"/>
              </w:divBdr>
            </w:div>
          </w:divsChild>
        </w:div>
        <w:div w:id="1509104063">
          <w:marLeft w:val="0"/>
          <w:marRight w:val="0"/>
          <w:marTop w:val="0"/>
          <w:marBottom w:val="0"/>
          <w:divBdr>
            <w:top w:val="none" w:sz="0" w:space="0" w:color="auto"/>
            <w:left w:val="none" w:sz="0" w:space="0" w:color="auto"/>
            <w:bottom w:val="none" w:sz="0" w:space="0" w:color="auto"/>
            <w:right w:val="none" w:sz="0" w:space="0" w:color="auto"/>
          </w:divBdr>
          <w:divsChild>
            <w:div w:id="1771924073">
              <w:marLeft w:val="0"/>
              <w:marRight w:val="0"/>
              <w:marTop w:val="0"/>
              <w:marBottom w:val="0"/>
              <w:divBdr>
                <w:top w:val="none" w:sz="0" w:space="0" w:color="auto"/>
                <w:left w:val="none" w:sz="0" w:space="0" w:color="auto"/>
                <w:bottom w:val="none" w:sz="0" w:space="0" w:color="auto"/>
                <w:right w:val="none" w:sz="0" w:space="0" w:color="auto"/>
              </w:divBdr>
            </w:div>
          </w:divsChild>
        </w:div>
        <w:div w:id="1721785046">
          <w:marLeft w:val="0"/>
          <w:marRight w:val="0"/>
          <w:marTop w:val="0"/>
          <w:marBottom w:val="0"/>
          <w:divBdr>
            <w:top w:val="none" w:sz="0" w:space="0" w:color="auto"/>
            <w:left w:val="none" w:sz="0" w:space="0" w:color="auto"/>
            <w:bottom w:val="none" w:sz="0" w:space="0" w:color="auto"/>
            <w:right w:val="none" w:sz="0" w:space="0" w:color="auto"/>
          </w:divBdr>
          <w:divsChild>
            <w:div w:id="4187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645817421">
      <w:bodyDiv w:val="1"/>
      <w:marLeft w:val="0"/>
      <w:marRight w:val="0"/>
      <w:marTop w:val="0"/>
      <w:marBottom w:val="0"/>
      <w:divBdr>
        <w:top w:val="none" w:sz="0" w:space="0" w:color="auto"/>
        <w:left w:val="none" w:sz="0" w:space="0" w:color="auto"/>
        <w:bottom w:val="none" w:sz="0" w:space="0" w:color="auto"/>
        <w:right w:val="none" w:sz="0" w:space="0" w:color="auto"/>
      </w:divBdr>
      <w:divsChild>
        <w:div w:id="234169456">
          <w:marLeft w:val="0"/>
          <w:marRight w:val="0"/>
          <w:marTop w:val="0"/>
          <w:marBottom w:val="0"/>
          <w:divBdr>
            <w:top w:val="none" w:sz="0" w:space="0" w:color="auto"/>
            <w:left w:val="none" w:sz="0" w:space="0" w:color="auto"/>
            <w:bottom w:val="none" w:sz="0" w:space="0" w:color="auto"/>
            <w:right w:val="none" w:sz="0" w:space="0" w:color="auto"/>
          </w:divBdr>
          <w:divsChild>
            <w:div w:id="1953971355">
              <w:marLeft w:val="-75"/>
              <w:marRight w:val="0"/>
              <w:marTop w:val="30"/>
              <w:marBottom w:val="30"/>
              <w:divBdr>
                <w:top w:val="none" w:sz="0" w:space="0" w:color="auto"/>
                <w:left w:val="none" w:sz="0" w:space="0" w:color="auto"/>
                <w:bottom w:val="none" w:sz="0" w:space="0" w:color="auto"/>
                <w:right w:val="none" w:sz="0" w:space="0" w:color="auto"/>
              </w:divBdr>
              <w:divsChild>
                <w:div w:id="76832180">
                  <w:marLeft w:val="0"/>
                  <w:marRight w:val="0"/>
                  <w:marTop w:val="0"/>
                  <w:marBottom w:val="0"/>
                  <w:divBdr>
                    <w:top w:val="none" w:sz="0" w:space="0" w:color="auto"/>
                    <w:left w:val="none" w:sz="0" w:space="0" w:color="auto"/>
                    <w:bottom w:val="none" w:sz="0" w:space="0" w:color="auto"/>
                    <w:right w:val="none" w:sz="0" w:space="0" w:color="auto"/>
                  </w:divBdr>
                  <w:divsChild>
                    <w:div w:id="228268514">
                      <w:marLeft w:val="0"/>
                      <w:marRight w:val="0"/>
                      <w:marTop w:val="0"/>
                      <w:marBottom w:val="0"/>
                      <w:divBdr>
                        <w:top w:val="none" w:sz="0" w:space="0" w:color="auto"/>
                        <w:left w:val="none" w:sz="0" w:space="0" w:color="auto"/>
                        <w:bottom w:val="none" w:sz="0" w:space="0" w:color="auto"/>
                        <w:right w:val="none" w:sz="0" w:space="0" w:color="auto"/>
                      </w:divBdr>
                    </w:div>
                  </w:divsChild>
                </w:div>
                <w:div w:id="380448323">
                  <w:marLeft w:val="0"/>
                  <w:marRight w:val="0"/>
                  <w:marTop w:val="0"/>
                  <w:marBottom w:val="0"/>
                  <w:divBdr>
                    <w:top w:val="none" w:sz="0" w:space="0" w:color="auto"/>
                    <w:left w:val="none" w:sz="0" w:space="0" w:color="auto"/>
                    <w:bottom w:val="none" w:sz="0" w:space="0" w:color="auto"/>
                    <w:right w:val="none" w:sz="0" w:space="0" w:color="auto"/>
                  </w:divBdr>
                  <w:divsChild>
                    <w:div w:id="983854118">
                      <w:marLeft w:val="0"/>
                      <w:marRight w:val="0"/>
                      <w:marTop w:val="0"/>
                      <w:marBottom w:val="0"/>
                      <w:divBdr>
                        <w:top w:val="none" w:sz="0" w:space="0" w:color="auto"/>
                        <w:left w:val="none" w:sz="0" w:space="0" w:color="auto"/>
                        <w:bottom w:val="none" w:sz="0" w:space="0" w:color="auto"/>
                        <w:right w:val="none" w:sz="0" w:space="0" w:color="auto"/>
                      </w:divBdr>
                    </w:div>
                  </w:divsChild>
                </w:div>
                <w:div w:id="511921970">
                  <w:marLeft w:val="0"/>
                  <w:marRight w:val="0"/>
                  <w:marTop w:val="0"/>
                  <w:marBottom w:val="0"/>
                  <w:divBdr>
                    <w:top w:val="none" w:sz="0" w:space="0" w:color="auto"/>
                    <w:left w:val="none" w:sz="0" w:space="0" w:color="auto"/>
                    <w:bottom w:val="none" w:sz="0" w:space="0" w:color="auto"/>
                    <w:right w:val="none" w:sz="0" w:space="0" w:color="auto"/>
                  </w:divBdr>
                  <w:divsChild>
                    <w:div w:id="1356735618">
                      <w:marLeft w:val="0"/>
                      <w:marRight w:val="0"/>
                      <w:marTop w:val="0"/>
                      <w:marBottom w:val="0"/>
                      <w:divBdr>
                        <w:top w:val="none" w:sz="0" w:space="0" w:color="auto"/>
                        <w:left w:val="none" w:sz="0" w:space="0" w:color="auto"/>
                        <w:bottom w:val="none" w:sz="0" w:space="0" w:color="auto"/>
                        <w:right w:val="none" w:sz="0" w:space="0" w:color="auto"/>
                      </w:divBdr>
                    </w:div>
                  </w:divsChild>
                </w:div>
                <w:div w:id="514734545">
                  <w:marLeft w:val="0"/>
                  <w:marRight w:val="0"/>
                  <w:marTop w:val="0"/>
                  <w:marBottom w:val="0"/>
                  <w:divBdr>
                    <w:top w:val="none" w:sz="0" w:space="0" w:color="auto"/>
                    <w:left w:val="none" w:sz="0" w:space="0" w:color="auto"/>
                    <w:bottom w:val="none" w:sz="0" w:space="0" w:color="auto"/>
                    <w:right w:val="none" w:sz="0" w:space="0" w:color="auto"/>
                  </w:divBdr>
                  <w:divsChild>
                    <w:div w:id="1073505905">
                      <w:marLeft w:val="0"/>
                      <w:marRight w:val="0"/>
                      <w:marTop w:val="0"/>
                      <w:marBottom w:val="0"/>
                      <w:divBdr>
                        <w:top w:val="none" w:sz="0" w:space="0" w:color="auto"/>
                        <w:left w:val="none" w:sz="0" w:space="0" w:color="auto"/>
                        <w:bottom w:val="none" w:sz="0" w:space="0" w:color="auto"/>
                        <w:right w:val="none" w:sz="0" w:space="0" w:color="auto"/>
                      </w:divBdr>
                    </w:div>
                  </w:divsChild>
                </w:div>
                <w:div w:id="829254128">
                  <w:marLeft w:val="0"/>
                  <w:marRight w:val="0"/>
                  <w:marTop w:val="0"/>
                  <w:marBottom w:val="0"/>
                  <w:divBdr>
                    <w:top w:val="none" w:sz="0" w:space="0" w:color="auto"/>
                    <w:left w:val="none" w:sz="0" w:space="0" w:color="auto"/>
                    <w:bottom w:val="none" w:sz="0" w:space="0" w:color="auto"/>
                    <w:right w:val="none" w:sz="0" w:space="0" w:color="auto"/>
                  </w:divBdr>
                  <w:divsChild>
                    <w:div w:id="2115326563">
                      <w:marLeft w:val="0"/>
                      <w:marRight w:val="0"/>
                      <w:marTop w:val="0"/>
                      <w:marBottom w:val="0"/>
                      <w:divBdr>
                        <w:top w:val="none" w:sz="0" w:space="0" w:color="auto"/>
                        <w:left w:val="none" w:sz="0" w:space="0" w:color="auto"/>
                        <w:bottom w:val="none" w:sz="0" w:space="0" w:color="auto"/>
                        <w:right w:val="none" w:sz="0" w:space="0" w:color="auto"/>
                      </w:divBdr>
                    </w:div>
                  </w:divsChild>
                </w:div>
                <w:div w:id="1251232576">
                  <w:marLeft w:val="0"/>
                  <w:marRight w:val="0"/>
                  <w:marTop w:val="0"/>
                  <w:marBottom w:val="0"/>
                  <w:divBdr>
                    <w:top w:val="none" w:sz="0" w:space="0" w:color="auto"/>
                    <w:left w:val="none" w:sz="0" w:space="0" w:color="auto"/>
                    <w:bottom w:val="none" w:sz="0" w:space="0" w:color="auto"/>
                    <w:right w:val="none" w:sz="0" w:space="0" w:color="auto"/>
                  </w:divBdr>
                  <w:divsChild>
                    <w:div w:id="515313634">
                      <w:marLeft w:val="0"/>
                      <w:marRight w:val="0"/>
                      <w:marTop w:val="0"/>
                      <w:marBottom w:val="0"/>
                      <w:divBdr>
                        <w:top w:val="none" w:sz="0" w:space="0" w:color="auto"/>
                        <w:left w:val="none" w:sz="0" w:space="0" w:color="auto"/>
                        <w:bottom w:val="none" w:sz="0" w:space="0" w:color="auto"/>
                        <w:right w:val="none" w:sz="0" w:space="0" w:color="auto"/>
                      </w:divBdr>
                    </w:div>
                  </w:divsChild>
                </w:div>
                <w:div w:id="1568300506">
                  <w:marLeft w:val="0"/>
                  <w:marRight w:val="0"/>
                  <w:marTop w:val="0"/>
                  <w:marBottom w:val="0"/>
                  <w:divBdr>
                    <w:top w:val="none" w:sz="0" w:space="0" w:color="auto"/>
                    <w:left w:val="none" w:sz="0" w:space="0" w:color="auto"/>
                    <w:bottom w:val="none" w:sz="0" w:space="0" w:color="auto"/>
                    <w:right w:val="none" w:sz="0" w:space="0" w:color="auto"/>
                  </w:divBdr>
                  <w:divsChild>
                    <w:div w:id="712997062">
                      <w:marLeft w:val="0"/>
                      <w:marRight w:val="0"/>
                      <w:marTop w:val="0"/>
                      <w:marBottom w:val="0"/>
                      <w:divBdr>
                        <w:top w:val="none" w:sz="0" w:space="0" w:color="auto"/>
                        <w:left w:val="none" w:sz="0" w:space="0" w:color="auto"/>
                        <w:bottom w:val="none" w:sz="0" w:space="0" w:color="auto"/>
                        <w:right w:val="none" w:sz="0" w:space="0" w:color="auto"/>
                      </w:divBdr>
                    </w:div>
                  </w:divsChild>
                </w:div>
                <w:div w:id="1636988820">
                  <w:marLeft w:val="0"/>
                  <w:marRight w:val="0"/>
                  <w:marTop w:val="0"/>
                  <w:marBottom w:val="0"/>
                  <w:divBdr>
                    <w:top w:val="none" w:sz="0" w:space="0" w:color="auto"/>
                    <w:left w:val="none" w:sz="0" w:space="0" w:color="auto"/>
                    <w:bottom w:val="none" w:sz="0" w:space="0" w:color="auto"/>
                    <w:right w:val="none" w:sz="0" w:space="0" w:color="auto"/>
                  </w:divBdr>
                  <w:divsChild>
                    <w:div w:id="197671883">
                      <w:marLeft w:val="0"/>
                      <w:marRight w:val="0"/>
                      <w:marTop w:val="0"/>
                      <w:marBottom w:val="0"/>
                      <w:divBdr>
                        <w:top w:val="none" w:sz="0" w:space="0" w:color="auto"/>
                        <w:left w:val="none" w:sz="0" w:space="0" w:color="auto"/>
                        <w:bottom w:val="none" w:sz="0" w:space="0" w:color="auto"/>
                        <w:right w:val="none" w:sz="0" w:space="0" w:color="auto"/>
                      </w:divBdr>
                    </w:div>
                  </w:divsChild>
                </w:div>
                <w:div w:id="1765027670">
                  <w:marLeft w:val="0"/>
                  <w:marRight w:val="0"/>
                  <w:marTop w:val="0"/>
                  <w:marBottom w:val="0"/>
                  <w:divBdr>
                    <w:top w:val="none" w:sz="0" w:space="0" w:color="auto"/>
                    <w:left w:val="none" w:sz="0" w:space="0" w:color="auto"/>
                    <w:bottom w:val="none" w:sz="0" w:space="0" w:color="auto"/>
                    <w:right w:val="none" w:sz="0" w:space="0" w:color="auto"/>
                  </w:divBdr>
                  <w:divsChild>
                    <w:div w:id="1209100288">
                      <w:marLeft w:val="0"/>
                      <w:marRight w:val="0"/>
                      <w:marTop w:val="0"/>
                      <w:marBottom w:val="0"/>
                      <w:divBdr>
                        <w:top w:val="none" w:sz="0" w:space="0" w:color="auto"/>
                        <w:left w:val="none" w:sz="0" w:space="0" w:color="auto"/>
                        <w:bottom w:val="none" w:sz="0" w:space="0" w:color="auto"/>
                        <w:right w:val="none" w:sz="0" w:space="0" w:color="auto"/>
                      </w:divBdr>
                    </w:div>
                  </w:divsChild>
                </w:div>
                <w:div w:id="1806776945">
                  <w:marLeft w:val="0"/>
                  <w:marRight w:val="0"/>
                  <w:marTop w:val="0"/>
                  <w:marBottom w:val="0"/>
                  <w:divBdr>
                    <w:top w:val="none" w:sz="0" w:space="0" w:color="auto"/>
                    <w:left w:val="none" w:sz="0" w:space="0" w:color="auto"/>
                    <w:bottom w:val="none" w:sz="0" w:space="0" w:color="auto"/>
                    <w:right w:val="none" w:sz="0" w:space="0" w:color="auto"/>
                  </w:divBdr>
                  <w:divsChild>
                    <w:div w:id="429469555">
                      <w:marLeft w:val="0"/>
                      <w:marRight w:val="0"/>
                      <w:marTop w:val="0"/>
                      <w:marBottom w:val="0"/>
                      <w:divBdr>
                        <w:top w:val="none" w:sz="0" w:space="0" w:color="auto"/>
                        <w:left w:val="none" w:sz="0" w:space="0" w:color="auto"/>
                        <w:bottom w:val="none" w:sz="0" w:space="0" w:color="auto"/>
                        <w:right w:val="none" w:sz="0" w:space="0" w:color="auto"/>
                      </w:divBdr>
                    </w:div>
                  </w:divsChild>
                </w:div>
                <w:div w:id="1815752780">
                  <w:marLeft w:val="0"/>
                  <w:marRight w:val="0"/>
                  <w:marTop w:val="0"/>
                  <w:marBottom w:val="0"/>
                  <w:divBdr>
                    <w:top w:val="none" w:sz="0" w:space="0" w:color="auto"/>
                    <w:left w:val="none" w:sz="0" w:space="0" w:color="auto"/>
                    <w:bottom w:val="none" w:sz="0" w:space="0" w:color="auto"/>
                    <w:right w:val="none" w:sz="0" w:space="0" w:color="auto"/>
                  </w:divBdr>
                  <w:divsChild>
                    <w:div w:id="2000575470">
                      <w:marLeft w:val="0"/>
                      <w:marRight w:val="0"/>
                      <w:marTop w:val="0"/>
                      <w:marBottom w:val="0"/>
                      <w:divBdr>
                        <w:top w:val="none" w:sz="0" w:space="0" w:color="auto"/>
                        <w:left w:val="none" w:sz="0" w:space="0" w:color="auto"/>
                        <w:bottom w:val="none" w:sz="0" w:space="0" w:color="auto"/>
                        <w:right w:val="none" w:sz="0" w:space="0" w:color="auto"/>
                      </w:divBdr>
                    </w:div>
                  </w:divsChild>
                </w:div>
                <w:div w:id="2064672629">
                  <w:marLeft w:val="0"/>
                  <w:marRight w:val="0"/>
                  <w:marTop w:val="0"/>
                  <w:marBottom w:val="0"/>
                  <w:divBdr>
                    <w:top w:val="none" w:sz="0" w:space="0" w:color="auto"/>
                    <w:left w:val="none" w:sz="0" w:space="0" w:color="auto"/>
                    <w:bottom w:val="none" w:sz="0" w:space="0" w:color="auto"/>
                    <w:right w:val="none" w:sz="0" w:space="0" w:color="auto"/>
                  </w:divBdr>
                  <w:divsChild>
                    <w:div w:id="17199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1627">
          <w:marLeft w:val="0"/>
          <w:marRight w:val="0"/>
          <w:marTop w:val="0"/>
          <w:marBottom w:val="0"/>
          <w:divBdr>
            <w:top w:val="none" w:sz="0" w:space="0" w:color="auto"/>
            <w:left w:val="none" w:sz="0" w:space="0" w:color="auto"/>
            <w:bottom w:val="none" w:sz="0" w:space="0" w:color="auto"/>
            <w:right w:val="none" w:sz="0" w:space="0" w:color="auto"/>
          </w:divBdr>
        </w:div>
      </w:divsChild>
    </w:div>
    <w:div w:id="1785684518">
      <w:bodyDiv w:val="1"/>
      <w:marLeft w:val="0"/>
      <w:marRight w:val="0"/>
      <w:marTop w:val="0"/>
      <w:marBottom w:val="0"/>
      <w:divBdr>
        <w:top w:val="none" w:sz="0" w:space="0" w:color="auto"/>
        <w:left w:val="none" w:sz="0" w:space="0" w:color="auto"/>
        <w:bottom w:val="none" w:sz="0" w:space="0" w:color="auto"/>
        <w:right w:val="none" w:sz="0" w:space="0" w:color="auto"/>
      </w:divBdr>
      <w:divsChild>
        <w:div w:id="10228515">
          <w:marLeft w:val="0"/>
          <w:marRight w:val="0"/>
          <w:marTop w:val="0"/>
          <w:marBottom w:val="0"/>
          <w:divBdr>
            <w:top w:val="none" w:sz="0" w:space="0" w:color="auto"/>
            <w:left w:val="none" w:sz="0" w:space="0" w:color="auto"/>
            <w:bottom w:val="none" w:sz="0" w:space="0" w:color="auto"/>
            <w:right w:val="none" w:sz="0" w:space="0" w:color="auto"/>
          </w:divBdr>
          <w:divsChild>
            <w:div w:id="1079130636">
              <w:marLeft w:val="0"/>
              <w:marRight w:val="0"/>
              <w:marTop w:val="0"/>
              <w:marBottom w:val="0"/>
              <w:divBdr>
                <w:top w:val="none" w:sz="0" w:space="0" w:color="auto"/>
                <w:left w:val="none" w:sz="0" w:space="0" w:color="auto"/>
                <w:bottom w:val="none" w:sz="0" w:space="0" w:color="auto"/>
                <w:right w:val="none" w:sz="0" w:space="0" w:color="auto"/>
              </w:divBdr>
            </w:div>
          </w:divsChild>
        </w:div>
        <w:div w:id="50734478">
          <w:marLeft w:val="0"/>
          <w:marRight w:val="0"/>
          <w:marTop w:val="0"/>
          <w:marBottom w:val="0"/>
          <w:divBdr>
            <w:top w:val="none" w:sz="0" w:space="0" w:color="auto"/>
            <w:left w:val="none" w:sz="0" w:space="0" w:color="auto"/>
            <w:bottom w:val="none" w:sz="0" w:space="0" w:color="auto"/>
            <w:right w:val="none" w:sz="0" w:space="0" w:color="auto"/>
          </w:divBdr>
          <w:divsChild>
            <w:div w:id="1027757716">
              <w:marLeft w:val="0"/>
              <w:marRight w:val="0"/>
              <w:marTop w:val="0"/>
              <w:marBottom w:val="0"/>
              <w:divBdr>
                <w:top w:val="none" w:sz="0" w:space="0" w:color="auto"/>
                <w:left w:val="none" w:sz="0" w:space="0" w:color="auto"/>
                <w:bottom w:val="none" w:sz="0" w:space="0" w:color="auto"/>
                <w:right w:val="none" w:sz="0" w:space="0" w:color="auto"/>
              </w:divBdr>
            </w:div>
          </w:divsChild>
        </w:div>
        <w:div w:id="188841390">
          <w:marLeft w:val="0"/>
          <w:marRight w:val="0"/>
          <w:marTop w:val="0"/>
          <w:marBottom w:val="0"/>
          <w:divBdr>
            <w:top w:val="none" w:sz="0" w:space="0" w:color="auto"/>
            <w:left w:val="none" w:sz="0" w:space="0" w:color="auto"/>
            <w:bottom w:val="none" w:sz="0" w:space="0" w:color="auto"/>
            <w:right w:val="none" w:sz="0" w:space="0" w:color="auto"/>
          </w:divBdr>
          <w:divsChild>
            <w:div w:id="94205283">
              <w:marLeft w:val="0"/>
              <w:marRight w:val="0"/>
              <w:marTop w:val="0"/>
              <w:marBottom w:val="0"/>
              <w:divBdr>
                <w:top w:val="none" w:sz="0" w:space="0" w:color="auto"/>
                <w:left w:val="none" w:sz="0" w:space="0" w:color="auto"/>
                <w:bottom w:val="none" w:sz="0" w:space="0" w:color="auto"/>
                <w:right w:val="none" w:sz="0" w:space="0" w:color="auto"/>
              </w:divBdr>
            </w:div>
          </w:divsChild>
        </w:div>
        <w:div w:id="344791952">
          <w:marLeft w:val="0"/>
          <w:marRight w:val="0"/>
          <w:marTop w:val="0"/>
          <w:marBottom w:val="0"/>
          <w:divBdr>
            <w:top w:val="none" w:sz="0" w:space="0" w:color="auto"/>
            <w:left w:val="none" w:sz="0" w:space="0" w:color="auto"/>
            <w:bottom w:val="none" w:sz="0" w:space="0" w:color="auto"/>
            <w:right w:val="none" w:sz="0" w:space="0" w:color="auto"/>
          </w:divBdr>
          <w:divsChild>
            <w:div w:id="1494368795">
              <w:marLeft w:val="0"/>
              <w:marRight w:val="0"/>
              <w:marTop w:val="0"/>
              <w:marBottom w:val="0"/>
              <w:divBdr>
                <w:top w:val="none" w:sz="0" w:space="0" w:color="auto"/>
                <w:left w:val="none" w:sz="0" w:space="0" w:color="auto"/>
                <w:bottom w:val="none" w:sz="0" w:space="0" w:color="auto"/>
                <w:right w:val="none" w:sz="0" w:space="0" w:color="auto"/>
              </w:divBdr>
            </w:div>
          </w:divsChild>
        </w:div>
        <w:div w:id="355156208">
          <w:marLeft w:val="0"/>
          <w:marRight w:val="0"/>
          <w:marTop w:val="0"/>
          <w:marBottom w:val="0"/>
          <w:divBdr>
            <w:top w:val="none" w:sz="0" w:space="0" w:color="auto"/>
            <w:left w:val="none" w:sz="0" w:space="0" w:color="auto"/>
            <w:bottom w:val="none" w:sz="0" w:space="0" w:color="auto"/>
            <w:right w:val="none" w:sz="0" w:space="0" w:color="auto"/>
          </w:divBdr>
          <w:divsChild>
            <w:div w:id="2065443196">
              <w:marLeft w:val="0"/>
              <w:marRight w:val="0"/>
              <w:marTop w:val="0"/>
              <w:marBottom w:val="0"/>
              <w:divBdr>
                <w:top w:val="none" w:sz="0" w:space="0" w:color="auto"/>
                <w:left w:val="none" w:sz="0" w:space="0" w:color="auto"/>
                <w:bottom w:val="none" w:sz="0" w:space="0" w:color="auto"/>
                <w:right w:val="none" w:sz="0" w:space="0" w:color="auto"/>
              </w:divBdr>
            </w:div>
          </w:divsChild>
        </w:div>
        <w:div w:id="360588573">
          <w:marLeft w:val="0"/>
          <w:marRight w:val="0"/>
          <w:marTop w:val="0"/>
          <w:marBottom w:val="0"/>
          <w:divBdr>
            <w:top w:val="none" w:sz="0" w:space="0" w:color="auto"/>
            <w:left w:val="none" w:sz="0" w:space="0" w:color="auto"/>
            <w:bottom w:val="none" w:sz="0" w:space="0" w:color="auto"/>
            <w:right w:val="none" w:sz="0" w:space="0" w:color="auto"/>
          </w:divBdr>
          <w:divsChild>
            <w:div w:id="1258364347">
              <w:marLeft w:val="0"/>
              <w:marRight w:val="0"/>
              <w:marTop w:val="0"/>
              <w:marBottom w:val="0"/>
              <w:divBdr>
                <w:top w:val="none" w:sz="0" w:space="0" w:color="auto"/>
                <w:left w:val="none" w:sz="0" w:space="0" w:color="auto"/>
                <w:bottom w:val="none" w:sz="0" w:space="0" w:color="auto"/>
                <w:right w:val="none" w:sz="0" w:space="0" w:color="auto"/>
              </w:divBdr>
            </w:div>
          </w:divsChild>
        </w:div>
        <w:div w:id="393240037">
          <w:marLeft w:val="0"/>
          <w:marRight w:val="0"/>
          <w:marTop w:val="0"/>
          <w:marBottom w:val="0"/>
          <w:divBdr>
            <w:top w:val="none" w:sz="0" w:space="0" w:color="auto"/>
            <w:left w:val="none" w:sz="0" w:space="0" w:color="auto"/>
            <w:bottom w:val="none" w:sz="0" w:space="0" w:color="auto"/>
            <w:right w:val="none" w:sz="0" w:space="0" w:color="auto"/>
          </w:divBdr>
          <w:divsChild>
            <w:div w:id="81143661">
              <w:marLeft w:val="0"/>
              <w:marRight w:val="0"/>
              <w:marTop w:val="0"/>
              <w:marBottom w:val="0"/>
              <w:divBdr>
                <w:top w:val="none" w:sz="0" w:space="0" w:color="auto"/>
                <w:left w:val="none" w:sz="0" w:space="0" w:color="auto"/>
                <w:bottom w:val="none" w:sz="0" w:space="0" w:color="auto"/>
                <w:right w:val="none" w:sz="0" w:space="0" w:color="auto"/>
              </w:divBdr>
            </w:div>
          </w:divsChild>
        </w:div>
        <w:div w:id="440222943">
          <w:marLeft w:val="0"/>
          <w:marRight w:val="0"/>
          <w:marTop w:val="0"/>
          <w:marBottom w:val="0"/>
          <w:divBdr>
            <w:top w:val="none" w:sz="0" w:space="0" w:color="auto"/>
            <w:left w:val="none" w:sz="0" w:space="0" w:color="auto"/>
            <w:bottom w:val="none" w:sz="0" w:space="0" w:color="auto"/>
            <w:right w:val="none" w:sz="0" w:space="0" w:color="auto"/>
          </w:divBdr>
          <w:divsChild>
            <w:div w:id="1293638349">
              <w:marLeft w:val="0"/>
              <w:marRight w:val="0"/>
              <w:marTop w:val="0"/>
              <w:marBottom w:val="0"/>
              <w:divBdr>
                <w:top w:val="none" w:sz="0" w:space="0" w:color="auto"/>
                <w:left w:val="none" w:sz="0" w:space="0" w:color="auto"/>
                <w:bottom w:val="none" w:sz="0" w:space="0" w:color="auto"/>
                <w:right w:val="none" w:sz="0" w:space="0" w:color="auto"/>
              </w:divBdr>
            </w:div>
          </w:divsChild>
        </w:div>
        <w:div w:id="510223125">
          <w:marLeft w:val="0"/>
          <w:marRight w:val="0"/>
          <w:marTop w:val="0"/>
          <w:marBottom w:val="0"/>
          <w:divBdr>
            <w:top w:val="none" w:sz="0" w:space="0" w:color="auto"/>
            <w:left w:val="none" w:sz="0" w:space="0" w:color="auto"/>
            <w:bottom w:val="none" w:sz="0" w:space="0" w:color="auto"/>
            <w:right w:val="none" w:sz="0" w:space="0" w:color="auto"/>
          </w:divBdr>
          <w:divsChild>
            <w:div w:id="1267736742">
              <w:marLeft w:val="0"/>
              <w:marRight w:val="0"/>
              <w:marTop w:val="0"/>
              <w:marBottom w:val="0"/>
              <w:divBdr>
                <w:top w:val="none" w:sz="0" w:space="0" w:color="auto"/>
                <w:left w:val="none" w:sz="0" w:space="0" w:color="auto"/>
                <w:bottom w:val="none" w:sz="0" w:space="0" w:color="auto"/>
                <w:right w:val="none" w:sz="0" w:space="0" w:color="auto"/>
              </w:divBdr>
            </w:div>
          </w:divsChild>
        </w:div>
        <w:div w:id="527107258">
          <w:marLeft w:val="0"/>
          <w:marRight w:val="0"/>
          <w:marTop w:val="0"/>
          <w:marBottom w:val="0"/>
          <w:divBdr>
            <w:top w:val="none" w:sz="0" w:space="0" w:color="auto"/>
            <w:left w:val="none" w:sz="0" w:space="0" w:color="auto"/>
            <w:bottom w:val="none" w:sz="0" w:space="0" w:color="auto"/>
            <w:right w:val="none" w:sz="0" w:space="0" w:color="auto"/>
          </w:divBdr>
          <w:divsChild>
            <w:div w:id="515538790">
              <w:marLeft w:val="0"/>
              <w:marRight w:val="0"/>
              <w:marTop w:val="0"/>
              <w:marBottom w:val="0"/>
              <w:divBdr>
                <w:top w:val="none" w:sz="0" w:space="0" w:color="auto"/>
                <w:left w:val="none" w:sz="0" w:space="0" w:color="auto"/>
                <w:bottom w:val="none" w:sz="0" w:space="0" w:color="auto"/>
                <w:right w:val="none" w:sz="0" w:space="0" w:color="auto"/>
              </w:divBdr>
            </w:div>
          </w:divsChild>
        </w:div>
        <w:div w:id="966665003">
          <w:marLeft w:val="0"/>
          <w:marRight w:val="0"/>
          <w:marTop w:val="0"/>
          <w:marBottom w:val="0"/>
          <w:divBdr>
            <w:top w:val="none" w:sz="0" w:space="0" w:color="auto"/>
            <w:left w:val="none" w:sz="0" w:space="0" w:color="auto"/>
            <w:bottom w:val="none" w:sz="0" w:space="0" w:color="auto"/>
            <w:right w:val="none" w:sz="0" w:space="0" w:color="auto"/>
          </w:divBdr>
          <w:divsChild>
            <w:div w:id="710113310">
              <w:marLeft w:val="0"/>
              <w:marRight w:val="0"/>
              <w:marTop w:val="0"/>
              <w:marBottom w:val="0"/>
              <w:divBdr>
                <w:top w:val="none" w:sz="0" w:space="0" w:color="auto"/>
                <w:left w:val="none" w:sz="0" w:space="0" w:color="auto"/>
                <w:bottom w:val="none" w:sz="0" w:space="0" w:color="auto"/>
                <w:right w:val="none" w:sz="0" w:space="0" w:color="auto"/>
              </w:divBdr>
            </w:div>
          </w:divsChild>
        </w:div>
        <w:div w:id="1073358428">
          <w:marLeft w:val="0"/>
          <w:marRight w:val="0"/>
          <w:marTop w:val="0"/>
          <w:marBottom w:val="0"/>
          <w:divBdr>
            <w:top w:val="none" w:sz="0" w:space="0" w:color="auto"/>
            <w:left w:val="none" w:sz="0" w:space="0" w:color="auto"/>
            <w:bottom w:val="none" w:sz="0" w:space="0" w:color="auto"/>
            <w:right w:val="none" w:sz="0" w:space="0" w:color="auto"/>
          </w:divBdr>
          <w:divsChild>
            <w:div w:id="1514612063">
              <w:marLeft w:val="0"/>
              <w:marRight w:val="0"/>
              <w:marTop w:val="0"/>
              <w:marBottom w:val="0"/>
              <w:divBdr>
                <w:top w:val="none" w:sz="0" w:space="0" w:color="auto"/>
                <w:left w:val="none" w:sz="0" w:space="0" w:color="auto"/>
                <w:bottom w:val="none" w:sz="0" w:space="0" w:color="auto"/>
                <w:right w:val="none" w:sz="0" w:space="0" w:color="auto"/>
              </w:divBdr>
            </w:div>
          </w:divsChild>
        </w:div>
        <w:div w:id="1296057396">
          <w:marLeft w:val="0"/>
          <w:marRight w:val="0"/>
          <w:marTop w:val="0"/>
          <w:marBottom w:val="0"/>
          <w:divBdr>
            <w:top w:val="none" w:sz="0" w:space="0" w:color="auto"/>
            <w:left w:val="none" w:sz="0" w:space="0" w:color="auto"/>
            <w:bottom w:val="none" w:sz="0" w:space="0" w:color="auto"/>
            <w:right w:val="none" w:sz="0" w:space="0" w:color="auto"/>
          </w:divBdr>
          <w:divsChild>
            <w:div w:id="2013338811">
              <w:marLeft w:val="0"/>
              <w:marRight w:val="0"/>
              <w:marTop w:val="0"/>
              <w:marBottom w:val="0"/>
              <w:divBdr>
                <w:top w:val="none" w:sz="0" w:space="0" w:color="auto"/>
                <w:left w:val="none" w:sz="0" w:space="0" w:color="auto"/>
                <w:bottom w:val="none" w:sz="0" w:space="0" w:color="auto"/>
                <w:right w:val="none" w:sz="0" w:space="0" w:color="auto"/>
              </w:divBdr>
            </w:div>
          </w:divsChild>
        </w:div>
        <w:div w:id="1309479721">
          <w:marLeft w:val="0"/>
          <w:marRight w:val="0"/>
          <w:marTop w:val="0"/>
          <w:marBottom w:val="0"/>
          <w:divBdr>
            <w:top w:val="none" w:sz="0" w:space="0" w:color="auto"/>
            <w:left w:val="none" w:sz="0" w:space="0" w:color="auto"/>
            <w:bottom w:val="none" w:sz="0" w:space="0" w:color="auto"/>
            <w:right w:val="none" w:sz="0" w:space="0" w:color="auto"/>
          </w:divBdr>
          <w:divsChild>
            <w:div w:id="477958761">
              <w:marLeft w:val="0"/>
              <w:marRight w:val="0"/>
              <w:marTop w:val="0"/>
              <w:marBottom w:val="0"/>
              <w:divBdr>
                <w:top w:val="none" w:sz="0" w:space="0" w:color="auto"/>
                <w:left w:val="none" w:sz="0" w:space="0" w:color="auto"/>
                <w:bottom w:val="none" w:sz="0" w:space="0" w:color="auto"/>
                <w:right w:val="none" w:sz="0" w:space="0" w:color="auto"/>
              </w:divBdr>
            </w:div>
          </w:divsChild>
        </w:div>
        <w:div w:id="1319768635">
          <w:marLeft w:val="0"/>
          <w:marRight w:val="0"/>
          <w:marTop w:val="0"/>
          <w:marBottom w:val="0"/>
          <w:divBdr>
            <w:top w:val="none" w:sz="0" w:space="0" w:color="auto"/>
            <w:left w:val="none" w:sz="0" w:space="0" w:color="auto"/>
            <w:bottom w:val="none" w:sz="0" w:space="0" w:color="auto"/>
            <w:right w:val="none" w:sz="0" w:space="0" w:color="auto"/>
          </w:divBdr>
          <w:divsChild>
            <w:div w:id="144322825">
              <w:marLeft w:val="0"/>
              <w:marRight w:val="0"/>
              <w:marTop w:val="0"/>
              <w:marBottom w:val="0"/>
              <w:divBdr>
                <w:top w:val="none" w:sz="0" w:space="0" w:color="auto"/>
                <w:left w:val="none" w:sz="0" w:space="0" w:color="auto"/>
                <w:bottom w:val="none" w:sz="0" w:space="0" w:color="auto"/>
                <w:right w:val="none" w:sz="0" w:space="0" w:color="auto"/>
              </w:divBdr>
            </w:div>
          </w:divsChild>
        </w:div>
        <w:div w:id="1371298304">
          <w:marLeft w:val="0"/>
          <w:marRight w:val="0"/>
          <w:marTop w:val="0"/>
          <w:marBottom w:val="0"/>
          <w:divBdr>
            <w:top w:val="none" w:sz="0" w:space="0" w:color="auto"/>
            <w:left w:val="none" w:sz="0" w:space="0" w:color="auto"/>
            <w:bottom w:val="none" w:sz="0" w:space="0" w:color="auto"/>
            <w:right w:val="none" w:sz="0" w:space="0" w:color="auto"/>
          </w:divBdr>
          <w:divsChild>
            <w:div w:id="1326544032">
              <w:marLeft w:val="0"/>
              <w:marRight w:val="0"/>
              <w:marTop w:val="0"/>
              <w:marBottom w:val="0"/>
              <w:divBdr>
                <w:top w:val="none" w:sz="0" w:space="0" w:color="auto"/>
                <w:left w:val="none" w:sz="0" w:space="0" w:color="auto"/>
                <w:bottom w:val="none" w:sz="0" w:space="0" w:color="auto"/>
                <w:right w:val="none" w:sz="0" w:space="0" w:color="auto"/>
              </w:divBdr>
            </w:div>
          </w:divsChild>
        </w:div>
        <w:div w:id="1512603034">
          <w:marLeft w:val="0"/>
          <w:marRight w:val="0"/>
          <w:marTop w:val="0"/>
          <w:marBottom w:val="0"/>
          <w:divBdr>
            <w:top w:val="none" w:sz="0" w:space="0" w:color="auto"/>
            <w:left w:val="none" w:sz="0" w:space="0" w:color="auto"/>
            <w:bottom w:val="none" w:sz="0" w:space="0" w:color="auto"/>
            <w:right w:val="none" w:sz="0" w:space="0" w:color="auto"/>
          </w:divBdr>
          <w:divsChild>
            <w:div w:id="1172452448">
              <w:marLeft w:val="0"/>
              <w:marRight w:val="0"/>
              <w:marTop w:val="0"/>
              <w:marBottom w:val="0"/>
              <w:divBdr>
                <w:top w:val="none" w:sz="0" w:space="0" w:color="auto"/>
                <w:left w:val="none" w:sz="0" w:space="0" w:color="auto"/>
                <w:bottom w:val="none" w:sz="0" w:space="0" w:color="auto"/>
                <w:right w:val="none" w:sz="0" w:space="0" w:color="auto"/>
              </w:divBdr>
            </w:div>
          </w:divsChild>
        </w:div>
        <w:div w:id="1668896204">
          <w:marLeft w:val="0"/>
          <w:marRight w:val="0"/>
          <w:marTop w:val="0"/>
          <w:marBottom w:val="0"/>
          <w:divBdr>
            <w:top w:val="none" w:sz="0" w:space="0" w:color="auto"/>
            <w:left w:val="none" w:sz="0" w:space="0" w:color="auto"/>
            <w:bottom w:val="none" w:sz="0" w:space="0" w:color="auto"/>
            <w:right w:val="none" w:sz="0" w:space="0" w:color="auto"/>
          </w:divBdr>
          <w:divsChild>
            <w:div w:id="2117631147">
              <w:marLeft w:val="0"/>
              <w:marRight w:val="0"/>
              <w:marTop w:val="0"/>
              <w:marBottom w:val="0"/>
              <w:divBdr>
                <w:top w:val="none" w:sz="0" w:space="0" w:color="auto"/>
                <w:left w:val="none" w:sz="0" w:space="0" w:color="auto"/>
                <w:bottom w:val="none" w:sz="0" w:space="0" w:color="auto"/>
                <w:right w:val="none" w:sz="0" w:space="0" w:color="auto"/>
              </w:divBdr>
            </w:div>
          </w:divsChild>
        </w:div>
        <w:div w:id="1749690800">
          <w:marLeft w:val="0"/>
          <w:marRight w:val="0"/>
          <w:marTop w:val="0"/>
          <w:marBottom w:val="0"/>
          <w:divBdr>
            <w:top w:val="none" w:sz="0" w:space="0" w:color="auto"/>
            <w:left w:val="none" w:sz="0" w:space="0" w:color="auto"/>
            <w:bottom w:val="none" w:sz="0" w:space="0" w:color="auto"/>
            <w:right w:val="none" w:sz="0" w:space="0" w:color="auto"/>
          </w:divBdr>
          <w:divsChild>
            <w:div w:id="1038354151">
              <w:marLeft w:val="0"/>
              <w:marRight w:val="0"/>
              <w:marTop w:val="0"/>
              <w:marBottom w:val="0"/>
              <w:divBdr>
                <w:top w:val="none" w:sz="0" w:space="0" w:color="auto"/>
                <w:left w:val="none" w:sz="0" w:space="0" w:color="auto"/>
                <w:bottom w:val="none" w:sz="0" w:space="0" w:color="auto"/>
                <w:right w:val="none" w:sz="0" w:space="0" w:color="auto"/>
              </w:divBdr>
            </w:div>
          </w:divsChild>
        </w:div>
        <w:div w:id="1811168341">
          <w:marLeft w:val="0"/>
          <w:marRight w:val="0"/>
          <w:marTop w:val="0"/>
          <w:marBottom w:val="0"/>
          <w:divBdr>
            <w:top w:val="none" w:sz="0" w:space="0" w:color="auto"/>
            <w:left w:val="none" w:sz="0" w:space="0" w:color="auto"/>
            <w:bottom w:val="none" w:sz="0" w:space="0" w:color="auto"/>
            <w:right w:val="none" w:sz="0" w:space="0" w:color="auto"/>
          </w:divBdr>
          <w:divsChild>
            <w:div w:id="1151142158">
              <w:marLeft w:val="0"/>
              <w:marRight w:val="0"/>
              <w:marTop w:val="0"/>
              <w:marBottom w:val="0"/>
              <w:divBdr>
                <w:top w:val="none" w:sz="0" w:space="0" w:color="auto"/>
                <w:left w:val="none" w:sz="0" w:space="0" w:color="auto"/>
                <w:bottom w:val="none" w:sz="0" w:space="0" w:color="auto"/>
                <w:right w:val="none" w:sz="0" w:space="0" w:color="auto"/>
              </w:divBdr>
            </w:div>
          </w:divsChild>
        </w:div>
        <w:div w:id="1916086718">
          <w:marLeft w:val="0"/>
          <w:marRight w:val="0"/>
          <w:marTop w:val="0"/>
          <w:marBottom w:val="0"/>
          <w:divBdr>
            <w:top w:val="none" w:sz="0" w:space="0" w:color="auto"/>
            <w:left w:val="none" w:sz="0" w:space="0" w:color="auto"/>
            <w:bottom w:val="none" w:sz="0" w:space="0" w:color="auto"/>
            <w:right w:val="none" w:sz="0" w:space="0" w:color="auto"/>
          </w:divBdr>
          <w:divsChild>
            <w:div w:id="524439340">
              <w:marLeft w:val="0"/>
              <w:marRight w:val="0"/>
              <w:marTop w:val="0"/>
              <w:marBottom w:val="0"/>
              <w:divBdr>
                <w:top w:val="none" w:sz="0" w:space="0" w:color="auto"/>
                <w:left w:val="none" w:sz="0" w:space="0" w:color="auto"/>
                <w:bottom w:val="none" w:sz="0" w:space="0" w:color="auto"/>
                <w:right w:val="none" w:sz="0" w:space="0" w:color="auto"/>
              </w:divBdr>
            </w:div>
          </w:divsChild>
        </w:div>
        <w:div w:id="1931044983">
          <w:marLeft w:val="0"/>
          <w:marRight w:val="0"/>
          <w:marTop w:val="0"/>
          <w:marBottom w:val="0"/>
          <w:divBdr>
            <w:top w:val="none" w:sz="0" w:space="0" w:color="auto"/>
            <w:left w:val="none" w:sz="0" w:space="0" w:color="auto"/>
            <w:bottom w:val="none" w:sz="0" w:space="0" w:color="auto"/>
            <w:right w:val="none" w:sz="0" w:space="0" w:color="auto"/>
          </w:divBdr>
          <w:divsChild>
            <w:div w:id="969480413">
              <w:marLeft w:val="0"/>
              <w:marRight w:val="0"/>
              <w:marTop w:val="0"/>
              <w:marBottom w:val="0"/>
              <w:divBdr>
                <w:top w:val="none" w:sz="0" w:space="0" w:color="auto"/>
                <w:left w:val="none" w:sz="0" w:space="0" w:color="auto"/>
                <w:bottom w:val="none" w:sz="0" w:space="0" w:color="auto"/>
                <w:right w:val="none" w:sz="0" w:space="0" w:color="auto"/>
              </w:divBdr>
            </w:div>
          </w:divsChild>
        </w:div>
        <w:div w:id="2122064981">
          <w:marLeft w:val="0"/>
          <w:marRight w:val="0"/>
          <w:marTop w:val="0"/>
          <w:marBottom w:val="0"/>
          <w:divBdr>
            <w:top w:val="none" w:sz="0" w:space="0" w:color="auto"/>
            <w:left w:val="none" w:sz="0" w:space="0" w:color="auto"/>
            <w:bottom w:val="none" w:sz="0" w:space="0" w:color="auto"/>
            <w:right w:val="none" w:sz="0" w:space="0" w:color="auto"/>
          </w:divBdr>
          <w:divsChild>
            <w:div w:id="3541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creativecommons.org/licenses/by/3.0/au/deed.en"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www.safetyandquality.gov.au/our-work/indicators/hospital-acquired-complications/"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4.xm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creativecommons.org/licenses/by/3.0/au/deed.en" TargetMode="External"/><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websitedbs/D3310114.nsf/home/remoteness+struct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IHPA\External%20publication.dotx" TargetMode="External"/></Relationships>
</file>

<file path=word/documenttasks/documenttasks1.xml><?xml version="1.0" encoding="utf-8"?>
<t:Tasks xmlns:t="http://schemas.microsoft.com/office/tasks/2019/documenttasks" xmlns:oel="http://schemas.microsoft.com/office/2019/extlst">
  <t:Task id="{0809E7DC-296B-49BF-9DD9-C2D3222E5BB9}">
    <t:Anchor>
      <t:Comment id="390368191"/>
    </t:Anchor>
    <t:History>
      <t:Event id="{B40257FA-D7B1-44F7-B6C2-5567D92B845C}" time="2022-03-14T22:08:11.024Z">
        <t:Attribution userId="S::juuso.huttunen@ihpa.gov.au::29567c99-2dd9-4904-a9f4-2bbbd17c8fc9" userProvider="AD" userName="HUTTUNEN, Juuso"/>
        <t:Anchor>
          <t:Comment id="390368191"/>
        </t:Anchor>
        <t:Create/>
      </t:Event>
      <t:Event id="{FD46FE69-862B-4FF3-B9E5-2FC79E8FFE50}" time="2022-03-14T22:08:11.024Z">
        <t:Attribution userId="S::juuso.huttunen@ihpa.gov.au::29567c99-2dd9-4904-a9f4-2bbbd17c8fc9" userProvider="AD" userName="HUTTUNEN, Juuso"/>
        <t:Anchor>
          <t:Comment id="390368191"/>
        </t:Anchor>
        <t:Assign userId="S::Matthew.HUGHES@IHPA.GOV.AU::98bb08b3-788d-4e5d-a98e-642d9557f908" userProvider="AD" userName="HUGHES, Matthew"/>
      </t:Event>
      <t:Event id="{1FD91924-A509-480D-A79F-16A2B1575974}" time="2022-03-14T22:08:11.024Z">
        <t:Attribution userId="S::juuso.huttunen@ihpa.gov.au::29567c99-2dd9-4904-a9f4-2bbbd17c8fc9" userProvider="AD" userName="HUTTUNEN, Juuso"/>
        <t:Anchor>
          <t:Comment id="390368191"/>
        </t:Anchor>
        <t:SetTitle title="@HUGHES, Matthew Can you please check these adjustment proportions."/>
      </t:Event>
      <t:Event id="{48F0E10E-9DCC-4708-BA2E-46BCFB0D5A3B}" time="2022-03-16T04:03:01.823Z">
        <t:Attribution userId="S::matthew.hughes@ihpa.gov.au::98bb08b3-788d-4e5d-a98e-642d9557f908" userProvider="AD" userName="HUGHES, Matthew"/>
        <t:Progress percentComplete="100"/>
      </t:Event>
    </t:History>
  </t:Task>
  <t:Task id="{B4112DC8-AB01-47CF-8F1D-815A189352FD}">
    <t:Anchor>
      <t:Comment id="578022066"/>
    </t:Anchor>
    <t:History>
      <t:Event id="{4750ED34-B97F-4D5A-8681-A1F36D502BF4}" time="2022-03-14T03:57:28.929Z">
        <t:Attribution userId="S::juuso.huttunen@ihpa.gov.au::29567c99-2dd9-4904-a9f4-2bbbd17c8fc9" userProvider="AD" userName="HUTTUNEN, Juuso"/>
        <t:Anchor>
          <t:Comment id="1870171309"/>
        </t:Anchor>
        <t:Create/>
      </t:Event>
      <t:Event id="{46F5E627-558A-47D7-BAD5-DF51A51941DB}" time="2022-03-14T03:57:28.929Z">
        <t:Attribution userId="S::juuso.huttunen@ihpa.gov.au::29567c99-2dd9-4904-a9f4-2bbbd17c8fc9" userProvider="AD" userName="HUTTUNEN, Juuso"/>
        <t:Anchor>
          <t:Comment id="1870171309"/>
        </t:Anchor>
        <t:Assign userId="S::Matthew.HUGHES@IHPA.GOV.AU::98bb08b3-788d-4e5d-a98e-642d9557f908" userProvider="AD" userName="HUGHES, Matthew"/>
      </t:Event>
      <t:Event id="{1C02BD68-16C9-46D7-8D06-AD99855FE93C}" time="2022-03-14T03:57:28.929Z">
        <t:Attribution userId="S::juuso.huttunen@ihpa.gov.au::29567c99-2dd9-4904-a9f4-2bbbd17c8fc9" userProvider="AD" userName="HUTTUNEN, Juuso"/>
        <t:Anchor>
          <t:Comment id="1870171309"/>
        </t:Anchor>
        <t:SetTitle title="@HUGHES, Matthew I've updated Appendix C, can you please cross-check. Thanks."/>
      </t:Event>
      <t:Event id="{257599BC-058B-404F-B438-1F94B27E6B06}" time="2022-03-16T04:03:04.13Z">
        <t:Attribution userId="S::matthew.hughes@ihpa.gov.au::98bb08b3-788d-4e5d-a98e-642d9557f908" userProvider="AD" userName="HUGHES, Matthew"/>
        <t:Progress percentComplete="100"/>
      </t:Event>
    </t:History>
  </t:Task>
  <t:Task id="{398FDD67-CFC4-474D-B4AC-1477CA17E68B}">
    <t:Anchor>
      <t:Comment id="1075304625"/>
    </t:Anchor>
    <t:History>
      <t:Event id="{F24D362A-DDFE-4F6D-A29E-5B064A8D7AE1}" time="2022-03-14T04:01:13.096Z">
        <t:Attribution userId="S::juuso.huttunen@ihpa.gov.au::29567c99-2dd9-4904-a9f4-2bbbd17c8fc9" userProvider="AD" userName="HUTTUNEN, Juuso"/>
        <t:Anchor>
          <t:Comment id="1075304625"/>
        </t:Anchor>
        <t:Create/>
      </t:Event>
      <t:Event id="{178522A1-D163-435E-83F0-B78AD8CF7917}" time="2022-03-14T04:01:13.096Z">
        <t:Attribution userId="S::juuso.huttunen@ihpa.gov.au::29567c99-2dd9-4904-a9f4-2bbbd17c8fc9" userProvider="AD" userName="HUTTUNEN, Juuso"/>
        <t:Anchor>
          <t:Comment id="1075304625"/>
        </t:Anchor>
        <t:Assign userId="S::Jada.CHING@ihpa.gov.au::bb85a5bd-4a7a-479c-94e0-69caf8b7e498" userProvider="AD" userName="CHING, Jada"/>
      </t:Event>
      <t:Event id="{436A573D-9ABB-486F-ADFF-6C8CC3B52662}" time="2022-03-14T04:01:13.096Z">
        <t:Attribution userId="S::juuso.huttunen@ihpa.gov.au::29567c99-2dd9-4904-a9f4-2bbbd17c8fc9" userProvider="AD" userName="HUTTUNEN, Juuso"/>
        <t:Anchor>
          <t:Comment id="1075304625"/>
        </t:Anchor>
        <t:SetTitle title="@CHING, Jada : There are two A41's?"/>
      </t:Event>
    </t:History>
  </t:Task>
  <t:Task id="{CA551D43-93F8-485E-85C8-D0C777AF9E9B}">
    <t:Anchor>
      <t:Comment id="1370770901"/>
    </t:Anchor>
    <t:History>
      <t:Event id="{A6546CE6-4ED8-4C5C-9264-47A13FC877BB}" time="2022-03-14T22:15:38.556Z">
        <t:Attribution userId="S::juuso.huttunen@ihpa.gov.au::29567c99-2dd9-4904-a9f4-2bbbd17c8fc9" userProvider="AD" userName="HUTTUNEN, Juuso"/>
        <t:Anchor>
          <t:Comment id="1370770901"/>
        </t:Anchor>
        <t:Create/>
      </t:Event>
      <t:Event id="{695B42E7-CE3F-4384-AF3C-11C72330B8A0}" time="2022-03-14T22:15:38.556Z">
        <t:Attribution userId="S::juuso.huttunen@ihpa.gov.au::29567c99-2dd9-4904-a9f4-2bbbd17c8fc9" userProvider="AD" userName="HUTTUNEN, Juuso"/>
        <t:Anchor>
          <t:Comment id="1370770901"/>
        </t:Anchor>
        <t:Assign userId="S::TRANFL@health.gov.au::7e5b4425-bf10-4b62-81fc-a2ff8b1391ba" userProvider="AD" userName="TRANFA, Luke"/>
      </t:Event>
      <t:Event id="{8F39F502-ACD2-48D0-9120-47C136467247}" time="2022-03-14T22:15:38.556Z">
        <t:Attribution userId="S::juuso.huttunen@ihpa.gov.au::29567c99-2dd9-4904-a9f4-2bbbd17c8fc9" userProvider="AD" userName="HUTTUNEN, Juuso"/>
        <t:Anchor>
          <t:Comment id="1370770901"/>
        </t:Anchor>
        <t:SetTitle title="@TRANFA, Luke Can you please check the numbers here (establishment numbers align with Appendix C so they should be ok)."/>
      </t:Event>
      <t:Event id="{D2B495CE-6A39-4D68-8D16-387E00065F53}" time="2022-03-17T03:58:36.692Z">
        <t:Attribution userId="S::tranfl@health.gov.au::7e5b4425-bf10-4b62-81fc-a2ff8b1391ba" userProvider="AD" userName="TRANFA, Luke"/>
        <t:Progress percentComplete="100"/>
      </t:Event>
    </t:History>
  </t:Task>
</t:Task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6" ma:contentTypeDescription="Create a new document." ma:contentTypeScope="" ma:versionID="9cb549b2771e4583bd11c658363c3b37">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019e80087759e424b6e97a17872407d8"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53693F-69AF-44B3-8FF5-E4B7F286C045}">
  <ds:schemaRefs>
    <ds:schemaRef ds:uri="http://schemas.openxmlformats.org/officeDocument/2006/bibliography"/>
  </ds:schemaRefs>
</ds:datastoreItem>
</file>

<file path=customXml/itemProps2.xml><?xml version="1.0" encoding="utf-8"?>
<ds:datastoreItem xmlns:ds="http://schemas.openxmlformats.org/officeDocument/2006/customXml" ds:itemID="{2674F30A-D18C-47A2-BAFF-0FE4CC6086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ECA12BB-06DA-45E7-8B5B-50E109FA8E6E}">
  <ds:schemaRefs>
    <ds:schemaRef ds:uri="http://schemas.microsoft.com/sharepoint/v3/contenttype/forms"/>
  </ds:schemaRefs>
</ds:datastoreItem>
</file>

<file path=customXml/itemProps4.xml><?xml version="1.0" encoding="utf-8"?>
<ds:datastoreItem xmlns:ds="http://schemas.openxmlformats.org/officeDocument/2006/customXml" ds:itemID="{D6388453-DB5F-4600-B552-A71B31874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1</TotalTime>
  <Pages>85</Pages>
  <Words>24893</Words>
  <Characters>139383</Characters>
  <Application>Microsoft Office Word</Application>
  <DocSecurity>4</DocSecurity>
  <Lines>1161</Lines>
  <Paragraphs>327</Paragraphs>
  <ScaleCrop>false</ScaleCrop>
  <HeadingPairs>
    <vt:vector size="2" baseType="variant">
      <vt:variant>
        <vt:lpstr>Title</vt:lpstr>
      </vt:variant>
      <vt:variant>
        <vt:i4>1</vt:i4>
      </vt:variant>
    </vt:vector>
  </HeadingPairs>
  <TitlesOfParts>
    <vt:vector size="1" baseType="lpstr">
      <vt:lpstr>National Pricing Model Technical Specifications 2020-21</vt:lpstr>
    </vt:vector>
  </TitlesOfParts>
  <Company>Independent Hospital Pricing Authority</Company>
  <LinksUpToDate>false</LinksUpToDate>
  <CharactersWithSpaces>163949</CharactersWithSpaces>
  <SharedDoc>false</SharedDoc>
  <HLinks>
    <vt:vector size="300" baseType="variant">
      <vt:variant>
        <vt:i4>1441865</vt:i4>
      </vt:variant>
      <vt:variant>
        <vt:i4>480</vt:i4>
      </vt:variant>
      <vt:variant>
        <vt:i4>0</vt:i4>
      </vt:variant>
      <vt:variant>
        <vt:i4>5</vt:i4>
      </vt:variant>
      <vt:variant>
        <vt:lpwstr>https://www.safetyandquality.gov.au/our-work/indicators/hospital-acquired-complications/</vt:lpwstr>
      </vt:variant>
      <vt:variant>
        <vt:lpwstr/>
      </vt:variant>
      <vt:variant>
        <vt:i4>2031679</vt:i4>
      </vt:variant>
      <vt:variant>
        <vt:i4>239</vt:i4>
      </vt:variant>
      <vt:variant>
        <vt:i4>0</vt:i4>
      </vt:variant>
      <vt:variant>
        <vt:i4>5</vt:i4>
      </vt:variant>
      <vt:variant>
        <vt:lpwstr/>
      </vt:variant>
      <vt:variant>
        <vt:lpwstr>_Toc98773126</vt:lpwstr>
      </vt:variant>
      <vt:variant>
        <vt:i4>1835071</vt:i4>
      </vt:variant>
      <vt:variant>
        <vt:i4>233</vt:i4>
      </vt:variant>
      <vt:variant>
        <vt:i4>0</vt:i4>
      </vt:variant>
      <vt:variant>
        <vt:i4>5</vt:i4>
      </vt:variant>
      <vt:variant>
        <vt:lpwstr/>
      </vt:variant>
      <vt:variant>
        <vt:lpwstr>_Toc98773125</vt:lpwstr>
      </vt:variant>
      <vt:variant>
        <vt:i4>1900607</vt:i4>
      </vt:variant>
      <vt:variant>
        <vt:i4>227</vt:i4>
      </vt:variant>
      <vt:variant>
        <vt:i4>0</vt:i4>
      </vt:variant>
      <vt:variant>
        <vt:i4>5</vt:i4>
      </vt:variant>
      <vt:variant>
        <vt:lpwstr/>
      </vt:variant>
      <vt:variant>
        <vt:lpwstr>_Toc98773124</vt:lpwstr>
      </vt:variant>
      <vt:variant>
        <vt:i4>1703999</vt:i4>
      </vt:variant>
      <vt:variant>
        <vt:i4>221</vt:i4>
      </vt:variant>
      <vt:variant>
        <vt:i4>0</vt:i4>
      </vt:variant>
      <vt:variant>
        <vt:i4>5</vt:i4>
      </vt:variant>
      <vt:variant>
        <vt:lpwstr/>
      </vt:variant>
      <vt:variant>
        <vt:lpwstr>_Toc98773123</vt:lpwstr>
      </vt:variant>
      <vt:variant>
        <vt:i4>1769535</vt:i4>
      </vt:variant>
      <vt:variant>
        <vt:i4>215</vt:i4>
      </vt:variant>
      <vt:variant>
        <vt:i4>0</vt:i4>
      </vt:variant>
      <vt:variant>
        <vt:i4>5</vt:i4>
      </vt:variant>
      <vt:variant>
        <vt:lpwstr/>
      </vt:variant>
      <vt:variant>
        <vt:lpwstr>_Toc98773122</vt:lpwstr>
      </vt:variant>
      <vt:variant>
        <vt:i4>1572927</vt:i4>
      </vt:variant>
      <vt:variant>
        <vt:i4>209</vt:i4>
      </vt:variant>
      <vt:variant>
        <vt:i4>0</vt:i4>
      </vt:variant>
      <vt:variant>
        <vt:i4>5</vt:i4>
      </vt:variant>
      <vt:variant>
        <vt:lpwstr/>
      </vt:variant>
      <vt:variant>
        <vt:lpwstr>_Toc98773121</vt:lpwstr>
      </vt:variant>
      <vt:variant>
        <vt:i4>1638463</vt:i4>
      </vt:variant>
      <vt:variant>
        <vt:i4>203</vt:i4>
      </vt:variant>
      <vt:variant>
        <vt:i4>0</vt:i4>
      </vt:variant>
      <vt:variant>
        <vt:i4>5</vt:i4>
      </vt:variant>
      <vt:variant>
        <vt:lpwstr/>
      </vt:variant>
      <vt:variant>
        <vt:lpwstr>_Toc98773120</vt:lpwstr>
      </vt:variant>
      <vt:variant>
        <vt:i4>1048636</vt:i4>
      </vt:variant>
      <vt:variant>
        <vt:i4>197</vt:i4>
      </vt:variant>
      <vt:variant>
        <vt:i4>0</vt:i4>
      </vt:variant>
      <vt:variant>
        <vt:i4>5</vt:i4>
      </vt:variant>
      <vt:variant>
        <vt:lpwstr/>
      </vt:variant>
      <vt:variant>
        <vt:lpwstr>_Toc98773119</vt:lpwstr>
      </vt:variant>
      <vt:variant>
        <vt:i4>1114172</vt:i4>
      </vt:variant>
      <vt:variant>
        <vt:i4>191</vt:i4>
      </vt:variant>
      <vt:variant>
        <vt:i4>0</vt:i4>
      </vt:variant>
      <vt:variant>
        <vt:i4>5</vt:i4>
      </vt:variant>
      <vt:variant>
        <vt:lpwstr/>
      </vt:variant>
      <vt:variant>
        <vt:lpwstr>_Toc98773118</vt:lpwstr>
      </vt:variant>
      <vt:variant>
        <vt:i4>1966140</vt:i4>
      </vt:variant>
      <vt:variant>
        <vt:i4>185</vt:i4>
      </vt:variant>
      <vt:variant>
        <vt:i4>0</vt:i4>
      </vt:variant>
      <vt:variant>
        <vt:i4>5</vt:i4>
      </vt:variant>
      <vt:variant>
        <vt:lpwstr/>
      </vt:variant>
      <vt:variant>
        <vt:lpwstr>_Toc98773117</vt:lpwstr>
      </vt:variant>
      <vt:variant>
        <vt:i4>2031676</vt:i4>
      </vt:variant>
      <vt:variant>
        <vt:i4>179</vt:i4>
      </vt:variant>
      <vt:variant>
        <vt:i4>0</vt:i4>
      </vt:variant>
      <vt:variant>
        <vt:i4>5</vt:i4>
      </vt:variant>
      <vt:variant>
        <vt:lpwstr/>
      </vt:variant>
      <vt:variant>
        <vt:lpwstr>_Toc98773116</vt:lpwstr>
      </vt:variant>
      <vt:variant>
        <vt:i4>1835068</vt:i4>
      </vt:variant>
      <vt:variant>
        <vt:i4>173</vt:i4>
      </vt:variant>
      <vt:variant>
        <vt:i4>0</vt:i4>
      </vt:variant>
      <vt:variant>
        <vt:i4>5</vt:i4>
      </vt:variant>
      <vt:variant>
        <vt:lpwstr/>
      </vt:variant>
      <vt:variant>
        <vt:lpwstr>_Toc98773115</vt:lpwstr>
      </vt:variant>
      <vt:variant>
        <vt:i4>1900604</vt:i4>
      </vt:variant>
      <vt:variant>
        <vt:i4>167</vt:i4>
      </vt:variant>
      <vt:variant>
        <vt:i4>0</vt:i4>
      </vt:variant>
      <vt:variant>
        <vt:i4>5</vt:i4>
      </vt:variant>
      <vt:variant>
        <vt:lpwstr/>
      </vt:variant>
      <vt:variant>
        <vt:lpwstr>_Toc98773114</vt:lpwstr>
      </vt:variant>
      <vt:variant>
        <vt:i4>1703996</vt:i4>
      </vt:variant>
      <vt:variant>
        <vt:i4>161</vt:i4>
      </vt:variant>
      <vt:variant>
        <vt:i4>0</vt:i4>
      </vt:variant>
      <vt:variant>
        <vt:i4>5</vt:i4>
      </vt:variant>
      <vt:variant>
        <vt:lpwstr/>
      </vt:variant>
      <vt:variant>
        <vt:lpwstr>_Toc98773113</vt:lpwstr>
      </vt:variant>
      <vt:variant>
        <vt:i4>1769532</vt:i4>
      </vt:variant>
      <vt:variant>
        <vt:i4>155</vt:i4>
      </vt:variant>
      <vt:variant>
        <vt:i4>0</vt:i4>
      </vt:variant>
      <vt:variant>
        <vt:i4>5</vt:i4>
      </vt:variant>
      <vt:variant>
        <vt:lpwstr/>
      </vt:variant>
      <vt:variant>
        <vt:lpwstr>_Toc98773112</vt:lpwstr>
      </vt:variant>
      <vt:variant>
        <vt:i4>1572924</vt:i4>
      </vt:variant>
      <vt:variant>
        <vt:i4>149</vt:i4>
      </vt:variant>
      <vt:variant>
        <vt:i4>0</vt:i4>
      </vt:variant>
      <vt:variant>
        <vt:i4>5</vt:i4>
      </vt:variant>
      <vt:variant>
        <vt:lpwstr/>
      </vt:variant>
      <vt:variant>
        <vt:lpwstr>_Toc98773111</vt:lpwstr>
      </vt:variant>
      <vt:variant>
        <vt:i4>1638460</vt:i4>
      </vt:variant>
      <vt:variant>
        <vt:i4>143</vt:i4>
      </vt:variant>
      <vt:variant>
        <vt:i4>0</vt:i4>
      </vt:variant>
      <vt:variant>
        <vt:i4>5</vt:i4>
      </vt:variant>
      <vt:variant>
        <vt:lpwstr/>
      </vt:variant>
      <vt:variant>
        <vt:lpwstr>_Toc98773110</vt:lpwstr>
      </vt:variant>
      <vt:variant>
        <vt:i4>1048637</vt:i4>
      </vt:variant>
      <vt:variant>
        <vt:i4>137</vt:i4>
      </vt:variant>
      <vt:variant>
        <vt:i4>0</vt:i4>
      </vt:variant>
      <vt:variant>
        <vt:i4>5</vt:i4>
      </vt:variant>
      <vt:variant>
        <vt:lpwstr/>
      </vt:variant>
      <vt:variant>
        <vt:lpwstr>_Toc98773109</vt:lpwstr>
      </vt:variant>
      <vt:variant>
        <vt:i4>1114173</vt:i4>
      </vt:variant>
      <vt:variant>
        <vt:i4>131</vt:i4>
      </vt:variant>
      <vt:variant>
        <vt:i4>0</vt:i4>
      </vt:variant>
      <vt:variant>
        <vt:i4>5</vt:i4>
      </vt:variant>
      <vt:variant>
        <vt:lpwstr/>
      </vt:variant>
      <vt:variant>
        <vt:lpwstr>_Toc98773108</vt:lpwstr>
      </vt:variant>
      <vt:variant>
        <vt:i4>1966141</vt:i4>
      </vt:variant>
      <vt:variant>
        <vt:i4>125</vt:i4>
      </vt:variant>
      <vt:variant>
        <vt:i4>0</vt:i4>
      </vt:variant>
      <vt:variant>
        <vt:i4>5</vt:i4>
      </vt:variant>
      <vt:variant>
        <vt:lpwstr/>
      </vt:variant>
      <vt:variant>
        <vt:lpwstr>_Toc98773107</vt:lpwstr>
      </vt:variant>
      <vt:variant>
        <vt:i4>2031677</vt:i4>
      </vt:variant>
      <vt:variant>
        <vt:i4>119</vt:i4>
      </vt:variant>
      <vt:variant>
        <vt:i4>0</vt:i4>
      </vt:variant>
      <vt:variant>
        <vt:i4>5</vt:i4>
      </vt:variant>
      <vt:variant>
        <vt:lpwstr/>
      </vt:variant>
      <vt:variant>
        <vt:lpwstr>_Toc98773106</vt:lpwstr>
      </vt:variant>
      <vt:variant>
        <vt:i4>1835069</vt:i4>
      </vt:variant>
      <vt:variant>
        <vt:i4>113</vt:i4>
      </vt:variant>
      <vt:variant>
        <vt:i4>0</vt:i4>
      </vt:variant>
      <vt:variant>
        <vt:i4>5</vt:i4>
      </vt:variant>
      <vt:variant>
        <vt:lpwstr/>
      </vt:variant>
      <vt:variant>
        <vt:lpwstr>_Toc98773105</vt:lpwstr>
      </vt:variant>
      <vt:variant>
        <vt:i4>1900605</vt:i4>
      </vt:variant>
      <vt:variant>
        <vt:i4>107</vt:i4>
      </vt:variant>
      <vt:variant>
        <vt:i4>0</vt:i4>
      </vt:variant>
      <vt:variant>
        <vt:i4>5</vt:i4>
      </vt:variant>
      <vt:variant>
        <vt:lpwstr/>
      </vt:variant>
      <vt:variant>
        <vt:lpwstr>_Toc98773104</vt:lpwstr>
      </vt:variant>
      <vt:variant>
        <vt:i4>1703997</vt:i4>
      </vt:variant>
      <vt:variant>
        <vt:i4>101</vt:i4>
      </vt:variant>
      <vt:variant>
        <vt:i4>0</vt:i4>
      </vt:variant>
      <vt:variant>
        <vt:i4>5</vt:i4>
      </vt:variant>
      <vt:variant>
        <vt:lpwstr/>
      </vt:variant>
      <vt:variant>
        <vt:lpwstr>_Toc98773103</vt:lpwstr>
      </vt:variant>
      <vt:variant>
        <vt:i4>1769533</vt:i4>
      </vt:variant>
      <vt:variant>
        <vt:i4>95</vt:i4>
      </vt:variant>
      <vt:variant>
        <vt:i4>0</vt:i4>
      </vt:variant>
      <vt:variant>
        <vt:i4>5</vt:i4>
      </vt:variant>
      <vt:variant>
        <vt:lpwstr/>
      </vt:variant>
      <vt:variant>
        <vt:lpwstr>_Toc98773102</vt:lpwstr>
      </vt:variant>
      <vt:variant>
        <vt:i4>1572925</vt:i4>
      </vt:variant>
      <vt:variant>
        <vt:i4>89</vt:i4>
      </vt:variant>
      <vt:variant>
        <vt:i4>0</vt:i4>
      </vt:variant>
      <vt:variant>
        <vt:i4>5</vt:i4>
      </vt:variant>
      <vt:variant>
        <vt:lpwstr/>
      </vt:variant>
      <vt:variant>
        <vt:lpwstr>_Toc98773101</vt:lpwstr>
      </vt:variant>
      <vt:variant>
        <vt:i4>1638461</vt:i4>
      </vt:variant>
      <vt:variant>
        <vt:i4>83</vt:i4>
      </vt:variant>
      <vt:variant>
        <vt:i4>0</vt:i4>
      </vt:variant>
      <vt:variant>
        <vt:i4>5</vt:i4>
      </vt:variant>
      <vt:variant>
        <vt:lpwstr/>
      </vt:variant>
      <vt:variant>
        <vt:lpwstr>_Toc98773100</vt:lpwstr>
      </vt:variant>
      <vt:variant>
        <vt:i4>1114164</vt:i4>
      </vt:variant>
      <vt:variant>
        <vt:i4>77</vt:i4>
      </vt:variant>
      <vt:variant>
        <vt:i4>0</vt:i4>
      </vt:variant>
      <vt:variant>
        <vt:i4>5</vt:i4>
      </vt:variant>
      <vt:variant>
        <vt:lpwstr/>
      </vt:variant>
      <vt:variant>
        <vt:lpwstr>_Toc98773099</vt:lpwstr>
      </vt:variant>
      <vt:variant>
        <vt:i4>1048628</vt:i4>
      </vt:variant>
      <vt:variant>
        <vt:i4>71</vt:i4>
      </vt:variant>
      <vt:variant>
        <vt:i4>0</vt:i4>
      </vt:variant>
      <vt:variant>
        <vt:i4>5</vt:i4>
      </vt:variant>
      <vt:variant>
        <vt:lpwstr/>
      </vt:variant>
      <vt:variant>
        <vt:lpwstr>_Toc98773098</vt:lpwstr>
      </vt:variant>
      <vt:variant>
        <vt:i4>2031668</vt:i4>
      </vt:variant>
      <vt:variant>
        <vt:i4>65</vt:i4>
      </vt:variant>
      <vt:variant>
        <vt:i4>0</vt:i4>
      </vt:variant>
      <vt:variant>
        <vt:i4>5</vt:i4>
      </vt:variant>
      <vt:variant>
        <vt:lpwstr/>
      </vt:variant>
      <vt:variant>
        <vt:lpwstr>_Toc98773097</vt:lpwstr>
      </vt:variant>
      <vt:variant>
        <vt:i4>1966132</vt:i4>
      </vt:variant>
      <vt:variant>
        <vt:i4>59</vt:i4>
      </vt:variant>
      <vt:variant>
        <vt:i4>0</vt:i4>
      </vt:variant>
      <vt:variant>
        <vt:i4>5</vt:i4>
      </vt:variant>
      <vt:variant>
        <vt:lpwstr/>
      </vt:variant>
      <vt:variant>
        <vt:lpwstr>_Toc98773096</vt:lpwstr>
      </vt:variant>
      <vt:variant>
        <vt:i4>1900596</vt:i4>
      </vt:variant>
      <vt:variant>
        <vt:i4>53</vt:i4>
      </vt:variant>
      <vt:variant>
        <vt:i4>0</vt:i4>
      </vt:variant>
      <vt:variant>
        <vt:i4>5</vt:i4>
      </vt:variant>
      <vt:variant>
        <vt:lpwstr/>
      </vt:variant>
      <vt:variant>
        <vt:lpwstr>_Toc98773095</vt:lpwstr>
      </vt:variant>
      <vt:variant>
        <vt:i4>1835060</vt:i4>
      </vt:variant>
      <vt:variant>
        <vt:i4>47</vt:i4>
      </vt:variant>
      <vt:variant>
        <vt:i4>0</vt:i4>
      </vt:variant>
      <vt:variant>
        <vt:i4>5</vt:i4>
      </vt:variant>
      <vt:variant>
        <vt:lpwstr/>
      </vt:variant>
      <vt:variant>
        <vt:lpwstr>_Toc98773094</vt:lpwstr>
      </vt:variant>
      <vt:variant>
        <vt:i4>1769524</vt:i4>
      </vt:variant>
      <vt:variant>
        <vt:i4>41</vt:i4>
      </vt:variant>
      <vt:variant>
        <vt:i4>0</vt:i4>
      </vt:variant>
      <vt:variant>
        <vt:i4>5</vt:i4>
      </vt:variant>
      <vt:variant>
        <vt:lpwstr/>
      </vt:variant>
      <vt:variant>
        <vt:lpwstr>_Toc98773093</vt:lpwstr>
      </vt:variant>
      <vt:variant>
        <vt:i4>1703988</vt:i4>
      </vt:variant>
      <vt:variant>
        <vt:i4>35</vt:i4>
      </vt:variant>
      <vt:variant>
        <vt:i4>0</vt:i4>
      </vt:variant>
      <vt:variant>
        <vt:i4>5</vt:i4>
      </vt:variant>
      <vt:variant>
        <vt:lpwstr/>
      </vt:variant>
      <vt:variant>
        <vt:lpwstr>_Toc98773092</vt:lpwstr>
      </vt:variant>
      <vt:variant>
        <vt:i4>1638452</vt:i4>
      </vt:variant>
      <vt:variant>
        <vt:i4>29</vt:i4>
      </vt:variant>
      <vt:variant>
        <vt:i4>0</vt:i4>
      </vt:variant>
      <vt:variant>
        <vt:i4>5</vt:i4>
      </vt:variant>
      <vt:variant>
        <vt:lpwstr/>
      </vt:variant>
      <vt:variant>
        <vt:lpwstr>_Toc98773091</vt:lpwstr>
      </vt:variant>
      <vt:variant>
        <vt:i4>1572916</vt:i4>
      </vt:variant>
      <vt:variant>
        <vt:i4>23</vt:i4>
      </vt:variant>
      <vt:variant>
        <vt:i4>0</vt:i4>
      </vt:variant>
      <vt:variant>
        <vt:i4>5</vt:i4>
      </vt:variant>
      <vt:variant>
        <vt:lpwstr/>
      </vt:variant>
      <vt:variant>
        <vt:lpwstr>_Toc98773090</vt:lpwstr>
      </vt:variant>
      <vt:variant>
        <vt:i4>1114165</vt:i4>
      </vt:variant>
      <vt:variant>
        <vt:i4>17</vt:i4>
      </vt:variant>
      <vt:variant>
        <vt:i4>0</vt:i4>
      </vt:variant>
      <vt:variant>
        <vt:i4>5</vt:i4>
      </vt:variant>
      <vt:variant>
        <vt:lpwstr/>
      </vt:variant>
      <vt:variant>
        <vt:lpwstr>_Toc98773089</vt:lpwstr>
      </vt:variant>
      <vt:variant>
        <vt:i4>1048629</vt:i4>
      </vt:variant>
      <vt:variant>
        <vt:i4>11</vt:i4>
      </vt:variant>
      <vt:variant>
        <vt:i4>0</vt:i4>
      </vt:variant>
      <vt:variant>
        <vt:i4>5</vt:i4>
      </vt:variant>
      <vt:variant>
        <vt:lpwstr/>
      </vt:variant>
      <vt:variant>
        <vt:lpwstr>_Toc98773088</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6750263</vt:i4>
      </vt:variant>
      <vt:variant>
        <vt:i4>0</vt:i4>
      </vt:variant>
      <vt:variant>
        <vt:i4>0</vt:i4>
      </vt:variant>
      <vt:variant>
        <vt:i4>5</vt:i4>
      </vt:variant>
      <vt:variant>
        <vt:lpwstr>http://www.abs.gov.au/websitedbs/D3310114.nsf/home/remoteness+structure</vt:lpwstr>
      </vt:variant>
      <vt:variant>
        <vt:lpwstr/>
      </vt:variant>
      <vt:variant>
        <vt:i4>8192081</vt:i4>
      </vt:variant>
      <vt:variant>
        <vt:i4>15</vt:i4>
      </vt:variant>
      <vt:variant>
        <vt:i4>0</vt:i4>
      </vt:variant>
      <vt:variant>
        <vt:i4>5</vt:i4>
      </vt:variant>
      <vt:variant>
        <vt:lpwstr>mailto:Jada.CHING@ihpa.gov.au</vt:lpwstr>
      </vt:variant>
      <vt:variant>
        <vt:lpwstr/>
      </vt:variant>
      <vt:variant>
        <vt:i4>8192081</vt:i4>
      </vt:variant>
      <vt:variant>
        <vt:i4>12</vt:i4>
      </vt:variant>
      <vt:variant>
        <vt:i4>0</vt:i4>
      </vt:variant>
      <vt:variant>
        <vt:i4>5</vt:i4>
      </vt:variant>
      <vt:variant>
        <vt:lpwstr>mailto:Jada.CHING@ihpa.gov.au</vt:lpwstr>
      </vt:variant>
      <vt:variant>
        <vt:lpwstr/>
      </vt:variant>
      <vt:variant>
        <vt:i4>4194344</vt:i4>
      </vt:variant>
      <vt:variant>
        <vt:i4>9</vt:i4>
      </vt:variant>
      <vt:variant>
        <vt:i4>0</vt:i4>
      </vt:variant>
      <vt:variant>
        <vt:i4>5</vt:i4>
      </vt:variant>
      <vt:variant>
        <vt:lpwstr>mailto:TRANFL@health.gov.au</vt:lpwstr>
      </vt:variant>
      <vt:variant>
        <vt:lpwstr/>
      </vt:variant>
      <vt:variant>
        <vt:i4>3604492</vt:i4>
      </vt:variant>
      <vt:variant>
        <vt:i4>6</vt:i4>
      </vt:variant>
      <vt:variant>
        <vt:i4>0</vt:i4>
      </vt:variant>
      <vt:variant>
        <vt:i4>5</vt:i4>
      </vt:variant>
      <vt:variant>
        <vt:lpwstr>mailto:Matthew.HUGHES@IHPA.GOV.AU</vt:lpwstr>
      </vt:variant>
      <vt:variant>
        <vt:lpwstr/>
      </vt:variant>
      <vt:variant>
        <vt:i4>3604492</vt:i4>
      </vt:variant>
      <vt:variant>
        <vt:i4>3</vt:i4>
      </vt:variant>
      <vt:variant>
        <vt:i4>0</vt:i4>
      </vt:variant>
      <vt:variant>
        <vt:i4>5</vt:i4>
      </vt:variant>
      <vt:variant>
        <vt:lpwstr>mailto:Matthew.HUGHES@IHPA.GOV.AU</vt:lpwstr>
      </vt:variant>
      <vt:variant>
        <vt:lpwstr/>
      </vt:variant>
      <vt:variant>
        <vt:i4>3604492</vt:i4>
      </vt:variant>
      <vt:variant>
        <vt:i4>0</vt:i4>
      </vt:variant>
      <vt:variant>
        <vt:i4>0</vt:i4>
      </vt:variant>
      <vt:variant>
        <vt:i4>5</vt:i4>
      </vt:variant>
      <vt:variant>
        <vt:lpwstr>mailto:Matthew.HUGHES@ihpa.gov.au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Pricing Model Technical Specifications 2020-21</dc:title>
  <dc:subject/>
  <dc:creator>Independent Hospital Pricing Authority</dc:creator>
  <cp:keywords/>
  <cp:lastModifiedBy>CHING, Jada</cp:lastModifiedBy>
  <cp:revision>2</cp:revision>
  <cp:lastPrinted>2022-07-01T03:58:00Z</cp:lastPrinted>
  <dcterms:created xsi:type="dcterms:W3CDTF">2022-07-07T01:01:00Z</dcterms:created>
  <dcterms:modified xsi:type="dcterms:W3CDTF">2022-07-07T01:01:00Z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ies>
</file>