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5F579" w14:textId="77777777" w:rsidR="00CC586D" w:rsidRPr="00AE4DEE" w:rsidRDefault="00CC586D" w:rsidP="008C2111">
      <w:pPr>
        <w:pStyle w:val="Organisation"/>
      </w:pPr>
      <w:r w:rsidRPr="00AE4DEE">
        <w:t>Independent Hospital Pricing Authority</w:t>
      </w:r>
    </w:p>
    <w:p w14:paraId="12C71A52" w14:textId="77777777" w:rsidR="00102824" w:rsidRPr="00AE4DEE" w:rsidRDefault="00AA5A52" w:rsidP="002445A1">
      <w:pPr>
        <w:pStyle w:val="Title"/>
      </w:pPr>
      <w:bookmarkStart w:id="0" w:name="_Toc91247462"/>
      <w:bookmarkStart w:id="1" w:name="_Toc93501805"/>
      <w:bookmarkStart w:id="2" w:name="_Toc103086967"/>
      <w:r w:rsidRPr="00AE4DEE">
        <w:t>National Pricing Model Stability Policy</w:t>
      </w:r>
      <w:bookmarkEnd w:id="0"/>
      <w:bookmarkEnd w:id="1"/>
      <w:bookmarkEnd w:id="2"/>
    </w:p>
    <w:p w14:paraId="7B497CE6" w14:textId="2959C99D" w:rsidR="00BC1032" w:rsidRPr="00AE4DEE" w:rsidRDefault="00593C9D" w:rsidP="00BC1032">
      <w:pPr>
        <w:pStyle w:val="Versionanddate"/>
      </w:pPr>
      <w:r w:rsidRPr="00AE4DEE">
        <w:t>May 2022</w:t>
      </w:r>
    </w:p>
    <w:p w14:paraId="4D497DD6" w14:textId="77777777" w:rsidR="0035219F" w:rsidRPr="00AE4DEE" w:rsidRDefault="00043CF6" w:rsidP="0035219F">
      <w:r w:rsidRPr="00AE4DEE">
        <w:rPr>
          <w:b/>
          <w:noProof/>
          <w:color w:val="008542" w:themeColor="accent2"/>
          <w:sz w:val="16"/>
          <w:szCs w:val="16"/>
        </w:rPr>
        <w:drawing>
          <wp:anchor distT="0" distB="0" distL="114300" distR="114300" simplePos="0" relativeHeight="251674624" behindDoc="1" locked="1" layoutInCell="0" allowOverlap="1" wp14:anchorId="0359B8D5" wp14:editId="2414876A">
            <wp:simplePos x="0" y="0"/>
            <wp:positionH relativeFrom="page">
              <wp:align>right</wp:align>
            </wp:positionH>
            <wp:positionV relativeFrom="page">
              <wp:align>top</wp:align>
            </wp:positionV>
            <wp:extent cx="7561580" cy="10678795"/>
            <wp:effectExtent l="0" t="0" r="1270" b="825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1580" cy="10678795"/>
                    </a:xfrm>
                    <a:prstGeom prst="rect">
                      <a:avLst/>
                    </a:prstGeom>
                  </pic:spPr>
                </pic:pic>
              </a:graphicData>
            </a:graphic>
            <wp14:sizeRelH relativeFrom="margin">
              <wp14:pctWidth>0</wp14:pctWidth>
            </wp14:sizeRelH>
            <wp14:sizeRelV relativeFrom="margin">
              <wp14:pctHeight>0</wp14:pctHeight>
            </wp14:sizeRelV>
          </wp:anchor>
        </w:drawing>
      </w:r>
      <w:r w:rsidR="0035219F" w:rsidRPr="00AE4DEE">
        <w:br w:type="page"/>
      </w:r>
    </w:p>
    <w:p w14:paraId="176D655E" w14:textId="77777777" w:rsidR="008C2111" w:rsidRPr="00AE4DEE" w:rsidRDefault="008C2111" w:rsidP="008C2111">
      <w:pPr>
        <w:pStyle w:val="Versionanddate"/>
        <w:sectPr w:rsidR="008C2111" w:rsidRPr="00AE4DEE" w:rsidSect="008C2111">
          <w:headerReference w:type="default" r:id="rId9"/>
          <w:pgSz w:w="11906" w:h="16838" w:code="9"/>
          <w:pgMar w:top="2041" w:right="3232" w:bottom="1021" w:left="1021" w:header="680" w:footer="510" w:gutter="0"/>
          <w:pgNumType w:start="1"/>
          <w:cols w:space="708"/>
          <w:docGrid w:linePitch="360"/>
        </w:sectPr>
      </w:pPr>
    </w:p>
    <w:p w14:paraId="5AD68CD5" w14:textId="14E25B8D" w:rsidR="00BC1032" w:rsidRPr="00AE4DEE" w:rsidRDefault="00AA5A52" w:rsidP="008C2111">
      <w:pPr>
        <w:pStyle w:val="Report"/>
      </w:pPr>
      <w:r w:rsidRPr="00AE4DEE">
        <w:lastRenderedPageBreak/>
        <w:t xml:space="preserve">National Pricing Model Stability Policy – </w:t>
      </w:r>
      <w:r w:rsidR="004E22BE" w:rsidRPr="00AE4DEE">
        <w:t xml:space="preserve">Version </w:t>
      </w:r>
      <w:r w:rsidR="00B97CF1" w:rsidRPr="00AE4DEE">
        <w:t>5.0</w:t>
      </w:r>
      <w:r w:rsidR="004E22BE" w:rsidRPr="00AE4DEE">
        <w:t xml:space="preserve"> </w:t>
      </w:r>
      <w:r w:rsidR="00593C9D" w:rsidRPr="00AE4DEE">
        <w:t>May 2022</w:t>
      </w:r>
    </w:p>
    <w:p w14:paraId="73E59E5E" w14:textId="77777777" w:rsidR="00BC1032" w:rsidRPr="00AE4DEE" w:rsidRDefault="00BC1032" w:rsidP="00BC1032"/>
    <w:p w14:paraId="4AF977EE" w14:textId="4ADEEC17" w:rsidR="00BC1032" w:rsidRPr="00AE4DEE" w:rsidRDefault="00BC1032" w:rsidP="00BC1032">
      <w:r w:rsidRPr="00AE4DEE">
        <w:t>© Independent Hospital Pricing Authority 20</w:t>
      </w:r>
      <w:r w:rsidR="002029AC" w:rsidRPr="00AE4DEE">
        <w:t>2</w:t>
      </w:r>
      <w:r w:rsidR="004E22BE" w:rsidRPr="00AE4DEE">
        <w:t>2</w:t>
      </w:r>
    </w:p>
    <w:p w14:paraId="5F7AC1FF" w14:textId="77777777" w:rsidR="00BC1032" w:rsidRPr="00AE4DEE" w:rsidRDefault="00BC1032" w:rsidP="00BC1032">
      <w:r w:rsidRPr="00AE4DEE">
        <w:t xml:space="preserve">This publication is available for your use under a </w:t>
      </w:r>
      <w:hyperlink r:id="rId10" w:history="1">
        <w:r w:rsidRPr="00AE4DEE">
          <w:t>Creative Commons BY Attribution 3.0 Australia</w:t>
        </w:r>
      </w:hyperlink>
      <w:r w:rsidRPr="00AE4DEE">
        <w:t xml:space="preserve"> licence, </w:t>
      </w:r>
      <w:proofErr w:type="gramStart"/>
      <w:r w:rsidRPr="00AE4DEE">
        <w:t>with the exception of</w:t>
      </w:r>
      <w:proofErr w:type="gramEnd"/>
      <w:r w:rsidRPr="00AE4DEE">
        <w:t xml:space="preserve"> the Independent Hospital Pricing Authority logo, photographs, images, signatures and where otherwise stated. The full licence terms are available from </w:t>
      </w:r>
      <w:hyperlink r:id="rId11" w:history="1">
        <w:r w:rsidRPr="00AE4DEE">
          <w:t>the Creative Commons website</w:t>
        </w:r>
      </w:hyperlink>
      <w:r w:rsidRPr="00AE4DEE">
        <w:t>.</w:t>
      </w:r>
    </w:p>
    <w:p w14:paraId="037139FE" w14:textId="77777777" w:rsidR="00BC1032" w:rsidRPr="00AE4DEE" w:rsidRDefault="00BC1032" w:rsidP="00BC1032">
      <w:r w:rsidRPr="00AE4DEE">
        <w:rPr>
          <w:rFonts w:cs="Calibri"/>
          <w:noProof/>
          <w:sz w:val="24"/>
        </w:rPr>
        <w:drawing>
          <wp:inline distT="0" distB="0" distL="0" distR="0" wp14:anchorId="429BC4A6" wp14:editId="6CD3F7A8">
            <wp:extent cx="804087" cy="285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29CA7D65" w14:textId="77777777" w:rsidR="00BC1032" w:rsidRPr="00AE4DEE" w:rsidRDefault="00BC1032" w:rsidP="00BC1032">
      <w:r w:rsidRPr="00AE4DEE">
        <w:t xml:space="preserve">Use of Independent Hospital Pricing Authority material under a </w:t>
      </w:r>
      <w:hyperlink r:id="rId13" w:history="1">
        <w:r w:rsidRPr="00AE4DEE">
          <w:t>Creative Commons BY Attribution 3.0 Australia</w:t>
        </w:r>
      </w:hyperlink>
      <w:r w:rsidRPr="00AE4DEE">
        <w:t xml:space="preserve"> licence requires you to attribute the work (but not in any way that suggests that the Independent Hospital Pricing Authority endorses you or your use of the work).</w:t>
      </w:r>
    </w:p>
    <w:p w14:paraId="58396767" w14:textId="77777777" w:rsidR="00BC1032" w:rsidRPr="00AE4DEE" w:rsidRDefault="00BC1032" w:rsidP="00BC1032">
      <w:pPr>
        <w:rPr>
          <w:i/>
        </w:rPr>
      </w:pPr>
      <w:r w:rsidRPr="00AE4DEE">
        <w:rPr>
          <w:i/>
        </w:rPr>
        <w:t>Independent Hospital Pricing Authority material used 'as supplied'.</w:t>
      </w:r>
    </w:p>
    <w:p w14:paraId="2D40C0D9" w14:textId="77777777" w:rsidR="00BC1032" w:rsidRPr="00AE4DEE" w:rsidRDefault="00BC1032" w:rsidP="00BC1032">
      <w:r w:rsidRPr="00AE4DEE">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283303EC" w14:textId="77777777" w:rsidR="00BC1032" w:rsidRPr="00AE4DEE" w:rsidRDefault="00BC1032" w:rsidP="00BC1032">
      <w:pPr>
        <w:pStyle w:val="NormalIndent"/>
        <w:rPr>
          <w:i/>
        </w:rPr>
      </w:pPr>
      <w:r w:rsidRPr="00AE4DEE">
        <w:rPr>
          <w:i/>
        </w:rPr>
        <w:t>Source: The Independent Hospital Pricing Authority</w:t>
      </w:r>
      <w:r w:rsidRPr="00AE4DEE">
        <w:rPr>
          <w:i/>
        </w:rPr>
        <w:br w:type="page"/>
      </w:r>
    </w:p>
    <w:p w14:paraId="482A4C53" w14:textId="77777777" w:rsidR="002029AC" w:rsidRPr="00AE4DEE" w:rsidRDefault="002029AC" w:rsidP="002029AC">
      <w:pPr>
        <w:pStyle w:val="Heading1"/>
        <w:numPr>
          <w:ilvl w:val="0"/>
          <w:numId w:val="0"/>
        </w:numPr>
        <w:ind w:left="709" w:hanging="709"/>
      </w:pPr>
      <w:bookmarkStart w:id="3" w:name="_Toc91247463"/>
      <w:bookmarkStart w:id="4" w:name="_Toc93501806"/>
      <w:bookmarkStart w:id="5" w:name="_Toc103086968"/>
      <w:r w:rsidRPr="00AE4DEE">
        <w:lastRenderedPageBreak/>
        <w:t>Table of contents</w:t>
      </w:r>
      <w:bookmarkEnd w:id="3"/>
      <w:bookmarkEnd w:id="4"/>
      <w:bookmarkEnd w:id="5"/>
    </w:p>
    <w:p w14:paraId="6951E866" w14:textId="10B21C4A" w:rsidR="00AE4DEE" w:rsidRDefault="003E0845">
      <w:pPr>
        <w:pStyle w:val="TOC1"/>
        <w:tabs>
          <w:tab w:val="right" w:leader="dot" w:pos="9435"/>
        </w:tabs>
        <w:rPr>
          <w:rFonts w:asciiTheme="minorHAnsi" w:eastAsiaTheme="minorEastAsia" w:hAnsiTheme="minorHAnsi" w:cstheme="minorBidi"/>
          <w:b w:val="0"/>
          <w:szCs w:val="22"/>
        </w:rPr>
      </w:pPr>
      <w:r w:rsidRPr="00AE4DEE">
        <w:rPr>
          <w:b w:val="0"/>
        </w:rPr>
        <w:fldChar w:fldCharType="begin"/>
      </w:r>
      <w:r w:rsidRPr="00AE4DEE">
        <w:rPr>
          <w:b w:val="0"/>
        </w:rPr>
        <w:instrText xml:space="preserve"> TOC \o "1-2" \h \z \u </w:instrText>
      </w:r>
      <w:r w:rsidRPr="00AE4DEE">
        <w:rPr>
          <w:b w:val="0"/>
        </w:rPr>
        <w:fldChar w:fldCharType="separate"/>
      </w:r>
      <w:hyperlink w:anchor="_Toc103086969" w:history="1">
        <w:r w:rsidR="00AE4DEE" w:rsidRPr="00747244">
          <w:rPr>
            <w:rStyle w:val="Hyperlink"/>
          </w:rPr>
          <w:t>Acronyms and abbreviations</w:t>
        </w:r>
        <w:r w:rsidR="00AE4DEE">
          <w:rPr>
            <w:webHidden/>
          </w:rPr>
          <w:tab/>
        </w:r>
        <w:r w:rsidR="00AE4DEE">
          <w:rPr>
            <w:webHidden/>
          </w:rPr>
          <w:fldChar w:fldCharType="begin"/>
        </w:r>
        <w:r w:rsidR="00AE4DEE">
          <w:rPr>
            <w:webHidden/>
          </w:rPr>
          <w:instrText xml:space="preserve"> PAGEREF _Toc103086969 \h </w:instrText>
        </w:r>
        <w:r w:rsidR="00AE4DEE">
          <w:rPr>
            <w:webHidden/>
          </w:rPr>
        </w:r>
        <w:r w:rsidR="00AE4DEE">
          <w:rPr>
            <w:webHidden/>
          </w:rPr>
          <w:fldChar w:fldCharType="separate"/>
        </w:r>
        <w:r w:rsidR="00AE4DEE">
          <w:rPr>
            <w:webHidden/>
          </w:rPr>
          <w:t>3</w:t>
        </w:r>
        <w:r w:rsidR="00AE4DEE">
          <w:rPr>
            <w:webHidden/>
          </w:rPr>
          <w:fldChar w:fldCharType="end"/>
        </w:r>
      </w:hyperlink>
    </w:p>
    <w:p w14:paraId="064D7F94" w14:textId="0531F1A0" w:rsidR="00AE4DEE" w:rsidRDefault="00AE4DEE">
      <w:pPr>
        <w:pStyle w:val="TOC1"/>
        <w:tabs>
          <w:tab w:val="right" w:leader="dot" w:pos="9435"/>
        </w:tabs>
        <w:rPr>
          <w:rFonts w:asciiTheme="minorHAnsi" w:eastAsiaTheme="minorEastAsia" w:hAnsiTheme="minorHAnsi" w:cstheme="minorBidi"/>
          <w:b w:val="0"/>
          <w:szCs w:val="22"/>
        </w:rPr>
      </w:pPr>
      <w:hyperlink w:anchor="_Toc103086970" w:history="1">
        <w:r w:rsidRPr="00747244">
          <w:rPr>
            <w:rStyle w:val="Hyperlink"/>
          </w:rPr>
          <w:t>Definitions</w:t>
        </w:r>
        <w:r>
          <w:rPr>
            <w:webHidden/>
          </w:rPr>
          <w:tab/>
        </w:r>
        <w:r>
          <w:rPr>
            <w:webHidden/>
          </w:rPr>
          <w:fldChar w:fldCharType="begin"/>
        </w:r>
        <w:r>
          <w:rPr>
            <w:webHidden/>
          </w:rPr>
          <w:instrText xml:space="preserve"> PAGEREF _Toc103086970 \h </w:instrText>
        </w:r>
        <w:r>
          <w:rPr>
            <w:webHidden/>
          </w:rPr>
        </w:r>
        <w:r>
          <w:rPr>
            <w:webHidden/>
          </w:rPr>
          <w:fldChar w:fldCharType="separate"/>
        </w:r>
        <w:r>
          <w:rPr>
            <w:webHidden/>
          </w:rPr>
          <w:t>4</w:t>
        </w:r>
        <w:r>
          <w:rPr>
            <w:webHidden/>
          </w:rPr>
          <w:fldChar w:fldCharType="end"/>
        </w:r>
      </w:hyperlink>
    </w:p>
    <w:p w14:paraId="6624012B" w14:textId="60D81BAF" w:rsidR="00AE4DEE" w:rsidRDefault="00AE4DEE">
      <w:pPr>
        <w:pStyle w:val="TOC1"/>
        <w:tabs>
          <w:tab w:val="left" w:pos="440"/>
          <w:tab w:val="right" w:leader="dot" w:pos="9435"/>
        </w:tabs>
        <w:rPr>
          <w:rFonts w:asciiTheme="minorHAnsi" w:eastAsiaTheme="minorEastAsia" w:hAnsiTheme="minorHAnsi" w:cstheme="minorBidi"/>
          <w:b w:val="0"/>
          <w:szCs w:val="22"/>
        </w:rPr>
      </w:pPr>
      <w:hyperlink w:anchor="_Toc103086971" w:history="1">
        <w:r w:rsidRPr="00747244">
          <w:rPr>
            <w:rStyle w:val="Hyperlink"/>
          </w:rPr>
          <w:t>1.</w:t>
        </w:r>
        <w:r>
          <w:rPr>
            <w:rFonts w:asciiTheme="minorHAnsi" w:eastAsiaTheme="minorEastAsia" w:hAnsiTheme="minorHAnsi" w:cstheme="minorBidi"/>
            <w:b w:val="0"/>
            <w:szCs w:val="22"/>
          </w:rPr>
          <w:tab/>
        </w:r>
        <w:r w:rsidRPr="00747244">
          <w:rPr>
            <w:rStyle w:val="Hyperlink"/>
          </w:rPr>
          <w:t>Executive summary</w:t>
        </w:r>
        <w:r>
          <w:rPr>
            <w:webHidden/>
          </w:rPr>
          <w:tab/>
        </w:r>
        <w:r>
          <w:rPr>
            <w:webHidden/>
          </w:rPr>
          <w:fldChar w:fldCharType="begin"/>
        </w:r>
        <w:r>
          <w:rPr>
            <w:webHidden/>
          </w:rPr>
          <w:instrText xml:space="preserve"> PAGEREF _Toc103086971 \h </w:instrText>
        </w:r>
        <w:r>
          <w:rPr>
            <w:webHidden/>
          </w:rPr>
        </w:r>
        <w:r>
          <w:rPr>
            <w:webHidden/>
          </w:rPr>
          <w:fldChar w:fldCharType="separate"/>
        </w:r>
        <w:r>
          <w:rPr>
            <w:webHidden/>
          </w:rPr>
          <w:t>5</w:t>
        </w:r>
        <w:r>
          <w:rPr>
            <w:webHidden/>
          </w:rPr>
          <w:fldChar w:fldCharType="end"/>
        </w:r>
      </w:hyperlink>
    </w:p>
    <w:p w14:paraId="0E4DB580" w14:textId="51317785" w:rsidR="00AE4DEE" w:rsidRDefault="00AE4DEE">
      <w:pPr>
        <w:pStyle w:val="TOC2"/>
        <w:tabs>
          <w:tab w:val="left" w:pos="660"/>
          <w:tab w:val="right" w:leader="dot" w:pos="9435"/>
        </w:tabs>
        <w:rPr>
          <w:rFonts w:asciiTheme="minorHAnsi" w:eastAsiaTheme="minorEastAsia" w:hAnsiTheme="minorHAnsi" w:cstheme="minorBidi"/>
          <w:szCs w:val="22"/>
        </w:rPr>
      </w:pPr>
      <w:hyperlink w:anchor="_Toc103086972" w:history="1">
        <w:r w:rsidRPr="00747244">
          <w:rPr>
            <w:rStyle w:val="Hyperlink"/>
          </w:rPr>
          <w:t>1.1</w:t>
        </w:r>
        <w:r>
          <w:rPr>
            <w:rFonts w:asciiTheme="minorHAnsi" w:eastAsiaTheme="minorEastAsia" w:hAnsiTheme="minorHAnsi" w:cstheme="minorBidi"/>
            <w:szCs w:val="22"/>
          </w:rPr>
          <w:tab/>
        </w:r>
        <w:r w:rsidRPr="00747244">
          <w:rPr>
            <w:rStyle w:val="Hyperlink"/>
          </w:rPr>
          <w:t>Background</w:t>
        </w:r>
        <w:r>
          <w:rPr>
            <w:webHidden/>
          </w:rPr>
          <w:tab/>
        </w:r>
        <w:r>
          <w:rPr>
            <w:webHidden/>
          </w:rPr>
          <w:fldChar w:fldCharType="begin"/>
        </w:r>
        <w:r>
          <w:rPr>
            <w:webHidden/>
          </w:rPr>
          <w:instrText xml:space="preserve"> PAGEREF _Toc103086972 \h </w:instrText>
        </w:r>
        <w:r>
          <w:rPr>
            <w:webHidden/>
          </w:rPr>
        </w:r>
        <w:r>
          <w:rPr>
            <w:webHidden/>
          </w:rPr>
          <w:fldChar w:fldCharType="separate"/>
        </w:r>
        <w:r>
          <w:rPr>
            <w:webHidden/>
          </w:rPr>
          <w:t>5</w:t>
        </w:r>
        <w:r>
          <w:rPr>
            <w:webHidden/>
          </w:rPr>
          <w:fldChar w:fldCharType="end"/>
        </w:r>
      </w:hyperlink>
    </w:p>
    <w:p w14:paraId="5638B209" w14:textId="4CEC133B" w:rsidR="00AE4DEE" w:rsidRDefault="00AE4DEE">
      <w:pPr>
        <w:pStyle w:val="TOC2"/>
        <w:tabs>
          <w:tab w:val="left" w:pos="660"/>
          <w:tab w:val="right" w:leader="dot" w:pos="9435"/>
        </w:tabs>
        <w:rPr>
          <w:rFonts w:asciiTheme="minorHAnsi" w:eastAsiaTheme="minorEastAsia" w:hAnsiTheme="minorHAnsi" w:cstheme="minorBidi"/>
          <w:szCs w:val="22"/>
        </w:rPr>
      </w:pPr>
      <w:hyperlink w:anchor="_Toc103086973" w:history="1">
        <w:r w:rsidRPr="00747244">
          <w:rPr>
            <w:rStyle w:val="Hyperlink"/>
          </w:rPr>
          <w:t>1.2</w:t>
        </w:r>
        <w:r>
          <w:rPr>
            <w:rFonts w:asciiTheme="minorHAnsi" w:eastAsiaTheme="minorEastAsia" w:hAnsiTheme="minorHAnsi" w:cstheme="minorBidi"/>
            <w:szCs w:val="22"/>
          </w:rPr>
          <w:tab/>
        </w:r>
        <w:r w:rsidRPr="00747244">
          <w:rPr>
            <w:rStyle w:val="Hyperlink"/>
          </w:rPr>
          <w:t>Purpose</w:t>
        </w:r>
        <w:r>
          <w:rPr>
            <w:webHidden/>
          </w:rPr>
          <w:tab/>
        </w:r>
        <w:r>
          <w:rPr>
            <w:webHidden/>
          </w:rPr>
          <w:fldChar w:fldCharType="begin"/>
        </w:r>
        <w:r>
          <w:rPr>
            <w:webHidden/>
          </w:rPr>
          <w:instrText xml:space="preserve"> PAGEREF _Toc103086973 \h </w:instrText>
        </w:r>
        <w:r>
          <w:rPr>
            <w:webHidden/>
          </w:rPr>
        </w:r>
        <w:r>
          <w:rPr>
            <w:webHidden/>
          </w:rPr>
          <w:fldChar w:fldCharType="separate"/>
        </w:r>
        <w:r>
          <w:rPr>
            <w:webHidden/>
          </w:rPr>
          <w:t>5</w:t>
        </w:r>
        <w:r>
          <w:rPr>
            <w:webHidden/>
          </w:rPr>
          <w:fldChar w:fldCharType="end"/>
        </w:r>
      </w:hyperlink>
    </w:p>
    <w:p w14:paraId="5812E87F" w14:textId="52CD3708" w:rsidR="00AE4DEE" w:rsidRDefault="00AE4DEE">
      <w:pPr>
        <w:pStyle w:val="TOC2"/>
        <w:tabs>
          <w:tab w:val="left" w:pos="660"/>
          <w:tab w:val="right" w:leader="dot" w:pos="9435"/>
        </w:tabs>
        <w:rPr>
          <w:rFonts w:asciiTheme="minorHAnsi" w:eastAsiaTheme="minorEastAsia" w:hAnsiTheme="minorHAnsi" w:cstheme="minorBidi"/>
          <w:szCs w:val="22"/>
        </w:rPr>
      </w:pPr>
      <w:hyperlink w:anchor="_Toc103086974" w:history="1">
        <w:r w:rsidRPr="00747244">
          <w:rPr>
            <w:rStyle w:val="Hyperlink"/>
          </w:rPr>
          <w:t>1.3</w:t>
        </w:r>
        <w:r>
          <w:rPr>
            <w:rFonts w:asciiTheme="minorHAnsi" w:eastAsiaTheme="minorEastAsia" w:hAnsiTheme="minorHAnsi" w:cstheme="minorBidi"/>
            <w:szCs w:val="22"/>
          </w:rPr>
          <w:tab/>
        </w:r>
        <w:r w:rsidRPr="00747244">
          <w:rPr>
            <w:rStyle w:val="Hyperlink"/>
          </w:rPr>
          <w:t>Review</w:t>
        </w:r>
        <w:r>
          <w:rPr>
            <w:webHidden/>
          </w:rPr>
          <w:tab/>
        </w:r>
        <w:r>
          <w:rPr>
            <w:webHidden/>
          </w:rPr>
          <w:fldChar w:fldCharType="begin"/>
        </w:r>
        <w:r>
          <w:rPr>
            <w:webHidden/>
          </w:rPr>
          <w:instrText xml:space="preserve"> PAGEREF _Toc103086974 \h </w:instrText>
        </w:r>
        <w:r>
          <w:rPr>
            <w:webHidden/>
          </w:rPr>
        </w:r>
        <w:r>
          <w:rPr>
            <w:webHidden/>
          </w:rPr>
          <w:fldChar w:fldCharType="separate"/>
        </w:r>
        <w:r>
          <w:rPr>
            <w:webHidden/>
          </w:rPr>
          <w:t>5</w:t>
        </w:r>
        <w:r>
          <w:rPr>
            <w:webHidden/>
          </w:rPr>
          <w:fldChar w:fldCharType="end"/>
        </w:r>
      </w:hyperlink>
    </w:p>
    <w:p w14:paraId="686E392F" w14:textId="736D6AAC" w:rsidR="00AE4DEE" w:rsidRDefault="00AE4DEE">
      <w:pPr>
        <w:pStyle w:val="TOC1"/>
        <w:tabs>
          <w:tab w:val="left" w:pos="440"/>
          <w:tab w:val="right" w:leader="dot" w:pos="9435"/>
        </w:tabs>
        <w:rPr>
          <w:rFonts w:asciiTheme="minorHAnsi" w:eastAsiaTheme="minorEastAsia" w:hAnsiTheme="minorHAnsi" w:cstheme="minorBidi"/>
          <w:b w:val="0"/>
          <w:szCs w:val="22"/>
        </w:rPr>
      </w:pPr>
      <w:hyperlink w:anchor="_Toc103086975" w:history="1">
        <w:r w:rsidRPr="00747244">
          <w:rPr>
            <w:rStyle w:val="Hyperlink"/>
          </w:rPr>
          <w:t>2.</w:t>
        </w:r>
        <w:r>
          <w:rPr>
            <w:rFonts w:asciiTheme="minorHAnsi" w:eastAsiaTheme="minorEastAsia" w:hAnsiTheme="minorHAnsi" w:cstheme="minorBidi"/>
            <w:b w:val="0"/>
            <w:szCs w:val="22"/>
          </w:rPr>
          <w:tab/>
        </w:r>
        <w:r w:rsidRPr="00747244">
          <w:rPr>
            <w:rStyle w:val="Hyperlink"/>
          </w:rPr>
          <w:t>Context</w:t>
        </w:r>
        <w:r>
          <w:rPr>
            <w:webHidden/>
          </w:rPr>
          <w:tab/>
        </w:r>
        <w:r>
          <w:rPr>
            <w:webHidden/>
          </w:rPr>
          <w:fldChar w:fldCharType="begin"/>
        </w:r>
        <w:r>
          <w:rPr>
            <w:webHidden/>
          </w:rPr>
          <w:instrText xml:space="preserve"> PAGEREF _Toc103086975 \h </w:instrText>
        </w:r>
        <w:r>
          <w:rPr>
            <w:webHidden/>
          </w:rPr>
        </w:r>
        <w:r>
          <w:rPr>
            <w:webHidden/>
          </w:rPr>
          <w:fldChar w:fldCharType="separate"/>
        </w:r>
        <w:r>
          <w:rPr>
            <w:webHidden/>
          </w:rPr>
          <w:t>6</w:t>
        </w:r>
        <w:r>
          <w:rPr>
            <w:webHidden/>
          </w:rPr>
          <w:fldChar w:fldCharType="end"/>
        </w:r>
      </w:hyperlink>
    </w:p>
    <w:p w14:paraId="6794B33D" w14:textId="733AD98C" w:rsidR="00AE4DEE" w:rsidRDefault="00AE4DEE">
      <w:pPr>
        <w:pStyle w:val="TOC2"/>
        <w:tabs>
          <w:tab w:val="left" w:pos="660"/>
          <w:tab w:val="right" w:leader="dot" w:pos="9435"/>
        </w:tabs>
        <w:rPr>
          <w:rFonts w:asciiTheme="minorHAnsi" w:eastAsiaTheme="minorEastAsia" w:hAnsiTheme="minorHAnsi" w:cstheme="minorBidi"/>
          <w:szCs w:val="22"/>
        </w:rPr>
      </w:pPr>
      <w:hyperlink w:anchor="_Toc103086976" w:history="1">
        <w:r w:rsidRPr="00747244">
          <w:rPr>
            <w:rStyle w:val="Hyperlink"/>
          </w:rPr>
          <w:t>2.1</w:t>
        </w:r>
        <w:r>
          <w:rPr>
            <w:rFonts w:asciiTheme="minorHAnsi" w:eastAsiaTheme="minorEastAsia" w:hAnsiTheme="minorHAnsi" w:cstheme="minorBidi"/>
            <w:szCs w:val="22"/>
          </w:rPr>
          <w:tab/>
        </w:r>
        <w:r w:rsidRPr="00747244">
          <w:rPr>
            <w:rStyle w:val="Hyperlink"/>
          </w:rPr>
          <w:t>Policy statement</w:t>
        </w:r>
        <w:r>
          <w:rPr>
            <w:webHidden/>
          </w:rPr>
          <w:tab/>
        </w:r>
        <w:r>
          <w:rPr>
            <w:webHidden/>
          </w:rPr>
          <w:fldChar w:fldCharType="begin"/>
        </w:r>
        <w:r>
          <w:rPr>
            <w:webHidden/>
          </w:rPr>
          <w:instrText xml:space="preserve"> PAGEREF _Toc103086976 \h </w:instrText>
        </w:r>
        <w:r>
          <w:rPr>
            <w:webHidden/>
          </w:rPr>
        </w:r>
        <w:r>
          <w:rPr>
            <w:webHidden/>
          </w:rPr>
          <w:fldChar w:fldCharType="separate"/>
        </w:r>
        <w:r>
          <w:rPr>
            <w:webHidden/>
          </w:rPr>
          <w:t>6</w:t>
        </w:r>
        <w:r>
          <w:rPr>
            <w:webHidden/>
          </w:rPr>
          <w:fldChar w:fldCharType="end"/>
        </w:r>
      </w:hyperlink>
    </w:p>
    <w:p w14:paraId="4EAD0BF8" w14:textId="495B18E7" w:rsidR="00AE4DEE" w:rsidRDefault="00AE4DEE">
      <w:pPr>
        <w:pStyle w:val="TOC1"/>
        <w:tabs>
          <w:tab w:val="left" w:pos="440"/>
          <w:tab w:val="right" w:leader="dot" w:pos="9435"/>
        </w:tabs>
        <w:rPr>
          <w:rFonts w:asciiTheme="minorHAnsi" w:eastAsiaTheme="minorEastAsia" w:hAnsiTheme="minorHAnsi" w:cstheme="minorBidi"/>
          <w:b w:val="0"/>
          <w:szCs w:val="22"/>
        </w:rPr>
      </w:pPr>
      <w:hyperlink w:anchor="_Toc103086977" w:history="1">
        <w:r w:rsidRPr="00747244">
          <w:rPr>
            <w:rStyle w:val="Hyperlink"/>
          </w:rPr>
          <w:t>3.</w:t>
        </w:r>
        <w:r>
          <w:rPr>
            <w:rFonts w:asciiTheme="minorHAnsi" w:eastAsiaTheme="minorEastAsia" w:hAnsiTheme="minorHAnsi" w:cstheme="minorBidi"/>
            <w:b w:val="0"/>
            <w:szCs w:val="22"/>
          </w:rPr>
          <w:tab/>
        </w:r>
        <w:r w:rsidRPr="00747244">
          <w:rPr>
            <w:rStyle w:val="Hyperlink"/>
          </w:rPr>
          <w:t>Stabilisation process</w:t>
        </w:r>
        <w:r>
          <w:rPr>
            <w:webHidden/>
          </w:rPr>
          <w:tab/>
        </w:r>
        <w:r>
          <w:rPr>
            <w:webHidden/>
          </w:rPr>
          <w:fldChar w:fldCharType="begin"/>
        </w:r>
        <w:r>
          <w:rPr>
            <w:webHidden/>
          </w:rPr>
          <w:instrText xml:space="preserve"> PAGEREF _Toc103086977 \h </w:instrText>
        </w:r>
        <w:r>
          <w:rPr>
            <w:webHidden/>
          </w:rPr>
        </w:r>
        <w:r>
          <w:rPr>
            <w:webHidden/>
          </w:rPr>
          <w:fldChar w:fldCharType="separate"/>
        </w:r>
        <w:r>
          <w:rPr>
            <w:webHidden/>
          </w:rPr>
          <w:t>7</w:t>
        </w:r>
        <w:r>
          <w:rPr>
            <w:webHidden/>
          </w:rPr>
          <w:fldChar w:fldCharType="end"/>
        </w:r>
      </w:hyperlink>
    </w:p>
    <w:p w14:paraId="5FB0F6A5" w14:textId="296BE42E" w:rsidR="00AE4DEE" w:rsidRDefault="00AE4DEE">
      <w:pPr>
        <w:pStyle w:val="TOC1"/>
        <w:tabs>
          <w:tab w:val="left" w:pos="440"/>
          <w:tab w:val="right" w:leader="dot" w:pos="9435"/>
        </w:tabs>
        <w:rPr>
          <w:rFonts w:asciiTheme="minorHAnsi" w:eastAsiaTheme="minorEastAsia" w:hAnsiTheme="minorHAnsi" w:cstheme="minorBidi"/>
          <w:b w:val="0"/>
          <w:szCs w:val="22"/>
        </w:rPr>
      </w:pPr>
      <w:hyperlink w:anchor="_Toc103086978" w:history="1">
        <w:r w:rsidRPr="00747244">
          <w:rPr>
            <w:rStyle w:val="Hyperlink"/>
          </w:rPr>
          <w:t>4.</w:t>
        </w:r>
        <w:r>
          <w:rPr>
            <w:rFonts w:asciiTheme="minorHAnsi" w:eastAsiaTheme="minorEastAsia" w:hAnsiTheme="minorHAnsi" w:cstheme="minorBidi"/>
            <w:b w:val="0"/>
            <w:szCs w:val="22"/>
          </w:rPr>
          <w:tab/>
        </w:r>
        <w:r w:rsidRPr="00747244">
          <w:rPr>
            <w:rStyle w:val="Hyperlink"/>
          </w:rPr>
          <w:t>Base data preparation</w:t>
        </w:r>
        <w:r>
          <w:rPr>
            <w:webHidden/>
          </w:rPr>
          <w:tab/>
        </w:r>
        <w:r>
          <w:rPr>
            <w:webHidden/>
          </w:rPr>
          <w:fldChar w:fldCharType="begin"/>
        </w:r>
        <w:r>
          <w:rPr>
            <w:webHidden/>
          </w:rPr>
          <w:instrText xml:space="preserve"> PAGEREF _Toc103086978 \h </w:instrText>
        </w:r>
        <w:r>
          <w:rPr>
            <w:webHidden/>
          </w:rPr>
        </w:r>
        <w:r>
          <w:rPr>
            <w:webHidden/>
          </w:rPr>
          <w:fldChar w:fldCharType="separate"/>
        </w:r>
        <w:r>
          <w:rPr>
            <w:webHidden/>
          </w:rPr>
          <w:t>8</w:t>
        </w:r>
        <w:r>
          <w:rPr>
            <w:webHidden/>
          </w:rPr>
          <w:fldChar w:fldCharType="end"/>
        </w:r>
      </w:hyperlink>
    </w:p>
    <w:p w14:paraId="22F2F1B5" w14:textId="5CA50ECB" w:rsidR="00AE4DEE" w:rsidRDefault="00AE4DEE">
      <w:pPr>
        <w:pStyle w:val="TOC2"/>
        <w:tabs>
          <w:tab w:val="left" w:pos="660"/>
          <w:tab w:val="right" w:leader="dot" w:pos="9435"/>
        </w:tabs>
        <w:rPr>
          <w:rFonts w:asciiTheme="minorHAnsi" w:eastAsiaTheme="minorEastAsia" w:hAnsiTheme="minorHAnsi" w:cstheme="minorBidi"/>
          <w:szCs w:val="22"/>
        </w:rPr>
      </w:pPr>
      <w:hyperlink w:anchor="_Toc103086979" w:history="1">
        <w:r w:rsidRPr="00747244">
          <w:rPr>
            <w:rStyle w:val="Hyperlink"/>
          </w:rPr>
          <w:t>4.1</w:t>
        </w:r>
        <w:r>
          <w:rPr>
            <w:rFonts w:asciiTheme="minorHAnsi" w:eastAsiaTheme="minorEastAsia" w:hAnsiTheme="minorHAnsi" w:cstheme="minorBidi"/>
            <w:szCs w:val="22"/>
          </w:rPr>
          <w:tab/>
        </w:r>
        <w:r w:rsidRPr="00747244">
          <w:rPr>
            <w:rStyle w:val="Hyperlink"/>
          </w:rPr>
          <w:t>NEP data preparation</w:t>
        </w:r>
        <w:r>
          <w:rPr>
            <w:webHidden/>
          </w:rPr>
          <w:tab/>
        </w:r>
        <w:r>
          <w:rPr>
            <w:webHidden/>
          </w:rPr>
          <w:fldChar w:fldCharType="begin"/>
        </w:r>
        <w:r>
          <w:rPr>
            <w:webHidden/>
          </w:rPr>
          <w:instrText xml:space="preserve"> PAGEREF _Toc103086979 \h </w:instrText>
        </w:r>
        <w:r>
          <w:rPr>
            <w:webHidden/>
          </w:rPr>
        </w:r>
        <w:r>
          <w:rPr>
            <w:webHidden/>
          </w:rPr>
          <w:fldChar w:fldCharType="separate"/>
        </w:r>
        <w:r>
          <w:rPr>
            <w:webHidden/>
          </w:rPr>
          <w:t>8</w:t>
        </w:r>
        <w:r>
          <w:rPr>
            <w:webHidden/>
          </w:rPr>
          <w:fldChar w:fldCharType="end"/>
        </w:r>
      </w:hyperlink>
    </w:p>
    <w:p w14:paraId="5D2F7775" w14:textId="58F7948E" w:rsidR="00AE4DEE" w:rsidRDefault="00AE4DEE">
      <w:pPr>
        <w:pStyle w:val="TOC2"/>
        <w:tabs>
          <w:tab w:val="left" w:pos="660"/>
          <w:tab w:val="right" w:leader="dot" w:pos="9435"/>
        </w:tabs>
        <w:rPr>
          <w:rFonts w:asciiTheme="minorHAnsi" w:eastAsiaTheme="minorEastAsia" w:hAnsiTheme="minorHAnsi" w:cstheme="minorBidi"/>
          <w:szCs w:val="22"/>
        </w:rPr>
      </w:pPr>
      <w:hyperlink w:anchor="_Toc103086980" w:history="1">
        <w:r w:rsidRPr="00747244">
          <w:rPr>
            <w:rStyle w:val="Hyperlink"/>
          </w:rPr>
          <w:t>4.2</w:t>
        </w:r>
        <w:r>
          <w:rPr>
            <w:rFonts w:asciiTheme="minorHAnsi" w:eastAsiaTheme="minorEastAsia" w:hAnsiTheme="minorHAnsi" w:cstheme="minorBidi"/>
            <w:szCs w:val="22"/>
          </w:rPr>
          <w:tab/>
        </w:r>
        <w:r w:rsidRPr="00747244">
          <w:rPr>
            <w:rStyle w:val="Hyperlink"/>
          </w:rPr>
          <w:t>NEC data preparation</w:t>
        </w:r>
        <w:r>
          <w:rPr>
            <w:webHidden/>
          </w:rPr>
          <w:tab/>
        </w:r>
        <w:r>
          <w:rPr>
            <w:webHidden/>
          </w:rPr>
          <w:fldChar w:fldCharType="begin"/>
        </w:r>
        <w:r>
          <w:rPr>
            <w:webHidden/>
          </w:rPr>
          <w:instrText xml:space="preserve"> PAGEREF _Toc103086980 \h </w:instrText>
        </w:r>
        <w:r>
          <w:rPr>
            <w:webHidden/>
          </w:rPr>
        </w:r>
        <w:r>
          <w:rPr>
            <w:webHidden/>
          </w:rPr>
          <w:fldChar w:fldCharType="separate"/>
        </w:r>
        <w:r>
          <w:rPr>
            <w:webHidden/>
          </w:rPr>
          <w:t>9</w:t>
        </w:r>
        <w:r>
          <w:rPr>
            <w:webHidden/>
          </w:rPr>
          <w:fldChar w:fldCharType="end"/>
        </w:r>
      </w:hyperlink>
    </w:p>
    <w:p w14:paraId="0106A105" w14:textId="024164FA" w:rsidR="00AE4DEE" w:rsidRDefault="00AE4DEE">
      <w:pPr>
        <w:pStyle w:val="TOC2"/>
        <w:tabs>
          <w:tab w:val="left" w:pos="660"/>
          <w:tab w:val="right" w:leader="dot" w:pos="9435"/>
        </w:tabs>
        <w:rPr>
          <w:rFonts w:asciiTheme="minorHAnsi" w:eastAsiaTheme="minorEastAsia" w:hAnsiTheme="minorHAnsi" w:cstheme="minorBidi"/>
          <w:szCs w:val="22"/>
        </w:rPr>
      </w:pPr>
      <w:hyperlink w:anchor="_Toc103086981" w:history="1">
        <w:r w:rsidRPr="00747244">
          <w:rPr>
            <w:rStyle w:val="Hyperlink"/>
          </w:rPr>
          <w:t>4.3</w:t>
        </w:r>
        <w:r>
          <w:rPr>
            <w:rFonts w:asciiTheme="minorHAnsi" w:eastAsiaTheme="minorEastAsia" w:hAnsiTheme="minorHAnsi" w:cstheme="minorBidi"/>
            <w:szCs w:val="22"/>
          </w:rPr>
          <w:tab/>
        </w:r>
        <w:r w:rsidRPr="00747244">
          <w:rPr>
            <w:rStyle w:val="Hyperlink"/>
          </w:rPr>
          <w:t>Movements in cost parameters</w:t>
        </w:r>
        <w:r>
          <w:rPr>
            <w:webHidden/>
          </w:rPr>
          <w:tab/>
        </w:r>
        <w:r>
          <w:rPr>
            <w:webHidden/>
          </w:rPr>
          <w:fldChar w:fldCharType="begin"/>
        </w:r>
        <w:r>
          <w:rPr>
            <w:webHidden/>
          </w:rPr>
          <w:instrText xml:space="preserve"> PAGEREF _Toc103086981 \h </w:instrText>
        </w:r>
        <w:r>
          <w:rPr>
            <w:webHidden/>
          </w:rPr>
        </w:r>
        <w:r>
          <w:rPr>
            <w:webHidden/>
          </w:rPr>
          <w:fldChar w:fldCharType="separate"/>
        </w:r>
        <w:r>
          <w:rPr>
            <w:webHidden/>
          </w:rPr>
          <w:t>9</w:t>
        </w:r>
        <w:r>
          <w:rPr>
            <w:webHidden/>
          </w:rPr>
          <w:fldChar w:fldCharType="end"/>
        </w:r>
      </w:hyperlink>
    </w:p>
    <w:p w14:paraId="765BE44D" w14:textId="038E8A41" w:rsidR="00AE4DEE" w:rsidRDefault="00AE4DEE">
      <w:pPr>
        <w:pStyle w:val="TOC2"/>
        <w:tabs>
          <w:tab w:val="left" w:pos="660"/>
          <w:tab w:val="right" w:leader="dot" w:pos="9435"/>
        </w:tabs>
        <w:rPr>
          <w:rFonts w:asciiTheme="minorHAnsi" w:eastAsiaTheme="minorEastAsia" w:hAnsiTheme="minorHAnsi" w:cstheme="minorBidi"/>
          <w:szCs w:val="22"/>
        </w:rPr>
      </w:pPr>
      <w:hyperlink w:anchor="_Toc103086982" w:history="1">
        <w:r w:rsidRPr="00747244">
          <w:rPr>
            <w:rStyle w:val="Hyperlink"/>
          </w:rPr>
          <w:t>4.4</w:t>
        </w:r>
        <w:r>
          <w:rPr>
            <w:rFonts w:asciiTheme="minorHAnsi" w:eastAsiaTheme="minorEastAsia" w:hAnsiTheme="minorHAnsi" w:cstheme="minorBidi"/>
            <w:szCs w:val="22"/>
          </w:rPr>
          <w:tab/>
        </w:r>
        <w:r w:rsidRPr="00747244">
          <w:rPr>
            <w:rStyle w:val="Hyperlink"/>
          </w:rPr>
          <w:t>Movements in paediatric adjustments</w:t>
        </w:r>
        <w:r>
          <w:rPr>
            <w:webHidden/>
          </w:rPr>
          <w:tab/>
        </w:r>
        <w:r>
          <w:rPr>
            <w:webHidden/>
          </w:rPr>
          <w:fldChar w:fldCharType="begin"/>
        </w:r>
        <w:r>
          <w:rPr>
            <w:webHidden/>
          </w:rPr>
          <w:instrText xml:space="preserve"> PAGEREF _Toc103086982 \h </w:instrText>
        </w:r>
        <w:r>
          <w:rPr>
            <w:webHidden/>
          </w:rPr>
        </w:r>
        <w:r>
          <w:rPr>
            <w:webHidden/>
          </w:rPr>
          <w:fldChar w:fldCharType="separate"/>
        </w:r>
        <w:r>
          <w:rPr>
            <w:webHidden/>
          </w:rPr>
          <w:t>10</w:t>
        </w:r>
        <w:r>
          <w:rPr>
            <w:webHidden/>
          </w:rPr>
          <w:fldChar w:fldCharType="end"/>
        </w:r>
      </w:hyperlink>
    </w:p>
    <w:p w14:paraId="3E52539D" w14:textId="0379A9B7" w:rsidR="00AE4DEE" w:rsidRDefault="00AE4DEE">
      <w:pPr>
        <w:pStyle w:val="TOC2"/>
        <w:tabs>
          <w:tab w:val="left" w:pos="660"/>
          <w:tab w:val="right" w:leader="dot" w:pos="9435"/>
        </w:tabs>
        <w:rPr>
          <w:rFonts w:asciiTheme="minorHAnsi" w:eastAsiaTheme="minorEastAsia" w:hAnsiTheme="minorHAnsi" w:cstheme="minorBidi"/>
          <w:szCs w:val="22"/>
        </w:rPr>
      </w:pPr>
      <w:hyperlink w:anchor="_Toc103086983" w:history="1">
        <w:r w:rsidRPr="00747244">
          <w:rPr>
            <w:rStyle w:val="Hyperlink"/>
          </w:rPr>
          <w:t>4.5</w:t>
        </w:r>
        <w:r>
          <w:rPr>
            <w:rFonts w:asciiTheme="minorHAnsi" w:eastAsiaTheme="minorEastAsia" w:hAnsiTheme="minorHAnsi" w:cstheme="minorBidi"/>
            <w:szCs w:val="22"/>
          </w:rPr>
          <w:tab/>
        </w:r>
        <w:r w:rsidRPr="00747244">
          <w:rPr>
            <w:rStyle w:val="Hyperlink"/>
          </w:rPr>
          <w:t>Stability of adjustments</w:t>
        </w:r>
        <w:r>
          <w:rPr>
            <w:webHidden/>
          </w:rPr>
          <w:tab/>
        </w:r>
        <w:r>
          <w:rPr>
            <w:webHidden/>
          </w:rPr>
          <w:fldChar w:fldCharType="begin"/>
        </w:r>
        <w:r>
          <w:rPr>
            <w:webHidden/>
          </w:rPr>
          <w:instrText xml:space="preserve"> PAGEREF _Toc103086983 \h </w:instrText>
        </w:r>
        <w:r>
          <w:rPr>
            <w:webHidden/>
          </w:rPr>
        </w:r>
        <w:r>
          <w:rPr>
            <w:webHidden/>
          </w:rPr>
          <w:fldChar w:fldCharType="separate"/>
        </w:r>
        <w:r>
          <w:rPr>
            <w:webHidden/>
          </w:rPr>
          <w:t>10</w:t>
        </w:r>
        <w:r>
          <w:rPr>
            <w:webHidden/>
          </w:rPr>
          <w:fldChar w:fldCharType="end"/>
        </w:r>
      </w:hyperlink>
    </w:p>
    <w:p w14:paraId="3330C6BE" w14:textId="775E73CA" w:rsidR="002029AC" w:rsidRPr="00AE4DEE" w:rsidRDefault="003E0845" w:rsidP="00A30A74">
      <w:pPr>
        <w:spacing w:before="0" w:after="0" w:line="240" w:lineRule="auto"/>
        <w:outlineLvl w:val="1"/>
        <w:rPr>
          <w:rFonts w:asciiTheme="majorHAnsi" w:hAnsiTheme="majorHAnsi"/>
          <w:b/>
          <w:sz w:val="64"/>
          <w:szCs w:val="44"/>
        </w:rPr>
      </w:pPr>
      <w:r w:rsidRPr="00AE4DEE">
        <w:rPr>
          <w:b/>
          <w:noProof/>
        </w:rPr>
        <w:fldChar w:fldCharType="end"/>
      </w:r>
      <w:r w:rsidR="002029AC" w:rsidRPr="00AE4DEE">
        <w:br w:type="page"/>
      </w:r>
    </w:p>
    <w:p w14:paraId="714535FF" w14:textId="77777777" w:rsidR="002029AC" w:rsidRPr="00AE4DEE" w:rsidRDefault="002029AC" w:rsidP="002029AC">
      <w:pPr>
        <w:pStyle w:val="Heading1"/>
        <w:numPr>
          <w:ilvl w:val="0"/>
          <w:numId w:val="0"/>
        </w:numPr>
        <w:ind w:left="709" w:hanging="709"/>
      </w:pPr>
      <w:bookmarkStart w:id="6" w:name="_Toc103086969"/>
      <w:r w:rsidRPr="00AE4DEE">
        <w:lastRenderedPageBreak/>
        <w:t>Acronyms and abbreviations</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746"/>
      </w:tblGrid>
      <w:tr w:rsidR="00AA5A52" w:rsidRPr="00AE4DEE" w14:paraId="1B249A63" w14:textId="77777777" w:rsidTr="00B86D4D">
        <w:tc>
          <w:tcPr>
            <w:tcW w:w="2689" w:type="dxa"/>
          </w:tcPr>
          <w:p w14:paraId="073562B7" w14:textId="77777777" w:rsidR="00AA5A52" w:rsidRPr="00AE4DEE" w:rsidRDefault="00AA5A52" w:rsidP="00AA5A52">
            <w:pPr>
              <w:rPr>
                <w:b/>
              </w:rPr>
            </w:pPr>
            <w:r w:rsidRPr="00AE4DEE">
              <w:rPr>
                <w:b/>
              </w:rPr>
              <w:t>ABF</w:t>
            </w:r>
          </w:p>
        </w:tc>
        <w:tc>
          <w:tcPr>
            <w:tcW w:w="6746" w:type="dxa"/>
          </w:tcPr>
          <w:p w14:paraId="2618A953" w14:textId="77777777" w:rsidR="00AA5A52" w:rsidRPr="00AE4DEE" w:rsidRDefault="00AA5A52" w:rsidP="00AA5A52">
            <w:r w:rsidRPr="00AE4DEE">
              <w:t>Activity based funding</w:t>
            </w:r>
          </w:p>
        </w:tc>
      </w:tr>
      <w:tr w:rsidR="00AA5A52" w:rsidRPr="00AE4DEE" w14:paraId="1EFAEECD" w14:textId="77777777" w:rsidTr="00B86D4D">
        <w:tc>
          <w:tcPr>
            <w:tcW w:w="2689" w:type="dxa"/>
          </w:tcPr>
          <w:p w14:paraId="66439B82" w14:textId="77777777" w:rsidR="00AA5A52" w:rsidRPr="00AE4DEE" w:rsidRDefault="00AA5A52" w:rsidP="00AA5A52">
            <w:pPr>
              <w:rPr>
                <w:b/>
              </w:rPr>
            </w:pPr>
            <w:r w:rsidRPr="00AE4DEE">
              <w:rPr>
                <w:b/>
              </w:rPr>
              <w:t>ALOS</w:t>
            </w:r>
          </w:p>
        </w:tc>
        <w:tc>
          <w:tcPr>
            <w:tcW w:w="6746" w:type="dxa"/>
          </w:tcPr>
          <w:p w14:paraId="4AB1B85F" w14:textId="77777777" w:rsidR="00AA5A52" w:rsidRPr="00AE4DEE" w:rsidRDefault="00AA5A52" w:rsidP="00AA5A52">
            <w:r w:rsidRPr="00AE4DEE">
              <w:t xml:space="preserve">Average length of stay </w:t>
            </w:r>
          </w:p>
        </w:tc>
      </w:tr>
      <w:tr w:rsidR="00AA5A52" w:rsidRPr="00AE4DEE" w14:paraId="3B421493" w14:textId="77777777" w:rsidTr="00B86D4D">
        <w:tc>
          <w:tcPr>
            <w:tcW w:w="2689" w:type="dxa"/>
          </w:tcPr>
          <w:p w14:paraId="1BA80398" w14:textId="77777777" w:rsidR="00AA5A52" w:rsidRPr="00AE4DEE" w:rsidRDefault="00AA5A52" w:rsidP="00AA5A52">
            <w:pPr>
              <w:rPr>
                <w:b/>
              </w:rPr>
            </w:pPr>
            <w:r w:rsidRPr="00AE4DEE">
              <w:rPr>
                <w:b/>
              </w:rPr>
              <w:t>AR-DRG</w:t>
            </w:r>
          </w:p>
        </w:tc>
        <w:tc>
          <w:tcPr>
            <w:tcW w:w="6746" w:type="dxa"/>
          </w:tcPr>
          <w:p w14:paraId="179E9EE2" w14:textId="77777777" w:rsidR="00AA5A52" w:rsidRPr="00AE4DEE" w:rsidRDefault="00AA5A52" w:rsidP="00AA5A52">
            <w:r w:rsidRPr="00AE4DEE">
              <w:t>Australian Refined Diagnosis Related Group</w:t>
            </w:r>
          </w:p>
        </w:tc>
      </w:tr>
      <w:tr w:rsidR="00AA5A52" w:rsidRPr="00AE4DEE" w14:paraId="033BEFF7" w14:textId="77777777" w:rsidTr="00B86D4D">
        <w:tc>
          <w:tcPr>
            <w:tcW w:w="2689" w:type="dxa"/>
          </w:tcPr>
          <w:p w14:paraId="711C2863" w14:textId="77777777" w:rsidR="00AA5A52" w:rsidRPr="00AE4DEE" w:rsidRDefault="00AA5A52" w:rsidP="00AA5A52">
            <w:pPr>
              <w:rPr>
                <w:b/>
              </w:rPr>
            </w:pPr>
            <w:r w:rsidRPr="00AE4DEE">
              <w:rPr>
                <w:b/>
              </w:rPr>
              <w:t>CAC</w:t>
            </w:r>
          </w:p>
        </w:tc>
        <w:tc>
          <w:tcPr>
            <w:tcW w:w="6746" w:type="dxa"/>
          </w:tcPr>
          <w:p w14:paraId="604647C3" w14:textId="77777777" w:rsidR="00AA5A52" w:rsidRPr="00AE4DEE" w:rsidRDefault="00AA5A52" w:rsidP="00AA5A52">
            <w:r w:rsidRPr="00AE4DEE">
              <w:t>Clinical Advisory Committee</w:t>
            </w:r>
          </w:p>
        </w:tc>
      </w:tr>
      <w:tr w:rsidR="00AA5A52" w:rsidRPr="00AE4DEE" w14:paraId="2EAF087A" w14:textId="77777777" w:rsidTr="00B86D4D">
        <w:tc>
          <w:tcPr>
            <w:tcW w:w="2689" w:type="dxa"/>
          </w:tcPr>
          <w:p w14:paraId="2D718E54" w14:textId="77777777" w:rsidR="00AA5A52" w:rsidRPr="00AE4DEE" w:rsidRDefault="00AA5A52" w:rsidP="00AA5A52">
            <w:pPr>
              <w:rPr>
                <w:b/>
              </w:rPr>
            </w:pPr>
            <w:r w:rsidRPr="00AE4DEE">
              <w:rPr>
                <w:b/>
              </w:rPr>
              <w:t>ICU</w:t>
            </w:r>
          </w:p>
        </w:tc>
        <w:tc>
          <w:tcPr>
            <w:tcW w:w="6746" w:type="dxa"/>
          </w:tcPr>
          <w:p w14:paraId="786DFDD0" w14:textId="2022A25E" w:rsidR="00AA5A52" w:rsidRPr="00AE4DEE" w:rsidRDefault="00AA5A52" w:rsidP="00AA5A52">
            <w:r w:rsidRPr="00AE4DEE">
              <w:t xml:space="preserve">Intensive </w:t>
            </w:r>
            <w:r w:rsidR="004E22BE" w:rsidRPr="00AE4DEE">
              <w:t>c</w:t>
            </w:r>
            <w:r w:rsidRPr="00AE4DEE">
              <w:t xml:space="preserve">are </w:t>
            </w:r>
            <w:r w:rsidR="004E22BE" w:rsidRPr="00AE4DEE">
              <w:t>u</w:t>
            </w:r>
            <w:r w:rsidRPr="00AE4DEE">
              <w:t>nit</w:t>
            </w:r>
          </w:p>
        </w:tc>
      </w:tr>
      <w:tr w:rsidR="00AA5A52" w:rsidRPr="00AE4DEE" w14:paraId="26C0CC11" w14:textId="77777777" w:rsidTr="00B86D4D">
        <w:tc>
          <w:tcPr>
            <w:tcW w:w="2689" w:type="dxa"/>
          </w:tcPr>
          <w:p w14:paraId="0BE50A2A" w14:textId="77777777" w:rsidR="00AA5A52" w:rsidRPr="00AE4DEE" w:rsidRDefault="00AA5A52" w:rsidP="00AA5A52">
            <w:pPr>
              <w:rPr>
                <w:b/>
              </w:rPr>
            </w:pPr>
            <w:r w:rsidRPr="00AE4DEE">
              <w:rPr>
                <w:b/>
              </w:rPr>
              <w:t>IHPA</w:t>
            </w:r>
          </w:p>
        </w:tc>
        <w:tc>
          <w:tcPr>
            <w:tcW w:w="6746" w:type="dxa"/>
          </w:tcPr>
          <w:p w14:paraId="6CC39890" w14:textId="77777777" w:rsidR="00AA5A52" w:rsidRPr="00AE4DEE" w:rsidRDefault="00AA5A52" w:rsidP="00AA5A52">
            <w:r w:rsidRPr="00AE4DEE">
              <w:t>Independent Hospital Pricing Authority</w:t>
            </w:r>
          </w:p>
        </w:tc>
      </w:tr>
      <w:tr w:rsidR="00AA5A52" w:rsidRPr="00AE4DEE" w14:paraId="5300E2DA" w14:textId="77777777" w:rsidTr="00B86D4D">
        <w:tc>
          <w:tcPr>
            <w:tcW w:w="2689" w:type="dxa"/>
          </w:tcPr>
          <w:p w14:paraId="4D61767A" w14:textId="77777777" w:rsidR="00AA5A52" w:rsidRPr="00AE4DEE" w:rsidRDefault="00AA5A52" w:rsidP="00AA5A52">
            <w:pPr>
              <w:rPr>
                <w:b/>
              </w:rPr>
            </w:pPr>
            <w:r w:rsidRPr="00AE4DEE">
              <w:rPr>
                <w:b/>
              </w:rPr>
              <w:t>LHN</w:t>
            </w:r>
          </w:p>
        </w:tc>
        <w:tc>
          <w:tcPr>
            <w:tcW w:w="6746" w:type="dxa"/>
          </w:tcPr>
          <w:p w14:paraId="2F0AF90B" w14:textId="2E33BF5E" w:rsidR="00AA5A52" w:rsidRPr="00AE4DEE" w:rsidRDefault="00AA5A52" w:rsidP="00AA5A52">
            <w:r w:rsidRPr="00AE4DEE">
              <w:t xml:space="preserve">Local </w:t>
            </w:r>
            <w:r w:rsidR="004E22BE" w:rsidRPr="00AE4DEE">
              <w:t>h</w:t>
            </w:r>
            <w:r w:rsidRPr="00AE4DEE">
              <w:t xml:space="preserve">ospital </w:t>
            </w:r>
            <w:r w:rsidR="004E22BE" w:rsidRPr="00AE4DEE">
              <w:t>n</w:t>
            </w:r>
            <w:r w:rsidRPr="00AE4DEE">
              <w:t>etwork</w:t>
            </w:r>
          </w:p>
        </w:tc>
      </w:tr>
      <w:tr w:rsidR="00AA5A52" w:rsidRPr="00AE4DEE" w14:paraId="7150031D" w14:textId="77777777" w:rsidTr="00B86D4D">
        <w:tc>
          <w:tcPr>
            <w:tcW w:w="2689" w:type="dxa"/>
          </w:tcPr>
          <w:p w14:paraId="640BA673" w14:textId="77777777" w:rsidR="00AA5A52" w:rsidRPr="00AE4DEE" w:rsidRDefault="00AA5A52" w:rsidP="00AA5A52">
            <w:pPr>
              <w:rPr>
                <w:b/>
              </w:rPr>
            </w:pPr>
            <w:r w:rsidRPr="00AE4DEE">
              <w:rPr>
                <w:b/>
              </w:rPr>
              <w:t>NEC</w:t>
            </w:r>
          </w:p>
        </w:tc>
        <w:tc>
          <w:tcPr>
            <w:tcW w:w="6746" w:type="dxa"/>
          </w:tcPr>
          <w:p w14:paraId="2DFD8124" w14:textId="77777777" w:rsidR="00AA5A52" w:rsidRPr="00AE4DEE" w:rsidRDefault="00AA5A52" w:rsidP="00AA5A52">
            <w:r w:rsidRPr="00AE4DEE">
              <w:t>National efficient cost</w:t>
            </w:r>
          </w:p>
        </w:tc>
      </w:tr>
      <w:tr w:rsidR="00AA5A52" w:rsidRPr="00AE4DEE" w14:paraId="65958BF1" w14:textId="77777777" w:rsidTr="00B86D4D">
        <w:tc>
          <w:tcPr>
            <w:tcW w:w="2689" w:type="dxa"/>
          </w:tcPr>
          <w:p w14:paraId="259462DA" w14:textId="77777777" w:rsidR="00AA5A52" w:rsidRPr="00AE4DEE" w:rsidRDefault="00AA5A52" w:rsidP="00AA5A52">
            <w:pPr>
              <w:rPr>
                <w:b/>
              </w:rPr>
            </w:pPr>
            <w:r w:rsidRPr="00AE4DEE">
              <w:rPr>
                <w:b/>
              </w:rPr>
              <w:t>NEP</w:t>
            </w:r>
          </w:p>
        </w:tc>
        <w:tc>
          <w:tcPr>
            <w:tcW w:w="6746" w:type="dxa"/>
          </w:tcPr>
          <w:p w14:paraId="48A10DA7" w14:textId="77777777" w:rsidR="00AA5A52" w:rsidRPr="00AE4DEE" w:rsidRDefault="00AA5A52" w:rsidP="00AA5A52">
            <w:r w:rsidRPr="00AE4DEE">
              <w:t>National efficient price</w:t>
            </w:r>
          </w:p>
        </w:tc>
      </w:tr>
      <w:tr w:rsidR="00AA5A52" w:rsidRPr="00AE4DEE" w14:paraId="7B38166F" w14:textId="77777777" w:rsidTr="00B86D4D">
        <w:tc>
          <w:tcPr>
            <w:tcW w:w="2689" w:type="dxa"/>
          </w:tcPr>
          <w:p w14:paraId="3526994F" w14:textId="77777777" w:rsidR="00AA5A52" w:rsidRPr="00AE4DEE" w:rsidRDefault="00AA5A52" w:rsidP="00AA5A52">
            <w:pPr>
              <w:rPr>
                <w:b/>
              </w:rPr>
            </w:pPr>
            <w:r w:rsidRPr="00AE4DEE">
              <w:rPr>
                <w:b/>
              </w:rPr>
              <w:t>NHRA</w:t>
            </w:r>
          </w:p>
        </w:tc>
        <w:tc>
          <w:tcPr>
            <w:tcW w:w="6746" w:type="dxa"/>
          </w:tcPr>
          <w:p w14:paraId="24D42FBC" w14:textId="77777777" w:rsidR="00AA5A52" w:rsidRPr="00AE4DEE" w:rsidRDefault="00AA5A52" w:rsidP="00AA5A52">
            <w:r w:rsidRPr="00AE4DEE">
              <w:t>National Health Reform Agreement</w:t>
            </w:r>
          </w:p>
        </w:tc>
      </w:tr>
      <w:tr w:rsidR="00AA5A52" w:rsidRPr="00AE4DEE" w14:paraId="770C89B9" w14:textId="77777777" w:rsidTr="00B86D4D">
        <w:tc>
          <w:tcPr>
            <w:tcW w:w="2689" w:type="dxa"/>
          </w:tcPr>
          <w:p w14:paraId="31C1AA0B" w14:textId="77777777" w:rsidR="00AA5A52" w:rsidRPr="00AE4DEE" w:rsidRDefault="00AA5A52" w:rsidP="00AA5A52">
            <w:pPr>
              <w:rPr>
                <w:b/>
              </w:rPr>
            </w:pPr>
            <w:r w:rsidRPr="00AE4DEE">
              <w:rPr>
                <w:b/>
              </w:rPr>
              <w:t>TAC</w:t>
            </w:r>
          </w:p>
        </w:tc>
        <w:tc>
          <w:tcPr>
            <w:tcW w:w="6746" w:type="dxa"/>
          </w:tcPr>
          <w:p w14:paraId="6DA53C70" w14:textId="77777777" w:rsidR="00AA5A52" w:rsidRPr="00AE4DEE" w:rsidRDefault="00AA5A52" w:rsidP="00AA5A52">
            <w:r w:rsidRPr="00AE4DEE">
              <w:t>Technical Advisory Committee</w:t>
            </w:r>
          </w:p>
        </w:tc>
      </w:tr>
      <w:tr w:rsidR="00AA5A52" w:rsidRPr="00AE4DEE" w14:paraId="56CF497E" w14:textId="77777777" w:rsidTr="00B86D4D">
        <w:tc>
          <w:tcPr>
            <w:tcW w:w="2689" w:type="dxa"/>
          </w:tcPr>
          <w:p w14:paraId="370C73EC" w14:textId="77777777" w:rsidR="00AA5A52" w:rsidRPr="00AE4DEE" w:rsidRDefault="00AA5A52" w:rsidP="00AA5A52">
            <w:pPr>
              <w:rPr>
                <w:b/>
              </w:rPr>
            </w:pPr>
            <w:r w:rsidRPr="00AE4DEE">
              <w:rPr>
                <w:b/>
              </w:rPr>
              <w:t>The Addendum</w:t>
            </w:r>
          </w:p>
        </w:tc>
        <w:tc>
          <w:tcPr>
            <w:tcW w:w="6746" w:type="dxa"/>
          </w:tcPr>
          <w:p w14:paraId="73C7E5FE" w14:textId="77777777" w:rsidR="00AA5A52" w:rsidRPr="00AE4DEE" w:rsidRDefault="00AA5A52" w:rsidP="00AA5A52">
            <w:r w:rsidRPr="00AE4DEE">
              <w:t>Addendum to the National Health Reform Agreement 2020–25</w:t>
            </w:r>
          </w:p>
        </w:tc>
      </w:tr>
      <w:tr w:rsidR="004E22BE" w:rsidRPr="00AE4DEE" w14:paraId="60612C75" w14:textId="77777777" w:rsidTr="00B86D4D">
        <w:tc>
          <w:tcPr>
            <w:tcW w:w="2689" w:type="dxa"/>
          </w:tcPr>
          <w:p w14:paraId="6943494D" w14:textId="77777777" w:rsidR="004E22BE" w:rsidRPr="00AE4DEE" w:rsidRDefault="004E22BE" w:rsidP="00AA5A52">
            <w:pPr>
              <w:rPr>
                <w:b/>
              </w:rPr>
            </w:pPr>
            <w:r w:rsidRPr="00AE4DEE">
              <w:rPr>
                <w:b/>
              </w:rPr>
              <w:t>This Policy</w:t>
            </w:r>
          </w:p>
        </w:tc>
        <w:tc>
          <w:tcPr>
            <w:tcW w:w="6746" w:type="dxa"/>
          </w:tcPr>
          <w:p w14:paraId="556009B4" w14:textId="77777777" w:rsidR="004E22BE" w:rsidRPr="00AE4DEE" w:rsidRDefault="004E22BE" w:rsidP="00AA5A52">
            <w:pPr>
              <w:rPr>
                <w:i/>
              </w:rPr>
            </w:pPr>
            <w:r w:rsidRPr="00AE4DEE">
              <w:rPr>
                <w:i/>
              </w:rPr>
              <w:t>National Pricing Model Stability Policy</w:t>
            </w:r>
          </w:p>
        </w:tc>
      </w:tr>
      <w:tr w:rsidR="00AA5A52" w:rsidRPr="00AE4DEE" w14:paraId="4A1E6380" w14:textId="77777777" w:rsidTr="00B86D4D">
        <w:tc>
          <w:tcPr>
            <w:tcW w:w="2689" w:type="dxa"/>
          </w:tcPr>
          <w:p w14:paraId="0AF37E31" w14:textId="77777777" w:rsidR="00AA5A52" w:rsidRPr="00AE4DEE" w:rsidRDefault="00AA5A52" w:rsidP="002029AC">
            <w:pPr>
              <w:rPr>
                <w:b/>
              </w:rPr>
            </w:pPr>
          </w:p>
        </w:tc>
        <w:tc>
          <w:tcPr>
            <w:tcW w:w="6746" w:type="dxa"/>
          </w:tcPr>
          <w:p w14:paraId="3A3CD0AE" w14:textId="77777777" w:rsidR="00AA5A52" w:rsidRPr="00AE4DEE" w:rsidRDefault="00AA5A52" w:rsidP="002029AC"/>
        </w:tc>
      </w:tr>
    </w:tbl>
    <w:p w14:paraId="0ADBF980" w14:textId="77777777" w:rsidR="002029AC" w:rsidRPr="00AE4DEE" w:rsidRDefault="002029AC" w:rsidP="002029AC">
      <w:r w:rsidRPr="00AE4DEE">
        <w:br w:type="page"/>
      </w:r>
    </w:p>
    <w:p w14:paraId="33FF485E" w14:textId="77777777" w:rsidR="002029AC" w:rsidRPr="00AE4DEE" w:rsidRDefault="002029AC" w:rsidP="002029AC">
      <w:pPr>
        <w:pStyle w:val="Heading1"/>
        <w:numPr>
          <w:ilvl w:val="0"/>
          <w:numId w:val="0"/>
        </w:numPr>
        <w:ind w:left="709" w:hanging="709"/>
      </w:pPr>
      <w:bookmarkStart w:id="7" w:name="_Toc103086970"/>
      <w:r w:rsidRPr="00AE4DEE">
        <w:lastRenderedPageBreak/>
        <w:t>Definitions</w:t>
      </w:r>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888"/>
      </w:tblGrid>
      <w:tr w:rsidR="00B86D4D" w:rsidRPr="00AE4DEE" w14:paraId="0F84D9EC" w14:textId="77777777" w:rsidTr="004E22BE">
        <w:tc>
          <w:tcPr>
            <w:tcW w:w="2268" w:type="dxa"/>
          </w:tcPr>
          <w:p w14:paraId="6387FFB5" w14:textId="77777777" w:rsidR="00B86D4D" w:rsidRPr="00AE4DEE" w:rsidRDefault="00AA5A52" w:rsidP="00E23516">
            <w:pPr>
              <w:rPr>
                <w:b/>
              </w:rPr>
            </w:pPr>
            <w:r w:rsidRPr="00AE4DEE">
              <w:rPr>
                <w:b/>
              </w:rPr>
              <w:t>Activity based funding</w:t>
            </w:r>
          </w:p>
        </w:tc>
        <w:tc>
          <w:tcPr>
            <w:tcW w:w="6888" w:type="dxa"/>
          </w:tcPr>
          <w:p w14:paraId="7369C07B" w14:textId="77777777" w:rsidR="00AA5A52" w:rsidRPr="00AE4DEE" w:rsidRDefault="00AA5A52" w:rsidP="00AA5A52">
            <w:r w:rsidRPr="00AE4DEE">
              <w:t xml:space="preserve">Refers to a system for funding public hospital services provided to individual patients using national classifications, cost weights and nationally efficient prices developed by the Independent Hospital Pricing Authority (IHPA), as outlined in the Addendum to the National Health Reform Agreement 2020–25 (the Addendum). </w:t>
            </w:r>
          </w:p>
          <w:p w14:paraId="3B0A26F2" w14:textId="77777777" w:rsidR="00B86D4D" w:rsidRPr="00AE4DEE" w:rsidRDefault="00AA5A52" w:rsidP="00AA5A52">
            <w:r w:rsidRPr="00AE4DEE">
              <w:t xml:space="preserve">An activity based funding activity may take the form of a separation, </w:t>
            </w:r>
            <w:proofErr w:type="gramStart"/>
            <w:r w:rsidRPr="00AE4DEE">
              <w:t>presentation</w:t>
            </w:r>
            <w:proofErr w:type="gramEnd"/>
            <w:r w:rsidRPr="00AE4DEE">
              <w:t xml:space="preserve"> or service event.</w:t>
            </w:r>
          </w:p>
        </w:tc>
      </w:tr>
      <w:tr w:rsidR="00CF0F8B" w:rsidRPr="00AE4DEE" w14:paraId="0DCE1451" w14:textId="77777777" w:rsidTr="004E22BE">
        <w:tc>
          <w:tcPr>
            <w:tcW w:w="2268" w:type="dxa"/>
          </w:tcPr>
          <w:p w14:paraId="76A8FB90" w14:textId="77777777" w:rsidR="00CF0F8B" w:rsidRPr="00AE4DEE" w:rsidRDefault="00CF0F8B" w:rsidP="00CF0F8B">
            <w:pPr>
              <w:rPr>
                <w:b/>
              </w:rPr>
            </w:pPr>
            <w:r w:rsidRPr="00AE4DEE">
              <w:rPr>
                <w:b/>
              </w:rPr>
              <w:t>National pricing model</w:t>
            </w:r>
          </w:p>
        </w:tc>
        <w:tc>
          <w:tcPr>
            <w:tcW w:w="6888" w:type="dxa"/>
          </w:tcPr>
          <w:p w14:paraId="4BC7B26E" w14:textId="77777777" w:rsidR="00CF0F8B" w:rsidRPr="00AE4DEE" w:rsidRDefault="00CF0F8B" w:rsidP="00CF0F8B">
            <w:r w:rsidRPr="00AE4DEE">
              <w:t>The national pricing model is produced annually by IHPA and defines the national efficient price, price weights and adjustments based on the cost and activity data from three years prior. For more detail, refer to the link below for the National Pricing Model Technical Specifications.</w:t>
            </w:r>
          </w:p>
          <w:p w14:paraId="47150E30" w14:textId="77777777" w:rsidR="00CF0F8B" w:rsidRPr="00AE4DEE" w:rsidRDefault="00CF0F8B" w:rsidP="00CF0F8B">
            <w:hyperlink r:id="rId14" w:history="1">
              <w:r w:rsidRPr="00AE4DEE">
                <w:rPr>
                  <w:rStyle w:val="Hyperlink"/>
                  <w:color w:val="008542" w:themeColor="accent2"/>
                </w:rPr>
                <w:t>https://www.ihpa.gov.au/what-we-do/pricing/national-pricing-model-technical-specifications</w:t>
              </w:r>
            </w:hyperlink>
          </w:p>
        </w:tc>
      </w:tr>
      <w:tr w:rsidR="00CF0F8B" w:rsidRPr="00AE4DEE" w14:paraId="30DB1D76" w14:textId="77777777" w:rsidTr="004E22BE">
        <w:tc>
          <w:tcPr>
            <w:tcW w:w="2268" w:type="dxa"/>
          </w:tcPr>
          <w:p w14:paraId="35EE28D7" w14:textId="77777777" w:rsidR="00CF0F8B" w:rsidRPr="00AE4DEE" w:rsidRDefault="00CF0F8B" w:rsidP="00CF0F8B">
            <w:pPr>
              <w:rPr>
                <w:b/>
              </w:rPr>
            </w:pPr>
            <w:r w:rsidRPr="00AE4DEE">
              <w:rPr>
                <w:b/>
              </w:rPr>
              <w:t>Public hospital services</w:t>
            </w:r>
          </w:p>
        </w:tc>
        <w:tc>
          <w:tcPr>
            <w:tcW w:w="6888" w:type="dxa"/>
          </w:tcPr>
          <w:p w14:paraId="0CA1898A" w14:textId="77EA72F9" w:rsidR="00CF0F8B" w:rsidRPr="00AE4DEE" w:rsidRDefault="00CF0F8B" w:rsidP="00CF0F8B">
            <w:r w:rsidRPr="00AE4DEE">
              <w:t>From 1 July 2013, the scope of public hospital services eligible for Commonwealth funding will be</w:t>
            </w:r>
            <w:r w:rsidRPr="00AE4DEE">
              <w:rPr>
                <w:rStyle w:val="FootnoteReference"/>
              </w:rPr>
              <w:footnoteReference w:id="1"/>
            </w:r>
            <w:r w:rsidRPr="00AE4DEE">
              <w:rPr>
                <w:vertAlign w:val="superscript"/>
              </w:rPr>
              <w:t>,</w:t>
            </w:r>
            <w:r w:rsidRPr="00AE4DEE">
              <w:rPr>
                <w:rStyle w:val="FootnoteReference"/>
              </w:rPr>
              <w:footnoteReference w:id="2"/>
            </w:r>
            <w:r w:rsidRPr="00AE4DEE">
              <w:t>:</w:t>
            </w:r>
          </w:p>
          <w:p w14:paraId="2C2626E9" w14:textId="3CEA267C" w:rsidR="00CF0F8B" w:rsidRPr="00AE4DEE" w:rsidRDefault="00CF0F8B" w:rsidP="00CF0F8B">
            <w:pPr>
              <w:pStyle w:val="NormalArial"/>
              <w:numPr>
                <w:ilvl w:val="0"/>
                <w:numId w:val="13"/>
              </w:numPr>
              <w:spacing w:before="120"/>
            </w:pPr>
            <w:r w:rsidRPr="00AE4DEE">
              <w:t xml:space="preserve">all admitted programs, including hospital in the home </w:t>
            </w:r>
            <w:proofErr w:type="gramStart"/>
            <w:r w:rsidRPr="00AE4DEE">
              <w:t>programs;</w:t>
            </w:r>
            <w:proofErr w:type="gramEnd"/>
          </w:p>
          <w:p w14:paraId="4EAF7FD3" w14:textId="0287CE0A" w:rsidR="00CF0F8B" w:rsidRPr="00AE4DEE" w:rsidRDefault="00CF0F8B" w:rsidP="00CF0F8B">
            <w:pPr>
              <w:pStyle w:val="NormalArial"/>
              <w:numPr>
                <w:ilvl w:val="0"/>
                <w:numId w:val="13"/>
              </w:numPr>
              <w:spacing w:before="120"/>
            </w:pPr>
            <w:r w:rsidRPr="00AE4DEE">
              <w:t>all emergency department services; and</w:t>
            </w:r>
          </w:p>
          <w:p w14:paraId="3DC7B0EC" w14:textId="10B66121" w:rsidR="00CF0F8B" w:rsidRPr="00AE4DEE" w:rsidRDefault="00CF0F8B" w:rsidP="00CF0F8B">
            <w:pPr>
              <w:pStyle w:val="NormalArial"/>
              <w:numPr>
                <w:ilvl w:val="0"/>
                <w:numId w:val="13"/>
              </w:numPr>
              <w:spacing w:before="120"/>
            </w:pPr>
            <w:r w:rsidRPr="00AE4DEE">
              <w:t>non-admitted services that meet the criteria for inclusion on the IHPA General List of In-Scope Public Hospital Services.</w:t>
            </w:r>
          </w:p>
        </w:tc>
      </w:tr>
      <w:tr w:rsidR="00CF0F8B" w:rsidRPr="00AE4DEE" w14:paraId="464A8E19" w14:textId="77777777" w:rsidTr="004E22BE">
        <w:tc>
          <w:tcPr>
            <w:tcW w:w="2268" w:type="dxa"/>
          </w:tcPr>
          <w:p w14:paraId="6105F588" w14:textId="77777777" w:rsidR="00CF0F8B" w:rsidRPr="00AE4DEE" w:rsidRDefault="00CF0F8B" w:rsidP="00CF0F8B">
            <w:pPr>
              <w:rPr>
                <w:b/>
              </w:rPr>
            </w:pPr>
            <w:r w:rsidRPr="00AE4DEE">
              <w:rPr>
                <w:b/>
              </w:rPr>
              <w:t>Pricing Authority</w:t>
            </w:r>
          </w:p>
        </w:tc>
        <w:tc>
          <w:tcPr>
            <w:tcW w:w="6888" w:type="dxa"/>
          </w:tcPr>
          <w:p w14:paraId="3CA94F0E" w14:textId="38C831EB" w:rsidR="00CF0F8B" w:rsidRPr="00AE4DEE" w:rsidRDefault="00CF0F8B" w:rsidP="00CF0F8B">
            <w:r w:rsidRPr="00AE4DEE">
              <w:t xml:space="preserve">The governing body of IHPA established under the </w:t>
            </w:r>
            <w:r w:rsidRPr="00AE4DEE">
              <w:rPr>
                <w:i/>
              </w:rPr>
              <w:t>National Health Reform Act 2011</w:t>
            </w:r>
            <w:r w:rsidR="002C4751" w:rsidRPr="00AE4DEE">
              <w:rPr>
                <w:szCs w:val="28"/>
              </w:rPr>
              <w:t xml:space="preserve"> (Cwlth)</w:t>
            </w:r>
            <w:r w:rsidRPr="00AE4DEE">
              <w:t>.</w:t>
            </w:r>
          </w:p>
        </w:tc>
      </w:tr>
    </w:tbl>
    <w:p w14:paraId="353A2FE5" w14:textId="77777777" w:rsidR="002029AC" w:rsidRPr="00AE4DEE" w:rsidRDefault="002029AC" w:rsidP="002029AC"/>
    <w:p w14:paraId="144C43BA" w14:textId="77777777" w:rsidR="002029AC" w:rsidRPr="00AE4DEE" w:rsidRDefault="002029AC">
      <w:pPr>
        <w:spacing w:before="0" w:after="0" w:line="240" w:lineRule="auto"/>
        <w:rPr>
          <w:rFonts w:asciiTheme="majorHAnsi" w:hAnsiTheme="majorHAnsi"/>
          <w:b/>
          <w:sz w:val="64"/>
          <w:szCs w:val="44"/>
        </w:rPr>
      </w:pPr>
      <w:r w:rsidRPr="00AE4DEE">
        <w:br w:type="page"/>
      </w:r>
    </w:p>
    <w:p w14:paraId="4CCF00C0" w14:textId="77777777" w:rsidR="004B4BC0" w:rsidRPr="00AE4DEE" w:rsidRDefault="002029AC" w:rsidP="002029AC">
      <w:pPr>
        <w:pStyle w:val="Heading1"/>
      </w:pPr>
      <w:bookmarkStart w:id="8" w:name="_Toc103086971"/>
      <w:r w:rsidRPr="00AE4DEE">
        <w:lastRenderedPageBreak/>
        <w:t>Executive summary</w:t>
      </w:r>
      <w:bookmarkEnd w:id="8"/>
    </w:p>
    <w:p w14:paraId="3C5C98D9" w14:textId="77777777" w:rsidR="004B4BC0" w:rsidRPr="00AE4DEE" w:rsidRDefault="002029AC">
      <w:pPr>
        <w:pStyle w:val="Heading2"/>
      </w:pPr>
      <w:bookmarkStart w:id="9" w:name="_Toc103086972"/>
      <w:r w:rsidRPr="00AE4DEE">
        <w:t>Background</w:t>
      </w:r>
      <w:bookmarkEnd w:id="9"/>
    </w:p>
    <w:p w14:paraId="4760812B" w14:textId="77777777" w:rsidR="002029AC" w:rsidRPr="00AE4DEE" w:rsidRDefault="00B34B85" w:rsidP="002029AC">
      <w:r w:rsidRPr="00AE4DEE">
        <w:t>The Independent Hospital Pricing Authority (IHPA) undertakes work to stabilise variation in the year-on-year national efficient price (NEP) and national efficient cost (NEC) price weights and adjustments, prior to determination of the NEP and NEC. Variation exists due to various reasons, including changes in the costing and activity data each year, changes in coding practices, technology changes and modifications to the classification systems used by IHPA.</w:t>
      </w:r>
    </w:p>
    <w:p w14:paraId="5C481B45" w14:textId="32872465" w:rsidR="00B34B85" w:rsidRPr="00AE4DEE" w:rsidRDefault="00B34B85" w:rsidP="002029AC">
      <w:r w:rsidRPr="00AE4DEE">
        <w:t xml:space="preserve">As outlined in the </w:t>
      </w:r>
      <w:hyperlink r:id="rId15" w:history="1">
        <w:r w:rsidR="004E22BE" w:rsidRPr="00AE4DEE">
          <w:rPr>
            <w:rStyle w:val="Hyperlink"/>
            <w:i/>
            <w:color w:val="008542" w:themeColor="accent2"/>
          </w:rPr>
          <w:t>Pricing Framework for Australian Public Hospital Services</w:t>
        </w:r>
      </w:hyperlink>
      <w:r w:rsidRPr="00AE4DEE">
        <w:t>, IHPA will follow the Pricing Guidelines to guide its decision-making where it is required to exercise policy judgement in undertaking its legislated functions.</w:t>
      </w:r>
    </w:p>
    <w:p w14:paraId="554B1F4D" w14:textId="77777777" w:rsidR="002029AC" w:rsidRPr="00AE4DEE" w:rsidRDefault="002029AC">
      <w:pPr>
        <w:pStyle w:val="Heading2"/>
      </w:pPr>
      <w:bookmarkStart w:id="10" w:name="_Toc103086973"/>
      <w:r w:rsidRPr="00AE4DEE">
        <w:t>Purpose</w:t>
      </w:r>
      <w:bookmarkEnd w:id="10"/>
    </w:p>
    <w:p w14:paraId="3DFCA2C4" w14:textId="058C0C43" w:rsidR="002029AC" w:rsidRPr="00AE4DEE" w:rsidRDefault="00B34B85" w:rsidP="002029AC">
      <w:r w:rsidRPr="00AE4DEE">
        <w:t xml:space="preserve">The purpose of the </w:t>
      </w:r>
      <w:r w:rsidRPr="00AE4DEE">
        <w:rPr>
          <w:i/>
        </w:rPr>
        <w:t>National Pricing Model Stability Policy</w:t>
      </w:r>
      <w:r w:rsidRPr="00AE4DEE">
        <w:t xml:space="preserve"> (th</w:t>
      </w:r>
      <w:r w:rsidR="004E22BE" w:rsidRPr="00AE4DEE">
        <w:t>is</w:t>
      </w:r>
      <w:r w:rsidRPr="00AE4DEE">
        <w:t xml:space="preserve"> Policy) is to outline the processes for adjusting for instability in the year-on-year price weights and adjustments. This Policy supports the ‘Stability’ Pricing Guideline, that is, ‘the payment relativities for activity based funding (ABF) are consistent over time’.</w:t>
      </w:r>
    </w:p>
    <w:p w14:paraId="1FFD1238" w14:textId="77777777" w:rsidR="002029AC" w:rsidRPr="00AE4DEE" w:rsidRDefault="002029AC">
      <w:pPr>
        <w:pStyle w:val="Heading2"/>
      </w:pPr>
      <w:bookmarkStart w:id="11" w:name="_Toc103086974"/>
      <w:r w:rsidRPr="00AE4DEE">
        <w:t>Review</w:t>
      </w:r>
      <w:bookmarkEnd w:id="11"/>
    </w:p>
    <w:p w14:paraId="4AB0C017" w14:textId="68BF2A73" w:rsidR="00B86D4D" w:rsidRPr="00AE4DEE" w:rsidRDefault="00B86D4D" w:rsidP="00B86D4D">
      <w:r w:rsidRPr="00AE4DEE">
        <w:t>T</w:t>
      </w:r>
      <w:r w:rsidR="00B34B85" w:rsidRPr="00AE4DEE">
        <w:t>he Pricing Authority and Chief Executive Officer of IHPA will review th</w:t>
      </w:r>
      <w:r w:rsidR="004E22BE" w:rsidRPr="00AE4DEE">
        <w:t>is</w:t>
      </w:r>
      <w:r w:rsidR="00B34B85" w:rsidRPr="00AE4DEE">
        <w:t xml:space="preserve"> Policy, including associated documentation annually or as required.</w:t>
      </w:r>
    </w:p>
    <w:p w14:paraId="79C612B6" w14:textId="01D63D3F" w:rsidR="002029AC" w:rsidRPr="00AE4DEE" w:rsidRDefault="00B34B85" w:rsidP="00B86D4D">
      <w:r w:rsidRPr="00AE4DEE">
        <w:t>Th</w:t>
      </w:r>
      <w:r w:rsidR="004E22BE" w:rsidRPr="00AE4DEE">
        <w:t>is</w:t>
      </w:r>
      <w:r w:rsidRPr="00AE4DEE">
        <w:t xml:space="preserve"> Policy was last reviewed in </w:t>
      </w:r>
      <w:r w:rsidR="00D73EDB" w:rsidRPr="00AE4DEE">
        <w:t xml:space="preserve">May </w:t>
      </w:r>
      <w:r w:rsidR="004E22BE" w:rsidRPr="00AE4DEE">
        <w:t>2022</w:t>
      </w:r>
      <w:r w:rsidRPr="00AE4DEE">
        <w:t>.</w:t>
      </w:r>
    </w:p>
    <w:p w14:paraId="3EC8C096" w14:textId="77777777" w:rsidR="00B34B85" w:rsidRPr="00AE4DEE" w:rsidRDefault="00B34B85" w:rsidP="00B86D4D"/>
    <w:p w14:paraId="369106B2" w14:textId="77777777" w:rsidR="00B34B85" w:rsidRPr="00AE4DEE" w:rsidRDefault="00B34B85">
      <w:pPr>
        <w:spacing w:before="0" w:after="0" w:line="240" w:lineRule="auto"/>
      </w:pPr>
      <w:r w:rsidRPr="00AE4DEE">
        <w:br w:type="page"/>
      </w:r>
    </w:p>
    <w:p w14:paraId="74BAAA16" w14:textId="77777777" w:rsidR="00B34B85" w:rsidRPr="00AE4DEE" w:rsidRDefault="00B34B85" w:rsidP="00B34B85">
      <w:pPr>
        <w:pStyle w:val="Heading1"/>
      </w:pPr>
      <w:bookmarkStart w:id="12" w:name="_Toc103086975"/>
      <w:r w:rsidRPr="00AE4DEE">
        <w:lastRenderedPageBreak/>
        <w:t>Context</w:t>
      </w:r>
      <w:bookmarkEnd w:id="12"/>
    </w:p>
    <w:p w14:paraId="381BFC83" w14:textId="3161BA42" w:rsidR="00B34B85" w:rsidRPr="00AE4DEE" w:rsidRDefault="00B34B85" w:rsidP="00B34B85">
      <w:r w:rsidRPr="00AE4DEE">
        <w:t xml:space="preserve">The Australian health care system is undergoing significant changes and there is inherent variability in the data sets that IHPA uses for the purposes of determining the NEP and NEC. Ensuring year-on-year stability in the price weights and adjustments is necessary to ensure funding stability and predictability for </w:t>
      </w:r>
      <w:r w:rsidR="004E22BE" w:rsidRPr="00AE4DEE">
        <w:t>l</w:t>
      </w:r>
      <w:r w:rsidRPr="00AE4DEE">
        <w:t xml:space="preserve">ocal </w:t>
      </w:r>
      <w:r w:rsidR="004E22BE" w:rsidRPr="00AE4DEE">
        <w:t>h</w:t>
      </w:r>
      <w:r w:rsidRPr="00AE4DEE">
        <w:t xml:space="preserve">ospital </w:t>
      </w:r>
      <w:r w:rsidR="004E22BE" w:rsidRPr="00AE4DEE">
        <w:t>n</w:t>
      </w:r>
      <w:r w:rsidRPr="00AE4DEE">
        <w:t xml:space="preserve">etworks (LHNs) and hospital managers. </w:t>
      </w:r>
    </w:p>
    <w:p w14:paraId="24B3046F" w14:textId="12F85CBA" w:rsidR="00B34B85" w:rsidRPr="00AE4DEE" w:rsidRDefault="00B34B85" w:rsidP="00B34B85">
      <w:r w:rsidRPr="00AE4DEE">
        <w:t xml:space="preserve">In determining the NEP and NEC each year, IHPA will adopt methods to stabilise the data from the previous year/s so that the impact of statistical variation or ‘noise’ on the </w:t>
      </w:r>
      <w:r w:rsidR="00CF0F8B" w:rsidRPr="00AE4DEE">
        <w:t xml:space="preserve">national </w:t>
      </w:r>
      <w:r w:rsidRPr="00AE4DEE">
        <w:t xml:space="preserve">pricing model can be minimised, whilst ensuring that the model </w:t>
      </w:r>
      <w:r w:rsidR="004E22BE" w:rsidRPr="00AE4DEE">
        <w:t xml:space="preserve">accurately </w:t>
      </w:r>
      <w:r w:rsidRPr="00AE4DEE">
        <w:t>reflects changes in practice in public hospitals.</w:t>
      </w:r>
    </w:p>
    <w:p w14:paraId="02BDDDCF" w14:textId="77777777" w:rsidR="00B34B85" w:rsidRPr="00AE4DEE" w:rsidRDefault="00B34B85">
      <w:pPr>
        <w:pStyle w:val="Heading2"/>
      </w:pPr>
      <w:bookmarkStart w:id="13" w:name="_Toc103086976"/>
      <w:r w:rsidRPr="00AE4DEE">
        <w:t>Policy statement</w:t>
      </w:r>
      <w:bookmarkEnd w:id="13"/>
    </w:p>
    <w:p w14:paraId="48F30C9D" w14:textId="77777777" w:rsidR="00B34B85" w:rsidRPr="00AE4DEE" w:rsidRDefault="00B34B85" w:rsidP="00B34B85">
      <w:r w:rsidRPr="00AE4DEE">
        <w:t xml:space="preserve">IHPA will promote funding stability and predictability for LHNs and hospital managers through satisfying two key principles within the </w:t>
      </w:r>
      <w:r w:rsidR="00CF0F8B" w:rsidRPr="00AE4DEE">
        <w:t xml:space="preserve">national </w:t>
      </w:r>
      <w:r w:rsidRPr="00AE4DEE">
        <w:t>pricing model:</w:t>
      </w:r>
    </w:p>
    <w:p w14:paraId="2F37C8A4" w14:textId="77777777" w:rsidR="00B34B85" w:rsidRPr="00AE4DEE" w:rsidRDefault="00B34B85" w:rsidP="00B34B85">
      <w:pPr>
        <w:pStyle w:val="ListParagraph"/>
        <w:numPr>
          <w:ilvl w:val="0"/>
          <w:numId w:val="14"/>
        </w:numPr>
        <w:rPr>
          <w:u w:val="single"/>
        </w:rPr>
      </w:pPr>
      <w:r w:rsidRPr="00AE4DEE">
        <w:rPr>
          <w:u w:val="single"/>
        </w:rPr>
        <w:t xml:space="preserve">Being sensitive to changes in activity, </w:t>
      </w:r>
      <w:proofErr w:type="gramStart"/>
      <w:r w:rsidRPr="00AE4DEE">
        <w:rPr>
          <w:u w:val="single"/>
        </w:rPr>
        <w:t>cost</w:t>
      </w:r>
      <w:proofErr w:type="gramEnd"/>
      <w:r w:rsidRPr="00AE4DEE">
        <w:rPr>
          <w:u w:val="single"/>
        </w:rPr>
        <w:t xml:space="preserve"> or data lags</w:t>
      </w:r>
    </w:p>
    <w:p w14:paraId="0A1911C0" w14:textId="77777777" w:rsidR="00B34B85" w:rsidRPr="00AE4DEE" w:rsidRDefault="00B34B85" w:rsidP="00B34B85">
      <w:pPr>
        <w:pStyle w:val="ListParagraph"/>
      </w:pPr>
      <w:r w:rsidRPr="00AE4DEE">
        <w:t xml:space="preserve">The stabilisation process is important to ensure that only observed changes related to activity and/or cost variations in Australian public hospitals are reflected in the </w:t>
      </w:r>
      <w:r w:rsidR="00CF0F8B" w:rsidRPr="00AE4DEE">
        <w:t xml:space="preserve">national </w:t>
      </w:r>
      <w:r w:rsidRPr="00AE4DEE">
        <w:t>pricing model.</w:t>
      </w:r>
    </w:p>
    <w:p w14:paraId="7ECAA1E0" w14:textId="77777777" w:rsidR="00B34B85" w:rsidRPr="00AE4DEE" w:rsidRDefault="00B34B85" w:rsidP="00B34B85">
      <w:pPr>
        <w:pStyle w:val="ListParagraph"/>
        <w:numPr>
          <w:ilvl w:val="0"/>
          <w:numId w:val="14"/>
        </w:numPr>
        <w:rPr>
          <w:u w:val="single"/>
        </w:rPr>
      </w:pPr>
      <w:r w:rsidRPr="00AE4DEE">
        <w:rPr>
          <w:u w:val="single"/>
        </w:rPr>
        <w:t>Minimising statistical variation</w:t>
      </w:r>
    </w:p>
    <w:p w14:paraId="3EB1183E" w14:textId="77777777" w:rsidR="00B34B85" w:rsidRPr="00AE4DEE" w:rsidRDefault="00B34B85" w:rsidP="00B34B85">
      <w:pPr>
        <w:pStyle w:val="ListParagraph"/>
      </w:pPr>
      <w:r w:rsidRPr="00AE4DEE">
        <w:t xml:space="preserve">The </w:t>
      </w:r>
      <w:r w:rsidR="00CF0F8B" w:rsidRPr="00AE4DEE">
        <w:t xml:space="preserve">national </w:t>
      </w:r>
      <w:r w:rsidRPr="00AE4DEE">
        <w:t>pricing model is empirically based. This can create unexplained statistical variation. In analysing data variance to calculate the NEP and NEC, IHPA will use a 95</w:t>
      </w:r>
      <w:r w:rsidR="00CF0F8B" w:rsidRPr="00AE4DEE">
        <w:t> </w:t>
      </w:r>
      <w:r w:rsidRPr="00AE4DEE">
        <w:t>per cent confidence interval to determine statistical significance.</w:t>
      </w:r>
    </w:p>
    <w:p w14:paraId="2AFBE4C2" w14:textId="77777777" w:rsidR="00B34B85" w:rsidRPr="00AE4DEE" w:rsidRDefault="00B34B85" w:rsidP="00B34B85"/>
    <w:p w14:paraId="1C839EFA" w14:textId="77777777" w:rsidR="00B34B85" w:rsidRPr="00AE4DEE" w:rsidRDefault="00B34B85">
      <w:pPr>
        <w:spacing w:before="0" w:after="0" w:line="240" w:lineRule="auto"/>
      </w:pPr>
      <w:r w:rsidRPr="00AE4DEE">
        <w:br w:type="page"/>
      </w:r>
    </w:p>
    <w:p w14:paraId="00768EA7" w14:textId="77777777" w:rsidR="00B34B85" w:rsidRPr="00AE4DEE" w:rsidRDefault="00B34B85" w:rsidP="00B34B85">
      <w:pPr>
        <w:pStyle w:val="Heading1"/>
      </w:pPr>
      <w:bookmarkStart w:id="14" w:name="_Toc103086977"/>
      <w:r w:rsidRPr="00AE4DEE">
        <w:lastRenderedPageBreak/>
        <w:t>Stabilisation process</w:t>
      </w:r>
      <w:bookmarkEnd w:id="14"/>
    </w:p>
    <w:p w14:paraId="5F4B4820" w14:textId="63ACD67B" w:rsidR="00B34B85" w:rsidRPr="00AE4DEE" w:rsidRDefault="00B34B85" w:rsidP="00B34B85">
      <w:r w:rsidRPr="00AE4DEE">
        <w:t xml:space="preserve">All proposed changes to the national </w:t>
      </w:r>
      <w:r w:rsidR="00CF0F8B" w:rsidRPr="00AE4DEE">
        <w:t xml:space="preserve">pricing </w:t>
      </w:r>
      <w:r w:rsidRPr="00AE4DEE">
        <w:t xml:space="preserve">model will first undergo the assessment and jurisdictional consultation process as outlined in IHPA’s </w:t>
      </w:r>
      <w:r w:rsidR="005B1C8C" w:rsidRPr="00AE4DEE">
        <w:rPr>
          <w:i/>
        </w:rPr>
        <w:t>National Pricing Model Consultation Policy</w:t>
      </w:r>
      <w:r w:rsidRPr="00AE4DEE">
        <w:t>. Such proposed changes may include pricing changes and projected pricing impact on funding, costing methodology changes, new classifications and major structural changes to existing classifications and funding cycle impacts.</w:t>
      </w:r>
    </w:p>
    <w:p w14:paraId="661ADAF3" w14:textId="78AD1847" w:rsidR="00B34B85" w:rsidRPr="00AE4DEE" w:rsidRDefault="00B34B85" w:rsidP="00B34B85">
      <w:r w:rsidRPr="00AE4DEE">
        <w:t xml:space="preserve">Once a proposed change progresses to implementation, following assessment against the </w:t>
      </w:r>
      <w:r w:rsidR="005B1C8C" w:rsidRPr="00AE4DEE">
        <w:rPr>
          <w:i/>
        </w:rPr>
        <w:t>National Pricing Model Consultation Policy</w:t>
      </w:r>
      <w:r w:rsidRPr="00AE4DEE">
        <w:t xml:space="preserve">, changes that require back-casting will follow the processes outlined in IHPA’s </w:t>
      </w:r>
      <w:r w:rsidRPr="00AE4DEE">
        <w:rPr>
          <w:i/>
        </w:rPr>
        <w:t>Back-</w:t>
      </w:r>
      <w:r w:rsidR="005B1C8C" w:rsidRPr="00AE4DEE">
        <w:rPr>
          <w:i/>
        </w:rPr>
        <w:t>C</w:t>
      </w:r>
      <w:r w:rsidRPr="00AE4DEE">
        <w:rPr>
          <w:i/>
        </w:rPr>
        <w:t>asting Policy</w:t>
      </w:r>
      <w:r w:rsidRPr="00AE4DEE">
        <w:t>.</w:t>
      </w:r>
    </w:p>
    <w:p w14:paraId="2F4E9417" w14:textId="77777777" w:rsidR="00B34B85" w:rsidRPr="00AE4DEE" w:rsidRDefault="00B34B85" w:rsidP="00B34B85">
      <w:r w:rsidRPr="00AE4DEE">
        <w:t xml:space="preserve">The key stages in the NEP and NEC stabilisation process are outlined in </w:t>
      </w:r>
      <w:r w:rsidRPr="00AE4DEE">
        <w:rPr>
          <w:b/>
        </w:rPr>
        <w:t>Figure 1</w:t>
      </w:r>
      <w:r w:rsidRPr="00AE4DEE">
        <w:t>. IHPA’s Jurisdictional Advisory Committee and Clinical Advisory Committee (CAC) will be provided with the opportunity to review the stability interventions presented to IHPA’s Technical Advisory Committee (TAC) before these interventions are implemented.</w:t>
      </w:r>
    </w:p>
    <w:p w14:paraId="7493FAD6" w14:textId="77777777" w:rsidR="00183CD6" w:rsidRPr="00AE4DEE" w:rsidRDefault="00183CD6" w:rsidP="00183CD6">
      <w:pPr>
        <w:pStyle w:val="FigureHeading"/>
      </w:pPr>
      <w:r w:rsidRPr="00AE4DEE">
        <w:t>Overview of the NEP and NEC stabilisation process</w:t>
      </w:r>
    </w:p>
    <w:p w14:paraId="6C0AE4B1" w14:textId="77777777" w:rsidR="00183CD6" w:rsidRPr="00AE4DEE" w:rsidRDefault="00F37877" w:rsidP="00183CD6">
      <w:r w:rsidRPr="00AE4DEE">
        <w:rPr>
          <w:noProof/>
        </w:rPr>
        <w:drawing>
          <wp:inline distT="0" distB="0" distL="0" distR="0" wp14:anchorId="1AD0E2B1" wp14:editId="5A95611D">
            <wp:extent cx="5264766" cy="36850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bility fi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64766" cy="3685032"/>
                    </a:xfrm>
                    <a:prstGeom prst="rect">
                      <a:avLst/>
                    </a:prstGeom>
                  </pic:spPr>
                </pic:pic>
              </a:graphicData>
            </a:graphic>
          </wp:inline>
        </w:drawing>
      </w:r>
    </w:p>
    <w:p w14:paraId="78F44B5D" w14:textId="77777777" w:rsidR="00183CD6" w:rsidRPr="00AE4DEE" w:rsidRDefault="00183CD6">
      <w:pPr>
        <w:spacing w:before="0" w:after="0" w:line="240" w:lineRule="auto"/>
      </w:pPr>
      <w:r w:rsidRPr="00AE4DEE">
        <w:br w:type="page"/>
      </w:r>
    </w:p>
    <w:p w14:paraId="4EFC32BC" w14:textId="77777777" w:rsidR="00183CD6" w:rsidRPr="00AE4DEE" w:rsidRDefault="00183CD6" w:rsidP="00183CD6">
      <w:pPr>
        <w:pStyle w:val="Heading1"/>
      </w:pPr>
      <w:bookmarkStart w:id="15" w:name="_Toc103086978"/>
      <w:r w:rsidRPr="00AE4DEE">
        <w:lastRenderedPageBreak/>
        <w:t>Base data preparation</w:t>
      </w:r>
      <w:bookmarkEnd w:id="15"/>
    </w:p>
    <w:p w14:paraId="3C332B31" w14:textId="77777777" w:rsidR="00183CD6" w:rsidRPr="00AE4DEE" w:rsidRDefault="00183CD6">
      <w:pPr>
        <w:pStyle w:val="Heading2"/>
      </w:pPr>
      <w:bookmarkStart w:id="16" w:name="_Toc103086979"/>
      <w:r w:rsidRPr="00AE4DEE">
        <w:t>NEP data preparation</w:t>
      </w:r>
      <w:bookmarkEnd w:id="16"/>
    </w:p>
    <w:p w14:paraId="120CC8ED" w14:textId="77777777" w:rsidR="00183CD6" w:rsidRPr="00AE4DEE" w:rsidRDefault="00183CD6" w:rsidP="00183CD6">
      <w:r w:rsidRPr="00AE4DEE">
        <w:t>The steps IHPA adopts to prepare the data for the NEP are detailed in the National Pricing Model Technical Specifications, released in conjunction with the NEP each year.</w:t>
      </w:r>
    </w:p>
    <w:p w14:paraId="0F84E293" w14:textId="77777777" w:rsidR="00183CD6" w:rsidRPr="00AE4DEE" w:rsidRDefault="00183CD6" w:rsidP="00183CD6">
      <w:pPr>
        <w:pStyle w:val="Heading3"/>
      </w:pPr>
      <w:r w:rsidRPr="00AE4DEE">
        <w:t>4.1.1</w:t>
      </w:r>
      <w:r w:rsidRPr="00AE4DEE">
        <w:tab/>
        <w:t>Identification and classification of outlier data</w:t>
      </w:r>
    </w:p>
    <w:p w14:paraId="77F4D6E6" w14:textId="77777777" w:rsidR="00183CD6" w:rsidRPr="00AE4DEE" w:rsidRDefault="00183CD6" w:rsidP="00183CD6">
      <w:r w:rsidRPr="00AE4DEE">
        <w:t xml:space="preserve">In preparing the data, IHPA identifies and removes extreme cost outliers. This process is detailed in the National Pricing Model Technical Specifications. </w:t>
      </w:r>
    </w:p>
    <w:p w14:paraId="06E529EC" w14:textId="238955B4" w:rsidR="00183CD6" w:rsidRPr="00AE4DEE" w:rsidRDefault="00183CD6" w:rsidP="00183CD6">
      <w:pPr>
        <w:pStyle w:val="Heading3"/>
      </w:pPr>
      <w:r w:rsidRPr="00AE4DEE">
        <w:t>4.1.2</w:t>
      </w:r>
      <w:r w:rsidRPr="00AE4DEE">
        <w:tab/>
        <w:t xml:space="preserve">Low volume </w:t>
      </w:r>
      <w:r w:rsidR="00B84EB6" w:rsidRPr="00AE4DEE">
        <w:t>end-classe</w:t>
      </w:r>
      <w:r w:rsidRPr="00AE4DEE">
        <w:t>s</w:t>
      </w:r>
    </w:p>
    <w:p w14:paraId="2085F9A9" w14:textId="3B0F2BDD" w:rsidR="00183CD6" w:rsidRPr="00AE4DEE" w:rsidRDefault="00183CD6" w:rsidP="00183CD6">
      <w:r w:rsidRPr="00AE4DEE">
        <w:t xml:space="preserve">Some </w:t>
      </w:r>
      <w:r w:rsidR="00B84EB6" w:rsidRPr="00AE4DEE">
        <w:t xml:space="preserve">end-classes, such as </w:t>
      </w:r>
      <w:r w:rsidR="00FC7023" w:rsidRPr="00AE4DEE">
        <w:t xml:space="preserve">end-classes within the </w:t>
      </w:r>
      <w:r w:rsidRPr="00AE4DEE">
        <w:t xml:space="preserve">Australian Refined Diagnosis Related Groups </w:t>
      </w:r>
      <w:r w:rsidR="00FC7023" w:rsidRPr="00AE4DEE">
        <w:t xml:space="preserve">Classification </w:t>
      </w:r>
      <w:r w:rsidRPr="00AE4DEE">
        <w:t>(AR-DRGs)</w:t>
      </w:r>
      <w:r w:rsidR="00B84EB6" w:rsidRPr="00AE4DEE">
        <w:t>,</w:t>
      </w:r>
      <w:r w:rsidRPr="00AE4DEE">
        <w:t xml:space="preserve"> have very low volumes of patients treated each year and as such are particularly vulnerable to volatility, as each patient cost record has a greater influence on the average cost and length of stay.</w:t>
      </w:r>
    </w:p>
    <w:p w14:paraId="4EC78157" w14:textId="78245870" w:rsidR="00183CD6" w:rsidRPr="00AE4DEE" w:rsidRDefault="002127F1" w:rsidP="00183CD6">
      <w:r w:rsidRPr="00AE4DEE">
        <w:t>For end-classe</w:t>
      </w:r>
      <w:r w:rsidR="00183CD6" w:rsidRPr="00AE4DEE">
        <w:t xml:space="preserve">s with less than 100 separations in any given year, IHPA will combine data from the current year and preceding year </w:t>
      </w:r>
      <w:proofErr w:type="gramStart"/>
      <w:r w:rsidR="00183CD6" w:rsidRPr="00AE4DEE">
        <w:t>in order to</w:t>
      </w:r>
      <w:proofErr w:type="gramEnd"/>
      <w:r w:rsidR="00183CD6" w:rsidRPr="00AE4DEE">
        <w:t xml:space="preserve"> increase the volume in the sample and provide improved stability to the cost and length of stay parameters for that </w:t>
      </w:r>
      <w:r w:rsidR="00B84EB6" w:rsidRPr="00AE4DEE">
        <w:t>end-class</w:t>
      </w:r>
      <w:r w:rsidR="00183CD6" w:rsidRPr="00AE4DEE">
        <w:t xml:space="preserve">. The preceding </w:t>
      </w:r>
      <w:r w:rsidR="005B1C8C" w:rsidRPr="00AE4DEE">
        <w:t xml:space="preserve">year’s </w:t>
      </w:r>
      <w:r w:rsidR="00183CD6" w:rsidRPr="00AE4DEE">
        <w:t>data will be indexed to ensure comparability between the two years’ data.</w:t>
      </w:r>
    </w:p>
    <w:p w14:paraId="56B9C23E" w14:textId="5EC578FE" w:rsidR="00183CD6" w:rsidRPr="00AE4DEE" w:rsidRDefault="00183CD6" w:rsidP="00183CD6">
      <w:pPr>
        <w:pStyle w:val="Heading3"/>
      </w:pPr>
      <w:r w:rsidRPr="00AE4DEE">
        <w:t>4.1.3</w:t>
      </w:r>
      <w:r w:rsidRPr="00AE4DEE">
        <w:tab/>
        <w:t>Establishing inlier bounds</w:t>
      </w:r>
    </w:p>
    <w:p w14:paraId="2F5DA3FC" w14:textId="2E7A474F" w:rsidR="00183CD6" w:rsidRPr="00AE4DEE" w:rsidRDefault="00183CD6" w:rsidP="00183CD6">
      <w:r w:rsidRPr="00AE4DEE">
        <w:t xml:space="preserve">The inlier bounds are used to define the pool of separations within an </w:t>
      </w:r>
      <w:r w:rsidR="00B84EB6" w:rsidRPr="00AE4DEE">
        <w:t>admitted end</w:t>
      </w:r>
      <w:r w:rsidR="00B84EB6" w:rsidRPr="00AE4DEE">
        <w:noBreakHyphen/>
        <w:t>class</w:t>
      </w:r>
      <w:r w:rsidRPr="00AE4DEE">
        <w:t xml:space="preserve"> that </w:t>
      </w:r>
      <w:proofErr w:type="gramStart"/>
      <w:r w:rsidRPr="00AE4DEE">
        <w:t>are considered to be</w:t>
      </w:r>
      <w:proofErr w:type="gramEnd"/>
      <w:r w:rsidRPr="00AE4DEE">
        <w:t xml:space="preserve"> homogenous. Those separations with a length of stay that falls outside the bounds are classified as outliers, where costs are not representative of the average cost of treating patients within the </w:t>
      </w:r>
      <w:r w:rsidR="00B84EB6" w:rsidRPr="00AE4DEE">
        <w:t>end-classes</w:t>
      </w:r>
      <w:r w:rsidRPr="00AE4DEE">
        <w:t xml:space="preserve">. </w:t>
      </w:r>
    </w:p>
    <w:p w14:paraId="3668BDC2" w14:textId="240E6A15" w:rsidR="00183CD6" w:rsidRPr="00AE4DEE" w:rsidRDefault="00183CD6" w:rsidP="00183CD6">
      <w:r w:rsidRPr="00AE4DEE">
        <w:t xml:space="preserve">Moving the inlier bounds leads to a recalculation of price weights and changes in the relativities between the price weights of different </w:t>
      </w:r>
      <w:r w:rsidR="00B84EB6" w:rsidRPr="00AE4DEE">
        <w:t>end-classes</w:t>
      </w:r>
      <w:r w:rsidRPr="00AE4DEE">
        <w:t xml:space="preserve">. </w:t>
      </w:r>
    </w:p>
    <w:p w14:paraId="6B4492B1" w14:textId="7E36C68F" w:rsidR="00183CD6" w:rsidRPr="00AE4DEE" w:rsidRDefault="00183CD6" w:rsidP="00183CD6">
      <w:r w:rsidRPr="00AE4DEE">
        <w:t xml:space="preserve">The impact of changing the bounds for any </w:t>
      </w:r>
      <w:r w:rsidR="00B84EB6" w:rsidRPr="00AE4DEE">
        <w:t>end-class</w:t>
      </w:r>
      <w:r w:rsidRPr="00AE4DEE">
        <w:t xml:space="preserve"> is compounded if the National Hospital Cost Data Collection also reports changes in the average cost for that </w:t>
      </w:r>
      <w:r w:rsidR="00B84EB6" w:rsidRPr="00AE4DEE">
        <w:t>end</w:t>
      </w:r>
      <w:r w:rsidR="00B84EB6" w:rsidRPr="00AE4DEE">
        <w:noBreakHyphen/>
        <w:t>class</w:t>
      </w:r>
      <w:r w:rsidRPr="00AE4DEE">
        <w:t xml:space="preserve"> relative to other </w:t>
      </w:r>
      <w:r w:rsidR="008F4DCB" w:rsidRPr="00AE4DEE">
        <w:t>end-classe</w:t>
      </w:r>
      <w:r w:rsidRPr="00AE4DEE">
        <w:t xml:space="preserve">s. </w:t>
      </w:r>
    </w:p>
    <w:p w14:paraId="40BC7AA0" w14:textId="77777777" w:rsidR="00183CD6" w:rsidRPr="00AE4DEE" w:rsidRDefault="00183CD6" w:rsidP="003C2179">
      <w:pPr>
        <w:ind w:right="-194"/>
      </w:pPr>
      <w:proofErr w:type="gramStart"/>
      <w:r w:rsidRPr="00AE4DEE">
        <w:t>In developing a robust, stable system of price weights, it</w:t>
      </w:r>
      <w:proofErr w:type="gramEnd"/>
      <w:r w:rsidRPr="00AE4DEE">
        <w:t xml:space="preserve"> is important that the relative values of price weights do not fluctuate with random variations in activity and/or cost data from year-to-year. </w:t>
      </w:r>
    </w:p>
    <w:p w14:paraId="19B91C60" w14:textId="77777777" w:rsidR="00183CD6" w:rsidRPr="00AE4DEE" w:rsidRDefault="00183CD6" w:rsidP="00183CD6">
      <w:r w:rsidRPr="00AE4DEE">
        <w:t xml:space="preserve">Therefore, changes to the inlier bounds should only be made when there is either a clinical or methodological reason, or a sustained trend in behaviour that is observed over time. </w:t>
      </w:r>
    </w:p>
    <w:p w14:paraId="6D8256F4" w14:textId="166C54BD" w:rsidR="00183CD6" w:rsidRPr="00AE4DEE" w:rsidRDefault="00183CD6" w:rsidP="00183CD6">
      <w:r w:rsidRPr="00AE4DEE">
        <w:t xml:space="preserve">The inlier bounds for each </w:t>
      </w:r>
      <w:r w:rsidR="008F4DCB" w:rsidRPr="00AE4DEE">
        <w:t>end-class</w:t>
      </w:r>
      <w:r w:rsidRPr="00AE4DEE">
        <w:t xml:space="preserve"> are determined by IHPA based on the average length of stay (ALOS) profile.</w:t>
      </w:r>
    </w:p>
    <w:p w14:paraId="3C4EC4CE" w14:textId="54FB99B8" w:rsidR="00183CD6" w:rsidRPr="00AE4DEE" w:rsidRDefault="00183CD6" w:rsidP="00183CD6">
      <w:r w:rsidRPr="00AE4DEE">
        <w:t xml:space="preserve">The steps IHPA adopted to calculate the inlier bounds are </w:t>
      </w:r>
      <w:r w:rsidR="00030E25" w:rsidRPr="00AE4DEE">
        <w:t xml:space="preserve">outlined in further </w:t>
      </w:r>
      <w:r w:rsidRPr="00AE4DEE">
        <w:t>detail in the annual National Pricing Model Technical Specifications.</w:t>
      </w:r>
    </w:p>
    <w:p w14:paraId="00938C3B" w14:textId="35E6E98B" w:rsidR="00030E25" w:rsidRPr="00AE4DEE" w:rsidRDefault="00030E25" w:rsidP="00AE4DEE">
      <w:pPr>
        <w:pStyle w:val="Heading3"/>
      </w:pPr>
      <w:r w:rsidRPr="00AE4DEE">
        <w:lastRenderedPageBreak/>
        <w:t>4.1.4</w:t>
      </w:r>
      <w:r w:rsidRPr="00AE4DEE">
        <w:tab/>
        <w:t>Movements in inlier bounds</w:t>
      </w:r>
    </w:p>
    <w:p w14:paraId="7DDEA6A6" w14:textId="2F0191EE" w:rsidR="00030E25" w:rsidRPr="00AE4DEE" w:rsidRDefault="00030E25" w:rsidP="00AE4DEE">
      <w:pPr>
        <w:keepNext/>
        <w:keepLines/>
      </w:pPr>
      <w:r w:rsidRPr="00AE4DEE">
        <w:t>The inlier bounds for length of stay based cost models are subject to fluctuation year</w:t>
      </w:r>
      <w:r w:rsidRPr="00AE4DEE">
        <w:noBreakHyphen/>
        <w:t>to</w:t>
      </w:r>
      <w:r w:rsidRPr="00AE4DEE">
        <w:noBreakHyphen/>
        <w:t>year as the ALOS moves.</w:t>
      </w:r>
    </w:p>
    <w:p w14:paraId="5D1FBB5C" w14:textId="34C587F8" w:rsidR="002D791D" w:rsidRPr="00AE4DEE" w:rsidRDefault="00E13790" w:rsidP="00264508">
      <w:pPr>
        <w:keepNext/>
      </w:pPr>
      <w:r w:rsidRPr="00AE4DEE">
        <w:t xml:space="preserve">Changes to </w:t>
      </w:r>
      <w:r w:rsidR="002D791D" w:rsidRPr="00AE4DEE">
        <w:t xml:space="preserve">the lower and upper bounds </w:t>
      </w:r>
      <w:r w:rsidRPr="00AE4DEE">
        <w:t>are considered legitimate</w:t>
      </w:r>
      <w:r w:rsidR="002D791D" w:rsidRPr="00AE4DEE">
        <w:t xml:space="preserve"> if the end-class has had a change in its status on:</w:t>
      </w:r>
    </w:p>
    <w:p w14:paraId="2563AFEF" w14:textId="77777777" w:rsidR="002D791D" w:rsidRPr="00AE4DEE" w:rsidRDefault="002D791D" w:rsidP="00264508">
      <w:pPr>
        <w:pStyle w:val="NormalArial"/>
        <w:keepNext/>
        <w:numPr>
          <w:ilvl w:val="0"/>
          <w:numId w:val="15"/>
        </w:numPr>
        <w:spacing w:before="120" w:after="120"/>
        <w:ind w:left="714" w:hanging="357"/>
      </w:pPr>
      <w:r w:rsidRPr="00AE4DEE">
        <w:t xml:space="preserve">the same-day pricing list; or </w:t>
      </w:r>
    </w:p>
    <w:p w14:paraId="7C6132CC" w14:textId="77777777" w:rsidR="002D791D" w:rsidRPr="00AE4DEE" w:rsidRDefault="002D791D" w:rsidP="00264508">
      <w:pPr>
        <w:pStyle w:val="NormalArial"/>
        <w:keepNext/>
        <w:numPr>
          <w:ilvl w:val="0"/>
          <w:numId w:val="15"/>
        </w:numPr>
        <w:spacing w:before="120" w:after="120"/>
        <w:ind w:left="714" w:hanging="357"/>
      </w:pPr>
      <w:r w:rsidRPr="00AE4DEE">
        <w:t>the bundled list for intensive care unit (ICU) payments; or</w:t>
      </w:r>
    </w:p>
    <w:p w14:paraId="37E6A72F" w14:textId="77777777" w:rsidR="002D791D" w:rsidRPr="00AE4DEE" w:rsidRDefault="002D791D" w:rsidP="002D791D">
      <w:pPr>
        <w:pStyle w:val="NormalArial"/>
        <w:numPr>
          <w:ilvl w:val="0"/>
          <w:numId w:val="15"/>
        </w:numPr>
        <w:spacing w:before="120" w:after="120"/>
        <w:ind w:left="714" w:hanging="357"/>
      </w:pPr>
      <w:r w:rsidRPr="00AE4DEE">
        <w:t>the list to move from L3H3</w:t>
      </w:r>
      <w:r w:rsidRPr="00AE4DEE">
        <w:rPr>
          <w:rStyle w:val="FootnoteReference"/>
        </w:rPr>
        <w:footnoteReference w:id="3"/>
      </w:r>
      <w:r w:rsidRPr="00AE4DEE">
        <w:t xml:space="preserve"> to L1.5H1.5</w:t>
      </w:r>
      <w:r w:rsidRPr="00AE4DEE">
        <w:rPr>
          <w:rStyle w:val="FootnoteReference"/>
        </w:rPr>
        <w:footnoteReference w:id="4"/>
      </w:r>
      <w:r w:rsidRPr="00AE4DEE">
        <w:t xml:space="preserve"> because of the distribution of long stay, high cost outliers.</w:t>
      </w:r>
    </w:p>
    <w:p w14:paraId="26A87F48" w14:textId="77777777" w:rsidR="002D791D" w:rsidRPr="00AE4DEE" w:rsidRDefault="002D791D" w:rsidP="002D791D">
      <w:r w:rsidRPr="00AE4DEE">
        <w:t>Otherwise, inlier bounds will only be changed when there is:</w:t>
      </w:r>
    </w:p>
    <w:p w14:paraId="2927B264" w14:textId="77777777" w:rsidR="002D791D" w:rsidRPr="00AE4DEE" w:rsidRDefault="002D791D" w:rsidP="002D791D">
      <w:pPr>
        <w:pStyle w:val="NormalArial"/>
        <w:numPr>
          <w:ilvl w:val="0"/>
          <w:numId w:val="15"/>
        </w:numPr>
        <w:spacing w:before="120" w:after="120"/>
        <w:ind w:left="714" w:hanging="357"/>
      </w:pPr>
      <w:r w:rsidRPr="00AE4DEE">
        <w:t>a statistically significant change in the bounds (at the 95 per cent confidence level); or</w:t>
      </w:r>
    </w:p>
    <w:p w14:paraId="72F379DF" w14:textId="2AAF3DFF" w:rsidR="002D791D" w:rsidRPr="00AE4DEE" w:rsidRDefault="002D791D" w:rsidP="002D791D">
      <w:pPr>
        <w:pStyle w:val="NormalArial"/>
        <w:numPr>
          <w:ilvl w:val="0"/>
          <w:numId w:val="15"/>
        </w:numPr>
        <w:spacing w:before="120" w:after="120"/>
        <w:ind w:left="714" w:hanging="357"/>
      </w:pPr>
      <w:r w:rsidRPr="00AE4DEE">
        <w:t xml:space="preserve">if a change in a </w:t>
      </w:r>
      <w:proofErr w:type="gramStart"/>
      <w:r w:rsidRPr="00AE4DEE">
        <w:t>bound affects</w:t>
      </w:r>
      <w:proofErr w:type="gramEnd"/>
      <w:r w:rsidRPr="00AE4DEE">
        <w:t xml:space="preserve"> more than 1 per cent or more than 10 of the end-class episodes</w:t>
      </w:r>
      <w:r w:rsidR="00030E25" w:rsidRPr="00AE4DEE">
        <w:t>.</w:t>
      </w:r>
    </w:p>
    <w:p w14:paraId="01974E29" w14:textId="73CF9A9B" w:rsidR="002D791D" w:rsidRPr="00AE4DEE" w:rsidRDefault="002D791D" w:rsidP="002D791D">
      <w:r w:rsidRPr="00AE4DEE">
        <w:t>These two tests are applied in the first instance to the upper bounds and only when there is movement to the upper bound will the lower bounds be subjected to the same tests to see if there should be any movement in them as well.</w:t>
      </w:r>
    </w:p>
    <w:p w14:paraId="7E6B0ED6" w14:textId="42A48986" w:rsidR="002D791D" w:rsidRPr="00AE4DEE" w:rsidRDefault="002D791D" w:rsidP="002D791D">
      <w:r w:rsidRPr="00AE4DEE">
        <w:t>In some rare instances, if inlier bounds are stabilised, the ALOS for an end-class may lay outside the inlier bounds. In th</w:t>
      </w:r>
      <w:r w:rsidR="002127F1" w:rsidRPr="00AE4DEE">
        <w:t>os</w:t>
      </w:r>
      <w:r w:rsidRPr="00AE4DEE">
        <w:t>e cases</w:t>
      </w:r>
      <w:r w:rsidR="002127F1" w:rsidRPr="00AE4DEE">
        <w:t>,</w:t>
      </w:r>
      <w:r w:rsidRPr="00AE4DEE">
        <w:t xml:space="preserve"> the inlier bounds are not stabilised.</w:t>
      </w:r>
    </w:p>
    <w:p w14:paraId="34E0D78C" w14:textId="77777777" w:rsidR="00183CD6" w:rsidRPr="00AE4DEE" w:rsidRDefault="00183CD6">
      <w:pPr>
        <w:pStyle w:val="Heading2"/>
      </w:pPr>
      <w:bookmarkStart w:id="17" w:name="_Toc103086980"/>
      <w:r w:rsidRPr="00AE4DEE">
        <w:t>NEC data preparation</w:t>
      </w:r>
      <w:bookmarkEnd w:id="17"/>
    </w:p>
    <w:p w14:paraId="30B9DEFE" w14:textId="14AD6B80" w:rsidR="00183CD6" w:rsidRPr="00AE4DEE" w:rsidRDefault="00183CD6" w:rsidP="003C2179">
      <w:r w:rsidRPr="00AE4DEE">
        <w:t>The steps IHPA adopts to prepare the data for the NEC are detailed in the National Pricing Model Technical Specifications, released in conjunction with the NEC each year.</w:t>
      </w:r>
    </w:p>
    <w:p w14:paraId="3EE1660C" w14:textId="4BDD8ED2" w:rsidR="00183CD6" w:rsidRPr="00AE4DEE" w:rsidRDefault="00183CD6">
      <w:pPr>
        <w:pStyle w:val="Heading2"/>
      </w:pPr>
      <w:bookmarkStart w:id="18" w:name="_Toc93499336"/>
      <w:bookmarkStart w:id="19" w:name="_Toc93499337"/>
      <w:bookmarkStart w:id="20" w:name="_Toc93499338"/>
      <w:bookmarkStart w:id="21" w:name="_Toc93499339"/>
      <w:bookmarkStart w:id="22" w:name="_Toc93499340"/>
      <w:bookmarkStart w:id="23" w:name="_Toc93499341"/>
      <w:bookmarkStart w:id="24" w:name="_Toc93499342"/>
      <w:bookmarkStart w:id="25" w:name="_Toc93499343"/>
      <w:bookmarkStart w:id="26" w:name="_Toc93499344"/>
      <w:bookmarkStart w:id="27" w:name="_Toc93499345"/>
      <w:bookmarkStart w:id="28" w:name="_Toc93499346"/>
      <w:bookmarkStart w:id="29" w:name="_Toc93499347"/>
      <w:bookmarkStart w:id="30" w:name="_Toc103086981"/>
      <w:bookmarkEnd w:id="18"/>
      <w:bookmarkEnd w:id="19"/>
      <w:bookmarkEnd w:id="20"/>
      <w:bookmarkEnd w:id="21"/>
      <w:bookmarkEnd w:id="22"/>
      <w:bookmarkEnd w:id="23"/>
      <w:bookmarkEnd w:id="24"/>
      <w:bookmarkEnd w:id="25"/>
      <w:bookmarkEnd w:id="26"/>
      <w:bookmarkEnd w:id="27"/>
      <w:bookmarkEnd w:id="28"/>
      <w:bookmarkEnd w:id="29"/>
      <w:r w:rsidRPr="00AE4DEE">
        <w:t>Movements in cost parameters</w:t>
      </w:r>
      <w:bookmarkEnd w:id="30"/>
    </w:p>
    <w:p w14:paraId="68149E05" w14:textId="0B890283" w:rsidR="00183CD6" w:rsidRPr="00AE4DEE" w:rsidRDefault="003C2179" w:rsidP="00183CD6">
      <w:r w:rsidRPr="00AE4DEE">
        <w:t xml:space="preserve">Movements in cost parameters, which become price weights, </w:t>
      </w:r>
      <w:r w:rsidR="00183CD6" w:rsidRPr="00AE4DEE">
        <w:t>may vary from year-to-year for many reasons including changes in cost data or inlier bound movements. The net impact of large fluctuations can be an undesired instability in the model.</w:t>
      </w:r>
    </w:p>
    <w:p w14:paraId="79FF0BF1" w14:textId="223222A0" w:rsidR="00183CD6" w:rsidRPr="00AE4DEE" w:rsidRDefault="00183CD6" w:rsidP="00183CD6">
      <w:r w:rsidRPr="00AE4DEE">
        <w:t>In the admitted cost models (acute</w:t>
      </w:r>
      <w:r w:rsidR="003C2179" w:rsidRPr="00AE4DEE">
        <w:t xml:space="preserve"> care</w:t>
      </w:r>
      <w:r w:rsidRPr="00AE4DEE">
        <w:t xml:space="preserve">, mental health </w:t>
      </w:r>
      <w:r w:rsidR="003C2179" w:rsidRPr="00AE4DEE">
        <w:t xml:space="preserve">care </w:t>
      </w:r>
      <w:r w:rsidRPr="00AE4DEE">
        <w:t>and subacute</w:t>
      </w:r>
      <w:r w:rsidR="003C2179" w:rsidRPr="00AE4DEE">
        <w:t xml:space="preserve"> care</w:t>
      </w:r>
      <w:r w:rsidRPr="00AE4DEE">
        <w:t>) IHPA will restrict the year-to-year movement in price weights to +/- 20 per cent where:</w:t>
      </w:r>
    </w:p>
    <w:p w14:paraId="487A0C7E" w14:textId="77777777" w:rsidR="00183CD6" w:rsidRPr="00AE4DEE" w:rsidRDefault="00183CD6" w:rsidP="00183CD6">
      <w:pPr>
        <w:pStyle w:val="NormalArial"/>
        <w:numPr>
          <w:ilvl w:val="0"/>
          <w:numId w:val="15"/>
        </w:numPr>
        <w:spacing w:before="120" w:after="120"/>
        <w:ind w:left="714" w:hanging="357"/>
      </w:pPr>
      <w:r w:rsidRPr="00AE4DEE">
        <w:t xml:space="preserve">there are less than 1,000 inlier </w:t>
      </w:r>
      <w:proofErr w:type="gramStart"/>
      <w:r w:rsidRPr="00AE4DEE">
        <w:t>episodes;</w:t>
      </w:r>
      <w:proofErr w:type="gramEnd"/>
      <w:r w:rsidRPr="00AE4DEE">
        <w:t xml:space="preserve"> and</w:t>
      </w:r>
    </w:p>
    <w:p w14:paraId="0D3E2601" w14:textId="77777777" w:rsidR="00183CD6" w:rsidRPr="00AE4DEE" w:rsidRDefault="00183CD6" w:rsidP="00183CD6">
      <w:pPr>
        <w:pStyle w:val="NormalArial"/>
        <w:numPr>
          <w:ilvl w:val="0"/>
          <w:numId w:val="15"/>
        </w:numPr>
        <w:spacing w:before="120" w:after="120"/>
        <w:ind w:left="714" w:hanging="357"/>
      </w:pPr>
      <w:r w:rsidRPr="00AE4DEE">
        <w:t>there is no change to inlier bounds; and</w:t>
      </w:r>
    </w:p>
    <w:p w14:paraId="24449AE1" w14:textId="77777777" w:rsidR="00183CD6" w:rsidRPr="00AE4DEE" w:rsidRDefault="00183CD6" w:rsidP="00183CD6">
      <w:pPr>
        <w:pStyle w:val="NormalArial"/>
        <w:numPr>
          <w:ilvl w:val="0"/>
          <w:numId w:val="15"/>
        </w:numPr>
        <w:spacing w:before="120" w:after="120"/>
        <w:ind w:left="714" w:hanging="357"/>
      </w:pPr>
      <w:r w:rsidRPr="00AE4DEE">
        <w:t>there is no change to the status on the same-day pricing list and bundled ICU list; and</w:t>
      </w:r>
    </w:p>
    <w:p w14:paraId="76F66B26" w14:textId="77777777" w:rsidR="00183CD6" w:rsidRPr="00AE4DEE" w:rsidRDefault="00183CD6" w:rsidP="00183CD6">
      <w:pPr>
        <w:pStyle w:val="NormalArial"/>
        <w:numPr>
          <w:ilvl w:val="0"/>
          <w:numId w:val="15"/>
        </w:numPr>
        <w:spacing w:before="120" w:after="120"/>
        <w:ind w:left="714" w:hanging="357"/>
      </w:pPr>
      <w:r w:rsidRPr="00AE4DEE">
        <w:t>the change in the inlier cost parameter is outside +/- 20 per cent.</w:t>
      </w:r>
    </w:p>
    <w:p w14:paraId="66798098" w14:textId="78670F17" w:rsidR="00183CD6" w:rsidRPr="00AE4DEE" w:rsidRDefault="003C2179" w:rsidP="00183CD6">
      <w:r w:rsidRPr="00AE4DEE">
        <w:t xml:space="preserve">In the </w:t>
      </w:r>
      <w:r w:rsidR="00183CD6" w:rsidRPr="00AE4DEE">
        <w:t xml:space="preserve">non-admitted </w:t>
      </w:r>
      <w:r w:rsidRPr="00AE4DEE">
        <w:t xml:space="preserve">care </w:t>
      </w:r>
      <w:r w:rsidR="00183CD6" w:rsidRPr="00AE4DEE">
        <w:t>and emergency department cost models, IHPA will restrict the year-to-year movement to +/- 20 per cent for all price weights.</w:t>
      </w:r>
    </w:p>
    <w:p w14:paraId="6F974B63" w14:textId="77777777" w:rsidR="00183CD6" w:rsidRPr="00AE4DEE" w:rsidRDefault="00183CD6" w:rsidP="00183CD6">
      <w:r w:rsidRPr="00AE4DEE">
        <w:lastRenderedPageBreak/>
        <w:t>For services with high patient volumes and high aggregate expenditure (for example, chemotherapy and dialysis) IHPA may consider lower thresholds than the +/- 20 per cent movement, for applying stabilisation techniques.</w:t>
      </w:r>
    </w:p>
    <w:p w14:paraId="1A34043C" w14:textId="77777777" w:rsidR="00183CD6" w:rsidRPr="00AE4DEE" w:rsidRDefault="00183CD6" w:rsidP="00183CD6">
      <w:r w:rsidRPr="00AE4DEE">
        <w:t>Where price weights meet the above criteria, they may be exempt from stabilisation based on advice from IHPA’s TAC and CAC.</w:t>
      </w:r>
    </w:p>
    <w:p w14:paraId="58934198" w14:textId="19BBF418" w:rsidR="00183CD6" w:rsidRPr="00AE4DEE" w:rsidRDefault="00183CD6" w:rsidP="00183CD6">
      <w:r w:rsidRPr="00AE4DEE">
        <w:t xml:space="preserve">In some years where there are significant changes in price weights due to changes in the cost model arising from changes in IHPA’s </w:t>
      </w:r>
      <w:r w:rsidRPr="00AE4DEE">
        <w:rPr>
          <w:i/>
        </w:rPr>
        <w:t>Pricing Framework for Australian Public Hospital Services</w:t>
      </w:r>
      <w:r w:rsidRPr="00AE4DEE">
        <w:t xml:space="preserve"> these rules will not be applied (for example, treatment of Commonwealth </w:t>
      </w:r>
      <w:r w:rsidR="003C2179" w:rsidRPr="00AE4DEE">
        <w:t>p</w:t>
      </w:r>
      <w:r w:rsidRPr="00AE4DEE">
        <w:t xml:space="preserve">harmaceutical </w:t>
      </w:r>
      <w:r w:rsidR="003C2179" w:rsidRPr="00AE4DEE">
        <w:t>p</w:t>
      </w:r>
      <w:r w:rsidRPr="00AE4DEE">
        <w:t>rogram payments or subacute activity).</w:t>
      </w:r>
    </w:p>
    <w:p w14:paraId="24484F38" w14:textId="77777777" w:rsidR="00183CD6" w:rsidRPr="00AE4DEE" w:rsidRDefault="00183CD6" w:rsidP="00183CD6">
      <w:r w:rsidRPr="00AE4DEE">
        <w:t>Where there are significant changes in price weights due to changes in the source data, IHPA will consider not stabilising the price weights (for example, the Pricing Authority approved the exemption of non-admitted cost models even though the movement was +/- 20 per cent, due to changes in source data).</w:t>
      </w:r>
    </w:p>
    <w:p w14:paraId="0513D982" w14:textId="77777777" w:rsidR="00183CD6" w:rsidRPr="00AE4DEE" w:rsidRDefault="00183CD6">
      <w:pPr>
        <w:pStyle w:val="Heading2"/>
      </w:pPr>
      <w:bookmarkStart w:id="31" w:name="_Toc103086982"/>
      <w:r w:rsidRPr="00AE4DEE">
        <w:t>Movements in paediatric adjustments</w:t>
      </w:r>
      <w:bookmarkEnd w:id="31"/>
    </w:p>
    <w:p w14:paraId="658C129C" w14:textId="77777777" w:rsidR="00183CD6" w:rsidRPr="00AE4DEE" w:rsidRDefault="00183CD6" w:rsidP="00183CD6">
      <w:r w:rsidRPr="00AE4DEE">
        <w:t>Some movements in the paediatric adjustments</w:t>
      </w:r>
      <w:r w:rsidRPr="00AE4DEE">
        <w:rPr>
          <w:rStyle w:val="FootnoteReference"/>
        </w:rPr>
        <w:footnoteReference w:id="5"/>
      </w:r>
      <w:r w:rsidRPr="00AE4DEE">
        <w:t xml:space="preserve"> may be extreme. The instability in these adjustments is likely to be exacerbated by the significantly smaller pool of hospitals used in the calculation of these adjustments.</w:t>
      </w:r>
    </w:p>
    <w:p w14:paraId="49B2E854" w14:textId="77777777" w:rsidR="00183CD6" w:rsidRPr="00AE4DEE" w:rsidRDefault="00183CD6" w:rsidP="00183CD6">
      <w:r w:rsidRPr="00AE4DEE">
        <w:t>For end-classes with less than 500 episodes, movement between years will be stabilised by setting the adjustment to the average value across the two NEP models.</w:t>
      </w:r>
    </w:p>
    <w:p w14:paraId="6F87A971" w14:textId="77777777" w:rsidR="00183CD6" w:rsidRPr="00AE4DEE" w:rsidRDefault="00183CD6" w:rsidP="00183CD6">
      <w:r w:rsidRPr="00AE4DEE">
        <w:t>The adjustment will be set to 1.00 if:</w:t>
      </w:r>
    </w:p>
    <w:p w14:paraId="427C4677" w14:textId="77777777" w:rsidR="00183CD6" w:rsidRPr="00AE4DEE" w:rsidRDefault="00183CD6" w:rsidP="00183CD6">
      <w:pPr>
        <w:pStyle w:val="NormalArial"/>
        <w:numPr>
          <w:ilvl w:val="0"/>
          <w:numId w:val="15"/>
        </w:numPr>
        <w:spacing w:before="120" w:after="120"/>
        <w:ind w:left="714" w:hanging="357"/>
      </w:pPr>
      <w:r w:rsidRPr="00AE4DEE">
        <w:t xml:space="preserve">there are less than 30 paediatric episodes or less than 30 non-paediatric </w:t>
      </w:r>
      <w:proofErr w:type="gramStart"/>
      <w:r w:rsidRPr="00AE4DEE">
        <w:t>episodes;</w:t>
      </w:r>
      <w:proofErr w:type="gramEnd"/>
      <w:r w:rsidRPr="00AE4DEE">
        <w:t xml:space="preserve"> and</w:t>
      </w:r>
    </w:p>
    <w:p w14:paraId="34A82B28" w14:textId="77777777" w:rsidR="00183CD6" w:rsidRPr="00AE4DEE" w:rsidRDefault="00183CD6" w:rsidP="00183CD6">
      <w:pPr>
        <w:pStyle w:val="NormalArial"/>
        <w:numPr>
          <w:ilvl w:val="0"/>
          <w:numId w:val="15"/>
        </w:numPr>
        <w:spacing w:before="120" w:after="120"/>
        <w:ind w:left="714" w:hanging="357"/>
      </w:pPr>
      <w:r w:rsidRPr="00AE4DEE">
        <w:t>the adjustment is between 0.96 and 1.04; or</w:t>
      </w:r>
    </w:p>
    <w:p w14:paraId="690C601A" w14:textId="5F930AD3" w:rsidR="0088560C" w:rsidRPr="00AE4DEE" w:rsidRDefault="00183CD6" w:rsidP="0088560C">
      <w:pPr>
        <w:pStyle w:val="NormalArial"/>
        <w:numPr>
          <w:ilvl w:val="0"/>
          <w:numId w:val="15"/>
        </w:numPr>
        <w:spacing w:before="120" w:after="120"/>
        <w:ind w:left="714" w:hanging="357"/>
      </w:pPr>
      <w:r w:rsidRPr="00AE4DEE">
        <w:t>the adjustment moves from positive to negative (or vice versa) between years.</w:t>
      </w:r>
    </w:p>
    <w:p w14:paraId="27132F40" w14:textId="2E9669C1" w:rsidR="0088560C" w:rsidRPr="00AE4DEE" w:rsidRDefault="0088560C" w:rsidP="00E01CE4">
      <w:pPr>
        <w:pStyle w:val="NormalArial"/>
        <w:spacing w:before="120" w:after="120"/>
        <w:ind w:left="0"/>
      </w:pPr>
      <w:r w:rsidRPr="00AE4DEE">
        <w:t xml:space="preserve">The paediatric adjustment in the admitted mental health </w:t>
      </w:r>
      <w:r w:rsidR="00341DD8" w:rsidRPr="00AE4DEE">
        <w:t xml:space="preserve">care </w:t>
      </w:r>
      <w:r w:rsidRPr="00AE4DEE">
        <w:t>stream is uniform between end</w:t>
      </w:r>
      <w:r w:rsidR="00341DD8" w:rsidRPr="00AE4DEE">
        <w:t>-</w:t>
      </w:r>
      <w:r w:rsidRPr="00AE4DEE">
        <w:t>classes, and so it is not dependent on end</w:t>
      </w:r>
      <w:r w:rsidR="00341DD8" w:rsidRPr="00AE4DEE">
        <w:t>-</w:t>
      </w:r>
      <w:r w:rsidRPr="00AE4DEE">
        <w:t xml:space="preserve">class. Its stability is evaluated along with other adjustments as per </w:t>
      </w:r>
      <w:r w:rsidR="00341DD8" w:rsidRPr="00AE4DEE">
        <w:t>S</w:t>
      </w:r>
      <w:r w:rsidRPr="00AE4DEE">
        <w:t>ection 4.5.</w:t>
      </w:r>
    </w:p>
    <w:p w14:paraId="516D6D73" w14:textId="77777777" w:rsidR="00183CD6" w:rsidRPr="00AE4DEE" w:rsidRDefault="00183CD6">
      <w:pPr>
        <w:pStyle w:val="Heading2"/>
      </w:pPr>
      <w:bookmarkStart w:id="32" w:name="_Toc103086983"/>
      <w:r w:rsidRPr="00AE4DEE">
        <w:t>Stability of adjustments</w:t>
      </w:r>
      <w:bookmarkEnd w:id="32"/>
    </w:p>
    <w:p w14:paraId="6E0CC312" w14:textId="77777777" w:rsidR="00183CD6" w:rsidRPr="00AE4DEE" w:rsidRDefault="00183CD6" w:rsidP="00183CD6">
      <w:r w:rsidRPr="00AE4DEE">
        <w:t xml:space="preserve">For adjustments to the NEP, IHPA stabilises adjustments across years to minimise volatility in year-to-year changes. </w:t>
      </w:r>
    </w:p>
    <w:p w14:paraId="7AA471C3" w14:textId="1E4D1D3E" w:rsidR="00183CD6" w:rsidRPr="00AE4DEE" w:rsidRDefault="00183CD6" w:rsidP="00183CD6">
      <w:r w:rsidRPr="00AE4DEE">
        <w:t xml:space="preserve">Adjustments are determined on a rolling average where up to three years’ historical data was available </w:t>
      </w:r>
      <w:proofErr w:type="gramStart"/>
      <w:r w:rsidRPr="00AE4DEE">
        <w:t>in order to</w:t>
      </w:r>
      <w:proofErr w:type="gramEnd"/>
      <w:r w:rsidRPr="00AE4DEE">
        <w:t xml:space="preserve"> maximise stability of these adjustments.</w:t>
      </w:r>
    </w:p>
    <w:p w14:paraId="11AD3928" w14:textId="77777777" w:rsidR="0098702F" w:rsidRPr="00AE4DEE" w:rsidRDefault="0098702F" w:rsidP="00183CD6">
      <w:r w:rsidRPr="00AE4DEE">
        <w:br w:type="page"/>
      </w:r>
    </w:p>
    <w:p w14:paraId="3D767BFD" w14:textId="77777777" w:rsidR="00562759" w:rsidRPr="00AE4DEE" w:rsidRDefault="00562759">
      <w:pPr>
        <w:spacing w:before="0" w:after="0" w:line="240" w:lineRule="auto"/>
        <w:sectPr w:rsidR="00562759" w:rsidRPr="00AE4DEE" w:rsidSect="008C2111">
          <w:pgSz w:w="11906" w:h="16838" w:code="9"/>
          <w:pgMar w:top="2041" w:right="1440" w:bottom="1021" w:left="1021" w:header="680" w:footer="510" w:gutter="0"/>
          <w:pgNumType w:start="1"/>
          <w:cols w:space="708"/>
          <w:docGrid w:linePitch="360"/>
        </w:sectPr>
      </w:pPr>
    </w:p>
    <w:p w14:paraId="057F6531" w14:textId="77777777" w:rsidR="00562759" w:rsidRDefault="00043CF6" w:rsidP="00350852">
      <w:r w:rsidRPr="00AE4DEE">
        <w:rPr>
          <w:noProof/>
        </w:rPr>
        <w:lastRenderedPageBreak/>
        <w:drawing>
          <wp:anchor distT="0" distB="0" distL="114300" distR="114300" simplePos="0" relativeHeight="251678720" behindDoc="1" locked="1" layoutInCell="0" allowOverlap="1" wp14:anchorId="2FBB73F2" wp14:editId="455BDFA8">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562759" w:rsidRPr="00AE4DEE">
        <w:rPr>
          <w:noProof/>
        </w:rPr>
        <mc:AlternateContent>
          <mc:Choice Requires="wps">
            <w:drawing>
              <wp:anchor distT="0" distB="0" distL="114300" distR="114300" simplePos="0" relativeHeight="251670528" behindDoc="0" locked="0" layoutInCell="1" allowOverlap="1" wp14:anchorId="70A01A94" wp14:editId="492884D8">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DB2F48" w14:textId="77777777" w:rsidR="00562759" w:rsidRPr="002029AC" w:rsidRDefault="00562759" w:rsidP="002029AC">
                            <w:pPr>
                              <w:pStyle w:val="Address"/>
                            </w:pPr>
                            <w:r w:rsidRPr="002029AC">
                              <w:t>Independent Hospital Pricing Authority</w:t>
                            </w:r>
                          </w:p>
                          <w:p w14:paraId="09B184CC" w14:textId="77777777" w:rsidR="00562759" w:rsidRPr="0098702F" w:rsidRDefault="00562759" w:rsidP="002029AC">
                            <w:pPr>
                              <w:pStyle w:val="Address"/>
                            </w:pPr>
                            <w:r w:rsidRPr="0098702F">
                              <w:t> </w:t>
                            </w:r>
                          </w:p>
                          <w:p w14:paraId="7A403CF4" w14:textId="4CA56275" w:rsidR="00562759" w:rsidRPr="002029AC" w:rsidRDefault="00897CA5" w:rsidP="002029AC">
                            <w:pPr>
                              <w:pStyle w:val="Address"/>
                              <w:rPr>
                                <w:color w:val="008542" w:themeColor="accent2"/>
                              </w:rPr>
                            </w:pPr>
                            <w:r>
                              <w:rPr>
                                <w:color w:val="008542" w:themeColor="accent2"/>
                              </w:rPr>
                              <w:t xml:space="preserve">Eora Nation, </w:t>
                            </w:r>
                            <w:r w:rsidR="00562759" w:rsidRPr="002029AC">
                              <w:rPr>
                                <w:color w:val="008542" w:themeColor="accent2"/>
                              </w:rPr>
                              <w:t xml:space="preserve">Level </w:t>
                            </w:r>
                            <w:r w:rsidR="00D91C1D">
                              <w:rPr>
                                <w:color w:val="008542" w:themeColor="accent2"/>
                              </w:rPr>
                              <w:t>12</w:t>
                            </w:r>
                            <w:r w:rsidR="00562759" w:rsidRPr="002029AC">
                              <w:rPr>
                                <w:color w:val="008542" w:themeColor="accent2"/>
                              </w:rPr>
                              <w:t>, 1 Oxford Street</w:t>
                            </w:r>
                          </w:p>
                          <w:p w14:paraId="0D6F5B59" w14:textId="77777777" w:rsidR="00562759" w:rsidRPr="002029AC" w:rsidRDefault="00562759" w:rsidP="002029AC">
                            <w:pPr>
                              <w:pStyle w:val="Address"/>
                              <w:rPr>
                                <w:color w:val="008542" w:themeColor="accent2"/>
                              </w:rPr>
                            </w:pPr>
                            <w:r w:rsidRPr="002029AC">
                              <w:rPr>
                                <w:color w:val="008542" w:themeColor="accent2"/>
                              </w:rPr>
                              <w:t>Sydney NSW 2000</w:t>
                            </w:r>
                          </w:p>
                          <w:p w14:paraId="04101ECE" w14:textId="77777777" w:rsidR="00562759" w:rsidRPr="00562759" w:rsidRDefault="00562759" w:rsidP="002029AC">
                            <w:pPr>
                              <w:pStyle w:val="Address"/>
                            </w:pPr>
                          </w:p>
                          <w:p w14:paraId="797A8486" w14:textId="77777777" w:rsidR="00562759" w:rsidRPr="00562759" w:rsidRDefault="00562759" w:rsidP="002029AC">
                            <w:pPr>
                              <w:pStyle w:val="Address"/>
                            </w:pPr>
                            <w:r w:rsidRPr="00562759">
                              <w:t xml:space="preserve">Phone </w:t>
                            </w:r>
                            <w:r w:rsidRPr="002029AC">
                              <w:rPr>
                                <w:color w:val="008542" w:themeColor="accent2"/>
                              </w:rPr>
                              <w:t>02 8215 1100</w:t>
                            </w:r>
                          </w:p>
                          <w:p w14:paraId="6C3AF1A7" w14:textId="77777777" w:rsidR="00562759" w:rsidRPr="00562759" w:rsidRDefault="00562759" w:rsidP="002029AC">
                            <w:pPr>
                              <w:pStyle w:val="Address"/>
                            </w:pPr>
                            <w:r w:rsidRPr="00562759">
                              <w:t xml:space="preserve">Email </w:t>
                            </w:r>
                            <w:r w:rsidRPr="002029AC">
                              <w:rPr>
                                <w:color w:val="008542" w:themeColor="accent2"/>
                              </w:rPr>
                              <w:t>enquiries.ihpa@ihpa.gov.au</w:t>
                            </w:r>
                          </w:p>
                          <w:p w14:paraId="2C557FF1" w14:textId="77777777" w:rsidR="00562759" w:rsidRPr="00562759" w:rsidRDefault="00562759" w:rsidP="002029AC">
                            <w:pPr>
                              <w:pStyle w:val="Address"/>
                            </w:pPr>
                            <w:r w:rsidRPr="00562759">
                              <w:t xml:space="preserve">Twitter </w:t>
                            </w:r>
                            <w:r w:rsidRPr="002029AC">
                              <w:rPr>
                                <w:color w:val="008542" w:themeColor="accent2"/>
                              </w:rPr>
                              <w:t>@IHPAnews</w:t>
                            </w:r>
                          </w:p>
                          <w:p w14:paraId="671A0628" w14:textId="77777777" w:rsidR="00562759" w:rsidRPr="00562759" w:rsidRDefault="00562759" w:rsidP="002029AC">
                            <w:pPr>
                              <w:pStyle w:val="Address"/>
                            </w:pPr>
                          </w:p>
                          <w:p w14:paraId="6C6B22EA" w14:textId="77777777" w:rsidR="00562759" w:rsidRPr="00562759" w:rsidRDefault="00562759" w:rsidP="002029AC">
                            <w:pPr>
                              <w:pStyle w:val="Address"/>
                            </w:pPr>
                            <w:r w:rsidRPr="00562759">
                              <w:t>www.ihpa.gov.au</w:t>
                            </w:r>
                          </w:p>
                          <w:p w14:paraId="65276AE9" w14:textId="77777777" w:rsidR="00562759" w:rsidRPr="0098702F" w:rsidRDefault="00562759" w:rsidP="002029AC">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01A94" id="_x0000_t202" coordsize="21600,21600" o:spt="202" path="m,l,21600r21600,l21600,xe">
                <v:stroke joinstyle="miter"/>
                <v:path gradientshapeok="t" o:connecttype="rect"/>
              </v:shapetype>
              <v:shape id="Text Box 14" o:spid="_x0000_s1026"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14:paraId="0EDB2F48" w14:textId="77777777" w:rsidR="00562759" w:rsidRPr="002029AC" w:rsidRDefault="00562759" w:rsidP="002029AC">
                      <w:pPr>
                        <w:pStyle w:val="Address"/>
                      </w:pPr>
                      <w:r w:rsidRPr="002029AC">
                        <w:t>Independent Hospital Pricing Authority</w:t>
                      </w:r>
                    </w:p>
                    <w:p w14:paraId="09B184CC" w14:textId="77777777" w:rsidR="00562759" w:rsidRPr="0098702F" w:rsidRDefault="00562759" w:rsidP="002029AC">
                      <w:pPr>
                        <w:pStyle w:val="Address"/>
                      </w:pPr>
                      <w:r w:rsidRPr="0098702F">
                        <w:t> </w:t>
                      </w:r>
                    </w:p>
                    <w:p w14:paraId="7A403CF4" w14:textId="4CA56275" w:rsidR="00562759" w:rsidRPr="002029AC" w:rsidRDefault="00897CA5" w:rsidP="002029AC">
                      <w:pPr>
                        <w:pStyle w:val="Address"/>
                        <w:rPr>
                          <w:color w:val="008542" w:themeColor="accent2"/>
                        </w:rPr>
                      </w:pPr>
                      <w:r>
                        <w:rPr>
                          <w:color w:val="008542" w:themeColor="accent2"/>
                        </w:rPr>
                        <w:t xml:space="preserve">Eora Nation, </w:t>
                      </w:r>
                      <w:r w:rsidR="00562759" w:rsidRPr="002029AC">
                        <w:rPr>
                          <w:color w:val="008542" w:themeColor="accent2"/>
                        </w:rPr>
                        <w:t xml:space="preserve">Level </w:t>
                      </w:r>
                      <w:r w:rsidR="00D91C1D">
                        <w:rPr>
                          <w:color w:val="008542" w:themeColor="accent2"/>
                        </w:rPr>
                        <w:t>12</w:t>
                      </w:r>
                      <w:r w:rsidR="00562759" w:rsidRPr="002029AC">
                        <w:rPr>
                          <w:color w:val="008542" w:themeColor="accent2"/>
                        </w:rPr>
                        <w:t>, 1 Oxford Street</w:t>
                      </w:r>
                    </w:p>
                    <w:p w14:paraId="0D6F5B59" w14:textId="77777777" w:rsidR="00562759" w:rsidRPr="002029AC" w:rsidRDefault="00562759" w:rsidP="002029AC">
                      <w:pPr>
                        <w:pStyle w:val="Address"/>
                        <w:rPr>
                          <w:color w:val="008542" w:themeColor="accent2"/>
                        </w:rPr>
                      </w:pPr>
                      <w:r w:rsidRPr="002029AC">
                        <w:rPr>
                          <w:color w:val="008542" w:themeColor="accent2"/>
                        </w:rPr>
                        <w:t>Sydney NSW 2000</w:t>
                      </w:r>
                    </w:p>
                    <w:p w14:paraId="04101ECE" w14:textId="77777777" w:rsidR="00562759" w:rsidRPr="00562759" w:rsidRDefault="00562759" w:rsidP="002029AC">
                      <w:pPr>
                        <w:pStyle w:val="Address"/>
                      </w:pPr>
                    </w:p>
                    <w:p w14:paraId="797A8486" w14:textId="77777777" w:rsidR="00562759" w:rsidRPr="00562759" w:rsidRDefault="00562759" w:rsidP="002029AC">
                      <w:pPr>
                        <w:pStyle w:val="Address"/>
                      </w:pPr>
                      <w:r w:rsidRPr="00562759">
                        <w:t xml:space="preserve">Phone </w:t>
                      </w:r>
                      <w:r w:rsidRPr="002029AC">
                        <w:rPr>
                          <w:color w:val="008542" w:themeColor="accent2"/>
                        </w:rPr>
                        <w:t>02 8215 1100</w:t>
                      </w:r>
                    </w:p>
                    <w:p w14:paraId="6C3AF1A7" w14:textId="77777777" w:rsidR="00562759" w:rsidRPr="00562759" w:rsidRDefault="00562759" w:rsidP="002029AC">
                      <w:pPr>
                        <w:pStyle w:val="Address"/>
                      </w:pPr>
                      <w:r w:rsidRPr="00562759">
                        <w:t xml:space="preserve">Email </w:t>
                      </w:r>
                      <w:r w:rsidRPr="002029AC">
                        <w:rPr>
                          <w:color w:val="008542" w:themeColor="accent2"/>
                        </w:rPr>
                        <w:t>enquiries.ihpa@ihpa.gov.au</w:t>
                      </w:r>
                    </w:p>
                    <w:p w14:paraId="2C557FF1" w14:textId="77777777" w:rsidR="00562759" w:rsidRPr="00562759" w:rsidRDefault="00562759" w:rsidP="002029AC">
                      <w:pPr>
                        <w:pStyle w:val="Address"/>
                      </w:pPr>
                      <w:r w:rsidRPr="00562759">
                        <w:t xml:space="preserve">Twitter </w:t>
                      </w:r>
                      <w:r w:rsidRPr="002029AC">
                        <w:rPr>
                          <w:color w:val="008542" w:themeColor="accent2"/>
                        </w:rPr>
                        <w:t>@IHPAnews</w:t>
                      </w:r>
                    </w:p>
                    <w:p w14:paraId="671A0628" w14:textId="77777777" w:rsidR="00562759" w:rsidRPr="00562759" w:rsidRDefault="00562759" w:rsidP="002029AC">
                      <w:pPr>
                        <w:pStyle w:val="Address"/>
                      </w:pPr>
                    </w:p>
                    <w:p w14:paraId="6C6B22EA" w14:textId="77777777" w:rsidR="00562759" w:rsidRPr="00562759" w:rsidRDefault="00562759" w:rsidP="002029AC">
                      <w:pPr>
                        <w:pStyle w:val="Address"/>
                      </w:pPr>
                      <w:r w:rsidRPr="00562759">
                        <w:t>www.ihpa.gov.au</w:t>
                      </w:r>
                    </w:p>
                    <w:p w14:paraId="65276AE9" w14:textId="77777777" w:rsidR="00562759" w:rsidRPr="0098702F" w:rsidRDefault="00562759" w:rsidP="002029AC">
                      <w:pPr>
                        <w:pStyle w:val="Address"/>
                      </w:pPr>
                    </w:p>
                  </w:txbxContent>
                </v:textbox>
                <w10:wrap type="square" anchory="margin"/>
              </v:shape>
            </w:pict>
          </mc:Fallback>
        </mc:AlternateContent>
      </w:r>
    </w:p>
    <w:sectPr w:rsidR="00562759" w:rsidSect="008C2111">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00786" w14:textId="77777777" w:rsidR="009D5D4B" w:rsidRDefault="009D5D4B">
      <w:r>
        <w:separator/>
      </w:r>
    </w:p>
  </w:endnote>
  <w:endnote w:type="continuationSeparator" w:id="0">
    <w:p w14:paraId="64DAD2EF" w14:textId="77777777" w:rsidR="009D5D4B" w:rsidRDefault="009D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F1AE1" w14:textId="77777777" w:rsidR="009D5D4B" w:rsidRDefault="009D5D4B">
      <w:r>
        <w:separator/>
      </w:r>
    </w:p>
  </w:footnote>
  <w:footnote w:type="continuationSeparator" w:id="0">
    <w:p w14:paraId="71F105E2" w14:textId="77777777" w:rsidR="009D5D4B" w:rsidRDefault="009D5D4B">
      <w:r>
        <w:continuationSeparator/>
      </w:r>
    </w:p>
  </w:footnote>
  <w:footnote w:id="1">
    <w:p w14:paraId="2FAC1C62" w14:textId="7A3DCF69" w:rsidR="00CF0F8B" w:rsidRPr="00B34B85" w:rsidRDefault="00CF0F8B" w:rsidP="00482DE9">
      <w:pPr>
        <w:pStyle w:val="FootnoteText"/>
        <w:rPr>
          <w:sz w:val="18"/>
          <w:szCs w:val="18"/>
          <w:lang w:val="en-US" w:eastAsia="zh-CN"/>
        </w:rPr>
      </w:pPr>
      <w:r w:rsidRPr="00B34B85">
        <w:rPr>
          <w:rStyle w:val="FootnoteReference"/>
          <w:sz w:val="18"/>
          <w:szCs w:val="18"/>
        </w:rPr>
        <w:footnoteRef/>
      </w:r>
      <w:r w:rsidRPr="00B34B85">
        <w:rPr>
          <w:sz w:val="18"/>
          <w:szCs w:val="18"/>
        </w:rPr>
        <w:t xml:space="preserve"> In August 2011, Governments agreed to be jointly responsible for funding growth in ‘public hospital </w:t>
      </w:r>
      <w:proofErr w:type="gramStart"/>
      <w:r w:rsidRPr="00B34B85">
        <w:rPr>
          <w:sz w:val="18"/>
          <w:szCs w:val="18"/>
        </w:rPr>
        <w:t>services’</w:t>
      </w:r>
      <w:proofErr w:type="gramEnd"/>
      <w:r w:rsidRPr="00B34B85">
        <w:rPr>
          <w:sz w:val="18"/>
          <w:szCs w:val="18"/>
        </w:rPr>
        <w:t xml:space="preserve">. </w:t>
      </w:r>
      <w:r w:rsidR="00897CA5">
        <w:rPr>
          <w:sz w:val="18"/>
          <w:szCs w:val="18"/>
        </w:rPr>
        <w:t>A</w:t>
      </w:r>
      <w:r w:rsidRPr="00B34B85">
        <w:rPr>
          <w:sz w:val="18"/>
          <w:szCs w:val="18"/>
        </w:rPr>
        <w:t>s there is no standard definition or listing of public hospital services, Governments gave IHPA the task of deciding which services will be ruled ‘in</w:t>
      </w:r>
      <w:r>
        <w:rPr>
          <w:sz w:val="18"/>
          <w:szCs w:val="18"/>
        </w:rPr>
        <w:t>-</w:t>
      </w:r>
      <w:r w:rsidRPr="00B34B85">
        <w:rPr>
          <w:sz w:val="18"/>
          <w:szCs w:val="18"/>
        </w:rPr>
        <w:t>scope’ as public hospital services, and so eligible for Commonwealth funding under the Addendum.</w:t>
      </w:r>
    </w:p>
  </w:footnote>
  <w:footnote w:id="2">
    <w:p w14:paraId="78C9B058" w14:textId="77777777" w:rsidR="00CF0F8B" w:rsidRDefault="00CF0F8B" w:rsidP="00B34B85">
      <w:pPr>
        <w:pStyle w:val="FootnoteText"/>
        <w:ind w:right="-53"/>
        <w:rPr>
          <w:lang w:val="en-US"/>
        </w:rPr>
      </w:pPr>
      <w:r w:rsidRPr="00B34B85">
        <w:rPr>
          <w:rStyle w:val="FootnoteReference"/>
          <w:sz w:val="18"/>
          <w:szCs w:val="18"/>
        </w:rPr>
        <w:footnoteRef/>
      </w:r>
      <w:r w:rsidRPr="00B34B85">
        <w:rPr>
          <w:sz w:val="18"/>
          <w:szCs w:val="18"/>
        </w:rPr>
        <w:t xml:space="preserve"> With regards to IHPA’s role in defining the scope of public hospital services, refer to the Addendum clauses A16–A32.</w:t>
      </w:r>
    </w:p>
  </w:footnote>
  <w:footnote w:id="3">
    <w:p w14:paraId="637CC326" w14:textId="77777777" w:rsidR="002D791D" w:rsidRPr="00183CD6" w:rsidRDefault="002D791D" w:rsidP="002D791D">
      <w:pPr>
        <w:pStyle w:val="FootnoteText"/>
        <w:rPr>
          <w:sz w:val="18"/>
          <w:szCs w:val="18"/>
        </w:rPr>
      </w:pPr>
      <w:r w:rsidRPr="00183CD6">
        <w:rPr>
          <w:rStyle w:val="FootnoteReference"/>
          <w:rFonts w:asciiTheme="minorHAnsi" w:hAnsiTheme="minorHAnsi" w:cstheme="minorHAnsi"/>
          <w:sz w:val="18"/>
          <w:szCs w:val="18"/>
        </w:rPr>
        <w:footnoteRef/>
      </w:r>
      <w:r w:rsidRPr="00183CD6">
        <w:rPr>
          <w:rFonts w:asciiTheme="minorHAnsi" w:hAnsiTheme="minorHAnsi" w:cstheme="minorHAnsi"/>
          <w:sz w:val="18"/>
          <w:szCs w:val="18"/>
        </w:rPr>
        <w:t xml:space="preserve"> </w:t>
      </w:r>
      <w:r w:rsidRPr="00183CD6">
        <w:rPr>
          <w:sz w:val="18"/>
          <w:szCs w:val="18"/>
        </w:rPr>
        <w:t>The L3H3 form refers to the common trimming method used in Australia in which the low trim point is a third of the ALOS, and the high trim point is three times the ALOS</w:t>
      </w:r>
      <w:r>
        <w:rPr>
          <w:sz w:val="18"/>
          <w:szCs w:val="18"/>
        </w:rPr>
        <w:t>.</w:t>
      </w:r>
    </w:p>
  </w:footnote>
  <w:footnote w:id="4">
    <w:p w14:paraId="44577317" w14:textId="77777777" w:rsidR="002D791D" w:rsidRDefault="002D791D" w:rsidP="002D791D">
      <w:pPr>
        <w:pStyle w:val="FootnoteText"/>
        <w:rPr>
          <w:rFonts w:asciiTheme="minorHAnsi" w:hAnsiTheme="minorHAnsi" w:cstheme="minorHAnsi"/>
          <w:sz w:val="18"/>
          <w:szCs w:val="18"/>
        </w:rPr>
      </w:pPr>
      <w:r w:rsidRPr="00183CD6">
        <w:rPr>
          <w:rStyle w:val="FootnoteReference"/>
          <w:rFonts w:asciiTheme="minorHAnsi" w:hAnsiTheme="minorHAnsi" w:cstheme="minorHAnsi"/>
          <w:sz w:val="18"/>
          <w:szCs w:val="18"/>
        </w:rPr>
        <w:footnoteRef/>
      </w:r>
      <w:r w:rsidRPr="00183CD6">
        <w:rPr>
          <w:rFonts w:asciiTheme="minorHAnsi" w:hAnsiTheme="minorHAnsi" w:cstheme="minorHAnsi"/>
          <w:sz w:val="18"/>
          <w:szCs w:val="18"/>
        </w:rPr>
        <w:t xml:space="preserve"> </w:t>
      </w:r>
      <w:r w:rsidRPr="00183CD6">
        <w:rPr>
          <w:sz w:val="18"/>
          <w:szCs w:val="18"/>
        </w:rPr>
        <w:t>The L1.5H1.5 form is applied for Major Diagnostic Categories 19 and 20, or if the AR-DRG has an unusual distribution of long stay, high cost outliers.</w:t>
      </w:r>
    </w:p>
  </w:footnote>
  <w:footnote w:id="5">
    <w:p w14:paraId="3FC180D6" w14:textId="30BD9401" w:rsidR="00183CD6" w:rsidRPr="00183CD6" w:rsidRDefault="00183CD6" w:rsidP="00183CD6">
      <w:pPr>
        <w:pStyle w:val="FootnoteText"/>
        <w:rPr>
          <w:sz w:val="18"/>
          <w:szCs w:val="18"/>
        </w:rPr>
      </w:pPr>
      <w:r w:rsidRPr="00183CD6">
        <w:rPr>
          <w:rStyle w:val="FootnoteReference"/>
          <w:sz w:val="18"/>
          <w:szCs w:val="18"/>
        </w:rPr>
        <w:footnoteRef/>
      </w:r>
      <w:r w:rsidRPr="00183CD6">
        <w:rPr>
          <w:sz w:val="18"/>
          <w:szCs w:val="18"/>
        </w:rPr>
        <w:t xml:space="preserve"> </w:t>
      </w:r>
      <w:r w:rsidR="00897CA5">
        <w:rPr>
          <w:sz w:val="18"/>
          <w:szCs w:val="18"/>
        </w:rPr>
        <w:t>A p</w:t>
      </w:r>
      <w:r w:rsidRPr="00183CD6">
        <w:rPr>
          <w:sz w:val="18"/>
          <w:szCs w:val="18"/>
        </w:rPr>
        <w:t>aediatric adjustment</w:t>
      </w:r>
      <w:r w:rsidR="00897CA5">
        <w:rPr>
          <w:sz w:val="18"/>
          <w:szCs w:val="18"/>
        </w:rPr>
        <w:t xml:space="preserve"> is applied where an ABF activity is in respect of </w:t>
      </w:r>
      <w:r w:rsidRPr="00183CD6">
        <w:rPr>
          <w:sz w:val="18"/>
          <w:szCs w:val="18"/>
        </w:rPr>
        <w:t>a person who is aged up to and including 17</w:t>
      </w:r>
      <w:r w:rsidR="00897CA5">
        <w:rPr>
          <w:sz w:val="18"/>
          <w:szCs w:val="18"/>
        </w:rPr>
        <w:t> </w:t>
      </w:r>
      <w:r w:rsidRPr="00183CD6">
        <w:rPr>
          <w:sz w:val="18"/>
          <w:szCs w:val="18"/>
        </w:rPr>
        <w:t>years and is treated by a specialised children’s hospital as an admitted acute</w:t>
      </w:r>
      <w:r w:rsidR="00897CA5">
        <w:rPr>
          <w:sz w:val="18"/>
          <w:szCs w:val="18"/>
        </w:rPr>
        <w:t>, admitted mental health care</w:t>
      </w:r>
      <w:r w:rsidRPr="00183CD6">
        <w:rPr>
          <w:sz w:val="18"/>
          <w:szCs w:val="18"/>
        </w:rPr>
        <w:t xml:space="preserve"> or non-admitted patient.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5729E" w14:textId="154A7BF7" w:rsidR="0032530E" w:rsidRPr="00CC2138" w:rsidRDefault="00CC2138" w:rsidP="00CC2138">
    <w:pPr>
      <w:pStyle w:val="Header"/>
      <w:rPr>
        <w:color w:val="008542" w:themeColor="accent2"/>
      </w:rPr>
    </w:pPr>
    <w:r>
      <w:rPr>
        <w:noProof/>
        <w:color w:val="FFFFFF" w:themeColor="background1"/>
      </w:rPr>
      <w:drawing>
        <wp:anchor distT="0" distB="0" distL="114300" distR="114300" simplePos="0" relativeHeight="251659264" behindDoc="1" locked="0" layoutInCell="0" allowOverlap="1" wp14:anchorId="1A37BFA1" wp14:editId="67BF444D">
          <wp:simplePos x="0" y="0"/>
          <wp:positionH relativeFrom="page">
            <wp:posOffset>0</wp:posOffset>
          </wp:positionH>
          <wp:positionV relativeFrom="page">
            <wp:posOffset>1179</wp:posOffset>
          </wp:positionV>
          <wp:extent cx="6080400" cy="91814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sidR="00AA5A52">
      <w:rPr>
        <w:noProof/>
        <w:color w:val="FFFFFF" w:themeColor="background1"/>
      </w:rPr>
      <w:t>National Pricing Model Stability Policy</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2C4751">
      <w:rPr>
        <w:noProof/>
        <w:color w:val="008542" w:themeColor="accent2"/>
      </w:rPr>
      <w:t>1</w:t>
    </w:r>
    <w:r w:rsidRPr="005F219D">
      <w:rPr>
        <w:noProof/>
        <w:color w:val="008542"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D445824"/>
    <w:multiLevelType w:val="hybridMultilevel"/>
    <w:tmpl w:val="30023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6A7891"/>
    <w:multiLevelType w:val="hybridMultilevel"/>
    <w:tmpl w:val="3BE6788C"/>
    <w:lvl w:ilvl="0" w:tplc="0C56A0B4">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73608D"/>
    <w:multiLevelType w:val="hybridMultilevel"/>
    <w:tmpl w:val="BDCCD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D265DF"/>
    <w:multiLevelType w:val="multilevel"/>
    <w:tmpl w:val="44A6FFF8"/>
    <w:lvl w:ilvl="0">
      <w:start w:val="1"/>
      <w:numFmt w:val="decimal"/>
      <w:pStyle w:val="Heading1"/>
      <w:lvlText w:val="%1."/>
      <w:lvlJc w:val="left"/>
      <w:pPr>
        <w:ind w:left="1080" w:hanging="72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CF96629"/>
    <w:multiLevelType w:val="hybridMultilevel"/>
    <w:tmpl w:val="F36E81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AC"/>
    <w:rsid w:val="00005785"/>
    <w:rsid w:val="00006876"/>
    <w:rsid w:val="000079AD"/>
    <w:rsid w:val="00007D1F"/>
    <w:rsid w:val="00010D84"/>
    <w:rsid w:val="00010F15"/>
    <w:rsid w:val="00011CE3"/>
    <w:rsid w:val="00022E9C"/>
    <w:rsid w:val="00024EF0"/>
    <w:rsid w:val="00025631"/>
    <w:rsid w:val="00027B26"/>
    <w:rsid w:val="00030705"/>
    <w:rsid w:val="00030E25"/>
    <w:rsid w:val="00032861"/>
    <w:rsid w:val="00032B77"/>
    <w:rsid w:val="00042285"/>
    <w:rsid w:val="00043256"/>
    <w:rsid w:val="00043CF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34E"/>
    <w:rsid w:val="00070681"/>
    <w:rsid w:val="00080A09"/>
    <w:rsid w:val="00081CEB"/>
    <w:rsid w:val="00083082"/>
    <w:rsid w:val="00087B2C"/>
    <w:rsid w:val="00087DBD"/>
    <w:rsid w:val="00090718"/>
    <w:rsid w:val="00091B4E"/>
    <w:rsid w:val="00091CD7"/>
    <w:rsid w:val="00093DD5"/>
    <w:rsid w:val="000A03DD"/>
    <w:rsid w:val="000A1A09"/>
    <w:rsid w:val="000A47A8"/>
    <w:rsid w:val="000A73FB"/>
    <w:rsid w:val="000B218A"/>
    <w:rsid w:val="000C014D"/>
    <w:rsid w:val="000C29B4"/>
    <w:rsid w:val="000C5CD8"/>
    <w:rsid w:val="000C7A69"/>
    <w:rsid w:val="000D1158"/>
    <w:rsid w:val="000D4703"/>
    <w:rsid w:val="000E12D4"/>
    <w:rsid w:val="000E39EF"/>
    <w:rsid w:val="000E620E"/>
    <w:rsid w:val="000F2063"/>
    <w:rsid w:val="000F3D28"/>
    <w:rsid w:val="000F63C4"/>
    <w:rsid w:val="00100200"/>
    <w:rsid w:val="0010263D"/>
    <w:rsid w:val="00102824"/>
    <w:rsid w:val="0010300A"/>
    <w:rsid w:val="001131F0"/>
    <w:rsid w:val="001139C7"/>
    <w:rsid w:val="00114EBC"/>
    <w:rsid w:val="0012427E"/>
    <w:rsid w:val="001247E0"/>
    <w:rsid w:val="00126750"/>
    <w:rsid w:val="001271A1"/>
    <w:rsid w:val="00131C0F"/>
    <w:rsid w:val="001325BF"/>
    <w:rsid w:val="00132F0D"/>
    <w:rsid w:val="00133713"/>
    <w:rsid w:val="00135B7E"/>
    <w:rsid w:val="00140FC9"/>
    <w:rsid w:val="001413C5"/>
    <w:rsid w:val="0014231B"/>
    <w:rsid w:val="00142956"/>
    <w:rsid w:val="00142D10"/>
    <w:rsid w:val="00144868"/>
    <w:rsid w:val="001452BC"/>
    <w:rsid w:val="00150D2A"/>
    <w:rsid w:val="00150E25"/>
    <w:rsid w:val="00150EA9"/>
    <w:rsid w:val="00151650"/>
    <w:rsid w:val="00152BF6"/>
    <w:rsid w:val="00155B98"/>
    <w:rsid w:val="00157001"/>
    <w:rsid w:val="00157709"/>
    <w:rsid w:val="00160E91"/>
    <w:rsid w:val="00165626"/>
    <w:rsid w:val="00167CF4"/>
    <w:rsid w:val="0017018F"/>
    <w:rsid w:val="0017147C"/>
    <w:rsid w:val="0017194E"/>
    <w:rsid w:val="0017249B"/>
    <w:rsid w:val="001727A4"/>
    <w:rsid w:val="00177EC4"/>
    <w:rsid w:val="00181533"/>
    <w:rsid w:val="001824C8"/>
    <w:rsid w:val="00182698"/>
    <w:rsid w:val="00183CD6"/>
    <w:rsid w:val="001864FD"/>
    <w:rsid w:val="001943DD"/>
    <w:rsid w:val="00196BAC"/>
    <w:rsid w:val="001A13F6"/>
    <w:rsid w:val="001A2D78"/>
    <w:rsid w:val="001A7249"/>
    <w:rsid w:val="001B385A"/>
    <w:rsid w:val="001B3904"/>
    <w:rsid w:val="001B3AEC"/>
    <w:rsid w:val="001B3E8D"/>
    <w:rsid w:val="001B5259"/>
    <w:rsid w:val="001B60D4"/>
    <w:rsid w:val="001B6F28"/>
    <w:rsid w:val="001C2D5A"/>
    <w:rsid w:val="001C4F4F"/>
    <w:rsid w:val="001C6BA1"/>
    <w:rsid w:val="001D0B2F"/>
    <w:rsid w:val="001D141C"/>
    <w:rsid w:val="001D2904"/>
    <w:rsid w:val="001D652D"/>
    <w:rsid w:val="001D693F"/>
    <w:rsid w:val="001D6F9E"/>
    <w:rsid w:val="001E38FB"/>
    <w:rsid w:val="001E52C2"/>
    <w:rsid w:val="001F0BE1"/>
    <w:rsid w:val="001F101A"/>
    <w:rsid w:val="001F24EF"/>
    <w:rsid w:val="001F54CA"/>
    <w:rsid w:val="001F56C7"/>
    <w:rsid w:val="002029AC"/>
    <w:rsid w:val="00203039"/>
    <w:rsid w:val="00204B17"/>
    <w:rsid w:val="002069D2"/>
    <w:rsid w:val="00211DA2"/>
    <w:rsid w:val="002127F1"/>
    <w:rsid w:val="00213693"/>
    <w:rsid w:val="00215CCB"/>
    <w:rsid w:val="00216CF5"/>
    <w:rsid w:val="0022037B"/>
    <w:rsid w:val="00222C8D"/>
    <w:rsid w:val="002256A8"/>
    <w:rsid w:val="00230E6B"/>
    <w:rsid w:val="00232B97"/>
    <w:rsid w:val="0023523A"/>
    <w:rsid w:val="0023757C"/>
    <w:rsid w:val="00237C47"/>
    <w:rsid w:val="002402E4"/>
    <w:rsid w:val="002421A0"/>
    <w:rsid w:val="00242B98"/>
    <w:rsid w:val="002445A1"/>
    <w:rsid w:val="00246FE6"/>
    <w:rsid w:val="002470E3"/>
    <w:rsid w:val="0025207D"/>
    <w:rsid w:val="00254DE9"/>
    <w:rsid w:val="002615D3"/>
    <w:rsid w:val="00264508"/>
    <w:rsid w:val="002672F1"/>
    <w:rsid w:val="00271414"/>
    <w:rsid w:val="00271922"/>
    <w:rsid w:val="00273412"/>
    <w:rsid w:val="0027373F"/>
    <w:rsid w:val="00274ACF"/>
    <w:rsid w:val="0028159B"/>
    <w:rsid w:val="00282671"/>
    <w:rsid w:val="00282861"/>
    <w:rsid w:val="002843E2"/>
    <w:rsid w:val="00287BAA"/>
    <w:rsid w:val="00293489"/>
    <w:rsid w:val="00296F5E"/>
    <w:rsid w:val="002A30F0"/>
    <w:rsid w:val="002A6DF5"/>
    <w:rsid w:val="002B6406"/>
    <w:rsid w:val="002B6809"/>
    <w:rsid w:val="002B7F9D"/>
    <w:rsid w:val="002C4231"/>
    <w:rsid w:val="002C4751"/>
    <w:rsid w:val="002C7080"/>
    <w:rsid w:val="002D00B0"/>
    <w:rsid w:val="002D2364"/>
    <w:rsid w:val="002D2E16"/>
    <w:rsid w:val="002D791D"/>
    <w:rsid w:val="002E45F0"/>
    <w:rsid w:val="002E7778"/>
    <w:rsid w:val="00304B3E"/>
    <w:rsid w:val="00304D97"/>
    <w:rsid w:val="0031180A"/>
    <w:rsid w:val="00313127"/>
    <w:rsid w:val="00313304"/>
    <w:rsid w:val="003155F4"/>
    <w:rsid w:val="00320309"/>
    <w:rsid w:val="00321D1E"/>
    <w:rsid w:val="0032530E"/>
    <w:rsid w:val="00325A61"/>
    <w:rsid w:val="00326976"/>
    <w:rsid w:val="003311D7"/>
    <w:rsid w:val="00332B8B"/>
    <w:rsid w:val="0033521E"/>
    <w:rsid w:val="00337CA2"/>
    <w:rsid w:val="003404A4"/>
    <w:rsid w:val="00341DD8"/>
    <w:rsid w:val="00347104"/>
    <w:rsid w:val="00350852"/>
    <w:rsid w:val="0035096E"/>
    <w:rsid w:val="0035219F"/>
    <w:rsid w:val="00355D01"/>
    <w:rsid w:val="00360B81"/>
    <w:rsid w:val="00366283"/>
    <w:rsid w:val="0036777E"/>
    <w:rsid w:val="003701FA"/>
    <w:rsid w:val="00372A26"/>
    <w:rsid w:val="0037484C"/>
    <w:rsid w:val="003749CD"/>
    <w:rsid w:val="00374A6C"/>
    <w:rsid w:val="00382718"/>
    <w:rsid w:val="00382B3B"/>
    <w:rsid w:val="00385ED2"/>
    <w:rsid w:val="00391F86"/>
    <w:rsid w:val="003923FB"/>
    <w:rsid w:val="00393F00"/>
    <w:rsid w:val="003945C0"/>
    <w:rsid w:val="003A25A7"/>
    <w:rsid w:val="003B535C"/>
    <w:rsid w:val="003C2120"/>
    <w:rsid w:val="003C2179"/>
    <w:rsid w:val="003D030E"/>
    <w:rsid w:val="003D040D"/>
    <w:rsid w:val="003D1F49"/>
    <w:rsid w:val="003D2061"/>
    <w:rsid w:val="003E0845"/>
    <w:rsid w:val="003E1FE3"/>
    <w:rsid w:val="003E32A7"/>
    <w:rsid w:val="003F1A33"/>
    <w:rsid w:val="003F3072"/>
    <w:rsid w:val="004024E4"/>
    <w:rsid w:val="00406289"/>
    <w:rsid w:val="00406578"/>
    <w:rsid w:val="004074EF"/>
    <w:rsid w:val="004102C3"/>
    <w:rsid w:val="0041307C"/>
    <w:rsid w:val="00413699"/>
    <w:rsid w:val="004167B4"/>
    <w:rsid w:val="004167BC"/>
    <w:rsid w:val="0042032D"/>
    <w:rsid w:val="004225DC"/>
    <w:rsid w:val="00423A41"/>
    <w:rsid w:val="00425FBA"/>
    <w:rsid w:val="00430D7E"/>
    <w:rsid w:val="00432332"/>
    <w:rsid w:val="00432368"/>
    <w:rsid w:val="00433B04"/>
    <w:rsid w:val="0043784D"/>
    <w:rsid w:val="00440256"/>
    <w:rsid w:val="00440E22"/>
    <w:rsid w:val="0044547D"/>
    <w:rsid w:val="00446F93"/>
    <w:rsid w:val="00451A74"/>
    <w:rsid w:val="00454A3B"/>
    <w:rsid w:val="004552AB"/>
    <w:rsid w:val="0045622C"/>
    <w:rsid w:val="00464FB1"/>
    <w:rsid w:val="00465398"/>
    <w:rsid w:val="00467185"/>
    <w:rsid w:val="00467736"/>
    <w:rsid w:val="0047050C"/>
    <w:rsid w:val="004750DB"/>
    <w:rsid w:val="00480F21"/>
    <w:rsid w:val="0048108E"/>
    <w:rsid w:val="0048537F"/>
    <w:rsid w:val="004874E5"/>
    <w:rsid w:val="00487885"/>
    <w:rsid w:val="00490A65"/>
    <w:rsid w:val="0049116C"/>
    <w:rsid w:val="004930C9"/>
    <w:rsid w:val="00493F62"/>
    <w:rsid w:val="00494832"/>
    <w:rsid w:val="004957C2"/>
    <w:rsid w:val="00495AF1"/>
    <w:rsid w:val="00497A89"/>
    <w:rsid w:val="004A4CED"/>
    <w:rsid w:val="004A6BE6"/>
    <w:rsid w:val="004B0828"/>
    <w:rsid w:val="004B3304"/>
    <w:rsid w:val="004B3DF1"/>
    <w:rsid w:val="004B4858"/>
    <w:rsid w:val="004B4BC0"/>
    <w:rsid w:val="004B5555"/>
    <w:rsid w:val="004C0484"/>
    <w:rsid w:val="004C777E"/>
    <w:rsid w:val="004D16A4"/>
    <w:rsid w:val="004E22BE"/>
    <w:rsid w:val="004E6682"/>
    <w:rsid w:val="004E6D8A"/>
    <w:rsid w:val="004F15EF"/>
    <w:rsid w:val="004F22FE"/>
    <w:rsid w:val="004F774D"/>
    <w:rsid w:val="005013B0"/>
    <w:rsid w:val="005015E4"/>
    <w:rsid w:val="005017A6"/>
    <w:rsid w:val="0050291D"/>
    <w:rsid w:val="005064CD"/>
    <w:rsid w:val="00506C00"/>
    <w:rsid w:val="00511016"/>
    <w:rsid w:val="005159B3"/>
    <w:rsid w:val="00522C03"/>
    <w:rsid w:val="00525EA4"/>
    <w:rsid w:val="0052791F"/>
    <w:rsid w:val="00532CFF"/>
    <w:rsid w:val="00536880"/>
    <w:rsid w:val="00540AD0"/>
    <w:rsid w:val="00543A76"/>
    <w:rsid w:val="005523D1"/>
    <w:rsid w:val="0055532E"/>
    <w:rsid w:val="00555BC3"/>
    <w:rsid w:val="00557C8E"/>
    <w:rsid w:val="00561B2B"/>
    <w:rsid w:val="00562759"/>
    <w:rsid w:val="0056357E"/>
    <w:rsid w:val="00564952"/>
    <w:rsid w:val="0056645F"/>
    <w:rsid w:val="00571AB1"/>
    <w:rsid w:val="00577E1C"/>
    <w:rsid w:val="00580DB1"/>
    <w:rsid w:val="005814AC"/>
    <w:rsid w:val="00584676"/>
    <w:rsid w:val="005854B7"/>
    <w:rsid w:val="00587AB1"/>
    <w:rsid w:val="0059070B"/>
    <w:rsid w:val="0059283C"/>
    <w:rsid w:val="00593C9D"/>
    <w:rsid w:val="005A0D95"/>
    <w:rsid w:val="005A224B"/>
    <w:rsid w:val="005B1225"/>
    <w:rsid w:val="005B17D8"/>
    <w:rsid w:val="005B1C8C"/>
    <w:rsid w:val="005B1D82"/>
    <w:rsid w:val="005B4077"/>
    <w:rsid w:val="005C28B0"/>
    <w:rsid w:val="005C2F01"/>
    <w:rsid w:val="005C5F3C"/>
    <w:rsid w:val="005D01BE"/>
    <w:rsid w:val="005D1177"/>
    <w:rsid w:val="005D1D13"/>
    <w:rsid w:val="005D5460"/>
    <w:rsid w:val="005E08CD"/>
    <w:rsid w:val="005E37E8"/>
    <w:rsid w:val="005E74C5"/>
    <w:rsid w:val="005F1F26"/>
    <w:rsid w:val="005F219D"/>
    <w:rsid w:val="005F2437"/>
    <w:rsid w:val="005F318A"/>
    <w:rsid w:val="005F7710"/>
    <w:rsid w:val="006004F7"/>
    <w:rsid w:val="00601128"/>
    <w:rsid w:val="00603261"/>
    <w:rsid w:val="00607597"/>
    <w:rsid w:val="00610F93"/>
    <w:rsid w:val="006127CC"/>
    <w:rsid w:val="006243C6"/>
    <w:rsid w:val="006273BC"/>
    <w:rsid w:val="00632009"/>
    <w:rsid w:val="00633CF1"/>
    <w:rsid w:val="00635A6C"/>
    <w:rsid w:val="00637091"/>
    <w:rsid w:val="00642839"/>
    <w:rsid w:val="006457F8"/>
    <w:rsid w:val="00645CCB"/>
    <w:rsid w:val="0064700E"/>
    <w:rsid w:val="006478CB"/>
    <w:rsid w:val="00650B88"/>
    <w:rsid w:val="00652C58"/>
    <w:rsid w:val="006530EF"/>
    <w:rsid w:val="006554DD"/>
    <w:rsid w:val="00660951"/>
    <w:rsid w:val="006636E2"/>
    <w:rsid w:val="00666273"/>
    <w:rsid w:val="00667FA9"/>
    <w:rsid w:val="0067233D"/>
    <w:rsid w:val="00672B2E"/>
    <w:rsid w:val="006745AE"/>
    <w:rsid w:val="00676870"/>
    <w:rsid w:val="00676AF3"/>
    <w:rsid w:val="00677895"/>
    <w:rsid w:val="00677BEF"/>
    <w:rsid w:val="006814A3"/>
    <w:rsid w:val="00682AFC"/>
    <w:rsid w:val="00683344"/>
    <w:rsid w:val="00684FC9"/>
    <w:rsid w:val="0069072B"/>
    <w:rsid w:val="0069174B"/>
    <w:rsid w:val="00693340"/>
    <w:rsid w:val="006A04C7"/>
    <w:rsid w:val="006B05E3"/>
    <w:rsid w:val="006B09BC"/>
    <w:rsid w:val="006B6D5D"/>
    <w:rsid w:val="006B7B5A"/>
    <w:rsid w:val="006C0801"/>
    <w:rsid w:val="006C0C2C"/>
    <w:rsid w:val="006C1EAA"/>
    <w:rsid w:val="006C216F"/>
    <w:rsid w:val="006C45D4"/>
    <w:rsid w:val="006D2042"/>
    <w:rsid w:val="006D66E3"/>
    <w:rsid w:val="006D7855"/>
    <w:rsid w:val="006E010C"/>
    <w:rsid w:val="006E1003"/>
    <w:rsid w:val="006E16BF"/>
    <w:rsid w:val="006E18F0"/>
    <w:rsid w:val="006E38AF"/>
    <w:rsid w:val="006E4F93"/>
    <w:rsid w:val="006F1174"/>
    <w:rsid w:val="00700135"/>
    <w:rsid w:val="00705180"/>
    <w:rsid w:val="00711605"/>
    <w:rsid w:val="00711DF6"/>
    <w:rsid w:val="00716FBC"/>
    <w:rsid w:val="00717090"/>
    <w:rsid w:val="00720739"/>
    <w:rsid w:val="0072253E"/>
    <w:rsid w:val="00723E1F"/>
    <w:rsid w:val="0072443D"/>
    <w:rsid w:val="007247E5"/>
    <w:rsid w:val="007248B7"/>
    <w:rsid w:val="007254CA"/>
    <w:rsid w:val="00730CF8"/>
    <w:rsid w:val="00731A90"/>
    <w:rsid w:val="00732608"/>
    <w:rsid w:val="00733251"/>
    <w:rsid w:val="00736DCA"/>
    <w:rsid w:val="00745C47"/>
    <w:rsid w:val="0075003D"/>
    <w:rsid w:val="00751D97"/>
    <w:rsid w:val="00752C55"/>
    <w:rsid w:val="007562D4"/>
    <w:rsid w:val="007573FA"/>
    <w:rsid w:val="00761DBF"/>
    <w:rsid w:val="00761FCF"/>
    <w:rsid w:val="00765503"/>
    <w:rsid w:val="00767B7E"/>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1013"/>
    <w:rsid w:val="007A4CA9"/>
    <w:rsid w:val="007A7D19"/>
    <w:rsid w:val="007A7EC2"/>
    <w:rsid w:val="007B042D"/>
    <w:rsid w:val="007B05BB"/>
    <w:rsid w:val="007B6E0A"/>
    <w:rsid w:val="007B764C"/>
    <w:rsid w:val="007C118A"/>
    <w:rsid w:val="007C636F"/>
    <w:rsid w:val="007D39EB"/>
    <w:rsid w:val="007E74E1"/>
    <w:rsid w:val="007E77A8"/>
    <w:rsid w:val="007F491C"/>
    <w:rsid w:val="00803BF8"/>
    <w:rsid w:val="008061C9"/>
    <w:rsid w:val="008066D8"/>
    <w:rsid w:val="00811A18"/>
    <w:rsid w:val="00813711"/>
    <w:rsid w:val="00821E64"/>
    <w:rsid w:val="008263C2"/>
    <w:rsid w:val="008307DB"/>
    <w:rsid w:val="00833398"/>
    <w:rsid w:val="00835D9D"/>
    <w:rsid w:val="00835FC9"/>
    <w:rsid w:val="008368F8"/>
    <w:rsid w:val="008370E3"/>
    <w:rsid w:val="008418FA"/>
    <w:rsid w:val="00842959"/>
    <w:rsid w:val="00843390"/>
    <w:rsid w:val="0085235A"/>
    <w:rsid w:val="00854138"/>
    <w:rsid w:val="00854410"/>
    <w:rsid w:val="008544DF"/>
    <w:rsid w:val="00860AAD"/>
    <w:rsid w:val="00861AA6"/>
    <w:rsid w:val="008708F3"/>
    <w:rsid w:val="00871354"/>
    <w:rsid w:val="00873611"/>
    <w:rsid w:val="00873C8F"/>
    <w:rsid w:val="00874FB3"/>
    <w:rsid w:val="00880BE3"/>
    <w:rsid w:val="00881359"/>
    <w:rsid w:val="00882093"/>
    <w:rsid w:val="00882588"/>
    <w:rsid w:val="00884ADE"/>
    <w:rsid w:val="0088560C"/>
    <w:rsid w:val="008856CF"/>
    <w:rsid w:val="00885864"/>
    <w:rsid w:val="00890A1D"/>
    <w:rsid w:val="0089383B"/>
    <w:rsid w:val="0089534B"/>
    <w:rsid w:val="0089616F"/>
    <w:rsid w:val="00897CA5"/>
    <w:rsid w:val="008A0232"/>
    <w:rsid w:val="008B0470"/>
    <w:rsid w:val="008B06C5"/>
    <w:rsid w:val="008B164E"/>
    <w:rsid w:val="008B502A"/>
    <w:rsid w:val="008B57D8"/>
    <w:rsid w:val="008B7A65"/>
    <w:rsid w:val="008C1219"/>
    <w:rsid w:val="008C123E"/>
    <w:rsid w:val="008C137D"/>
    <w:rsid w:val="008C2111"/>
    <w:rsid w:val="008C22DD"/>
    <w:rsid w:val="008C3ED0"/>
    <w:rsid w:val="008C5E94"/>
    <w:rsid w:val="008D196A"/>
    <w:rsid w:val="008E3EF2"/>
    <w:rsid w:val="008E51C9"/>
    <w:rsid w:val="008E5BEB"/>
    <w:rsid w:val="008E6306"/>
    <w:rsid w:val="008F4DCB"/>
    <w:rsid w:val="008F68F7"/>
    <w:rsid w:val="009005A6"/>
    <w:rsid w:val="009006CF"/>
    <w:rsid w:val="00900C71"/>
    <w:rsid w:val="00902A1C"/>
    <w:rsid w:val="009037B6"/>
    <w:rsid w:val="00906CBE"/>
    <w:rsid w:val="00910024"/>
    <w:rsid w:val="00910384"/>
    <w:rsid w:val="0091643D"/>
    <w:rsid w:val="00916E33"/>
    <w:rsid w:val="0092093B"/>
    <w:rsid w:val="00925FD2"/>
    <w:rsid w:val="00930669"/>
    <w:rsid w:val="00932C33"/>
    <w:rsid w:val="009427A1"/>
    <w:rsid w:val="00942FFE"/>
    <w:rsid w:val="009551E0"/>
    <w:rsid w:val="0095654E"/>
    <w:rsid w:val="00956F3C"/>
    <w:rsid w:val="00971C34"/>
    <w:rsid w:val="00972488"/>
    <w:rsid w:val="009726D0"/>
    <w:rsid w:val="0097421D"/>
    <w:rsid w:val="00976117"/>
    <w:rsid w:val="00976A23"/>
    <w:rsid w:val="009800BC"/>
    <w:rsid w:val="009816F6"/>
    <w:rsid w:val="0098702F"/>
    <w:rsid w:val="009900F0"/>
    <w:rsid w:val="00990B9B"/>
    <w:rsid w:val="00991769"/>
    <w:rsid w:val="00993236"/>
    <w:rsid w:val="00993D8C"/>
    <w:rsid w:val="00994E3D"/>
    <w:rsid w:val="009A297E"/>
    <w:rsid w:val="009A6127"/>
    <w:rsid w:val="009B0CC1"/>
    <w:rsid w:val="009B12B8"/>
    <w:rsid w:val="009B713C"/>
    <w:rsid w:val="009C0F18"/>
    <w:rsid w:val="009C12C6"/>
    <w:rsid w:val="009C2555"/>
    <w:rsid w:val="009C7778"/>
    <w:rsid w:val="009D06AE"/>
    <w:rsid w:val="009D09E2"/>
    <w:rsid w:val="009D1E42"/>
    <w:rsid w:val="009D5D4B"/>
    <w:rsid w:val="009D7148"/>
    <w:rsid w:val="009E02FD"/>
    <w:rsid w:val="009E4C74"/>
    <w:rsid w:val="009E62B6"/>
    <w:rsid w:val="009F35DA"/>
    <w:rsid w:val="009F43D0"/>
    <w:rsid w:val="00A00568"/>
    <w:rsid w:val="00A00884"/>
    <w:rsid w:val="00A02F62"/>
    <w:rsid w:val="00A02FA3"/>
    <w:rsid w:val="00A030C3"/>
    <w:rsid w:val="00A04803"/>
    <w:rsid w:val="00A10147"/>
    <w:rsid w:val="00A11331"/>
    <w:rsid w:val="00A131E6"/>
    <w:rsid w:val="00A13843"/>
    <w:rsid w:val="00A146A5"/>
    <w:rsid w:val="00A17466"/>
    <w:rsid w:val="00A204B3"/>
    <w:rsid w:val="00A20576"/>
    <w:rsid w:val="00A21593"/>
    <w:rsid w:val="00A221F7"/>
    <w:rsid w:val="00A22C21"/>
    <w:rsid w:val="00A2604E"/>
    <w:rsid w:val="00A30A74"/>
    <w:rsid w:val="00A31CCE"/>
    <w:rsid w:val="00A33C95"/>
    <w:rsid w:val="00A34FF3"/>
    <w:rsid w:val="00A35351"/>
    <w:rsid w:val="00A361C7"/>
    <w:rsid w:val="00A36723"/>
    <w:rsid w:val="00A46DF5"/>
    <w:rsid w:val="00A5149A"/>
    <w:rsid w:val="00A53650"/>
    <w:rsid w:val="00A53E51"/>
    <w:rsid w:val="00A57183"/>
    <w:rsid w:val="00A6019C"/>
    <w:rsid w:val="00A60693"/>
    <w:rsid w:val="00A6196D"/>
    <w:rsid w:val="00A619C0"/>
    <w:rsid w:val="00A61ADF"/>
    <w:rsid w:val="00A624CB"/>
    <w:rsid w:val="00A62AC0"/>
    <w:rsid w:val="00A76BD2"/>
    <w:rsid w:val="00A8267D"/>
    <w:rsid w:val="00A82E14"/>
    <w:rsid w:val="00A8688E"/>
    <w:rsid w:val="00A8722B"/>
    <w:rsid w:val="00A901E9"/>
    <w:rsid w:val="00A917B6"/>
    <w:rsid w:val="00A91831"/>
    <w:rsid w:val="00A91B3B"/>
    <w:rsid w:val="00A93B4F"/>
    <w:rsid w:val="00A94F7A"/>
    <w:rsid w:val="00A95D3B"/>
    <w:rsid w:val="00A97341"/>
    <w:rsid w:val="00AA0081"/>
    <w:rsid w:val="00AA4E4D"/>
    <w:rsid w:val="00AA5A52"/>
    <w:rsid w:val="00AB09ED"/>
    <w:rsid w:val="00AB3DC0"/>
    <w:rsid w:val="00AB4CBB"/>
    <w:rsid w:val="00AC125E"/>
    <w:rsid w:val="00AC45DF"/>
    <w:rsid w:val="00AC474D"/>
    <w:rsid w:val="00AC4DFD"/>
    <w:rsid w:val="00AC5663"/>
    <w:rsid w:val="00AC58FD"/>
    <w:rsid w:val="00AD0F6D"/>
    <w:rsid w:val="00AD1166"/>
    <w:rsid w:val="00AD19D2"/>
    <w:rsid w:val="00AD1A96"/>
    <w:rsid w:val="00AD2522"/>
    <w:rsid w:val="00AD3042"/>
    <w:rsid w:val="00AD793A"/>
    <w:rsid w:val="00AE0120"/>
    <w:rsid w:val="00AE3038"/>
    <w:rsid w:val="00AE3D4A"/>
    <w:rsid w:val="00AE4DEE"/>
    <w:rsid w:val="00AE5956"/>
    <w:rsid w:val="00AE619F"/>
    <w:rsid w:val="00AE7A88"/>
    <w:rsid w:val="00AF2A56"/>
    <w:rsid w:val="00AF63AB"/>
    <w:rsid w:val="00B01784"/>
    <w:rsid w:val="00B0388B"/>
    <w:rsid w:val="00B03BEE"/>
    <w:rsid w:val="00B0517E"/>
    <w:rsid w:val="00B11314"/>
    <w:rsid w:val="00B113E3"/>
    <w:rsid w:val="00B1156A"/>
    <w:rsid w:val="00B138E3"/>
    <w:rsid w:val="00B13FB5"/>
    <w:rsid w:val="00B15ED0"/>
    <w:rsid w:val="00B178FA"/>
    <w:rsid w:val="00B17D8E"/>
    <w:rsid w:val="00B207C3"/>
    <w:rsid w:val="00B23267"/>
    <w:rsid w:val="00B23906"/>
    <w:rsid w:val="00B257BF"/>
    <w:rsid w:val="00B27149"/>
    <w:rsid w:val="00B322B2"/>
    <w:rsid w:val="00B34B85"/>
    <w:rsid w:val="00B35B4D"/>
    <w:rsid w:val="00B362F0"/>
    <w:rsid w:val="00B36652"/>
    <w:rsid w:val="00B425AB"/>
    <w:rsid w:val="00B47090"/>
    <w:rsid w:val="00B532D1"/>
    <w:rsid w:val="00B61E3E"/>
    <w:rsid w:val="00B67A79"/>
    <w:rsid w:val="00B72D62"/>
    <w:rsid w:val="00B767AF"/>
    <w:rsid w:val="00B80511"/>
    <w:rsid w:val="00B80798"/>
    <w:rsid w:val="00B80876"/>
    <w:rsid w:val="00B82C3C"/>
    <w:rsid w:val="00B82DE6"/>
    <w:rsid w:val="00B831CD"/>
    <w:rsid w:val="00B84EB6"/>
    <w:rsid w:val="00B85329"/>
    <w:rsid w:val="00B86D4D"/>
    <w:rsid w:val="00B91B9D"/>
    <w:rsid w:val="00B97CF1"/>
    <w:rsid w:val="00BA5E20"/>
    <w:rsid w:val="00BA607C"/>
    <w:rsid w:val="00BA6734"/>
    <w:rsid w:val="00BB3E2A"/>
    <w:rsid w:val="00BB7121"/>
    <w:rsid w:val="00BC0479"/>
    <w:rsid w:val="00BC1032"/>
    <w:rsid w:val="00BC1651"/>
    <w:rsid w:val="00BC16F5"/>
    <w:rsid w:val="00BC18FF"/>
    <w:rsid w:val="00BC287D"/>
    <w:rsid w:val="00BC2A38"/>
    <w:rsid w:val="00BC46EB"/>
    <w:rsid w:val="00BC643B"/>
    <w:rsid w:val="00BD32E5"/>
    <w:rsid w:val="00BD36C4"/>
    <w:rsid w:val="00BE1095"/>
    <w:rsid w:val="00BE150A"/>
    <w:rsid w:val="00BE6767"/>
    <w:rsid w:val="00BE78EC"/>
    <w:rsid w:val="00BF46EE"/>
    <w:rsid w:val="00C0613C"/>
    <w:rsid w:val="00C10D05"/>
    <w:rsid w:val="00C14FBA"/>
    <w:rsid w:val="00C15EA1"/>
    <w:rsid w:val="00C17A8E"/>
    <w:rsid w:val="00C24F70"/>
    <w:rsid w:val="00C25DC2"/>
    <w:rsid w:val="00C33479"/>
    <w:rsid w:val="00C40ED2"/>
    <w:rsid w:val="00C41F10"/>
    <w:rsid w:val="00C432DD"/>
    <w:rsid w:val="00C4423A"/>
    <w:rsid w:val="00C501FE"/>
    <w:rsid w:val="00C5784B"/>
    <w:rsid w:val="00C639FF"/>
    <w:rsid w:val="00C6442A"/>
    <w:rsid w:val="00C64D15"/>
    <w:rsid w:val="00C66088"/>
    <w:rsid w:val="00C67C4C"/>
    <w:rsid w:val="00C74B5D"/>
    <w:rsid w:val="00C74F74"/>
    <w:rsid w:val="00C7554B"/>
    <w:rsid w:val="00C80951"/>
    <w:rsid w:val="00C8205E"/>
    <w:rsid w:val="00C82EB5"/>
    <w:rsid w:val="00C87966"/>
    <w:rsid w:val="00C902DE"/>
    <w:rsid w:val="00C916AE"/>
    <w:rsid w:val="00C93AAA"/>
    <w:rsid w:val="00C95FCD"/>
    <w:rsid w:val="00C97188"/>
    <w:rsid w:val="00CA0639"/>
    <w:rsid w:val="00CA11D0"/>
    <w:rsid w:val="00CA2E02"/>
    <w:rsid w:val="00CA583A"/>
    <w:rsid w:val="00CA5EC6"/>
    <w:rsid w:val="00CB5744"/>
    <w:rsid w:val="00CB7022"/>
    <w:rsid w:val="00CB7BC5"/>
    <w:rsid w:val="00CC2138"/>
    <w:rsid w:val="00CC586D"/>
    <w:rsid w:val="00CC7DBC"/>
    <w:rsid w:val="00CD1BA3"/>
    <w:rsid w:val="00CD1D23"/>
    <w:rsid w:val="00CD3612"/>
    <w:rsid w:val="00CD3E69"/>
    <w:rsid w:val="00CD6B7D"/>
    <w:rsid w:val="00CD7D29"/>
    <w:rsid w:val="00CE0847"/>
    <w:rsid w:val="00CE0B6C"/>
    <w:rsid w:val="00CE11D0"/>
    <w:rsid w:val="00CE4708"/>
    <w:rsid w:val="00CE4C50"/>
    <w:rsid w:val="00CE6858"/>
    <w:rsid w:val="00CE7450"/>
    <w:rsid w:val="00CE770C"/>
    <w:rsid w:val="00CF0F8B"/>
    <w:rsid w:val="00CF50BE"/>
    <w:rsid w:val="00CF7625"/>
    <w:rsid w:val="00D0506A"/>
    <w:rsid w:val="00D1289C"/>
    <w:rsid w:val="00D14867"/>
    <w:rsid w:val="00D1666F"/>
    <w:rsid w:val="00D2071A"/>
    <w:rsid w:val="00D30F73"/>
    <w:rsid w:val="00D30F97"/>
    <w:rsid w:val="00D313A0"/>
    <w:rsid w:val="00D36FE0"/>
    <w:rsid w:val="00D40799"/>
    <w:rsid w:val="00D41A06"/>
    <w:rsid w:val="00D42ABF"/>
    <w:rsid w:val="00D42F40"/>
    <w:rsid w:val="00D45B67"/>
    <w:rsid w:val="00D5034A"/>
    <w:rsid w:val="00D51F49"/>
    <w:rsid w:val="00D55EE8"/>
    <w:rsid w:val="00D562CB"/>
    <w:rsid w:val="00D569D1"/>
    <w:rsid w:val="00D56AD8"/>
    <w:rsid w:val="00D56C05"/>
    <w:rsid w:val="00D5785A"/>
    <w:rsid w:val="00D6375F"/>
    <w:rsid w:val="00D64C48"/>
    <w:rsid w:val="00D6680B"/>
    <w:rsid w:val="00D72F4F"/>
    <w:rsid w:val="00D731C4"/>
    <w:rsid w:val="00D73EDB"/>
    <w:rsid w:val="00D74EB4"/>
    <w:rsid w:val="00D801FC"/>
    <w:rsid w:val="00D85BE0"/>
    <w:rsid w:val="00D87FD7"/>
    <w:rsid w:val="00D91466"/>
    <w:rsid w:val="00D915ED"/>
    <w:rsid w:val="00D91C1D"/>
    <w:rsid w:val="00D92300"/>
    <w:rsid w:val="00D94AFC"/>
    <w:rsid w:val="00D950E6"/>
    <w:rsid w:val="00D97047"/>
    <w:rsid w:val="00DA3619"/>
    <w:rsid w:val="00DB0B88"/>
    <w:rsid w:val="00DB1652"/>
    <w:rsid w:val="00DB58A6"/>
    <w:rsid w:val="00DB6B99"/>
    <w:rsid w:val="00DC001A"/>
    <w:rsid w:val="00DC5842"/>
    <w:rsid w:val="00DD4F44"/>
    <w:rsid w:val="00DD686C"/>
    <w:rsid w:val="00DE2AC3"/>
    <w:rsid w:val="00DE2E40"/>
    <w:rsid w:val="00DE3598"/>
    <w:rsid w:val="00DE3FBD"/>
    <w:rsid w:val="00DE43F5"/>
    <w:rsid w:val="00DE65FB"/>
    <w:rsid w:val="00DF210E"/>
    <w:rsid w:val="00DF420A"/>
    <w:rsid w:val="00E01CE4"/>
    <w:rsid w:val="00E02472"/>
    <w:rsid w:val="00E041F0"/>
    <w:rsid w:val="00E128D8"/>
    <w:rsid w:val="00E130C3"/>
    <w:rsid w:val="00E13790"/>
    <w:rsid w:val="00E17EDF"/>
    <w:rsid w:val="00E2082D"/>
    <w:rsid w:val="00E221E2"/>
    <w:rsid w:val="00E24303"/>
    <w:rsid w:val="00E27A16"/>
    <w:rsid w:val="00E40F7B"/>
    <w:rsid w:val="00E46D60"/>
    <w:rsid w:val="00E47C33"/>
    <w:rsid w:val="00E47F58"/>
    <w:rsid w:val="00E5299B"/>
    <w:rsid w:val="00E54BFC"/>
    <w:rsid w:val="00E56D9D"/>
    <w:rsid w:val="00E60E2E"/>
    <w:rsid w:val="00E71A2D"/>
    <w:rsid w:val="00E74A73"/>
    <w:rsid w:val="00E823C1"/>
    <w:rsid w:val="00E82DB7"/>
    <w:rsid w:val="00E8579C"/>
    <w:rsid w:val="00E865FE"/>
    <w:rsid w:val="00E91408"/>
    <w:rsid w:val="00E91759"/>
    <w:rsid w:val="00E9654B"/>
    <w:rsid w:val="00EA18DB"/>
    <w:rsid w:val="00EA2FBA"/>
    <w:rsid w:val="00EA4DC5"/>
    <w:rsid w:val="00EA66DF"/>
    <w:rsid w:val="00EA6ADC"/>
    <w:rsid w:val="00EB13A7"/>
    <w:rsid w:val="00EB14DF"/>
    <w:rsid w:val="00EB1A4D"/>
    <w:rsid w:val="00EB3A07"/>
    <w:rsid w:val="00EB5539"/>
    <w:rsid w:val="00EC3F31"/>
    <w:rsid w:val="00EC52E7"/>
    <w:rsid w:val="00ED3698"/>
    <w:rsid w:val="00ED4794"/>
    <w:rsid w:val="00EE265C"/>
    <w:rsid w:val="00EE5C63"/>
    <w:rsid w:val="00F0095C"/>
    <w:rsid w:val="00F01129"/>
    <w:rsid w:val="00F01CCA"/>
    <w:rsid w:val="00F01F2C"/>
    <w:rsid w:val="00F02104"/>
    <w:rsid w:val="00F04455"/>
    <w:rsid w:val="00F06C17"/>
    <w:rsid w:val="00F1632B"/>
    <w:rsid w:val="00F334CB"/>
    <w:rsid w:val="00F3495A"/>
    <w:rsid w:val="00F34E2C"/>
    <w:rsid w:val="00F370BC"/>
    <w:rsid w:val="00F37143"/>
    <w:rsid w:val="00F37877"/>
    <w:rsid w:val="00F50562"/>
    <w:rsid w:val="00F50A92"/>
    <w:rsid w:val="00F50D01"/>
    <w:rsid w:val="00F56BC1"/>
    <w:rsid w:val="00F618C4"/>
    <w:rsid w:val="00F65774"/>
    <w:rsid w:val="00F65A34"/>
    <w:rsid w:val="00F65F4C"/>
    <w:rsid w:val="00F71A60"/>
    <w:rsid w:val="00F725DA"/>
    <w:rsid w:val="00F7536E"/>
    <w:rsid w:val="00F75652"/>
    <w:rsid w:val="00F8168B"/>
    <w:rsid w:val="00F81CF2"/>
    <w:rsid w:val="00F81F93"/>
    <w:rsid w:val="00F857D1"/>
    <w:rsid w:val="00F91DCC"/>
    <w:rsid w:val="00F9323F"/>
    <w:rsid w:val="00F943FE"/>
    <w:rsid w:val="00F95814"/>
    <w:rsid w:val="00F95CE9"/>
    <w:rsid w:val="00F97100"/>
    <w:rsid w:val="00FA01D9"/>
    <w:rsid w:val="00FB0401"/>
    <w:rsid w:val="00FC1DFB"/>
    <w:rsid w:val="00FC1EF2"/>
    <w:rsid w:val="00FC3343"/>
    <w:rsid w:val="00FC33BA"/>
    <w:rsid w:val="00FC35AB"/>
    <w:rsid w:val="00FC6134"/>
    <w:rsid w:val="00FC654D"/>
    <w:rsid w:val="00FC7023"/>
    <w:rsid w:val="00FD0555"/>
    <w:rsid w:val="00FD5961"/>
    <w:rsid w:val="00FE3EFA"/>
    <w:rsid w:val="00FE5C56"/>
    <w:rsid w:val="00FE5E20"/>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E8284"/>
  <w15:docId w15:val="{FC4FE90F-BAEA-4887-BB23-8C8A1D1B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autoRedefine/>
    <w:uiPriority w:val="2"/>
    <w:qFormat/>
    <w:rsid w:val="002029AC"/>
    <w:pPr>
      <w:keepNext/>
      <w:keepLines/>
      <w:numPr>
        <w:numId w:val="12"/>
      </w:numPr>
      <w:spacing w:before="0" w:after="1080" w:line="240" w:lineRule="auto"/>
      <w:ind w:left="709"/>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2D791D"/>
    <w:pPr>
      <w:keepNext/>
      <w:keepLines/>
      <w:numPr>
        <w:ilvl w:val="1"/>
        <w:numId w:val="12"/>
      </w:numPr>
      <w:spacing w:before="360"/>
      <w:ind w:left="709"/>
      <w:contextualSpacing/>
      <w:outlineLvl w:val="1"/>
    </w:pPr>
    <w:rPr>
      <w:rFonts w:asciiTheme="majorHAnsi" w:hAnsiTheme="majorHAnsi"/>
      <w:b/>
      <w:sz w:val="28"/>
      <w:szCs w:val="44"/>
    </w:rPr>
  </w:style>
  <w:style w:type="paragraph" w:styleId="Heading3">
    <w:name w:val="heading 3"/>
    <w:basedOn w:val="Normal"/>
    <w:next w:val="Normal"/>
    <w:autoRedefine/>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autoRedefine/>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semiHidden/>
    <w:rsid w:val="002672F1"/>
    <w:pPr>
      <w:keepNext/>
      <w:spacing w:before="240"/>
      <w:contextualSpacing/>
      <w:outlineLvl w:val="4"/>
    </w:pPr>
    <w:rPr>
      <w:b/>
      <w:szCs w:val="22"/>
    </w:rPr>
  </w:style>
  <w:style w:type="paragraph" w:styleId="Heading6">
    <w:name w:val="heading 6"/>
    <w:basedOn w:val="Normal"/>
    <w:next w:val="Normal"/>
    <w:link w:val="Heading6Char"/>
    <w:autoRedefine/>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5F219D"/>
    <w:pPr>
      <w:tabs>
        <w:tab w:val="right" w:pos="10319"/>
      </w:tabs>
      <w:spacing w:before="0" w:after="0" w:line="240" w:lineRule="auto"/>
    </w:pPr>
    <w:rPr>
      <w:b/>
      <w:sz w:val="16"/>
    </w:rPr>
  </w:style>
  <w:style w:type="paragraph" w:styleId="Title">
    <w:name w:val="Title"/>
    <w:basedOn w:val="Normal"/>
    <w:next w:val="Subtitle"/>
    <w:autoRedefine/>
    <w:rsid w:val="00043CF6"/>
    <w:pPr>
      <w:spacing w:before="480" w:after="360" w:line="204" w:lineRule="auto"/>
      <w:contextualSpacing/>
      <w:outlineLvl w:val="0"/>
    </w:pPr>
    <w:rPr>
      <w:rFonts w:ascii="Arial Bold" w:hAnsi="Arial Bold" w:cs="Arial"/>
      <w:b/>
      <w:bCs/>
      <w:color w:val="004200" w:themeColor="accent1"/>
      <w:kern w:val="28"/>
      <w:sz w:val="84"/>
      <w:szCs w:val="32"/>
    </w:rPr>
  </w:style>
  <w:style w:type="paragraph" w:styleId="ListBullet">
    <w:name w:val="List Bullet"/>
    <w:basedOn w:val="Normal"/>
    <w:autoRedefine/>
    <w:uiPriority w:val="3"/>
    <w:qFormat/>
    <w:rsid w:val="00D91466"/>
    <w:pPr>
      <w:numPr>
        <w:numId w:val="1"/>
      </w:numPr>
      <w:spacing w:before="60" w:after="60"/>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rsid w:val="00797C88"/>
    <w:rPr>
      <w:rFonts w:ascii="Arial" w:hAnsi="Arial"/>
      <w:sz w:val="22"/>
    </w:rPr>
  </w:style>
  <w:style w:type="character" w:styleId="FootnoteReference">
    <w:name w:val="footnote reference"/>
    <w:aliases w:val="Footnote text"/>
    <w:basedOn w:val="DefaultParagraphFont"/>
    <w:rsid w:val="00843390"/>
    <w:rPr>
      <w:vertAlign w:val="superscript"/>
    </w:rPr>
  </w:style>
  <w:style w:type="paragraph" w:styleId="ListParagraph">
    <w:name w:val="List Paragraph"/>
    <w:basedOn w:val="Normal"/>
    <w:link w:val="ListParagraphChar"/>
    <w:autoRedefine/>
    <w:uiPriority w:val="34"/>
    <w:qFormat/>
    <w:rsid w:val="00010D84"/>
    <w:pPr>
      <w:ind w:left="720"/>
    </w:pPr>
  </w:style>
  <w:style w:type="character" w:customStyle="1" w:styleId="Heading2Char">
    <w:name w:val="Heading 2 Char"/>
    <w:basedOn w:val="DefaultParagraphFont"/>
    <w:link w:val="Heading2"/>
    <w:uiPriority w:val="2"/>
    <w:rsid w:val="002D791D"/>
    <w:rPr>
      <w:rFonts w:asciiTheme="majorHAnsi" w:hAnsiTheme="majorHAnsi"/>
      <w:b/>
      <w:sz w:val="28"/>
      <w:szCs w:val="44"/>
    </w:rPr>
  </w:style>
  <w:style w:type="paragraph" w:styleId="TOC1">
    <w:name w:val="toc 1"/>
    <w:basedOn w:val="Normal"/>
    <w:next w:val="Normal"/>
    <w:autoRedefine/>
    <w:uiPriority w:val="39"/>
    <w:rsid w:val="003E0845"/>
    <w:pPr>
      <w:spacing w:before="240" w:line="240" w:lineRule="auto"/>
      <w:ind w:right="567"/>
    </w:pPr>
    <w:rPr>
      <w:b/>
      <w:noProof/>
    </w:rPr>
  </w:style>
  <w:style w:type="paragraph" w:styleId="TOC2">
    <w:name w:val="toc 2"/>
    <w:basedOn w:val="Normal"/>
    <w:next w:val="Normal"/>
    <w:autoRedefine/>
    <w:uiPriority w:val="39"/>
    <w:rsid w:val="003E0845"/>
    <w:pPr>
      <w:spacing w:line="240" w:lineRule="auto"/>
      <w:ind w:right="11"/>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2256A8"/>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183CD6"/>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2029AC"/>
    <w:pPr>
      <w:spacing w:before="0" w:after="0" w:line="192" w:lineRule="exact"/>
    </w:pPr>
    <w:rPr>
      <w:b/>
      <w:bCs/>
      <w:sz w:val="16"/>
      <w:szCs w:val="16"/>
    </w:rPr>
  </w:style>
  <w:style w:type="paragraph" w:customStyle="1" w:styleId="Organisation">
    <w:name w:val="Organisation"/>
    <w:basedOn w:val="Normal"/>
    <w:next w:val="Title"/>
    <w:autoRedefine/>
    <w:uiPriority w:val="1"/>
    <w:qFormat/>
    <w:rsid w:val="00043CF6"/>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semiHidden/>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semiHidden/>
    <w:unhideWhenUsed/>
    <w:rsid w:val="00CC2138"/>
    <w:pPr>
      <w:spacing w:line="240" w:lineRule="auto"/>
    </w:pPr>
    <w:rPr>
      <w:sz w:val="20"/>
      <w:szCs w:val="20"/>
    </w:rPr>
  </w:style>
  <w:style w:type="character" w:customStyle="1" w:styleId="CommentTextChar">
    <w:name w:val="Comment Text Char"/>
    <w:basedOn w:val="DefaultParagraphFont"/>
    <w:link w:val="CommentText"/>
    <w:semiHidden/>
    <w:rsid w:val="00CC2138"/>
    <w:rPr>
      <w:rFonts w:ascii="Arial" w:hAnsi="Arial"/>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semiHidden/>
    <w:unhideWhenUsed/>
    <w:rsid w:val="00465398"/>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paragraph" w:customStyle="1" w:styleId="NormalArial">
    <w:name w:val="Normal + Arial"/>
    <w:aliases w:val="11 pt"/>
    <w:basedOn w:val="Normal"/>
    <w:rsid w:val="00B34B85"/>
    <w:pPr>
      <w:spacing w:before="0" w:after="0" w:line="240" w:lineRule="auto"/>
      <w:ind w:left="550"/>
    </w:pPr>
    <w:rPr>
      <w:rFonts w:cs="Arial"/>
      <w:szCs w:val="22"/>
      <w:lang w:eastAsia="zh-CN"/>
    </w:rPr>
  </w:style>
  <w:style w:type="character" w:customStyle="1" w:styleId="ListParagraphChar">
    <w:name w:val="List Paragraph Char"/>
    <w:link w:val="ListParagraph"/>
    <w:uiPriority w:val="34"/>
    <w:locked/>
    <w:rsid w:val="00B34B85"/>
    <w:rPr>
      <w:rFonts w:ascii="Arial" w:hAnsi="Arial"/>
      <w:sz w:val="22"/>
      <w:szCs w:val="24"/>
    </w:rPr>
  </w:style>
  <w:style w:type="paragraph" w:styleId="Revision">
    <w:name w:val="Revision"/>
    <w:hidden/>
    <w:uiPriority w:val="99"/>
    <w:semiHidden/>
    <w:rsid w:val="005F1F2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9022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5" Type="http://schemas.openxmlformats.org/officeDocument/2006/relationships/webSettings" Target="webSettings.xml"/><Relationship Id="rId15" Type="http://schemas.openxmlformats.org/officeDocument/2006/relationships/hyperlink" Target="https://www.ihpa.gov.au/what-we-do/pricing-framework" TargetMode="External"/><Relationship Id="rId10" Type="http://schemas.openxmlformats.org/officeDocument/2006/relationships/hyperlink" Target="http://creativecommons.org/licenses/by/3.0/au/deed.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hpa.gov.au/what-we-do/pricing/national-pricing-model-technical-specif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2FBA5-F5CD-43EA-BA96-7B481BA2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2115</Words>
  <Characters>13172</Characters>
  <Application>Microsoft Office Word</Application>
  <DocSecurity>4</DocSecurity>
  <Lines>365</Lines>
  <Paragraphs>246</Paragraphs>
  <ScaleCrop>false</ScaleCrop>
  <HeadingPairs>
    <vt:vector size="2" baseType="variant">
      <vt:variant>
        <vt:lpstr>Title</vt:lpstr>
      </vt:variant>
      <vt:variant>
        <vt:i4>1</vt:i4>
      </vt:variant>
    </vt:vector>
  </HeadingPairs>
  <TitlesOfParts>
    <vt:vector size="1" baseType="lpstr">
      <vt:lpstr/>
    </vt:vector>
  </TitlesOfParts>
  <Company>Independent Hospital Pricing Authority</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Cindy</dc:creator>
  <cp:lastModifiedBy>FENG, Cindy</cp:lastModifiedBy>
  <cp:revision>2</cp:revision>
  <cp:lastPrinted>2015-10-21T06:45:00Z</cp:lastPrinted>
  <dcterms:created xsi:type="dcterms:W3CDTF">2022-05-10T04:57:00Z</dcterms:created>
  <dcterms:modified xsi:type="dcterms:W3CDTF">2022-05-10T04:57:00Z</dcterms:modified>
</cp:coreProperties>
</file>