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10199" w14:textId="77777777" w:rsidR="00CC586D" w:rsidRPr="004A161B" w:rsidRDefault="00CC586D" w:rsidP="008C2111">
      <w:pPr>
        <w:pStyle w:val="Organisation"/>
      </w:pPr>
      <w:r w:rsidRPr="004A161B">
        <w:t>Independent Hospital Pricing Authority</w:t>
      </w:r>
    </w:p>
    <w:p w14:paraId="06F72DB7" w14:textId="0173983B" w:rsidR="00102824" w:rsidRPr="004A161B" w:rsidRDefault="00AA1F8D" w:rsidP="00AA1F8D">
      <w:pPr>
        <w:pStyle w:val="Title"/>
        <w:ind w:right="-1278"/>
      </w:pPr>
      <w:bookmarkStart w:id="0" w:name="_Toc92192326"/>
      <w:bookmarkStart w:id="1" w:name="_Toc92199546"/>
      <w:r w:rsidRPr="004A161B">
        <w:t>National Pricing Model</w:t>
      </w:r>
      <w:bookmarkEnd w:id="0"/>
      <w:r w:rsidR="007B7433" w:rsidRPr="004A161B">
        <w:t xml:space="preserve"> Materiality Policy</w:t>
      </w:r>
      <w:bookmarkEnd w:id="1"/>
    </w:p>
    <w:p w14:paraId="53A184DE" w14:textId="6B85B084" w:rsidR="00BC1032" w:rsidRPr="004A161B" w:rsidRDefault="0097735F" w:rsidP="00BC1032">
      <w:pPr>
        <w:pStyle w:val="Versionanddate"/>
      </w:pPr>
      <w:r w:rsidRPr="004A161B">
        <w:t>May 2022</w:t>
      </w:r>
    </w:p>
    <w:p w14:paraId="76732C1C" w14:textId="77777777" w:rsidR="0035219F" w:rsidRPr="004A161B" w:rsidRDefault="00043CF6" w:rsidP="0035219F">
      <w:r w:rsidRPr="004A161B">
        <w:rPr>
          <w:b/>
          <w:noProof/>
          <w:color w:val="008542" w:themeColor="accent2"/>
          <w:sz w:val="16"/>
          <w:szCs w:val="16"/>
        </w:rPr>
        <w:drawing>
          <wp:anchor distT="0" distB="0" distL="114300" distR="114300" simplePos="0" relativeHeight="251674624" behindDoc="1" locked="1" layoutInCell="0" allowOverlap="1" wp14:anchorId="7DA41441" wp14:editId="1AA9F707">
            <wp:simplePos x="0" y="0"/>
            <wp:positionH relativeFrom="page">
              <wp:align>right</wp:align>
            </wp:positionH>
            <wp:positionV relativeFrom="page">
              <wp:align>top</wp:align>
            </wp:positionV>
            <wp:extent cx="7561580" cy="10678795"/>
            <wp:effectExtent l="0" t="0" r="1270" b="825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580" cy="10678795"/>
                    </a:xfrm>
                    <a:prstGeom prst="rect">
                      <a:avLst/>
                    </a:prstGeom>
                  </pic:spPr>
                </pic:pic>
              </a:graphicData>
            </a:graphic>
            <wp14:sizeRelH relativeFrom="margin">
              <wp14:pctWidth>0</wp14:pctWidth>
            </wp14:sizeRelH>
            <wp14:sizeRelV relativeFrom="margin">
              <wp14:pctHeight>0</wp14:pctHeight>
            </wp14:sizeRelV>
          </wp:anchor>
        </w:drawing>
      </w:r>
      <w:r w:rsidR="0035219F" w:rsidRPr="004A161B">
        <w:br w:type="page"/>
      </w:r>
    </w:p>
    <w:p w14:paraId="3B702ADA" w14:textId="77777777" w:rsidR="008C2111" w:rsidRPr="004A161B" w:rsidRDefault="008C2111" w:rsidP="008C2111">
      <w:pPr>
        <w:pStyle w:val="Versionanddate"/>
        <w:sectPr w:rsidR="008C2111" w:rsidRPr="004A161B" w:rsidSect="008C2111">
          <w:headerReference w:type="default" r:id="rId9"/>
          <w:pgSz w:w="11906" w:h="16838" w:code="9"/>
          <w:pgMar w:top="2041" w:right="3232" w:bottom="1021" w:left="1021" w:header="680" w:footer="510" w:gutter="0"/>
          <w:pgNumType w:start="1"/>
          <w:cols w:space="708"/>
          <w:docGrid w:linePitch="360"/>
        </w:sectPr>
      </w:pPr>
    </w:p>
    <w:p w14:paraId="5928D0A0" w14:textId="64019577" w:rsidR="00BC1032" w:rsidRPr="004A161B" w:rsidRDefault="00AA1F8D" w:rsidP="008C2111">
      <w:pPr>
        <w:pStyle w:val="Report"/>
      </w:pPr>
      <w:r w:rsidRPr="004A161B">
        <w:lastRenderedPageBreak/>
        <w:t xml:space="preserve">National Pricing Model </w:t>
      </w:r>
      <w:r w:rsidR="0097735F" w:rsidRPr="004A161B">
        <w:t xml:space="preserve">Materiality Policy – Version </w:t>
      </w:r>
      <w:r w:rsidR="00B1181B" w:rsidRPr="004A161B">
        <w:t>3</w:t>
      </w:r>
      <w:r w:rsidR="0097735F" w:rsidRPr="004A161B">
        <w:t>.0 May 2022</w:t>
      </w:r>
    </w:p>
    <w:p w14:paraId="0DD86564" w14:textId="77777777" w:rsidR="00BC1032" w:rsidRPr="004A161B" w:rsidRDefault="00BC1032" w:rsidP="00BC1032"/>
    <w:p w14:paraId="41B669F2" w14:textId="303782F6" w:rsidR="00BC1032" w:rsidRPr="004A161B" w:rsidRDefault="00BC1032" w:rsidP="00BC1032">
      <w:r w:rsidRPr="004A161B">
        <w:t xml:space="preserve">© Independent Hospital Pricing Authority </w:t>
      </w:r>
      <w:r w:rsidR="007B7433" w:rsidRPr="004A161B">
        <w:t>2022</w:t>
      </w:r>
    </w:p>
    <w:p w14:paraId="0E0B40BC" w14:textId="77777777" w:rsidR="00BC1032" w:rsidRPr="004A161B" w:rsidRDefault="00BC1032" w:rsidP="00BC1032">
      <w:r w:rsidRPr="004A161B">
        <w:t xml:space="preserve">This publication is available for your use under a </w:t>
      </w:r>
      <w:hyperlink r:id="rId10" w:history="1">
        <w:r w:rsidRPr="004A161B">
          <w:t>Creative Commons BY Attribution 3.0 Australia</w:t>
        </w:r>
      </w:hyperlink>
      <w:r w:rsidRPr="004A161B">
        <w:t xml:space="preserve"> licence, with the exception of the Independent Hospital Pricing Authority logo, photographs, images, signatures and where otherwise stated. The full licence terms are available from </w:t>
      </w:r>
      <w:hyperlink r:id="rId11" w:history="1">
        <w:r w:rsidRPr="004A161B">
          <w:t>the Creative Commons website</w:t>
        </w:r>
      </w:hyperlink>
      <w:r w:rsidRPr="004A161B">
        <w:t>.</w:t>
      </w:r>
    </w:p>
    <w:p w14:paraId="60BF1B46" w14:textId="77777777" w:rsidR="00BC1032" w:rsidRPr="004A161B" w:rsidRDefault="00BC1032" w:rsidP="00BC1032">
      <w:r w:rsidRPr="004A161B">
        <w:rPr>
          <w:rFonts w:cs="Calibri"/>
          <w:noProof/>
          <w:sz w:val="24"/>
        </w:rPr>
        <w:drawing>
          <wp:inline distT="0" distB="0" distL="0" distR="0" wp14:anchorId="0576934D" wp14:editId="30FD9697">
            <wp:extent cx="804087"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1E86485D" w14:textId="77777777" w:rsidR="00BC1032" w:rsidRPr="004A161B" w:rsidRDefault="00BC1032" w:rsidP="00BC1032">
      <w:r w:rsidRPr="004A161B">
        <w:t xml:space="preserve">Use of Independent Hospital Pricing Authority material under a </w:t>
      </w:r>
      <w:hyperlink r:id="rId13" w:history="1">
        <w:r w:rsidRPr="004A161B">
          <w:t>Creative Commons BY Attribution 3.0 Australia</w:t>
        </w:r>
      </w:hyperlink>
      <w:r w:rsidRPr="004A161B">
        <w:t xml:space="preserve"> licence requires you to attribute the work (but not in any way that suggests that the Independent Hospital Pricing Authority endorses you or your use of the work).</w:t>
      </w:r>
    </w:p>
    <w:p w14:paraId="2092DBE6" w14:textId="77777777" w:rsidR="00BC1032" w:rsidRPr="004A161B" w:rsidRDefault="00BC1032" w:rsidP="00BC1032">
      <w:pPr>
        <w:rPr>
          <w:i/>
        </w:rPr>
      </w:pPr>
      <w:r w:rsidRPr="004A161B">
        <w:rPr>
          <w:i/>
        </w:rPr>
        <w:t>Independent Hospital Pricing Authority material used 'as supplied'.</w:t>
      </w:r>
    </w:p>
    <w:p w14:paraId="3D0ABE4D" w14:textId="77777777" w:rsidR="00BC1032" w:rsidRPr="004A161B" w:rsidRDefault="00BC1032" w:rsidP="00BC1032">
      <w:r w:rsidRPr="004A161B">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0336F34" w14:textId="77777777" w:rsidR="00BC1032" w:rsidRPr="004A161B" w:rsidRDefault="00BC1032" w:rsidP="00BC1032">
      <w:pPr>
        <w:pStyle w:val="NormalIndent"/>
        <w:rPr>
          <w:i/>
        </w:rPr>
      </w:pPr>
      <w:r w:rsidRPr="004A161B">
        <w:rPr>
          <w:i/>
        </w:rPr>
        <w:t>Source: The Independent Hospital Pricing Authority</w:t>
      </w:r>
      <w:r w:rsidRPr="004A161B">
        <w:rPr>
          <w:i/>
        </w:rPr>
        <w:br w:type="page"/>
      </w:r>
    </w:p>
    <w:p w14:paraId="303E18ED" w14:textId="77777777" w:rsidR="002029AC" w:rsidRPr="004A161B" w:rsidRDefault="002029AC" w:rsidP="002029AC">
      <w:pPr>
        <w:pStyle w:val="Heading1"/>
        <w:numPr>
          <w:ilvl w:val="0"/>
          <w:numId w:val="0"/>
        </w:numPr>
        <w:ind w:left="709" w:hanging="709"/>
      </w:pPr>
      <w:bookmarkStart w:id="2" w:name="_Toc92192327"/>
      <w:bookmarkStart w:id="3" w:name="_Toc92199547"/>
      <w:r w:rsidRPr="004A161B">
        <w:lastRenderedPageBreak/>
        <w:t>Table of contents</w:t>
      </w:r>
      <w:bookmarkEnd w:id="2"/>
      <w:bookmarkEnd w:id="3"/>
    </w:p>
    <w:p w14:paraId="594EF950" w14:textId="10CCF6EC" w:rsidR="00A517E8" w:rsidRPr="004A161B" w:rsidRDefault="003E0845">
      <w:pPr>
        <w:pStyle w:val="TOC1"/>
        <w:tabs>
          <w:tab w:val="right" w:leader="dot" w:pos="9435"/>
        </w:tabs>
        <w:rPr>
          <w:rFonts w:asciiTheme="minorHAnsi" w:eastAsiaTheme="minorEastAsia" w:hAnsiTheme="minorHAnsi" w:cstheme="minorBidi"/>
          <w:b w:val="0"/>
          <w:szCs w:val="22"/>
        </w:rPr>
      </w:pPr>
      <w:r w:rsidRPr="004A161B">
        <w:rPr>
          <w:b w:val="0"/>
        </w:rPr>
        <w:fldChar w:fldCharType="begin"/>
      </w:r>
      <w:r w:rsidRPr="004A161B">
        <w:rPr>
          <w:b w:val="0"/>
        </w:rPr>
        <w:instrText xml:space="preserve"> TOC \o "1-2" \h \z \u </w:instrText>
      </w:r>
      <w:r w:rsidRPr="004A161B">
        <w:rPr>
          <w:b w:val="0"/>
        </w:rPr>
        <w:fldChar w:fldCharType="separate"/>
      </w:r>
      <w:hyperlink w:anchor="_Toc92199548" w:history="1">
        <w:r w:rsidR="00A517E8" w:rsidRPr="004A161B">
          <w:rPr>
            <w:rStyle w:val="Hyperlink"/>
          </w:rPr>
          <w:t>Acronyms and abbreviations</w:t>
        </w:r>
        <w:r w:rsidR="00A517E8" w:rsidRPr="004A161B">
          <w:rPr>
            <w:webHidden/>
          </w:rPr>
          <w:tab/>
        </w:r>
        <w:r w:rsidR="00A517E8" w:rsidRPr="004A161B">
          <w:rPr>
            <w:webHidden/>
          </w:rPr>
          <w:fldChar w:fldCharType="begin"/>
        </w:r>
        <w:r w:rsidR="00A517E8" w:rsidRPr="004A161B">
          <w:rPr>
            <w:webHidden/>
          </w:rPr>
          <w:instrText xml:space="preserve"> PAGEREF _Toc92199548 \h </w:instrText>
        </w:r>
        <w:r w:rsidR="00A517E8" w:rsidRPr="004A161B">
          <w:rPr>
            <w:webHidden/>
          </w:rPr>
        </w:r>
        <w:r w:rsidR="00A517E8" w:rsidRPr="004A161B">
          <w:rPr>
            <w:webHidden/>
          </w:rPr>
          <w:fldChar w:fldCharType="separate"/>
        </w:r>
        <w:r w:rsidR="00761C65">
          <w:rPr>
            <w:webHidden/>
          </w:rPr>
          <w:t>3</w:t>
        </w:r>
        <w:r w:rsidR="00A517E8" w:rsidRPr="004A161B">
          <w:rPr>
            <w:webHidden/>
          </w:rPr>
          <w:fldChar w:fldCharType="end"/>
        </w:r>
      </w:hyperlink>
    </w:p>
    <w:p w14:paraId="45BF5B43" w14:textId="2AFB1806" w:rsidR="00A517E8" w:rsidRPr="004A161B" w:rsidRDefault="00761C65">
      <w:pPr>
        <w:pStyle w:val="TOC1"/>
        <w:tabs>
          <w:tab w:val="right" w:leader="dot" w:pos="9435"/>
        </w:tabs>
        <w:rPr>
          <w:rFonts w:asciiTheme="minorHAnsi" w:eastAsiaTheme="minorEastAsia" w:hAnsiTheme="minorHAnsi" w:cstheme="minorBidi"/>
          <w:b w:val="0"/>
          <w:szCs w:val="22"/>
        </w:rPr>
      </w:pPr>
      <w:hyperlink w:anchor="_Toc92199549" w:history="1">
        <w:r w:rsidR="00A517E8" w:rsidRPr="004A161B">
          <w:rPr>
            <w:rStyle w:val="Hyperlink"/>
          </w:rPr>
          <w:t>Definitions</w:t>
        </w:r>
        <w:r w:rsidR="00A517E8" w:rsidRPr="004A161B">
          <w:rPr>
            <w:webHidden/>
          </w:rPr>
          <w:tab/>
        </w:r>
        <w:r w:rsidR="00A517E8" w:rsidRPr="004A161B">
          <w:rPr>
            <w:webHidden/>
          </w:rPr>
          <w:fldChar w:fldCharType="begin"/>
        </w:r>
        <w:r w:rsidR="00A517E8" w:rsidRPr="004A161B">
          <w:rPr>
            <w:webHidden/>
          </w:rPr>
          <w:instrText xml:space="preserve"> PAGEREF _Toc92199549 \h </w:instrText>
        </w:r>
        <w:r w:rsidR="00A517E8" w:rsidRPr="004A161B">
          <w:rPr>
            <w:webHidden/>
          </w:rPr>
        </w:r>
        <w:r w:rsidR="00A517E8" w:rsidRPr="004A161B">
          <w:rPr>
            <w:webHidden/>
          </w:rPr>
          <w:fldChar w:fldCharType="separate"/>
        </w:r>
        <w:r>
          <w:rPr>
            <w:webHidden/>
          </w:rPr>
          <w:t>4</w:t>
        </w:r>
        <w:r w:rsidR="00A517E8" w:rsidRPr="004A161B">
          <w:rPr>
            <w:webHidden/>
          </w:rPr>
          <w:fldChar w:fldCharType="end"/>
        </w:r>
      </w:hyperlink>
    </w:p>
    <w:p w14:paraId="591CF414" w14:textId="7E36EE58" w:rsidR="00A517E8" w:rsidRPr="004A161B" w:rsidRDefault="00761C65">
      <w:pPr>
        <w:pStyle w:val="TOC1"/>
        <w:tabs>
          <w:tab w:val="left" w:pos="440"/>
          <w:tab w:val="right" w:leader="dot" w:pos="9435"/>
        </w:tabs>
        <w:rPr>
          <w:rFonts w:asciiTheme="minorHAnsi" w:eastAsiaTheme="minorEastAsia" w:hAnsiTheme="minorHAnsi" w:cstheme="minorBidi"/>
          <w:b w:val="0"/>
          <w:szCs w:val="22"/>
        </w:rPr>
      </w:pPr>
      <w:hyperlink w:anchor="_Toc92199550" w:history="1">
        <w:r w:rsidR="00A517E8" w:rsidRPr="004A161B">
          <w:rPr>
            <w:rStyle w:val="Hyperlink"/>
          </w:rPr>
          <w:t>1.</w:t>
        </w:r>
        <w:r w:rsidR="00A517E8" w:rsidRPr="004A161B">
          <w:rPr>
            <w:rFonts w:asciiTheme="minorHAnsi" w:eastAsiaTheme="minorEastAsia" w:hAnsiTheme="minorHAnsi" w:cstheme="minorBidi"/>
            <w:b w:val="0"/>
            <w:szCs w:val="22"/>
          </w:rPr>
          <w:tab/>
        </w:r>
        <w:r w:rsidR="00A517E8" w:rsidRPr="004A161B">
          <w:rPr>
            <w:rStyle w:val="Hyperlink"/>
          </w:rPr>
          <w:t>Executive summary</w:t>
        </w:r>
        <w:r w:rsidR="00A517E8" w:rsidRPr="004A161B">
          <w:rPr>
            <w:webHidden/>
          </w:rPr>
          <w:tab/>
        </w:r>
        <w:r w:rsidR="00A517E8" w:rsidRPr="004A161B">
          <w:rPr>
            <w:webHidden/>
          </w:rPr>
          <w:fldChar w:fldCharType="begin"/>
        </w:r>
        <w:r w:rsidR="00A517E8" w:rsidRPr="004A161B">
          <w:rPr>
            <w:webHidden/>
          </w:rPr>
          <w:instrText xml:space="preserve"> PAGEREF _Toc92199550 \h </w:instrText>
        </w:r>
        <w:r w:rsidR="00A517E8" w:rsidRPr="004A161B">
          <w:rPr>
            <w:webHidden/>
          </w:rPr>
        </w:r>
        <w:r w:rsidR="00A517E8" w:rsidRPr="004A161B">
          <w:rPr>
            <w:webHidden/>
          </w:rPr>
          <w:fldChar w:fldCharType="separate"/>
        </w:r>
        <w:r>
          <w:rPr>
            <w:webHidden/>
          </w:rPr>
          <w:t>5</w:t>
        </w:r>
        <w:r w:rsidR="00A517E8" w:rsidRPr="004A161B">
          <w:rPr>
            <w:webHidden/>
          </w:rPr>
          <w:fldChar w:fldCharType="end"/>
        </w:r>
      </w:hyperlink>
    </w:p>
    <w:p w14:paraId="46CC7BD5" w14:textId="0D4911DC" w:rsidR="00A517E8" w:rsidRPr="004A161B" w:rsidRDefault="00761C65">
      <w:pPr>
        <w:pStyle w:val="TOC2"/>
        <w:tabs>
          <w:tab w:val="left" w:pos="660"/>
          <w:tab w:val="right" w:leader="dot" w:pos="9435"/>
        </w:tabs>
        <w:rPr>
          <w:rFonts w:asciiTheme="minorHAnsi" w:eastAsiaTheme="minorEastAsia" w:hAnsiTheme="minorHAnsi" w:cstheme="minorBidi"/>
          <w:szCs w:val="22"/>
        </w:rPr>
      </w:pPr>
      <w:hyperlink w:anchor="_Toc92199551" w:history="1">
        <w:r w:rsidR="00A517E8" w:rsidRPr="004A161B">
          <w:rPr>
            <w:rStyle w:val="Hyperlink"/>
          </w:rPr>
          <w:t>1.1</w:t>
        </w:r>
        <w:r w:rsidR="00A517E8" w:rsidRPr="004A161B">
          <w:rPr>
            <w:rFonts w:asciiTheme="minorHAnsi" w:eastAsiaTheme="minorEastAsia" w:hAnsiTheme="minorHAnsi" w:cstheme="minorBidi"/>
            <w:szCs w:val="22"/>
          </w:rPr>
          <w:tab/>
        </w:r>
        <w:r w:rsidR="00A517E8" w:rsidRPr="004A161B">
          <w:rPr>
            <w:rStyle w:val="Hyperlink"/>
          </w:rPr>
          <w:t>Background</w:t>
        </w:r>
        <w:r w:rsidR="00A517E8" w:rsidRPr="004A161B">
          <w:rPr>
            <w:webHidden/>
          </w:rPr>
          <w:tab/>
        </w:r>
        <w:r w:rsidR="00A517E8" w:rsidRPr="004A161B">
          <w:rPr>
            <w:webHidden/>
          </w:rPr>
          <w:fldChar w:fldCharType="begin"/>
        </w:r>
        <w:r w:rsidR="00A517E8" w:rsidRPr="004A161B">
          <w:rPr>
            <w:webHidden/>
          </w:rPr>
          <w:instrText xml:space="preserve"> PAGEREF _Toc92199551 \h </w:instrText>
        </w:r>
        <w:r w:rsidR="00A517E8" w:rsidRPr="004A161B">
          <w:rPr>
            <w:webHidden/>
          </w:rPr>
        </w:r>
        <w:r w:rsidR="00A517E8" w:rsidRPr="004A161B">
          <w:rPr>
            <w:webHidden/>
          </w:rPr>
          <w:fldChar w:fldCharType="separate"/>
        </w:r>
        <w:r>
          <w:rPr>
            <w:webHidden/>
          </w:rPr>
          <w:t>5</w:t>
        </w:r>
        <w:r w:rsidR="00A517E8" w:rsidRPr="004A161B">
          <w:rPr>
            <w:webHidden/>
          </w:rPr>
          <w:fldChar w:fldCharType="end"/>
        </w:r>
      </w:hyperlink>
    </w:p>
    <w:p w14:paraId="2DB768AE" w14:textId="503FFB64" w:rsidR="00A517E8" w:rsidRPr="004A161B" w:rsidRDefault="00761C65">
      <w:pPr>
        <w:pStyle w:val="TOC2"/>
        <w:tabs>
          <w:tab w:val="left" w:pos="660"/>
          <w:tab w:val="right" w:leader="dot" w:pos="9435"/>
        </w:tabs>
        <w:rPr>
          <w:rFonts w:asciiTheme="minorHAnsi" w:eastAsiaTheme="minorEastAsia" w:hAnsiTheme="minorHAnsi" w:cstheme="minorBidi"/>
          <w:szCs w:val="22"/>
        </w:rPr>
      </w:pPr>
      <w:hyperlink w:anchor="_Toc92199552" w:history="1">
        <w:r w:rsidR="00A517E8" w:rsidRPr="004A161B">
          <w:rPr>
            <w:rStyle w:val="Hyperlink"/>
          </w:rPr>
          <w:t>1.2</w:t>
        </w:r>
        <w:r w:rsidR="00A517E8" w:rsidRPr="004A161B">
          <w:rPr>
            <w:rFonts w:asciiTheme="minorHAnsi" w:eastAsiaTheme="minorEastAsia" w:hAnsiTheme="minorHAnsi" w:cstheme="minorBidi"/>
            <w:szCs w:val="22"/>
          </w:rPr>
          <w:tab/>
        </w:r>
        <w:r w:rsidR="00A517E8" w:rsidRPr="004A161B">
          <w:rPr>
            <w:rStyle w:val="Hyperlink"/>
          </w:rPr>
          <w:t>Purpose</w:t>
        </w:r>
        <w:r w:rsidR="00A517E8" w:rsidRPr="004A161B">
          <w:rPr>
            <w:webHidden/>
          </w:rPr>
          <w:tab/>
        </w:r>
        <w:r w:rsidR="00A517E8" w:rsidRPr="004A161B">
          <w:rPr>
            <w:webHidden/>
          </w:rPr>
          <w:fldChar w:fldCharType="begin"/>
        </w:r>
        <w:r w:rsidR="00A517E8" w:rsidRPr="004A161B">
          <w:rPr>
            <w:webHidden/>
          </w:rPr>
          <w:instrText xml:space="preserve"> PAGEREF _Toc92199552 \h </w:instrText>
        </w:r>
        <w:r w:rsidR="00A517E8" w:rsidRPr="004A161B">
          <w:rPr>
            <w:webHidden/>
          </w:rPr>
        </w:r>
        <w:r w:rsidR="00A517E8" w:rsidRPr="004A161B">
          <w:rPr>
            <w:webHidden/>
          </w:rPr>
          <w:fldChar w:fldCharType="separate"/>
        </w:r>
        <w:r>
          <w:rPr>
            <w:webHidden/>
          </w:rPr>
          <w:t>5</w:t>
        </w:r>
        <w:r w:rsidR="00A517E8" w:rsidRPr="004A161B">
          <w:rPr>
            <w:webHidden/>
          </w:rPr>
          <w:fldChar w:fldCharType="end"/>
        </w:r>
      </w:hyperlink>
    </w:p>
    <w:p w14:paraId="7037ADEE" w14:textId="1A902802" w:rsidR="00A517E8" w:rsidRPr="004A161B" w:rsidRDefault="00761C65">
      <w:pPr>
        <w:pStyle w:val="TOC2"/>
        <w:tabs>
          <w:tab w:val="left" w:pos="660"/>
          <w:tab w:val="right" w:leader="dot" w:pos="9435"/>
        </w:tabs>
        <w:rPr>
          <w:rFonts w:asciiTheme="minorHAnsi" w:eastAsiaTheme="minorEastAsia" w:hAnsiTheme="minorHAnsi" w:cstheme="minorBidi"/>
          <w:szCs w:val="22"/>
        </w:rPr>
      </w:pPr>
      <w:hyperlink w:anchor="_Toc92199553" w:history="1">
        <w:r w:rsidR="00A517E8" w:rsidRPr="004A161B">
          <w:rPr>
            <w:rStyle w:val="Hyperlink"/>
          </w:rPr>
          <w:t>1.3</w:t>
        </w:r>
        <w:r w:rsidR="00A517E8" w:rsidRPr="004A161B">
          <w:rPr>
            <w:rFonts w:asciiTheme="minorHAnsi" w:eastAsiaTheme="minorEastAsia" w:hAnsiTheme="minorHAnsi" w:cstheme="minorBidi"/>
            <w:szCs w:val="22"/>
          </w:rPr>
          <w:tab/>
        </w:r>
        <w:r w:rsidR="00A517E8" w:rsidRPr="004A161B">
          <w:rPr>
            <w:rStyle w:val="Hyperlink"/>
          </w:rPr>
          <w:t>Review</w:t>
        </w:r>
        <w:r w:rsidR="00A517E8" w:rsidRPr="004A161B">
          <w:rPr>
            <w:webHidden/>
          </w:rPr>
          <w:tab/>
        </w:r>
        <w:r w:rsidR="00A517E8" w:rsidRPr="004A161B">
          <w:rPr>
            <w:webHidden/>
          </w:rPr>
          <w:fldChar w:fldCharType="begin"/>
        </w:r>
        <w:r w:rsidR="00A517E8" w:rsidRPr="004A161B">
          <w:rPr>
            <w:webHidden/>
          </w:rPr>
          <w:instrText xml:space="preserve"> PAGEREF _Toc92199553 \h </w:instrText>
        </w:r>
        <w:r w:rsidR="00A517E8" w:rsidRPr="004A161B">
          <w:rPr>
            <w:webHidden/>
          </w:rPr>
        </w:r>
        <w:r w:rsidR="00A517E8" w:rsidRPr="004A161B">
          <w:rPr>
            <w:webHidden/>
          </w:rPr>
          <w:fldChar w:fldCharType="separate"/>
        </w:r>
        <w:r>
          <w:rPr>
            <w:webHidden/>
          </w:rPr>
          <w:t>5</w:t>
        </w:r>
        <w:r w:rsidR="00A517E8" w:rsidRPr="004A161B">
          <w:rPr>
            <w:webHidden/>
          </w:rPr>
          <w:fldChar w:fldCharType="end"/>
        </w:r>
      </w:hyperlink>
    </w:p>
    <w:p w14:paraId="231871AF" w14:textId="0205B0B5" w:rsidR="00A517E8" w:rsidRPr="004A161B" w:rsidRDefault="00761C65">
      <w:pPr>
        <w:pStyle w:val="TOC1"/>
        <w:tabs>
          <w:tab w:val="left" w:pos="440"/>
          <w:tab w:val="right" w:leader="dot" w:pos="9435"/>
        </w:tabs>
        <w:rPr>
          <w:rFonts w:asciiTheme="minorHAnsi" w:eastAsiaTheme="minorEastAsia" w:hAnsiTheme="minorHAnsi" w:cstheme="minorBidi"/>
          <w:b w:val="0"/>
          <w:szCs w:val="22"/>
        </w:rPr>
      </w:pPr>
      <w:hyperlink w:anchor="_Toc92199554" w:history="1">
        <w:r w:rsidR="00A517E8" w:rsidRPr="004A161B">
          <w:rPr>
            <w:rStyle w:val="Hyperlink"/>
          </w:rPr>
          <w:t>2.</w:t>
        </w:r>
        <w:r w:rsidR="00A517E8" w:rsidRPr="004A161B">
          <w:rPr>
            <w:rFonts w:asciiTheme="minorHAnsi" w:eastAsiaTheme="minorEastAsia" w:hAnsiTheme="minorHAnsi" w:cstheme="minorBidi"/>
            <w:b w:val="0"/>
            <w:szCs w:val="22"/>
          </w:rPr>
          <w:tab/>
        </w:r>
        <w:r w:rsidR="00A517E8" w:rsidRPr="004A161B">
          <w:rPr>
            <w:rStyle w:val="Hyperlink"/>
          </w:rPr>
          <w:t>Considerations in determining adjustments</w:t>
        </w:r>
        <w:r w:rsidR="00A517E8" w:rsidRPr="004A161B">
          <w:rPr>
            <w:webHidden/>
          </w:rPr>
          <w:tab/>
        </w:r>
        <w:r w:rsidR="00A517E8" w:rsidRPr="004A161B">
          <w:rPr>
            <w:webHidden/>
          </w:rPr>
          <w:fldChar w:fldCharType="begin"/>
        </w:r>
        <w:r w:rsidR="00A517E8" w:rsidRPr="004A161B">
          <w:rPr>
            <w:webHidden/>
          </w:rPr>
          <w:instrText xml:space="preserve"> PAGEREF _Toc92199554 \h </w:instrText>
        </w:r>
        <w:r w:rsidR="00A517E8" w:rsidRPr="004A161B">
          <w:rPr>
            <w:webHidden/>
          </w:rPr>
        </w:r>
        <w:r w:rsidR="00A517E8" w:rsidRPr="004A161B">
          <w:rPr>
            <w:webHidden/>
          </w:rPr>
          <w:fldChar w:fldCharType="separate"/>
        </w:r>
        <w:r>
          <w:rPr>
            <w:webHidden/>
          </w:rPr>
          <w:t>6</w:t>
        </w:r>
        <w:r w:rsidR="00A517E8" w:rsidRPr="004A161B">
          <w:rPr>
            <w:webHidden/>
          </w:rPr>
          <w:fldChar w:fldCharType="end"/>
        </w:r>
      </w:hyperlink>
    </w:p>
    <w:p w14:paraId="7BCE018A" w14:textId="7AC525ED" w:rsidR="00A517E8" w:rsidRPr="004A161B" w:rsidRDefault="00761C65">
      <w:pPr>
        <w:pStyle w:val="TOC1"/>
        <w:tabs>
          <w:tab w:val="left" w:pos="440"/>
          <w:tab w:val="right" w:leader="dot" w:pos="9435"/>
        </w:tabs>
        <w:rPr>
          <w:rFonts w:asciiTheme="minorHAnsi" w:eastAsiaTheme="minorEastAsia" w:hAnsiTheme="minorHAnsi" w:cstheme="minorBidi"/>
          <w:b w:val="0"/>
          <w:szCs w:val="22"/>
        </w:rPr>
      </w:pPr>
      <w:hyperlink w:anchor="_Toc92199555" w:history="1">
        <w:r w:rsidR="00A517E8" w:rsidRPr="004A161B">
          <w:rPr>
            <w:rStyle w:val="Hyperlink"/>
          </w:rPr>
          <w:t>3.</w:t>
        </w:r>
        <w:r w:rsidR="00A517E8" w:rsidRPr="004A161B">
          <w:rPr>
            <w:rFonts w:asciiTheme="minorHAnsi" w:eastAsiaTheme="minorEastAsia" w:hAnsiTheme="minorHAnsi" w:cstheme="minorBidi"/>
            <w:b w:val="0"/>
            <w:szCs w:val="22"/>
          </w:rPr>
          <w:tab/>
        </w:r>
        <w:r w:rsidR="00A517E8" w:rsidRPr="004A161B">
          <w:rPr>
            <w:rStyle w:val="Hyperlink"/>
          </w:rPr>
          <w:t>Assessment process</w:t>
        </w:r>
        <w:r w:rsidR="00A517E8" w:rsidRPr="004A161B">
          <w:rPr>
            <w:webHidden/>
          </w:rPr>
          <w:tab/>
        </w:r>
        <w:r w:rsidR="00A517E8" w:rsidRPr="004A161B">
          <w:rPr>
            <w:webHidden/>
          </w:rPr>
          <w:fldChar w:fldCharType="begin"/>
        </w:r>
        <w:r w:rsidR="00A517E8" w:rsidRPr="004A161B">
          <w:rPr>
            <w:webHidden/>
          </w:rPr>
          <w:instrText xml:space="preserve"> PAGEREF _Toc92199555 \h </w:instrText>
        </w:r>
        <w:r w:rsidR="00A517E8" w:rsidRPr="004A161B">
          <w:rPr>
            <w:webHidden/>
          </w:rPr>
        </w:r>
        <w:r w:rsidR="00A517E8" w:rsidRPr="004A161B">
          <w:rPr>
            <w:webHidden/>
          </w:rPr>
          <w:fldChar w:fldCharType="separate"/>
        </w:r>
        <w:r>
          <w:rPr>
            <w:webHidden/>
          </w:rPr>
          <w:t>8</w:t>
        </w:r>
        <w:r w:rsidR="00A517E8" w:rsidRPr="004A161B">
          <w:rPr>
            <w:webHidden/>
          </w:rPr>
          <w:fldChar w:fldCharType="end"/>
        </w:r>
      </w:hyperlink>
    </w:p>
    <w:p w14:paraId="291E0977" w14:textId="38188300" w:rsidR="00A517E8" w:rsidRPr="004A161B" w:rsidRDefault="00761C65">
      <w:pPr>
        <w:pStyle w:val="TOC1"/>
        <w:tabs>
          <w:tab w:val="right" w:leader="dot" w:pos="9435"/>
        </w:tabs>
        <w:rPr>
          <w:rFonts w:asciiTheme="minorHAnsi" w:eastAsiaTheme="minorEastAsia" w:hAnsiTheme="minorHAnsi" w:cstheme="minorBidi"/>
          <w:b w:val="0"/>
          <w:szCs w:val="22"/>
        </w:rPr>
      </w:pPr>
      <w:hyperlink w:anchor="_Toc92199556" w:history="1">
        <w:r w:rsidR="00A517E8" w:rsidRPr="004A161B">
          <w:rPr>
            <w:rStyle w:val="Hyperlink"/>
          </w:rPr>
          <w:t>Appendix A: Example assessments</w:t>
        </w:r>
        <w:r w:rsidR="00A517E8" w:rsidRPr="004A161B">
          <w:rPr>
            <w:webHidden/>
          </w:rPr>
          <w:tab/>
        </w:r>
        <w:r w:rsidR="00A517E8" w:rsidRPr="004A161B">
          <w:rPr>
            <w:webHidden/>
          </w:rPr>
          <w:fldChar w:fldCharType="begin"/>
        </w:r>
        <w:r w:rsidR="00A517E8" w:rsidRPr="004A161B">
          <w:rPr>
            <w:webHidden/>
          </w:rPr>
          <w:instrText xml:space="preserve"> PAGEREF _Toc92199556 \h </w:instrText>
        </w:r>
        <w:r w:rsidR="00A517E8" w:rsidRPr="004A161B">
          <w:rPr>
            <w:webHidden/>
          </w:rPr>
        </w:r>
        <w:r w:rsidR="00A517E8" w:rsidRPr="004A161B">
          <w:rPr>
            <w:webHidden/>
          </w:rPr>
          <w:fldChar w:fldCharType="separate"/>
        </w:r>
        <w:r>
          <w:rPr>
            <w:webHidden/>
          </w:rPr>
          <w:t>10</w:t>
        </w:r>
        <w:r w:rsidR="00A517E8" w:rsidRPr="004A161B">
          <w:rPr>
            <w:webHidden/>
          </w:rPr>
          <w:fldChar w:fldCharType="end"/>
        </w:r>
      </w:hyperlink>
    </w:p>
    <w:p w14:paraId="005DD74D" w14:textId="77777777" w:rsidR="002029AC" w:rsidRPr="004A161B" w:rsidRDefault="003E0845" w:rsidP="00A30A74">
      <w:pPr>
        <w:spacing w:before="0" w:after="0" w:line="240" w:lineRule="auto"/>
        <w:outlineLvl w:val="1"/>
        <w:rPr>
          <w:rFonts w:asciiTheme="majorHAnsi" w:hAnsiTheme="majorHAnsi"/>
          <w:b/>
          <w:sz w:val="64"/>
          <w:szCs w:val="44"/>
        </w:rPr>
      </w:pPr>
      <w:r w:rsidRPr="004A161B">
        <w:rPr>
          <w:b/>
          <w:noProof/>
        </w:rPr>
        <w:fldChar w:fldCharType="end"/>
      </w:r>
      <w:r w:rsidR="002029AC" w:rsidRPr="004A161B">
        <w:br w:type="page"/>
      </w:r>
    </w:p>
    <w:p w14:paraId="2B1959E0" w14:textId="77777777" w:rsidR="002029AC" w:rsidRPr="004A161B" w:rsidRDefault="002029AC" w:rsidP="002029AC">
      <w:pPr>
        <w:pStyle w:val="Heading1"/>
        <w:numPr>
          <w:ilvl w:val="0"/>
          <w:numId w:val="0"/>
        </w:numPr>
        <w:ind w:left="709" w:hanging="709"/>
      </w:pPr>
      <w:bookmarkStart w:id="4" w:name="_Toc92199548"/>
      <w:r w:rsidRPr="004A161B">
        <w:lastRenderedPageBreak/>
        <w:t>Acronyms and abbreviations</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746"/>
      </w:tblGrid>
      <w:tr w:rsidR="00AA1F8D" w:rsidRPr="004A161B" w14:paraId="0660A8DF" w14:textId="77777777" w:rsidTr="00B86D4D">
        <w:tc>
          <w:tcPr>
            <w:tcW w:w="2689" w:type="dxa"/>
          </w:tcPr>
          <w:p w14:paraId="0699A2FF" w14:textId="77777777" w:rsidR="00AA1F8D" w:rsidRPr="004A161B" w:rsidRDefault="00AA1F8D" w:rsidP="00AA1F8D">
            <w:pPr>
              <w:rPr>
                <w:b/>
              </w:rPr>
            </w:pPr>
            <w:r w:rsidRPr="004A161B">
              <w:rPr>
                <w:b/>
              </w:rPr>
              <w:t>ABF</w:t>
            </w:r>
          </w:p>
        </w:tc>
        <w:tc>
          <w:tcPr>
            <w:tcW w:w="6746" w:type="dxa"/>
          </w:tcPr>
          <w:p w14:paraId="4F0ED07A" w14:textId="77777777" w:rsidR="00AA1F8D" w:rsidRPr="004A161B" w:rsidRDefault="00AA1F8D" w:rsidP="00AA1F8D">
            <w:r w:rsidRPr="004A161B">
              <w:t>Activity based funding</w:t>
            </w:r>
          </w:p>
        </w:tc>
      </w:tr>
      <w:tr w:rsidR="003A444B" w:rsidRPr="004A161B" w14:paraId="2C14E542" w14:textId="77777777" w:rsidTr="00B86D4D">
        <w:tc>
          <w:tcPr>
            <w:tcW w:w="2689" w:type="dxa"/>
          </w:tcPr>
          <w:p w14:paraId="453B309A" w14:textId="77777777" w:rsidR="003A444B" w:rsidRPr="004A161B" w:rsidRDefault="003A444B" w:rsidP="00AA1F8D">
            <w:pPr>
              <w:rPr>
                <w:b/>
              </w:rPr>
            </w:pPr>
            <w:r w:rsidRPr="004A161B">
              <w:rPr>
                <w:b/>
              </w:rPr>
              <w:t>DRG</w:t>
            </w:r>
          </w:p>
        </w:tc>
        <w:tc>
          <w:tcPr>
            <w:tcW w:w="6746" w:type="dxa"/>
          </w:tcPr>
          <w:p w14:paraId="0AC469A0" w14:textId="77777777" w:rsidR="003A444B" w:rsidRPr="004A161B" w:rsidRDefault="003A444B" w:rsidP="00AA1F8D">
            <w:r w:rsidRPr="004A161B">
              <w:t>Diagnosis Related Group</w:t>
            </w:r>
          </w:p>
        </w:tc>
      </w:tr>
      <w:tr w:rsidR="00AA1F8D" w:rsidRPr="004A161B" w14:paraId="7945AB18" w14:textId="77777777" w:rsidTr="00B86D4D">
        <w:tc>
          <w:tcPr>
            <w:tcW w:w="2689" w:type="dxa"/>
          </w:tcPr>
          <w:p w14:paraId="38ABEF6A" w14:textId="77777777" w:rsidR="00AA1F8D" w:rsidRPr="004A161B" w:rsidRDefault="00AA1F8D" w:rsidP="00AA1F8D">
            <w:pPr>
              <w:rPr>
                <w:b/>
              </w:rPr>
            </w:pPr>
            <w:r w:rsidRPr="004A161B">
              <w:rPr>
                <w:b/>
              </w:rPr>
              <w:t>IHPA</w:t>
            </w:r>
          </w:p>
        </w:tc>
        <w:tc>
          <w:tcPr>
            <w:tcW w:w="6746" w:type="dxa"/>
          </w:tcPr>
          <w:p w14:paraId="370C9890" w14:textId="77777777" w:rsidR="00AA1F8D" w:rsidRPr="004A161B" w:rsidRDefault="00AA1F8D" w:rsidP="00AA1F8D">
            <w:r w:rsidRPr="004A161B">
              <w:t>Independent Hospital Pricing Authority</w:t>
            </w:r>
          </w:p>
        </w:tc>
      </w:tr>
      <w:tr w:rsidR="00AA1F8D" w:rsidRPr="004A161B" w14:paraId="5B766A66" w14:textId="77777777" w:rsidTr="00B86D4D">
        <w:tc>
          <w:tcPr>
            <w:tcW w:w="2689" w:type="dxa"/>
          </w:tcPr>
          <w:p w14:paraId="5DE23764" w14:textId="77777777" w:rsidR="00AA1F8D" w:rsidRPr="004A161B" w:rsidRDefault="00AA1F8D" w:rsidP="00AA1F8D">
            <w:pPr>
              <w:rPr>
                <w:b/>
              </w:rPr>
            </w:pPr>
            <w:r w:rsidRPr="004A161B">
              <w:rPr>
                <w:b/>
              </w:rPr>
              <w:t>NEP</w:t>
            </w:r>
          </w:p>
        </w:tc>
        <w:tc>
          <w:tcPr>
            <w:tcW w:w="6746" w:type="dxa"/>
          </w:tcPr>
          <w:p w14:paraId="4A73E71F" w14:textId="77777777" w:rsidR="00AA1F8D" w:rsidRPr="004A161B" w:rsidRDefault="00AA1F8D" w:rsidP="00AA1F8D">
            <w:r w:rsidRPr="004A161B">
              <w:t>National efficient price</w:t>
            </w:r>
          </w:p>
        </w:tc>
      </w:tr>
      <w:tr w:rsidR="00AA1F8D" w:rsidRPr="004A161B" w14:paraId="5B00DEEB" w14:textId="77777777" w:rsidTr="00B86D4D">
        <w:tc>
          <w:tcPr>
            <w:tcW w:w="2689" w:type="dxa"/>
          </w:tcPr>
          <w:p w14:paraId="68DCB899" w14:textId="77777777" w:rsidR="00AA1F8D" w:rsidRPr="004A161B" w:rsidRDefault="00AA1F8D" w:rsidP="00AA1F8D">
            <w:pPr>
              <w:rPr>
                <w:b/>
              </w:rPr>
            </w:pPr>
            <w:r w:rsidRPr="004A161B">
              <w:rPr>
                <w:b/>
              </w:rPr>
              <w:t>SMAPE</w:t>
            </w:r>
          </w:p>
        </w:tc>
        <w:tc>
          <w:tcPr>
            <w:tcW w:w="6746" w:type="dxa"/>
          </w:tcPr>
          <w:p w14:paraId="76A2B4D9" w14:textId="77777777" w:rsidR="00AA1F8D" w:rsidRPr="004A161B" w:rsidRDefault="00AA1F8D" w:rsidP="00AA1F8D">
            <w:r w:rsidRPr="004A161B">
              <w:t>Symmetric Mean Absolute Percentage Error</w:t>
            </w:r>
          </w:p>
        </w:tc>
      </w:tr>
      <w:tr w:rsidR="00017875" w:rsidRPr="004A161B" w14:paraId="21FCC546" w14:textId="77777777" w:rsidTr="00B86D4D">
        <w:tc>
          <w:tcPr>
            <w:tcW w:w="2689" w:type="dxa"/>
          </w:tcPr>
          <w:p w14:paraId="48A39B3B" w14:textId="77777777" w:rsidR="00017875" w:rsidRPr="004A161B" w:rsidRDefault="00017875" w:rsidP="00AA1F8D">
            <w:pPr>
              <w:rPr>
                <w:b/>
              </w:rPr>
            </w:pPr>
            <w:r w:rsidRPr="004A161B">
              <w:rPr>
                <w:b/>
              </w:rPr>
              <w:t>This Policy</w:t>
            </w:r>
          </w:p>
        </w:tc>
        <w:tc>
          <w:tcPr>
            <w:tcW w:w="6746" w:type="dxa"/>
          </w:tcPr>
          <w:p w14:paraId="478705F8" w14:textId="77777777" w:rsidR="00017875" w:rsidRPr="004A161B" w:rsidRDefault="00017875" w:rsidP="00AA1F8D">
            <w:pPr>
              <w:rPr>
                <w:i/>
              </w:rPr>
            </w:pPr>
            <w:r w:rsidRPr="004A161B">
              <w:rPr>
                <w:i/>
              </w:rPr>
              <w:t>National Pricing Model Materiality Policy</w:t>
            </w:r>
          </w:p>
        </w:tc>
      </w:tr>
    </w:tbl>
    <w:p w14:paraId="7928E186" w14:textId="77777777" w:rsidR="002029AC" w:rsidRPr="004A161B" w:rsidRDefault="002029AC" w:rsidP="002029AC">
      <w:r w:rsidRPr="004A161B">
        <w:br w:type="page"/>
      </w:r>
    </w:p>
    <w:p w14:paraId="3060BC61" w14:textId="77777777" w:rsidR="002029AC" w:rsidRPr="004A161B" w:rsidRDefault="002029AC" w:rsidP="002029AC">
      <w:pPr>
        <w:pStyle w:val="Heading1"/>
        <w:numPr>
          <w:ilvl w:val="0"/>
          <w:numId w:val="0"/>
        </w:numPr>
        <w:ind w:left="709" w:hanging="709"/>
      </w:pPr>
      <w:bookmarkStart w:id="5" w:name="_Toc92199549"/>
      <w:r w:rsidRPr="004A161B">
        <w:lastRenderedPageBreak/>
        <w:t>Definitions</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171"/>
      </w:tblGrid>
      <w:tr w:rsidR="00B86D4D" w:rsidRPr="004A161B" w14:paraId="02C0234F" w14:textId="77777777" w:rsidTr="007B7433">
        <w:tc>
          <w:tcPr>
            <w:tcW w:w="2127" w:type="dxa"/>
          </w:tcPr>
          <w:p w14:paraId="0A27A1E5" w14:textId="77777777" w:rsidR="00B86D4D" w:rsidRPr="004A161B" w:rsidRDefault="00AA1F8D" w:rsidP="00E23516">
            <w:pPr>
              <w:rPr>
                <w:b/>
              </w:rPr>
            </w:pPr>
            <w:r w:rsidRPr="004A161B">
              <w:rPr>
                <w:b/>
              </w:rPr>
              <w:t>Activity based funding</w:t>
            </w:r>
          </w:p>
        </w:tc>
        <w:tc>
          <w:tcPr>
            <w:tcW w:w="7171" w:type="dxa"/>
          </w:tcPr>
          <w:p w14:paraId="2D7A7AB3" w14:textId="77777777" w:rsidR="00AA1F8D" w:rsidRPr="004A161B" w:rsidRDefault="00AA1F8D" w:rsidP="00AA1F8D">
            <w:r w:rsidRPr="004A161B">
              <w:t xml:space="preserve">Refers to a system for funding public hospital services provided to individual patients using national classifications, cost weights and nationally efficient prices developed by the Independent Hospital Pricing Authority (IHPA), as outlined in the Addendum to the National Health Reform Agreement 2020–25. </w:t>
            </w:r>
          </w:p>
          <w:p w14:paraId="4EC1FAD2" w14:textId="77777777" w:rsidR="00B86D4D" w:rsidRPr="004A161B" w:rsidRDefault="00AA1F8D" w:rsidP="00AA1F8D">
            <w:r w:rsidRPr="004A161B">
              <w:t>An activity based funding activity may take the form of a separation, presentation or service event.</w:t>
            </w:r>
          </w:p>
        </w:tc>
      </w:tr>
      <w:tr w:rsidR="00AA1F8D" w:rsidRPr="004A161B" w14:paraId="14E44BE1" w14:textId="77777777" w:rsidTr="007B7433">
        <w:tc>
          <w:tcPr>
            <w:tcW w:w="2127" w:type="dxa"/>
          </w:tcPr>
          <w:p w14:paraId="20173916" w14:textId="77777777" w:rsidR="00AA1F8D" w:rsidRPr="004A161B" w:rsidRDefault="00AA1F8D" w:rsidP="00AA1F8D">
            <w:pPr>
              <w:rPr>
                <w:b/>
              </w:rPr>
            </w:pPr>
            <w:r w:rsidRPr="004A161B">
              <w:rPr>
                <w:b/>
              </w:rPr>
              <w:t xml:space="preserve">National </w:t>
            </w:r>
            <w:r w:rsidR="007B7433" w:rsidRPr="004A161B">
              <w:rPr>
                <w:b/>
              </w:rPr>
              <w:t>p</w:t>
            </w:r>
            <w:r w:rsidRPr="004A161B">
              <w:rPr>
                <w:b/>
              </w:rPr>
              <w:t xml:space="preserve">ricing </w:t>
            </w:r>
            <w:r w:rsidR="007B7433" w:rsidRPr="004A161B">
              <w:rPr>
                <w:b/>
              </w:rPr>
              <w:t>m</w:t>
            </w:r>
            <w:r w:rsidRPr="004A161B">
              <w:rPr>
                <w:b/>
              </w:rPr>
              <w:t>odel</w:t>
            </w:r>
          </w:p>
        </w:tc>
        <w:tc>
          <w:tcPr>
            <w:tcW w:w="7171" w:type="dxa"/>
          </w:tcPr>
          <w:p w14:paraId="35F5BAFD" w14:textId="01B8FED7" w:rsidR="00AA1F8D" w:rsidRPr="004A161B" w:rsidRDefault="007B7433" w:rsidP="00AA1F8D">
            <w:pPr>
              <w:rPr>
                <w:i/>
              </w:rPr>
            </w:pPr>
            <w:r w:rsidRPr="004A161B">
              <w:t xml:space="preserve">The national pricing model is produced annually by IHPA and defines the national efficient price, price weights and adjustments based on the cost and activity data from three years prior. For more detail, refer </w:t>
            </w:r>
            <w:r w:rsidR="00AA1F8D" w:rsidRPr="004A161B">
              <w:t xml:space="preserve">to the link below </w:t>
            </w:r>
            <w:r w:rsidRPr="004A161B">
              <w:t xml:space="preserve">for </w:t>
            </w:r>
            <w:r w:rsidR="00AA1F8D" w:rsidRPr="004A161B">
              <w:t>the National Pricing Model Technical Specifications</w:t>
            </w:r>
            <w:r w:rsidR="00AA1F8D" w:rsidRPr="004A161B">
              <w:rPr>
                <w:i/>
              </w:rPr>
              <w:t>.</w:t>
            </w:r>
          </w:p>
          <w:p w14:paraId="2F135D05" w14:textId="77777777" w:rsidR="00AA1F8D" w:rsidRPr="004A161B" w:rsidRDefault="00761C65" w:rsidP="00AA1F8D">
            <w:hyperlink r:id="rId14" w:history="1">
              <w:r w:rsidR="00AA1F8D" w:rsidRPr="004A161B">
                <w:rPr>
                  <w:rStyle w:val="Hyperlink"/>
                  <w:color w:val="008542" w:themeColor="accent2"/>
                </w:rPr>
                <w:t>https://www.ihpa.gov.au/what-we-do/pricing/national-pricing-model-technical-specifications</w:t>
              </w:r>
            </w:hyperlink>
          </w:p>
        </w:tc>
      </w:tr>
      <w:tr w:rsidR="00AA1F8D" w:rsidRPr="004A161B" w14:paraId="718F2B3D" w14:textId="77777777" w:rsidTr="007B7433">
        <w:tc>
          <w:tcPr>
            <w:tcW w:w="2127" w:type="dxa"/>
          </w:tcPr>
          <w:p w14:paraId="153FC005" w14:textId="77777777" w:rsidR="00AA1F8D" w:rsidRPr="004A161B" w:rsidRDefault="00AA1F8D" w:rsidP="00AA1F8D">
            <w:pPr>
              <w:rPr>
                <w:b/>
              </w:rPr>
            </w:pPr>
            <w:r w:rsidRPr="004A161B">
              <w:rPr>
                <w:b/>
              </w:rPr>
              <w:t>Pricing Authority</w:t>
            </w:r>
          </w:p>
        </w:tc>
        <w:tc>
          <w:tcPr>
            <w:tcW w:w="7171" w:type="dxa"/>
          </w:tcPr>
          <w:p w14:paraId="49B64C05" w14:textId="77777777" w:rsidR="00AA1F8D" w:rsidRPr="004A161B" w:rsidRDefault="00AA1F8D" w:rsidP="007B7433">
            <w:r w:rsidRPr="004A161B">
              <w:t xml:space="preserve">The governing body of IHPA established under the </w:t>
            </w:r>
            <w:r w:rsidRPr="004A161B">
              <w:rPr>
                <w:i/>
              </w:rPr>
              <w:t>National Health Reform Act 2011</w:t>
            </w:r>
            <w:r w:rsidR="00287E12" w:rsidRPr="004A161B">
              <w:rPr>
                <w:szCs w:val="28"/>
              </w:rPr>
              <w:t xml:space="preserve"> (Cwlth)</w:t>
            </w:r>
            <w:r w:rsidRPr="004A161B">
              <w:t>.</w:t>
            </w:r>
          </w:p>
        </w:tc>
      </w:tr>
      <w:tr w:rsidR="00AA1F8D" w:rsidRPr="004A161B" w14:paraId="3EEFDB91" w14:textId="77777777" w:rsidTr="007B7433">
        <w:tc>
          <w:tcPr>
            <w:tcW w:w="2127" w:type="dxa"/>
          </w:tcPr>
          <w:p w14:paraId="1C7AB1AF" w14:textId="77777777" w:rsidR="00AA1F8D" w:rsidRPr="004A161B" w:rsidRDefault="00AA1F8D" w:rsidP="00AA1F8D">
            <w:pPr>
              <w:rPr>
                <w:b/>
              </w:rPr>
            </w:pPr>
            <w:r w:rsidRPr="004A161B">
              <w:rPr>
                <w:b/>
              </w:rPr>
              <w:t>Symmetric Mean Absolute Percentage Error</w:t>
            </w:r>
          </w:p>
        </w:tc>
        <w:tc>
          <w:tcPr>
            <w:tcW w:w="7171" w:type="dxa"/>
          </w:tcPr>
          <w:p w14:paraId="29FF370E" w14:textId="77777777" w:rsidR="00AA1F8D" w:rsidRPr="004A161B" w:rsidRDefault="00AA1F8D" w:rsidP="00AA1F8D">
            <w:r w:rsidRPr="004A161B">
              <w:t>Measure of the accuracy of the national pricing model. It is an overall measure of how well the model predicts the cost of individual patients.</w:t>
            </w:r>
          </w:p>
        </w:tc>
      </w:tr>
    </w:tbl>
    <w:p w14:paraId="12C72E75" w14:textId="77777777" w:rsidR="002029AC" w:rsidRPr="004A161B" w:rsidRDefault="002029AC" w:rsidP="002029AC"/>
    <w:p w14:paraId="7E4DFDBD" w14:textId="77777777" w:rsidR="002029AC" w:rsidRPr="004A161B" w:rsidRDefault="002029AC">
      <w:pPr>
        <w:spacing w:before="0" w:after="0" w:line="240" w:lineRule="auto"/>
        <w:rPr>
          <w:rFonts w:asciiTheme="majorHAnsi" w:hAnsiTheme="majorHAnsi"/>
          <w:b/>
          <w:sz w:val="64"/>
          <w:szCs w:val="44"/>
        </w:rPr>
      </w:pPr>
      <w:r w:rsidRPr="004A161B">
        <w:br w:type="page"/>
      </w:r>
    </w:p>
    <w:p w14:paraId="110C478E" w14:textId="77777777" w:rsidR="004B4BC0" w:rsidRPr="004A161B" w:rsidRDefault="002029AC" w:rsidP="002029AC">
      <w:pPr>
        <w:pStyle w:val="Heading1"/>
      </w:pPr>
      <w:bookmarkStart w:id="6" w:name="_Toc92199550"/>
      <w:r w:rsidRPr="004A161B">
        <w:lastRenderedPageBreak/>
        <w:t>Executive summary</w:t>
      </w:r>
      <w:bookmarkEnd w:id="6"/>
    </w:p>
    <w:p w14:paraId="1F21CADC" w14:textId="77777777" w:rsidR="004B4BC0" w:rsidRPr="004A161B" w:rsidRDefault="002029AC" w:rsidP="002029AC">
      <w:pPr>
        <w:pStyle w:val="Heading2"/>
      </w:pPr>
      <w:bookmarkStart w:id="7" w:name="_Toc92199551"/>
      <w:r w:rsidRPr="004A161B">
        <w:t>Background</w:t>
      </w:r>
      <w:bookmarkEnd w:id="7"/>
    </w:p>
    <w:p w14:paraId="6E701D34" w14:textId="77777777" w:rsidR="00C90356" w:rsidRPr="004A161B" w:rsidRDefault="00C90356" w:rsidP="00C90356">
      <w:r w:rsidRPr="004A161B">
        <w:t>A key objective of the Independent Hospital Pricing Authority (IHPA) is the development and implementation of systems to support national activity based funding (ABF) for Australian public hospitals. The implementation of ABF provides incentives for efficiency and increases transparency in the delivery and funding of public hospital services across Australia.</w:t>
      </w:r>
    </w:p>
    <w:p w14:paraId="5E1D5870" w14:textId="311535DA" w:rsidR="002029AC" w:rsidRPr="004A161B" w:rsidRDefault="00C90356" w:rsidP="00C90356">
      <w:r w:rsidRPr="004A161B">
        <w:t xml:space="preserve">IHPA's primary function is to calculate and deliver an annual national efficient price (NEP). The NEP is a major determinant of the level of Commonwealth Government funding for public hospital services, providing a price signal or benchmark for the efficient cost of providing public hospital services. The NEP includes a range of adjustments to account for legitimate and unavoidable </w:t>
      </w:r>
      <w:r w:rsidR="007B7433" w:rsidRPr="004A161B">
        <w:t>variations in wage costs and other inputs which affect the costs of service delivery in Australian public hospitals and are not adequately captured by the classification systems</w:t>
      </w:r>
      <w:r w:rsidRPr="004A161B">
        <w:t>.</w:t>
      </w:r>
    </w:p>
    <w:p w14:paraId="26D6A6F7" w14:textId="77777777" w:rsidR="002029AC" w:rsidRPr="004A161B" w:rsidRDefault="002029AC" w:rsidP="002029AC">
      <w:pPr>
        <w:pStyle w:val="Heading2"/>
      </w:pPr>
      <w:bookmarkStart w:id="8" w:name="_Toc92199552"/>
      <w:r w:rsidRPr="004A161B">
        <w:t>Purpose</w:t>
      </w:r>
      <w:bookmarkEnd w:id="8"/>
    </w:p>
    <w:p w14:paraId="13D02940" w14:textId="79EC26A1" w:rsidR="00C90356" w:rsidRPr="004A161B" w:rsidRDefault="00C90356" w:rsidP="00C90356">
      <w:r w:rsidRPr="004A161B">
        <w:t xml:space="preserve">The purpose of the </w:t>
      </w:r>
      <w:r w:rsidR="007B7433" w:rsidRPr="004A161B">
        <w:rPr>
          <w:i/>
        </w:rPr>
        <w:t xml:space="preserve">National Pricing Model Materiality Policy </w:t>
      </w:r>
      <w:r w:rsidR="007B7433" w:rsidRPr="004A161B">
        <w:t xml:space="preserve">(this Policy) </w:t>
      </w:r>
      <w:r w:rsidRPr="004A161B">
        <w:t>is to outline the process IHPA follows when assessing the materiality of proposed changes to the national pricing model such as the introduction of new adjustments or alternative pricing approaches.</w:t>
      </w:r>
    </w:p>
    <w:p w14:paraId="33CB35B9" w14:textId="77777777" w:rsidR="002029AC" w:rsidRPr="004A161B" w:rsidRDefault="00C90356" w:rsidP="00C90356">
      <w:r w:rsidRPr="004A161B">
        <w:t>This document provides a high level guide of the issues that the Pricing Authority will consider in reaching a decision.</w:t>
      </w:r>
    </w:p>
    <w:p w14:paraId="15D8B9E6" w14:textId="77777777" w:rsidR="002029AC" w:rsidRPr="004A161B" w:rsidRDefault="002029AC" w:rsidP="002029AC">
      <w:pPr>
        <w:pStyle w:val="Heading2"/>
      </w:pPr>
      <w:bookmarkStart w:id="9" w:name="_Toc92199553"/>
      <w:r w:rsidRPr="004A161B">
        <w:t>Review</w:t>
      </w:r>
      <w:bookmarkEnd w:id="9"/>
    </w:p>
    <w:p w14:paraId="36606F2B" w14:textId="77777777" w:rsidR="00C90356" w:rsidRPr="004A161B" w:rsidRDefault="00C90356" w:rsidP="00C90356">
      <w:r w:rsidRPr="004A161B">
        <w:t>The Pricing Authority and Chief Executive Officer of IHPA will review this Policy, including associated documentation, annually or as required.</w:t>
      </w:r>
    </w:p>
    <w:p w14:paraId="2C958A75" w14:textId="79F35BEF" w:rsidR="002029AC" w:rsidRPr="004A161B" w:rsidRDefault="00C90356" w:rsidP="00C90356">
      <w:r w:rsidRPr="004A161B">
        <w:t xml:space="preserve">This </w:t>
      </w:r>
      <w:r w:rsidR="007B7433" w:rsidRPr="004A161B">
        <w:t xml:space="preserve">Policy </w:t>
      </w:r>
      <w:r w:rsidRPr="004A161B">
        <w:t xml:space="preserve">was reviewed in </w:t>
      </w:r>
      <w:r w:rsidR="009124A9" w:rsidRPr="004A161B">
        <w:t xml:space="preserve">May </w:t>
      </w:r>
      <w:r w:rsidR="007B7433" w:rsidRPr="004A161B">
        <w:t>2022</w:t>
      </w:r>
      <w:r w:rsidRPr="004A161B">
        <w:t>.</w:t>
      </w:r>
    </w:p>
    <w:p w14:paraId="7FED6911" w14:textId="77777777" w:rsidR="00C90356" w:rsidRPr="004A161B" w:rsidRDefault="00C90356" w:rsidP="00C90356"/>
    <w:p w14:paraId="51E4A4B7" w14:textId="77777777" w:rsidR="00C90356" w:rsidRPr="004A161B" w:rsidRDefault="00C90356">
      <w:pPr>
        <w:spacing w:before="0" w:after="0" w:line="240" w:lineRule="auto"/>
      </w:pPr>
      <w:r w:rsidRPr="004A161B">
        <w:br w:type="page"/>
      </w:r>
    </w:p>
    <w:p w14:paraId="4B8FDDEA" w14:textId="77777777" w:rsidR="00C90356" w:rsidRPr="004A161B" w:rsidRDefault="00C90356" w:rsidP="00C90356">
      <w:pPr>
        <w:pStyle w:val="Heading1"/>
      </w:pPr>
      <w:bookmarkStart w:id="10" w:name="_Toc92199554"/>
      <w:r w:rsidRPr="004A161B">
        <w:lastRenderedPageBreak/>
        <w:t>Considerations in determining adjustments</w:t>
      </w:r>
      <w:bookmarkEnd w:id="10"/>
    </w:p>
    <w:p w14:paraId="69414740" w14:textId="64FE9CAF" w:rsidR="00C90356" w:rsidRPr="004A161B" w:rsidRDefault="00C90356" w:rsidP="00C90356">
      <w:r w:rsidRPr="004A161B">
        <w:t xml:space="preserve">IHPA receives adjustment proposals through its </w:t>
      </w:r>
      <w:hyperlink r:id="rId15" w:history="1">
        <w:r w:rsidR="007B7433" w:rsidRPr="004A161B">
          <w:rPr>
            <w:rStyle w:val="Hyperlink"/>
            <w:i/>
            <w:color w:val="008542" w:themeColor="accent2"/>
          </w:rPr>
          <w:t>Pricing Framework for Australian Public Hospital Services</w:t>
        </w:r>
      </w:hyperlink>
      <w:r w:rsidR="007B7433" w:rsidRPr="004A161B">
        <w:t xml:space="preserve"> </w:t>
      </w:r>
      <w:r w:rsidRPr="004A161B">
        <w:t xml:space="preserve">and </w:t>
      </w:r>
      <w:r w:rsidR="007B7433" w:rsidRPr="004A161B">
        <w:t xml:space="preserve">the consultative processes for </w:t>
      </w:r>
      <w:r w:rsidR="00A517E8" w:rsidRPr="004A161B">
        <w:t>developing</w:t>
      </w:r>
      <w:r w:rsidR="007B7433" w:rsidRPr="004A161B">
        <w:t xml:space="preserve"> the annual </w:t>
      </w:r>
      <w:r w:rsidR="00A517E8" w:rsidRPr="004A161B">
        <w:t>NEP Determination</w:t>
      </w:r>
      <w:r w:rsidRPr="004A161B">
        <w:t>. IHPA may also initiate adjustment proposals</w:t>
      </w:r>
      <w:r w:rsidR="00DD6C9F" w:rsidRPr="004A161B">
        <w:t xml:space="preserve"> outside of these consultative processes</w:t>
      </w:r>
      <w:r w:rsidRPr="004A161B">
        <w:t xml:space="preserve">. Proposals require IHPA to consider introducing a range of adjustments to recognise </w:t>
      </w:r>
      <w:r w:rsidR="00DD6C9F" w:rsidRPr="004A161B">
        <w:t xml:space="preserve">legitimate and unavoidable cost variations </w:t>
      </w:r>
      <w:r w:rsidRPr="004A161B">
        <w:t xml:space="preserve">that may not be </w:t>
      </w:r>
      <w:r w:rsidR="00DD6C9F" w:rsidRPr="004A161B">
        <w:t xml:space="preserve">adequately captured </w:t>
      </w:r>
      <w:r w:rsidRPr="004A161B">
        <w:t>by the classification systems.</w:t>
      </w:r>
    </w:p>
    <w:p w14:paraId="08575C03" w14:textId="77777777" w:rsidR="00C90356" w:rsidRPr="004A161B" w:rsidRDefault="00C90356" w:rsidP="00C90356">
      <w:r w:rsidRPr="004A161B">
        <w:t>IHPA undertakes analysis of the proposals, including the cost and activity data received from stakeholders to ascertain if there is a case for a new adjustment to address the issues raised.</w:t>
      </w:r>
    </w:p>
    <w:p w14:paraId="1A7198F0" w14:textId="77777777" w:rsidR="00C90356" w:rsidRPr="004A161B" w:rsidRDefault="00C90356" w:rsidP="00C90356">
      <w:r w:rsidRPr="004A161B">
        <w:t xml:space="preserve">If there is a clear cost differential between the cohort of patients identified in the proposals and the broader patient population covered by the national pricing model, IHPA would generally recommend an adjustment. </w:t>
      </w:r>
      <w:r w:rsidR="00DD6C9F" w:rsidRPr="004A161B">
        <w:t xml:space="preserve">Further detail on the assessment process is provided in the IHPA </w:t>
      </w:r>
      <w:r w:rsidR="00DD6C9F" w:rsidRPr="004A161B">
        <w:rPr>
          <w:i/>
        </w:rPr>
        <w:t>Adjustments to the National Efficient Price Policy</w:t>
      </w:r>
      <w:r w:rsidR="00DD6C9F" w:rsidRPr="004A161B">
        <w:t>.</w:t>
      </w:r>
    </w:p>
    <w:p w14:paraId="1304EB5C" w14:textId="77777777" w:rsidR="00C90356" w:rsidRPr="004A161B" w:rsidRDefault="00C90356" w:rsidP="00C90356">
      <w:r w:rsidRPr="004A161B">
        <w:t>Factors to consider when analysing proposals include:</w:t>
      </w:r>
    </w:p>
    <w:p w14:paraId="3EC5D66E" w14:textId="77777777" w:rsidR="00C90356" w:rsidRPr="004A161B" w:rsidRDefault="00C90356" w:rsidP="00C90356">
      <w:pPr>
        <w:pStyle w:val="ListParagraph"/>
        <w:numPr>
          <w:ilvl w:val="0"/>
          <w:numId w:val="13"/>
        </w:numPr>
      </w:pPr>
      <w:r w:rsidRPr="004A161B">
        <w:t>Ensuring the models adequately reflect the actual costs of delivering public hospital services</w:t>
      </w:r>
      <w:r w:rsidRPr="004A161B">
        <w:rPr>
          <w:rStyle w:val="FootnoteReference"/>
        </w:rPr>
        <w:footnoteReference w:id="1"/>
      </w:r>
      <w:r w:rsidRPr="004A161B">
        <w:t>.</w:t>
      </w:r>
    </w:p>
    <w:p w14:paraId="46C001AB" w14:textId="77777777" w:rsidR="00C90356" w:rsidRPr="004A161B" w:rsidRDefault="00C90356" w:rsidP="00C90356">
      <w:pPr>
        <w:pStyle w:val="ListParagraph"/>
        <w:numPr>
          <w:ilvl w:val="0"/>
          <w:numId w:val="13"/>
        </w:numPr>
      </w:pPr>
      <w:r w:rsidRPr="004A161B">
        <w:t xml:space="preserve">Keeping the models reasonably simple and transparent so that relevant price signals can be clearly recognised by jurisdictions, </w:t>
      </w:r>
      <w:r w:rsidR="00DD6C9F" w:rsidRPr="004A161B">
        <w:t>l</w:t>
      </w:r>
      <w:r w:rsidRPr="004A161B">
        <w:t xml:space="preserve">ocal </w:t>
      </w:r>
      <w:r w:rsidR="00DD6C9F" w:rsidRPr="004A161B">
        <w:t>h</w:t>
      </w:r>
      <w:r w:rsidRPr="004A161B">
        <w:t xml:space="preserve">ospital </w:t>
      </w:r>
      <w:r w:rsidR="00DD6C9F" w:rsidRPr="004A161B">
        <w:t>n</w:t>
      </w:r>
      <w:r w:rsidRPr="004A161B">
        <w:t>etworks and hospital managers.</w:t>
      </w:r>
    </w:p>
    <w:p w14:paraId="4F0CD071" w14:textId="77777777" w:rsidR="00C90356" w:rsidRPr="004A161B" w:rsidRDefault="00C90356" w:rsidP="00C90356">
      <w:pPr>
        <w:pStyle w:val="ListParagraph"/>
        <w:numPr>
          <w:ilvl w:val="0"/>
          <w:numId w:val="13"/>
        </w:numPr>
      </w:pPr>
      <w:r w:rsidRPr="004A161B">
        <w:t>Ensuring the models reflect the Pricing Guidelines</w:t>
      </w:r>
      <w:r w:rsidR="00DD6C9F" w:rsidRPr="004A161B">
        <w:rPr>
          <w:rStyle w:val="FootnoteReference"/>
        </w:rPr>
        <w:footnoteReference w:id="2"/>
      </w:r>
      <w:r w:rsidRPr="004A161B">
        <w:t xml:space="preserve"> as far as practicable. </w:t>
      </w:r>
    </w:p>
    <w:p w14:paraId="39A5584B" w14:textId="77777777" w:rsidR="00C90356" w:rsidRPr="004A161B" w:rsidRDefault="00C90356" w:rsidP="00C90356">
      <w:r w:rsidRPr="004A161B">
        <w:t>These elements are considered using a modified cost-benefit approach that measures the:</w:t>
      </w:r>
    </w:p>
    <w:p w14:paraId="1738F58A" w14:textId="300A62D8" w:rsidR="00C90356" w:rsidRPr="004A161B" w:rsidRDefault="00C90356" w:rsidP="00C90356">
      <w:pPr>
        <w:pStyle w:val="ListParagraph"/>
        <w:numPr>
          <w:ilvl w:val="0"/>
          <w:numId w:val="13"/>
        </w:numPr>
      </w:pPr>
      <w:r w:rsidRPr="004A161B">
        <w:t xml:space="preserve">Benefits </w:t>
      </w:r>
      <w:r w:rsidR="00DD6C9F" w:rsidRPr="004A161B">
        <w:t xml:space="preserve">of </w:t>
      </w:r>
      <w:r w:rsidRPr="004A161B">
        <w:t>the proposed change for the performance of the model.</w:t>
      </w:r>
    </w:p>
    <w:p w14:paraId="7F305CC3" w14:textId="77777777" w:rsidR="00C90356" w:rsidRPr="004A161B" w:rsidRDefault="00C90356" w:rsidP="00C90356">
      <w:pPr>
        <w:pStyle w:val="ListParagraph"/>
        <w:numPr>
          <w:ilvl w:val="0"/>
          <w:numId w:val="13"/>
        </w:numPr>
      </w:pPr>
      <w:r w:rsidRPr="004A161B">
        <w:t>Costs of implementing the proposed change in the model.</w:t>
      </w:r>
    </w:p>
    <w:p w14:paraId="7D63966D" w14:textId="77777777" w:rsidR="00C90356" w:rsidRPr="004A161B" w:rsidRDefault="00C90356" w:rsidP="00C90356">
      <w:r w:rsidRPr="004A161B">
        <w:t xml:space="preserve">The Pricing Authority also seeks to understand any potential impacts or perverse incentives that may result from introducing an adjustment, for example, incentive to change clinical practice or reporting. </w:t>
      </w:r>
    </w:p>
    <w:p w14:paraId="708EE1E2" w14:textId="77777777" w:rsidR="00C90356" w:rsidRPr="004A161B" w:rsidRDefault="00C90356" w:rsidP="00C90356">
      <w:r w:rsidRPr="004A161B">
        <w:t>The benefits of model changes are considered in two distinct dimensions as sometimes adjustments that may be justified for some groups of patients may have relatively small impacts on the performance of the model. The dimensions are:</w:t>
      </w:r>
    </w:p>
    <w:p w14:paraId="347C98E8" w14:textId="77777777" w:rsidR="00C90356" w:rsidRPr="004A161B" w:rsidRDefault="00C90356" w:rsidP="00C90356">
      <w:pPr>
        <w:pStyle w:val="ListParagraph"/>
        <w:numPr>
          <w:ilvl w:val="0"/>
          <w:numId w:val="13"/>
        </w:numPr>
      </w:pPr>
      <w:r w:rsidRPr="004A161B">
        <w:t>Improvements in the overall performance of the model, as measured by the Symmetric Mean Absolute Percentage Error (SMAPE) statistic.</w:t>
      </w:r>
    </w:p>
    <w:p w14:paraId="2B02D539" w14:textId="77777777" w:rsidR="00C90356" w:rsidRPr="004A161B" w:rsidRDefault="00C90356" w:rsidP="00C90356">
      <w:pPr>
        <w:pStyle w:val="ListParagraph"/>
        <w:numPr>
          <w:ilvl w:val="0"/>
          <w:numId w:val="13"/>
        </w:numPr>
      </w:pPr>
      <w:r w:rsidRPr="004A161B">
        <w:t>Number of patients impacted and/or the total value of funding redistributed.</w:t>
      </w:r>
    </w:p>
    <w:p w14:paraId="26BAB67D" w14:textId="197EBFBA" w:rsidR="00C90356" w:rsidRPr="004A161B" w:rsidRDefault="00DD6C9F" w:rsidP="00DD6C9F">
      <w:pPr>
        <w:keepNext/>
      </w:pPr>
      <w:r w:rsidRPr="004A161B">
        <w:lastRenderedPageBreak/>
        <w:t>The costs of implementing the proposed change in the model are also considered in two</w:t>
      </w:r>
      <w:r w:rsidR="003A444B" w:rsidRPr="004A161B">
        <w:t xml:space="preserve"> distinct dimensions</w:t>
      </w:r>
      <w:r w:rsidR="00C90356" w:rsidRPr="004A161B">
        <w:t>:</w:t>
      </w:r>
    </w:p>
    <w:p w14:paraId="63F79786" w14:textId="2E8E1272" w:rsidR="00C90356" w:rsidRPr="004A161B" w:rsidRDefault="00C90356" w:rsidP="00C90356">
      <w:pPr>
        <w:pStyle w:val="ListParagraph"/>
        <w:numPr>
          <w:ilvl w:val="0"/>
          <w:numId w:val="13"/>
        </w:numPr>
        <w:spacing w:line="240" w:lineRule="auto"/>
        <w:ind w:left="714" w:hanging="357"/>
      </w:pPr>
      <w:r w:rsidRPr="004A161B">
        <w:t xml:space="preserve">Increases in model </w:t>
      </w:r>
      <w:r w:rsidR="00DD6C9F" w:rsidRPr="004A161B">
        <w:t xml:space="preserve">complexity </w:t>
      </w:r>
      <w:r w:rsidRPr="004A161B">
        <w:t>(through the introduction of new adjustments).</w:t>
      </w:r>
    </w:p>
    <w:p w14:paraId="2C7CDFC6" w14:textId="77777777" w:rsidR="00C90356" w:rsidRPr="004A161B" w:rsidRDefault="00C90356" w:rsidP="00C90356">
      <w:pPr>
        <w:pStyle w:val="ListParagraph"/>
        <w:numPr>
          <w:ilvl w:val="0"/>
          <w:numId w:val="13"/>
        </w:numPr>
        <w:spacing w:line="240" w:lineRule="auto"/>
        <w:ind w:left="714" w:hanging="357"/>
      </w:pPr>
      <w:r w:rsidRPr="004A161B">
        <w:t>Introducing new data elements in National Minimum Data Sets.</w:t>
      </w:r>
    </w:p>
    <w:p w14:paraId="4DA17E94" w14:textId="1B666B05" w:rsidR="00C90356" w:rsidRPr="004A161B" w:rsidRDefault="00C90356" w:rsidP="00C90356">
      <w:r w:rsidRPr="004A161B">
        <w:t xml:space="preserve">These two dimensions have been chosen in recognition that costs can be both intangible (model complexity) and tangible (the costs to jurisdictions and hospitals </w:t>
      </w:r>
      <w:r w:rsidR="00DD6C9F" w:rsidRPr="004A161B">
        <w:t xml:space="preserve">associated with </w:t>
      </w:r>
      <w:r w:rsidRPr="004A161B">
        <w:t>collecting new data elements).</w:t>
      </w:r>
    </w:p>
    <w:p w14:paraId="4781D0D4" w14:textId="77777777" w:rsidR="00C90356" w:rsidRPr="004A161B" w:rsidRDefault="00C90356">
      <w:pPr>
        <w:spacing w:before="0" w:after="0" w:line="240" w:lineRule="auto"/>
      </w:pPr>
      <w:r w:rsidRPr="004A161B">
        <w:br w:type="page"/>
      </w:r>
    </w:p>
    <w:p w14:paraId="5A351F6B" w14:textId="77777777" w:rsidR="00C90356" w:rsidRPr="004A161B" w:rsidRDefault="00C90356" w:rsidP="00C90356">
      <w:pPr>
        <w:pStyle w:val="Heading1"/>
      </w:pPr>
      <w:bookmarkStart w:id="11" w:name="_Toc92199555"/>
      <w:r w:rsidRPr="004A161B">
        <w:lastRenderedPageBreak/>
        <w:t>Assessment process</w:t>
      </w:r>
      <w:bookmarkEnd w:id="11"/>
    </w:p>
    <w:p w14:paraId="430333DF" w14:textId="77777777" w:rsidR="00C90356" w:rsidRPr="004A161B" w:rsidRDefault="00C90356" w:rsidP="00C90356">
      <w:r w:rsidRPr="004A161B">
        <w:t>IHPA will analyse the adjustment proposal to ascertain if there is a demonstrable cost differential between the group of patients identified in the proposal and the wider patient population.</w:t>
      </w:r>
    </w:p>
    <w:p w14:paraId="6CE9D058" w14:textId="77777777" w:rsidR="00C90356" w:rsidRPr="004A161B" w:rsidRDefault="00C90356" w:rsidP="00C90356">
      <w:r w:rsidRPr="004A161B">
        <w:t>The assessment is carried out using activity and cost data supplied to IHPA by jurisdictions as detailed in IHPA’s Three Year Data Plan.</w:t>
      </w:r>
    </w:p>
    <w:p w14:paraId="60EAB41B" w14:textId="77777777" w:rsidR="00C90356" w:rsidRPr="004A161B" w:rsidRDefault="00C90356" w:rsidP="00C90356">
      <w:r w:rsidRPr="004A161B">
        <w:t>If there is no cost differential between the nominated patient cohort and the wider patient population, or if the nominated cohort is less expensive on average than the wider patient population, the proposal is rejected.</w:t>
      </w:r>
    </w:p>
    <w:p w14:paraId="270C5EA1" w14:textId="43245CDB" w:rsidR="00C90356" w:rsidRPr="004A161B" w:rsidRDefault="00C90356" w:rsidP="00C90356">
      <w:r w:rsidRPr="004A161B">
        <w:t xml:space="preserve">If the nominated patient cohort is more expensive on average </w:t>
      </w:r>
      <w:r w:rsidR="003A444B" w:rsidRPr="004A161B">
        <w:t>than</w:t>
      </w:r>
      <w:r w:rsidRPr="004A161B">
        <w:t xml:space="preserve"> the wider patient population, then IHPA will determine:</w:t>
      </w:r>
    </w:p>
    <w:p w14:paraId="209712C4" w14:textId="77777777" w:rsidR="00C90356" w:rsidRPr="004A161B" w:rsidRDefault="00C90356" w:rsidP="00C90356">
      <w:pPr>
        <w:pStyle w:val="ListBullet"/>
        <w:numPr>
          <w:ilvl w:val="0"/>
          <w:numId w:val="14"/>
        </w:numPr>
        <w:spacing w:before="120" w:after="120" w:line="240" w:lineRule="auto"/>
        <w:ind w:left="714" w:hanging="357"/>
      </w:pPr>
      <w:r w:rsidRPr="004A161B">
        <w:t>How many patients are in the cohort.</w:t>
      </w:r>
    </w:p>
    <w:p w14:paraId="5EB7BF98" w14:textId="77777777" w:rsidR="00C90356" w:rsidRPr="004A161B" w:rsidRDefault="00C90356" w:rsidP="00C90356">
      <w:pPr>
        <w:pStyle w:val="ListBullet"/>
        <w:numPr>
          <w:ilvl w:val="0"/>
          <w:numId w:val="14"/>
        </w:numPr>
        <w:spacing w:before="120" w:after="120" w:line="240" w:lineRule="auto"/>
        <w:ind w:left="714" w:hanging="357"/>
      </w:pPr>
      <w:r w:rsidRPr="004A161B">
        <w:t xml:space="preserve">The quantum of the </w:t>
      </w:r>
      <w:r w:rsidR="003A444B" w:rsidRPr="004A161B">
        <w:t xml:space="preserve">proposed </w:t>
      </w:r>
      <w:r w:rsidRPr="004A161B">
        <w:t>adjustment required to address the identified cost differential.</w:t>
      </w:r>
    </w:p>
    <w:p w14:paraId="4A3E149E" w14:textId="77777777" w:rsidR="00C90356" w:rsidRPr="004A161B" w:rsidRDefault="00C90356" w:rsidP="00C90356">
      <w:pPr>
        <w:pStyle w:val="ListBullet"/>
        <w:numPr>
          <w:ilvl w:val="0"/>
          <w:numId w:val="14"/>
        </w:numPr>
        <w:spacing w:before="120" w:after="120" w:line="240" w:lineRule="auto"/>
        <w:ind w:left="714" w:hanging="357"/>
      </w:pPr>
      <w:r w:rsidRPr="004A161B">
        <w:t xml:space="preserve">How the </w:t>
      </w:r>
      <w:r w:rsidR="003A444B" w:rsidRPr="004A161B">
        <w:t xml:space="preserve">proposed </w:t>
      </w:r>
      <w:r w:rsidRPr="004A161B">
        <w:t>adjustment would be applied in the national pricing model.</w:t>
      </w:r>
    </w:p>
    <w:p w14:paraId="4AA9C88A" w14:textId="77777777" w:rsidR="00C90356" w:rsidRPr="004A161B" w:rsidRDefault="00C90356" w:rsidP="00C90356">
      <w:pPr>
        <w:pStyle w:val="ListBullet"/>
        <w:numPr>
          <w:ilvl w:val="0"/>
          <w:numId w:val="14"/>
        </w:numPr>
        <w:spacing w:before="120" w:after="120" w:line="240" w:lineRule="auto"/>
        <w:ind w:left="714" w:hanging="357"/>
      </w:pPr>
      <w:r w:rsidRPr="004A161B">
        <w:t xml:space="preserve">Any new data elements required to implement the </w:t>
      </w:r>
      <w:r w:rsidR="003A444B" w:rsidRPr="004A161B">
        <w:t xml:space="preserve">proposed </w:t>
      </w:r>
      <w:r w:rsidRPr="004A161B">
        <w:t>adjustment.</w:t>
      </w:r>
    </w:p>
    <w:p w14:paraId="6E7F397C" w14:textId="77777777" w:rsidR="00C90356" w:rsidRPr="004A161B" w:rsidRDefault="00C90356" w:rsidP="00C90356">
      <w:pPr>
        <w:pStyle w:val="ListBullet"/>
        <w:numPr>
          <w:ilvl w:val="0"/>
          <w:numId w:val="14"/>
        </w:numPr>
        <w:spacing w:before="120" w:after="120" w:line="240" w:lineRule="auto"/>
        <w:ind w:left="714" w:hanging="357"/>
      </w:pPr>
      <w:r w:rsidRPr="004A161B">
        <w:t>The amount of funding redistributed by introducing the proposed adjustment.</w:t>
      </w:r>
    </w:p>
    <w:p w14:paraId="21CD44B5" w14:textId="77777777" w:rsidR="00C90356" w:rsidRPr="004A161B" w:rsidRDefault="00C90356" w:rsidP="00C90356">
      <w:pPr>
        <w:pStyle w:val="ListBullet"/>
        <w:numPr>
          <w:ilvl w:val="0"/>
          <w:numId w:val="14"/>
        </w:numPr>
        <w:spacing w:before="120" w:after="120" w:line="240" w:lineRule="auto"/>
        <w:ind w:left="714" w:hanging="357"/>
      </w:pPr>
      <w:r w:rsidRPr="004A161B">
        <w:t>The overall change in the performance of the national pricing model, measured using the SMAPE statistic.</w:t>
      </w:r>
    </w:p>
    <w:p w14:paraId="5AD19491" w14:textId="77777777" w:rsidR="00C90356" w:rsidRPr="004A161B" w:rsidRDefault="00C90356" w:rsidP="00C90356">
      <w:r w:rsidRPr="004A161B">
        <w:t>IHPA assesses proposals on a case-by-case basis and takes into account consistency with the Pricing Guidelines.</w:t>
      </w:r>
    </w:p>
    <w:p w14:paraId="353D5D16" w14:textId="77777777" w:rsidR="00C90356" w:rsidRPr="004A161B" w:rsidRDefault="00C90356" w:rsidP="00C90356">
      <w:r w:rsidRPr="004A161B">
        <w:t xml:space="preserve">The benefits of the proposals are scored using the criteria in </w:t>
      </w:r>
      <w:r w:rsidRPr="004A161B">
        <w:rPr>
          <w:b/>
        </w:rPr>
        <w:t>Table 1</w:t>
      </w:r>
      <w:r w:rsidRPr="004A161B">
        <w:t>. The thresholds have been developed with regard to the previous proposals considered by IHPA and reflect the level of impact considered as material.</w:t>
      </w:r>
    </w:p>
    <w:p w14:paraId="0E28E9BD" w14:textId="77777777" w:rsidR="00C90356" w:rsidRPr="004A161B" w:rsidRDefault="00C90356" w:rsidP="00C90356">
      <w:pPr>
        <w:rPr>
          <w:b/>
        </w:rPr>
      </w:pPr>
      <w:r w:rsidRPr="004A161B">
        <w:rPr>
          <w:b/>
        </w:rPr>
        <w:t>Table 1</w:t>
      </w:r>
      <w:r w:rsidR="003A444B" w:rsidRPr="004A161B">
        <w:rPr>
          <w:b/>
        </w:rPr>
        <w:t>.</w:t>
      </w:r>
      <w:r w:rsidRPr="004A161B">
        <w:rPr>
          <w:b/>
        </w:rPr>
        <w:t xml:space="preserve"> Benefits</w:t>
      </w:r>
    </w:p>
    <w:tbl>
      <w:tblPr>
        <w:tblStyle w:val="TableGrid"/>
        <w:tblW w:w="0" w:type="auto"/>
        <w:tblLook w:val="04A0" w:firstRow="1" w:lastRow="0" w:firstColumn="1" w:lastColumn="0" w:noHBand="0" w:noVBand="1"/>
      </w:tblPr>
      <w:tblGrid>
        <w:gridCol w:w="4106"/>
        <w:gridCol w:w="851"/>
        <w:gridCol w:w="3543"/>
        <w:gridCol w:w="935"/>
      </w:tblGrid>
      <w:tr w:rsidR="00C90356" w:rsidRPr="004A161B" w14:paraId="3741B68F" w14:textId="77777777" w:rsidTr="00BE56B6">
        <w:tc>
          <w:tcPr>
            <w:tcW w:w="4106" w:type="dxa"/>
          </w:tcPr>
          <w:p w14:paraId="529BBBD8" w14:textId="77777777" w:rsidR="00C90356" w:rsidRPr="004A161B" w:rsidRDefault="00C90356" w:rsidP="00BE56B6">
            <w:pPr>
              <w:rPr>
                <w:b/>
              </w:rPr>
            </w:pPr>
            <w:r w:rsidRPr="004A161B">
              <w:rPr>
                <w:b/>
              </w:rPr>
              <w:t>Impact on cost allocation</w:t>
            </w:r>
          </w:p>
        </w:tc>
        <w:tc>
          <w:tcPr>
            <w:tcW w:w="851" w:type="dxa"/>
          </w:tcPr>
          <w:p w14:paraId="3B82328C" w14:textId="77777777" w:rsidR="00C90356" w:rsidRPr="004A161B" w:rsidRDefault="00C90356" w:rsidP="00BE56B6">
            <w:pPr>
              <w:rPr>
                <w:b/>
              </w:rPr>
            </w:pPr>
            <w:r w:rsidRPr="004A161B">
              <w:rPr>
                <w:b/>
              </w:rPr>
              <w:t>Score</w:t>
            </w:r>
          </w:p>
        </w:tc>
        <w:tc>
          <w:tcPr>
            <w:tcW w:w="3543" w:type="dxa"/>
          </w:tcPr>
          <w:p w14:paraId="0CD9FFFA" w14:textId="77777777" w:rsidR="00C90356" w:rsidRPr="004A161B" w:rsidRDefault="00C90356" w:rsidP="00BE56B6">
            <w:pPr>
              <w:rPr>
                <w:b/>
              </w:rPr>
            </w:pPr>
            <w:r w:rsidRPr="004A161B">
              <w:rPr>
                <w:b/>
              </w:rPr>
              <w:t>Improvement in cost model performance</w:t>
            </w:r>
          </w:p>
        </w:tc>
        <w:tc>
          <w:tcPr>
            <w:tcW w:w="935" w:type="dxa"/>
          </w:tcPr>
          <w:p w14:paraId="223DC881" w14:textId="77777777" w:rsidR="00C90356" w:rsidRPr="004A161B" w:rsidRDefault="00C90356" w:rsidP="00BE56B6">
            <w:pPr>
              <w:rPr>
                <w:b/>
              </w:rPr>
            </w:pPr>
            <w:r w:rsidRPr="004A161B">
              <w:rPr>
                <w:b/>
              </w:rPr>
              <w:t>Score</w:t>
            </w:r>
          </w:p>
        </w:tc>
      </w:tr>
      <w:tr w:rsidR="00C90356" w:rsidRPr="004A161B" w14:paraId="2DF5CAC9" w14:textId="77777777" w:rsidTr="00BE56B6">
        <w:tc>
          <w:tcPr>
            <w:tcW w:w="4106" w:type="dxa"/>
          </w:tcPr>
          <w:p w14:paraId="6F05608A" w14:textId="77777777" w:rsidR="00C90356" w:rsidRPr="004A161B" w:rsidRDefault="00C90356" w:rsidP="00BE56B6">
            <w:r w:rsidRPr="004A161B">
              <w:t>Redistributes 0 – $25 million or impacts less than 10,000 separations</w:t>
            </w:r>
          </w:p>
        </w:tc>
        <w:tc>
          <w:tcPr>
            <w:tcW w:w="851" w:type="dxa"/>
          </w:tcPr>
          <w:p w14:paraId="3C55911C" w14:textId="77777777" w:rsidR="00C90356" w:rsidRPr="004A161B" w:rsidRDefault="00C90356" w:rsidP="00BE56B6">
            <w:pPr>
              <w:jc w:val="center"/>
            </w:pPr>
            <w:r w:rsidRPr="004A161B">
              <w:t>1</w:t>
            </w:r>
          </w:p>
        </w:tc>
        <w:tc>
          <w:tcPr>
            <w:tcW w:w="3543" w:type="dxa"/>
          </w:tcPr>
          <w:p w14:paraId="39ACA621" w14:textId="77777777" w:rsidR="00C90356" w:rsidRPr="004A161B" w:rsidRDefault="00C90356" w:rsidP="00BE56B6">
            <w:r w:rsidRPr="004A161B">
              <w:t xml:space="preserve">Increases SMAPE more than 0.5% </w:t>
            </w:r>
          </w:p>
        </w:tc>
        <w:tc>
          <w:tcPr>
            <w:tcW w:w="935" w:type="dxa"/>
          </w:tcPr>
          <w:p w14:paraId="2F6E1A5A" w14:textId="77777777" w:rsidR="00C90356" w:rsidRPr="004A161B" w:rsidRDefault="00C90356" w:rsidP="00BE56B6">
            <w:pPr>
              <w:jc w:val="center"/>
            </w:pPr>
            <w:r w:rsidRPr="004A161B">
              <w:t>1</w:t>
            </w:r>
          </w:p>
        </w:tc>
      </w:tr>
      <w:tr w:rsidR="00C90356" w:rsidRPr="004A161B" w14:paraId="7B450F07" w14:textId="77777777" w:rsidTr="00BE56B6">
        <w:tc>
          <w:tcPr>
            <w:tcW w:w="4106" w:type="dxa"/>
          </w:tcPr>
          <w:p w14:paraId="49713D90" w14:textId="77777777" w:rsidR="00C90356" w:rsidRPr="004A161B" w:rsidRDefault="00C90356" w:rsidP="00BE56B6">
            <w:r w:rsidRPr="004A161B">
              <w:t>Redistributes $25 – $250 million or impacts 10,000 to 100,000 separations</w:t>
            </w:r>
          </w:p>
        </w:tc>
        <w:tc>
          <w:tcPr>
            <w:tcW w:w="851" w:type="dxa"/>
          </w:tcPr>
          <w:p w14:paraId="18538E2A" w14:textId="77777777" w:rsidR="00C90356" w:rsidRPr="004A161B" w:rsidRDefault="00C90356" w:rsidP="00BE56B6">
            <w:pPr>
              <w:jc w:val="center"/>
            </w:pPr>
            <w:r w:rsidRPr="004A161B">
              <w:t>2</w:t>
            </w:r>
          </w:p>
        </w:tc>
        <w:tc>
          <w:tcPr>
            <w:tcW w:w="3543" w:type="dxa"/>
          </w:tcPr>
          <w:p w14:paraId="5881945C" w14:textId="77777777" w:rsidR="00C90356" w:rsidRPr="004A161B" w:rsidRDefault="00C90356" w:rsidP="00BE56B6">
            <w:r w:rsidRPr="004A161B">
              <w:t>Less than 0.5% change in SMAPE</w:t>
            </w:r>
          </w:p>
        </w:tc>
        <w:tc>
          <w:tcPr>
            <w:tcW w:w="935" w:type="dxa"/>
          </w:tcPr>
          <w:p w14:paraId="7E25629D" w14:textId="77777777" w:rsidR="00C90356" w:rsidRPr="004A161B" w:rsidRDefault="00C90356" w:rsidP="00BE56B6">
            <w:pPr>
              <w:jc w:val="center"/>
            </w:pPr>
            <w:r w:rsidRPr="004A161B">
              <w:t>2</w:t>
            </w:r>
          </w:p>
        </w:tc>
      </w:tr>
      <w:tr w:rsidR="00C90356" w:rsidRPr="004A161B" w14:paraId="1F7B1429" w14:textId="77777777" w:rsidTr="00BE56B6">
        <w:tc>
          <w:tcPr>
            <w:tcW w:w="4106" w:type="dxa"/>
          </w:tcPr>
          <w:p w14:paraId="235E7243" w14:textId="77777777" w:rsidR="00C90356" w:rsidRPr="004A161B" w:rsidRDefault="00C90356" w:rsidP="00BE56B6">
            <w:r w:rsidRPr="004A161B">
              <w:t>Redistributes &gt;$250 million impacts more than 100,000 separations</w:t>
            </w:r>
          </w:p>
        </w:tc>
        <w:tc>
          <w:tcPr>
            <w:tcW w:w="851" w:type="dxa"/>
          </w:tcPr>
          <w:p w14:paraId="79522B69" w14:textId="77777777" w:rsidR="00C90356" w:rsidRPr="004A161B" w:rsidRDefault="00C90356" w:rsidP="00BE56B6">
            <w:pPr>
              <w:jc w:val="center"/>
            </w:pPr>
            <w:r w:rsidRPr="004A161B">
              <w:t>3</w:t>
            </w:r>
          </w:p>
        </w:tc>
        <w:tc>
          <w:tcPr>
            <w:tcW w:w="3543" w:type="dxa"/>
          </w:tcPr>
          <w:p w14:paraId="60584863" w14:textId="77777777" w:rsidR="00C90356" w:rsidRPr="004A161B" w:rsidRDefault="00C90356" w:rsidP="00BE56B6">
            <w:r w:rsidRPr="004A161B">
              <w:t>Decreases SMAPE more than 0.5%</w:t>
            </w:r>
          </w:p>
        </w:tc>
        <w:tc>
          <w:tcPr>
            <w:tcW w:w="935" w:type="dxa"/>
          </w:tcPr>
          <w:p w14:paraId="35DDF7E0" w14:textId="77777777" w:rsidR="00C90356" w:rsidRPr="004A161B" w:rsidRDefault="00C90356" w:rsidP="00BE56B6">
            <w:pPr>
              <w:jc w:val="center"/>
            </w:pPr>
            <w:r w:rsidRPr="004A161B">
              <w:t>3</w:t>
            </w:r>
          </w:p>
        </w:tc>
      </w:tr>
    </w:tbl>
    <w:p w14:paraId="4FC11CD2" w14:textId="77777777" w:rsidR="00C90356" w:rsidRPr="004A161B" w:rsidRDefault="00C90356" w:rsidP="00C90356">
      <w:r w:rsidRPr="004A161B">
        <w:t xml:space="preserve">The implementation costs of the proposals are scored using the criteria in </w:t>
      </w:r>
      <w:r w:rsidRPr="004A161B">
        <w:rPr>
          <w:b/>
        </w:rPr>
        <w:t>Table 2</w:t>
      </w:r>
      <w:r w:rsidRPr="004A161B">
        <w:t>. The thresholds have been developed to give order of magnitude estimates of the intangible and tangible costs of implementing any proposed adjustments.</w:t>
      </w:r>
    </w:p>
    <w:p w14:paraId="3E7B7968" w14:textId="77777777" w:rsidR="00C90356" w:rsidRPr="004A161B" w:rsidRDefault="00C90356" w:rsidP="00C90356">
      <w:pPr>
        <w:keepNext/>
        <w:rPr>
          <w:b/>
        </w:rPr>
      </w:pPr>
      <w:r w:rsidRPr="004A161B">
        <w:rPr>
          <w:b/>
        </w:rPr>
        <w:lastRenderedPageBreak/>
        <w:t>Table 2</w:t>
      </w:r>
      <w:r w:rsidR="003A444B" w:rsidRPr="004A161B">
        <w:rPr>
          <w:b/>
        </w:rPr>
        <w:t>.</w:t>
      </w:r>
      <w:r w:rsidRPr="004A161B">
        <w:rPr>
          <w:b/>
        </w:rPr>
        <w:t xml:space="preserve"> Costs</w:t>
      </w:r>
    </w:p>
    <w:tbl>
      <w:tblPr>
        <w:tblStyle w:val="TableGrid"/>
        <w:tblW w:w="0" w:type="auto"/>
        <w:tblLook w:val="04A0" w:firstRow="1" w:lastRow="0" w:firstColumn="1" w:lastColumn="0" w:noHBand="0" w:noVBand="1"/>
      </w:tblPr>
      <w:tblGrid>
        <w:gridCol w:w="4022"/>
        <w:gridCol w:w="828"/>
        <w:gridCol w:w="3757"/>
        <w:gridCol w:w="828"/>
      </w:tblGrid>
      <w:tr w:rsidR="00C90356" w:rsidRPr="004A161B" w14:paraId="30937E73" w14:textId="77777777" w:rsidTr="00BE56B6">
        <w:tc>
          <w:tcPr>
            <w:tcW w:w="4022" w:type="dxa"/>
          </w:tcPr>
          <w:p w14:paraId="21ED71CF" w14:textId="77777777" w:rsidR="00C90356" w:rsidRPr="004A161B" w:rsidRDefault="00C90356" w:rsidP="00BE56B6">
            <w:pPr>
              <w:rPr>
                <w:b/>
              </w:rPr>
            </w:pPr>
            <w:r w:rsidRPr="004A161B">
              <w:rPr>
                <w:b/>
              </w:rPr>
              <w:t>Impact on pricing model complexity</w:t>
            </w:r>
          </w:p>
        </w:tc>
        <w:tc>
          <w:tcPr>
            <w:tcW w:w="828" w:type="dxa"/>
          </w:tcPr>
          <w:p w14:paraId="2D33E2AC" w14:textId="77777777" w:rsidR="00C90356" w:rsidRPr="004A161B" w:rsidRDefault="00C90356" w:rsidP="00BE56B6">
            <w:pPr>
              <w:rPr>
                <w:b/>
              </w:rPr>
            </w:pPr>
            <w:r w:rsidRPr="004A161B">
              <w:rPr>
                <w:b/>
              </w:rPr>
              <w:t>Score</w:t>
            </w:r>
          </w:p>
        </w:tc>
        <w:tc>
          <w:tcPr>
            <w:tcW w:w="3757" w:type="dxa"/>
          </w:tcPr>
          <w:p w14:paraId="3A8BBD79" w14:textId="77777777" w:rsidR="00C90356" w:rsidRPr="004A161B" w:rsidRDefault="00C90356" w:rsidP="00BE56B6">
            <w:pPr>
              <w:rPr>
                <w:b/>
              </w:rPr>
            </w:pPr>
            <w:r w:rsidRPr="004A161B">
              <w:rPr>
                <w:b/>
              </w:rPr>
              <w:t>Impact on data requirements</w:t>
            </w:r>
          </w:p>
        </w:tc>
        <w:tc>
          <w:tcPr>
            <w:tcW w:w="828" w:type="dxa"/>
          </w:tcPr>
          <w:p w14:paraId="1DF08E65" w14:textId="77777777" w:rsidR="00C90356" w:rsidRPr="004A161B" w:rsidRDefault="00C90356" w:rsidP="00BE56B6">
            <w:pPr>
              <w:rPr>
                <w:b/>
              </w:rPr>
            </w:pPr>
            <w:r w:rsidRPr="004A161B">
              <w:rPr>
                <w:b/>
              </w:rPr>
              <w:t>Score</w:t>
            </w:r>
          </w:p>
        </w:tc>
      </w:tr>
      <w:tr w:rsidR="00C90356" w:rsidRPr="004A161B" w14:paraId="0AF871FD" w14:textId="77777777" w:rsidTr="00BE56B6">
        <w:tc>
          <w:tcPr>
            <w:tcW w:w="4022" w:type="dxa"/>
          </w:tcPr>
          <w:p w14:paraId="2566DFBD" w14:textId="77777777" w:rsidR="00C90356" w:rsidRPr="004A161B" w:rsidRDefault="00C90356" w:rsidP="00BE56B6">
            <w:r w:rsidRPr="004A161B">
              <w:t>Removes existing adjustments</w:t>
            </w:r>
          </w:p>
        </w:tc>
        <w:tc>
          <w:tcPr>
            <w:tcW w:w="828" w:type="dxa"/>
          </w:tcPr>
          <w:p w14:paraId="76A226F4" w14:textId="77777777" w:rsidR="00C90356" w:rsidRPr="004A161B" w:rsidRDefault="00C90356" w:rsidP="00BE56B6">
            <w:pPr>
              <w:jc w:val="center"/>
            </w:pPr>
            <w:r w:rsidRPr="004A161B">
              <w:t>1</w:t>
            </w:r>
          </w:p>
        </w:tc>
        <w:tc>
          <w:tcPr>
            <w:tcW w:w="3757" w:type="dxa"/>
          </w:tcPr>
          <w:p w14:paraId="45BD61EA" w14:textId="77777777" w:rsidR="00C90356" w:rsidRPr="004A161B" w:rsidRDefault="00C90356" w:rsidP="00BE56B6">
            <w:r w:rsidRPr="004A161B">
              <w:t>Utilises existing data</w:t>
            </w:r>
          </w:p>
        </w:tc>
        <w:tc>
          <w:tcPr>
            <w:tcW w:w="828" w:type="dxa"/>
          </w:tcPr>
          <w:p w14:paraId="0D6230D7" w14:textId="77777777" w:rsidR="00C90356" w:rsidRPr="004A161B" w:rsidRDefault="00C90356" w:rsidP="00BE56B6">
            <w:pPr>
              <w:jc w:val="center"/>
            </w:pPr>
            <w:r w:rsidRPr="004A161B">
              <w:t>1</w:t>
            </w:r>
          </w:p>
        </w:tc>
      </w:tr>
      <w:tr w:rsidR="00C90356" w:rsidRPr="004A161B" w14:paraId="0C404EFA" w14:textId="77777777" w:rsidTr="00BE56B6">
        <w:tc>
          <w:tcPr>
            <w:tcW w:w="4022" w:type="dxa"/>
          </w:tcPr>
          <w:p w14:paraId="7839AE21" w14:textId="77777777" w:rsidR="00C90356" w:rsidRPr="004A161B" w:rsidRDefault="00C90356" w:rsidP="00BE56B6">
            <w:r w:rsidRPr="004A161B">
              <w:t>Extends existing adjustments to other patient cohorts.</w:t>
            </w:r>
          </w:p>
        </w:tc>
        <w:tc>
          <w:tcPr>
            <w:tcW w:w="828" w:type="dxa"/>
          </w:tcPr>
          <w:p w14:paraId="57DA232B" w14:textId="77777777" w:rsidR="00C90356" w:rsidRPr="004A161B" w:rsidRDefault="00C90356" w:rsidP="00BE56B6">
            <w:pPr>
              <w:jc w:val="center"/>
            </w:pPr>
            <w:r w:rsidRPr="004A161B">
              <w:t>2</w:t>
            </w:r>
          </w:p>
        </w:tc>
        <w:tc>
          <w:tcPr>
            <w:tcW w:w="3757" w:type="dxa"/>
          </w:tcPr>
          <w:p w14:paraId="66841A23" w14:textId="77777777" w:rsidR="00C90356" w:rsidRPr="004A161B" w:rsidRDefault="00C90356" w:rsidP="00BE56B6">
            <w:r w:rsidRPr="004A161B">
              <w:t>New data items, available in state/territory systems</w:t>
            </w:r>
          </w:p>
        </w:tc>
        <w:tc>
          <w:tcPr>
            <w:tcW w:w="828" w:type="dxa"/>
          </w:tcPr>
          <w:p w14:paraId="74EB91AB" w14:textId="77777777" w:rsidR="00C90356" w:rsidRPr="004A161B" w:rsidRDefault="00C90356" w:rsidP="00BE56B6">
            <w:pPr>
              <w:jc w:val="center"/>
            </w:pPr>
            <w:r w:rsidRPr="004A161B">
              <w:t>2</w:t>
            </w:r>
          </w:p>
        </w:tc>
      </w:tr>
      <w:tr w:rsidR="00C90356" w:rsidRPr="004A161B" w14:paraId="4E811628" w14:textId="77777777" w:rsidTr="00BE56B6">
        <w:tc>
          <w:tcPr>
            <w:tcW w:w="4022" w:type="dxa"/>
          </w:tcPr>
          <w:p w14:paraId="1A22780E" w14:textId="77777777" w:rsidR="00C90356" w:rsidRPr="004A161B" w:rsidRDefault="00C90356" w:rsidP="003A444B">
            <w:r w:rsidRPr="004A161B">
              <w:t>Introduces new variables or specific code sets (</w:t>
            </w:r>
            <w:r w:rsidR="003A444B" w:rsidRPr="004A161B">
              <w:t>for example,</w:t>
            </w:r>
            <w:r w:rsidRPr="004A161B">
              <w:t xml:space="preserve"> radiotherapy adjustment)</w:t>
            </w:r>
          </w:p>
        </w:tc>
        <w:tc>
          <w:tcPr>
            <w:tcW w:w="828" w:type="dxa"/>
          </w:tcPr>
          <w:p w14:paraId="37648382" w14:textId="77777777" w:rsidR="00C90356" w:rsidRPr="004A161B" w:rsidRDefault="00C90356" w:rsidP="00BE56B6">
            <w:pPr>
              <w:jc w:val="center"/>
            </w:pPr>
            <w:r w:rsidRPr="004A161B">
              <w:t>3</w:t>
            </w:r>
          </w:p>
        </w:tc>
        <w:tc>
          <w:tcPr>
            <w:tcW w:w="3757" w:type="dxa"/>
          </w:tcPr>
          <w:p w14:paraId="2615E493" w14:textId="77777777" w:rsidR="00C90356" w:rsidRPr="004A161B" w:rsidRDefault="00C90356" w:rsidP="00BE56B6">
            <w:r w:rsidRPr="004A161B">
              <w:t>New data items, not available in state/territory systems</w:t>
            </w:r>
          </w:p>
        </w:tc>
        <w:tc>
          <w:tcPr>
            <w:tcW w:w="828" w:type="dxa"/>
          </w:tcPr>
          <w:p w14:paraId="30EEA6C8" w14:textId="77777777" w:rsidR="00C90356" w:rsidRPr="004A161B" w:rsidRDefault="00C90356" w:rsidP="00BE56B6">
            <w:pPr>
              <w:jc w:val="center"/>
            </w:pPr>
            <w:r w:rsidRPr="004A161B">
              <w:t>3</w:t>
            </w:r>
          </w:p>
        </w:tc>
      </w:tr>
    </w:tbl>
    <w:p w14:paraId="493BCBA8" w14:textId="77777777" w:rsidR="00C90356" w:rsidRPr="004A161B" w:rsidRDefault="00C90356" w:rsidP="00C90356">
      <w:r w:rsidRPr="004A161B">
        <w:t>The overall materiality score derived by inserting the scores from the two tables above into the formula below</w:t>
      </w:r>
      <w:r w:rsidR="000577E5" w:rsidRPr="004A161B">
        <w:t>.</w:t>
      </w:r>
    </w:p>
    <w:p w14:paraId="1600BEAE" w14:textId="77777777" w:rsidR="00A517E8" w:rsidRPr="004A161B" w:rsidRDefault="000577E5" w:rsidP="00A517E8">
      <m:oMathPara>
        <m:oMathParaPr>
          <m:jc m:val="center"/>
        </m:oMathParaPr>
        <m:oMath>
          <m:r>
            <w:rPr>
              <w:rFonts w:ascii="Cambria Math" w:hAnsi="Cambria Math"/>
              <w:lang w:val="en-GB"/>
            </w:rPr>
            <m:t>Materiality score=</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2×Impact on cost allocation+Impact on performance</m:t>
                  </m:r>
                </m:e>
              </m:d>
            </m:num>
            <m:den>
              <m:d>
                <m:dPr>
                  <m:ctrlPr>
                    <w:rPr>
                      <w:rFonts w:ascii="Cambria Math" w:hAnsi="Cambria Math"/>
                      <w:i/>
                      <w:lang w:val="en-GB"/>
                    </w:rPr>
                  </m:ctrlPr>
                </m:dPr>
                <m:e>
                  <m:r>
                    <w:rPr>
                      <w:rFonts w:ascii="Cambria Math" w:hAnsi="Cambria Math"/>
                      <w:lang w:val="en-GB"/>
                    </w:rPr>
                    <m:t>Impact on pricing model complexity+2×Impact on data requirements</m:t>
                  </m:r>
                </m:e>
              </m:d>
            </m:den>
          </m:f>
        </m:oMath>
      </m:oMathPara>
    </w:p>
    <w:p w14:paraId="359FDA1A" w14:textId="77777777" w:rsidR="00BE56B6" w:rsidRPr="004A161B" w:rsidRDefault="00BE56B6" w:rsidP="00BE56B6">
      <w:r w:rsidRPr="004A161B">
        <w:t xml:space="preserve">The maximum permissible score is 3.0. </w:t>
      </w:r>
    </w:p>
    <w:p w14:paraId="507ED676" w14:textId="77777777" w:rsidR="00BE56B6" w:rsidRPr="004A161B" w:rsidRDefault="00BE56B6" w:rsidP="00BE56B6">
      <w:r w:rsidRPr="004A161B">
        <w:t>While the materiality score does not itself determine whether a change to the national pricing model should be considered for implementation, all changes are assessed qualitatively against the Pricing Guidelines. Depending on alignment with the Pricing Guidelines, changes with a score of 1.0 or more are generally recommended by IHPA to the Pricing Authority for consideration of implementation.</w:t>
      </w:r>
    </w:p>
    <w:p w14:paraId="2CF63D7E" w14:textId="77777777" w:rsidR="00BE56B6" w:rsidRPr="004A161B" w:rsidRDefault="00BE56B6" w:rsidP="00BE56B6">
      <w:r w:rsidRPr="004A161B">
        <w:t>From time to time, the Pricing Authority may need to consider criteria that are not included in this process. If the Pricing Authority is required to consider criteria that are not included in this assessment process, IHPA will seek advice from its advisory committees. As such, the Pricing Authority may choose to reject the proposal despite meeting the materiality score threshold, or a proposal may be rejected on the grounds of advice from IHPA’s advisory committees or other stakeholders.</w:t>
      </w:r>
    </w:p>
    <w:p w14:paraId="7DA1CF54" w14:textId="77777777" w:rsidR="00BE56B6" w:rsidRPr="004A161B" w:rsidRDefault="00BE56B6" w:rsidP="00BE56B6">
      <w:r w:rsidRPr="004A161B">
        <w:t>Where a change progresses following assessment against the materiality criteria, clauses B10, B37 and B38 of the Addendum to the National Health Reform Agreement 2020–25 require IHPA to undertake consultation with all nine jurisdictions for proposed changes in the national funding model, with special reference to the processes for changing ABF classifications and costing methodologies.</w:t>
      </w:r>
    </w:p>
    <w:p w14:paraId="439BD170" w14:textId="2F069BA8" w:rsidR="00C90356" w:rsidRPr="004A161B" w:rsidRDefault="00BE56B6" w:rsidP="00BE56B6">
      <w:r w:rsidRPr="004A161B">
        <w:t xml:space="preserve">IHPA’s </w:t>
      </w:r>
      <w:r w:rsidR="003A444B" w:rsidRPr="004A161B">
        <w:rPr>
          <w:i/>
        </w:rPr>
        <w:t>National Pricing Model Consultation Policy</w:t>
      </w:r>
      <w:r w:rsidR="003A444B" w:rsidRPr="004A161B">
        <w:t xml:space="preserve"> </w:t>
      </w:r>
      <w:r w:rsidRPr="004A161B">
        <w:t>outlines the guiding principles and consultative processes associated with changes that materially impact the application of the national funding model, including thresholds for further consultation, shadow pricing requirements and criteria for provision of a Statement of Impact detailing IHPA’s assessment of the proposed change.</w:t>
      </w:r>
    </w:p>
    <w:p w14:paraId="4BBE7C58" w14:textId="77777777" w:rsidR="00BE56B6" w:rsidRPr="004A161B" w:rsidRDefault="00BE56B6">
      <w:pPr>
        <w:spacing w:before="0" w:after="0" w:line="240" w:lineRule="auto"/>
      </w:pPr>
      <w:r w:rsidRPr="004A161B">
        <w:br w:type="page"/>
      </w:r>
    </w:p>
    <w:p w14:paraId="65B520D2" w14:textId="77777777" w:rsidR="00BE56B6" w:rsidRPr="004A161B" w:rsidRDefault="00BE56B6" w:rsidP="00BE56B6">
      <w:pPr>
        <w:pStyle w:val="Heading1"/>
        <w:numPr>
          <w:ilvl w:val="0"/>
          <w:numId w:val="0"/>
        </w:numPr>
      </w:pPr>
      <w:bookmarkStart w:id="12" w:name="_Toc92199556"/>
      <w:r w:rsidRPr="004A161B">
        <w:lastRenderedPageBreak/>
        <w:t>Appendix A: Example assessments</w:t>
      </w:r>
      <w:bookmarkEnd w:id="12"/>
    </w:p>
    <w:p w14:paraId="70B904DC" w14:textId="77777777" w:rsidR="00BE56B6" w:rsidRPr="004A161B" w:rsidRDefault="00BE56B6" w:rsidP="00BE56B6">
      <w:pPr>
        <w:pStyle w:val="Heading3"/>
      </w:pPr>
      <w:r w:rsidRPr="004A161B">
        <w:t xml:space="preserve">Proposal for an adjustment for stroke patients not assigned to a stroke Diagnosis Related Group (DRG) considered for </w:t>
      </w:r>
      <w:r w:rsidR="00A517E8" w:rsidRPr="004A161B">
        <w:t xml:space="preserve">the </w:t>
      </w:r>
      <w:r w:rsidRPr="004A161B">
        <w:t xml:space="preserve">NEP </w:t>
      </w:r>
      <w:r w:rsidR="00A517E8" w:rsidRPr="004A161B">
        <w:t xml:space="preserve">Determination </w:t>
      </w:r>
      <w:r w:rsidRPr="004A161B">
        <w:t xml:space="preserve">2015–16. </w:t>
      </w:r>
    </w:p>
    <w:p w14:paraId="04FC4D55" w14:textId="77777777" w:rsidR="00BE56B6" w:rsidRPr="004A161B" w:rsidRDefault="00BE56B6" w:rsidP="00BE56B6">
      <w:r w:rsidRPr="004A161B">
        <w:t>A jurisdiction proposes an adjustment be introduced for stroke patients who are not assigned to a stroke DRG. This occurs when their principle diagnosis is not stroke related.</w:t>
      </w:r>
    </w:p>
    <w:p w14:paraId="5E2F6E73" w14:textId="77777777" w:rsidR="00BE56B6" w:rsidRPr="004A161B" w:rsidRDefault="00BE56B6" w:rsidP="00BE56B6">
      <w:r w:rsidRPr="004A161B">
        <w:t>IHPA analysis shows that there are 982 patients that meet this description in 2012–13, and an adjustment of 8</w:t>
      </w:r>
      <w:r w:rsidR="00A517E8" w:rsidRPr="004A161B">
        <w:t xml:space="preserve"> per cent</w:t>
      </w:r>
      <w:r w:rsidRPr="004A161B">
        <w:t xml:space="preserve"> would allocate an additional $1.7 million in the </w:t>
      </w:r>
      <w:r w:rsidR="007B7433" w:rsidRPr="004A161B">
        <w:t xml:space="preserve">national </w:t>
      </w:r>
      <w:r w:rsidRPr="004A161B">
        <w:t>pricing model. The improvement in the performance of the cost model SMAPE is negligible.</w:t>
      </w:r>
    </w:p>
    <w:p w14:paraId="5CAD10EF" w14:textId="77777777" w:rsidR="00BE56B6" w:rsidRPr="004A161B" w:rsidRDefault="00BE56B6" w:rsidP="00BE56B6">
      <w:r w:rsidRPr="004A161B">
        <w:t>The adjustment would be consistent with the Pricing Guidelines. The model complexity would increase as a set of diagnosis codes would need to be identified that the adjustment would apply to. The proposal would utilise existing data.</w:t>
      </w:r>
    </w:p>
    <w:p w14:paraId="766F94E3" w14:textId="77777777" w:rsidR="00BE56B6" w:rsidRPr="004A161B" w:rsidRDefault="00BE56B6" w:rsidP="00BE56B6">
      <w:r w:rsidRPr="004A161B">
        <w:t>The table below shows how this information is translated into the scoring system for this example.</w:t>
      </w:r>
    </w:p>
    <w:p w14:paraId="31AFB02B" w14:textId="77777777" w:rsidR="00BE56B6" w:rsidRPr="004A161B" w:rsidRDefault="003A444B" w:rsidP="00BE56B6">
      <w:pPr>
        <w:rPr>
          <w:b/>
        </w:rPr>
      </w:pPr>
      <w:r w:rsidRPr="004A161B">
        <w:rPr>
          <w:b/>
        </w:rPr>
        <w:t>Table 3. Example assessment</w:t>
      </w:r>
    </w:p>
    <w:tbl>
      <w:tblPr>
        <w:tblStyle w:val="TableGrid"/>
        <w:tblW w:w="0" w:type="auto"/>
        <w:tblLook w:val="04A0" w:firstRow="1" w:lastRow="0" w:firstColumn="1" w:lastColumn="0" w:noHBand="0" w:noVBand="1"/>
      </w:tblPr>
      <w:tblGrid>
        <w:gridCol w:w="3980"/>
        <w:gridCol w:w="828"/>
        <w:gridCol w:w="3799"/>
        <w:gridCol w:w="828"/>
      </w:tblGrid>
      <w:tr w:rsidR="00BE56B6" w:rsidRPr="004A161B" w14:paraId="52A317E3" w14:textId="77777777" w:rsidTr="00BE56B6">
        <w:tc>
          <w:tcPr>
            <w:tcW w:w="9435" w:type="dxa"/>
            <w:gridSpan w:val="4"/>
            <w:vAlign w:val="center"/>
          </w:tcPr>
          <w:p w14:paraId="3C062415" w14:textId="77777777" w:rsidR="00BE56B6" w:rsidRPr="004A161B" w:rsidRDefault="00BE56B6" w:rsidP="003A444B">
            <w:pPr>
              <w:spacing w:before="100" w:after="100"/>
              <w:jc w:val="center"/>
              <w:rPr>
                <w:b/>
              </w:rPr>
            </w:pPr>
            <w:r w:rsidRPr="004A161B">
              <w:rPr>
                <w:b/>
              </w:rPr>
              <w:t>Benefits</w:t>
            </w:r>
          </w:p>
        </w:tc>
      </w:tr>
      <w:tr w:rsidR="00BE56B6" w:rsidRPr="004A161B" w14:paraId="03C28695" w14:textId="77777777" w:rsidTr="00BE56B6">
        <w:tc>
          <w:tcPr>
            <w:tcW w:w="3980" w:type="dxa"/>
          </w:tcPr>
          <w:p w14:paraId="55D84CA2" w14:textId="77777777" w:rsidR="00BE56B6" w:rsidRPr="004A161B" w:rsidRDefault="00BE56B6" w:rsidP="003A444B">
            <w:pPr>
              <w:spacing w:before="100" w:after="100"/>
              <w:rPr>
                <w:b/>
              </w:rPr>
            </w:pPr>
            <w:r w:rsidRPr="004A161B">
              <w:rPr>
                <w:b/>
              </w:rPr>
              <w:t>Impact on cost allocation</w:t>
            </w:r>
          </w:p>
        </w:tc>
        <w:tc>
          <w:tcPr>
            <w:tcW w:w="828" w:type="dxa"/>
          </w:tcPr>
          <w:p w14:paraId="6600D5A4" w14:textId="77777777" w:rsidR="00BE56B6" w:rsidRPr="004A161B" w:rsidRDefault="00BE56B6" w:rsidP="003A444B">
            <w:pPr>
              <w:spacing w:before="100" w:after="100"/>
              <w:rPr>
                <w:b/>
              </w:rPr>
            </w:pPr>
            <w:r w:rsidRPr="004A161B">
              <w:rPr>
                <w:b/>
              </w:rPr>
              <w:t>Score</w:t>
            </w:r>
          </w:p>
        </w:tc>
        <w:tc>
          <w:tcPr>
            <w:tcW w:w="3799" w:type="dxa"/>
          </w:tcPr>
          <w:p w14:paraId="4910D8E8" w14:textId="77777777" w:rsidR="00BE56B6" w:rsidRPr="004A161B" w:rsidRDefault="00BE56B6" w:rsidP="003A444B">
            <w:pPr>
              <w:spacing w:before="100" w:after="100"/>
              <w:rPr>
                <w:b/>
              </w:rPr>
            </w:pPr>
            <w:r w:rsidRPr="004A161B">
              <w:rPr>
                <w:b/>
              </w:rPr>
              <w:t>Improvement in cost model performance</w:t>
            </w:r>
          </w:p>
        </w:tc>
        <w:tc>
          <w:tcPr>
            <w:tcW w:w="828" w:type="dxa"/>
          </w:tcPr>
          <w:p w14:paraId="265E1E70" w14:textId="77777777" w:rsidR="00BE56B6" w:rsidRPr="004A161B" w:rsidRDefault="00BE56B6" w:rsidP="003A444B">
            <w:pPr>
              <w:spacing w:before="100" w:after="100"/>
              <w:rPr>
                <w:b/>
              </w:rPr>
            </w:pPr>
            <w:r w:rsidRPr="004A161B">
              <w:rPr>
                <w:b/>
              </w:rPr>
              <w:t>Score</w:t>
            </w:r>
          </w:p>
        </w:tc>
      </w:tr>
      <w:tr w:rsidR="00BE56B6" w:rsidRPr="004A161B" w14:paraId="6D16B26A" w14:textId="77777777" w:rsidTr="00BE56B6">
        <w:tc>
          <w:tcPr>
            <w:tcW w:w="3980" w:type="dxa"/>
            <w:shd w:val="clear" w:color="auto" w:fill="CBE7B9" w:themeFill="accent3" w:themeFillTint="66"/>
          </w:tcPr>
          <w:p w14:paraId="58B1B813" w14:textId="77777777" w:rsidR="00BE56B6" w:rsidRPr="004A161B" w:rsidRDefault="00BE56B6" w:rsidP="003A444B">
            <w:pPr>
              <w:spacing w:before="100" w:after="100"/>
            </w:pPr>
            <w:r w:rsidRPr="004A161B">
              <w:t>Redistributes 0 – $25 million or impacts less than 10,000 separations</w:t>
            </w:r>
          </w:p>
        </w:tc>
        <w:tc>
          <w:tcPr>
            <w:tcW w:w="828" w:type="dxa"/>
            <w:shd w:val="clear" w:color="auto" w:fill="CBE7B9" w:themeFill="accent3" w:themeFillTint="66"/>
          </w:tcPr>
          <w:p w14:paraId="34EFA8B7" w14:textId="77777777" w:rsidR="00BE56B6" w:rsidRPr="004A161B" w:rsidRDefault="00BE56B6" w:rsidP="003A444B">
            <w:pPr>
              <w:spacing w:before="100" w:after="100"/>
              <w:jc w:val="center"/>
            </w:pPr>
            <w:r w:rsidRPr="004A161B">
              <w:t>1</w:t>
            </w:r>
          </w:p>
        </w:tc>
        <w:tc>
          <w:tcPr>
            <w:tcW w:w="3799" w:type="dxa"/>
          </w:tcPr>
          <w:p w14:paraId="692838F6" w14:textId="77777777" w:rsidR="00BE56B6" w:rsidRPr="004A161B" w:rsidRDefault="00BE56B6" w:rsidP="003A444B">
            <w:pPr>
              <w:spacing w:before="100" w:after="100"/>
            </w:pPr>
            <w:r w:rsidRPr="004A161B">
              <w:t>Increases SMAPE more than 0.5%</w:t>
            </w:r>
          </w:p>
        </w:tc>
        <w:tc>
          <w:tcPr>
            <w:tcW w:w="828" w:type="dxa"/>
          </w:tcPr>
          <w:p w14:paraId="471E3652" w14:textId="77777777" w:rsidR="00BE56B6" w:rsidRPr="004A161B" w:rsidRDefault="00BE56B6" w:rsidP="003A444B">
            <w:pPr>
              <w:spacing w:before="100" w:after="100"/>
              <w:jc w:val="center"/>
            </w:pPr>
            <w:r w:rsidRPr="004A161B">
              <w:t>1</w:t>
            </w:r>
          </w:p>
        </w:tc>
      </w:tr>
      <w:tr w:rsidR="00BE56B6" w:rsidRPr="004A161B" w14:paraId="284874FE" w14:textId="77777777" w:rsidTr="00BE56B6">
        <w:tc>
          <w:tcPr>
            <w:tcW w:w="3980" w:type="dxa"/>
          </w:tcPr>
          <w:p w14:paraId="1AC7896A" w14:textId="77777777" w:rsidR="00BE56B6" w:rsidRPr="004A161B" w:rsidRDefault="00BE56B6" w:rsidP="003A444B">
            <w:pPr>
              <w:spacing w:before="100" w:after="100"/>
            </w:pPr>
            <w:r w:rsidRPr="004A161B">
              <w:t>Redistributes $25 – $250 million or impacts 10,000 to 100,000 separations</w:t>
            </w:r>
          </w:p>
        </w:tc>
        <w:tc>
          <w:tcPr>
            <w:tcW w:w="828" w:type="dxa"/>
          </w:tcPr>
          <w:p w14:paraId="73EF798D" w14:textId="77777777" w:rsidR="00BE56B6" w:rsidRPr="004A161B" w:rsidRDefault="00BE56B6" w:rsidP="003A444B">
            <w:pPr>
              <w:spacing w:before="100" w:after="100"/>
              <w:jc w:val="center"/>
            </w:pPr>
            <w:r w:rsidRPr="004A161B">
              <w:t>2</w:t>
            </w:r>
          </w:p>
        </w:tc>
        <w:tc>
          <w:tcPr>
            <w:tcW w:w="3799" w:type="dxa"/>
            <w:shd w:val="clear" w:color="auto" w:fill="CBE7B9" w:themeFill="accent3" w:themeFillTint="66"/>
          </w:tcPr>
          <w:p w14:paraId="45171274" w14:textId="77777777" w:rsidR="00BE56B6" w:rsidRPr="004A161B" w:rsidRDefault="00BE56B6" w:rsidP="003A444B">
            <w:pPr>
              <w:spacing w:before="100" w:after="100"/>
            </w:pPr>
            <w:r w:rsidRPr="004A161B">
              <w:t>Less than 0.5% change in SMAPE</w:t>
            </w:r>
          </w:p>
        </w:tc>
        <w:tc>
          <w:tcPr>
            <w:tcW w:w="828" w:type="dxa"/>
            <w:shd w:val="clear" w:color="auto" w:fill="CBE7B9" w:themeFill="accent3" w:themeFillTint="66"/>
          </w:tcPr>
          <w:p w14:paraId="212BCC47" w14:textId="77777777" w:rsidR="00BE56B6" w:rsidRPr="004A161B" w:rsidRDefault="00BE56B6" w:rsidP="003A444B">
            <w:pPr>
              <w:spacing w:before="100" w:after="100"/>
              <w:jc w:val="center"/>
            </w:pPr>
            <w:r w:rsidRPr="004A161B">
              <w:t>2</w:t>
            </w:r>
          </w:p>
        </w:tc>
      </w:tr>
      <w:tr w:rsidR="00BE56B6" w:rsidRPr="004A161B" w14:paraId="3C2B5ABB" w14:textId="77777777" w:rsidTr="00BE56B6">
        <w:tc>
          <w:tcPr>
            <w:tcW w:w="3980" w:type="dxa"/>
          </w:tcPr>
          <w:p w14:paraId="7EBD0CC3" w14:textId="77777777" w:rsidR="00BE56B6" w:rsidRPr="004A161B" w:rsidRDefault="00BE56B6" w:rsidP="003A444B">
            <w:pPr>
              <w:spacing w:before="100" w:after="100"/>
            </w:pPr>
            <w:r w:rsidRPr="004A161B">
              <w:t>Redistributes &gt;$250 million impacts more than 100,000 separations</w:t>
            </w:r>
          </w:p>
        </w:tc>
        <w:tc>
          <w:tcPr>
            <w:tcW w:w="828" w:type="dxa"/>
          </w:tcPr>
          <w:p w14:paraId="359F8289" w14:textId="77777777" w:rsidR="00BE56B6" w:rsidRPr="004A161B" w:rsidRDefault="00BE56B6" w:rsidP="003A444B">
            <w:pPr>
              <w:spacing w:before="100" w:after="100"/>
              <w:jc w:val="center"/>
            </w:pPr>
            <w:r w:rsidRPr="004A161B">
              <w:t>3</w:t>
            </w:r>
          </w:p>
        </w:tc>
        <w:tc>
          <w:tcPr>
            <w:tcW w:w="3799" w:type="dxa"/>
          </w:tcPr>
          <w:p w14:paraId="435F989D" w14:textId="77777777" w:rsidR="00BE56B6" w:rsidRPr="004A161B" w:rsidRDefault="00BE56B6" w:rsidP="003A444B">
            <w:pPr>
              <w:spacing w:before="100" w:after="100"/>
            </w:pPr>
            <w:r w:rsidRPr="004A161B">
              <w:t>Decreases SMAPE more than 0.5%</w:t>
            </w:r>
          </w:p>
        </w:tc>
        <w:tc>
          <w:tcPr>
            <w:tcW w:w="828" w:type="dxa"/>
          </w:tcPr>
          <w:p w14:paraId="456E8684" w14:textId="77777777" w:rsidR="00BE56B6" w:rsidRPr="004A161B" w:rsidRDefault="00BE56B6" w:rsidP="003A444B">
            <w:pPr>
              <w:spacing w:before="100" w:after="100"/>
              <w:jc w:val="center"/>
            </w:pPr>
            <w:r w:rsidRPr="004A161B">
              <w:t>3</w:t>
            </w:r>
          </w:p>
        </w:tc>
      </w:tr>
      <w:tr w:rsidR="00BE56B6" w:rsidRPr="004A161B" w14:paraId="715C764B" w14:textId="77777777" w:rsidTr="00BE56B6">
        <w:tc>
          <w:tcPr>
            <w:tcW w:w="9435" w:type="dxa"/>
            <w:gridSpan w:val="4"/>
            <w:vAlign w:val="center"/>
          </w:tcPr>
          <w:p w14:paraId="66449D89" w14:textId="77777777" w:rsidR="00BE56B6" w:rsidRPr="004A161B" w:rsidRDefault="00BE56B6" w:rsidP="003A444B">
            <w:pPr>
              <w:spacing w:before="100" w:after="100"/>
              <w:jc w:val="center"/>
              <w:rPr>
                <w:b/>
              </w:rPr>
            </w:pPr>
            <w:r w:rsidRPr="004A161B">
              <w:rPr>
                <w:b/>
              </w:rPr>
              <w:t>Costs</w:t>
            </w:r>
          </w:p>
        </w:tc>
      </w:tr>
      <w:tr w:rsidR="00BE56B6" w:rsidRPr="004A161B" w14:paraId="68991588" w14:textId="77777777" w:rsidTr="00BE56B6">
        <w:tc>
          <w:tcPr>
            <w:tcW w:w="3980" w:type="dxa"/>
          </w:tcPr>
          <w:p w14:paraId="0333202C" w14:textId="77777777" w:rsidR="00BE56B6" w:rsidRPr="004A161B" w:rsidRDefault="00BE56B6" w:rsidP="003A444B">
            <w:pPr>
              <w:spacing w:before="100" w:after="100"/>
              <w:rPr>
                <w:b/>
              </w:rPr>
            </w:pPr>
            <w:r w:rsidRPr="004A161B">
              <w:rPr>
                <w:b/>
              </w:rPr>
              <w:t>Impact on pricing model complexity</w:t>
            </w:r>
          </w:p>
        </w:tc>
        <w:tc>
          <w:tcPr>
            <w:tcW w:w="828" w:type="dxa"/>
          </w:tcPr>
          <w:p w14:paraId="5B65F473" w14:textId="77777777" w:rsidR="00BE56B6" w:rsidRPr="004A161B" w:rsidRDefault="00BE56B6" w:rsidP="003A444B">
            <w:pPr>
              <w:spacing w:before="100" w:after="100"/>
              <w:rPr>
                <w:b/>
              </w:rPr>
            </w:pPr>
            <w:r w:rsidRPr="004A161B">
              <w:rPr>
                <w:b/>
              </w:rPr>
              <w:t>Score</w:t>
            </w:r>
          </w:p>
        </w:tc>
        <w:tc>
          <w:tcPr>
            <w:tcW w:w="3799" w:type="dxa"/>
          </w:tcPr>
          <w:p w14:paraId="715FD005" w14:textId="77777777" w:rsidR="00BE56B6" w:rsidRPr="004A161B" w:rsidRDefault="00BE56B6" w:rsidP="003A444B">
            <w:pPr>
              <w:spacing w:before="100" w:after="100"/>
              <w:rPr>
                <w:b/>
              </w:rPr>
            </w:pPr>
            <w:r w:rsidRPr="004A161B">
              <w:rPr>
                <w:b/>
              </w:rPr>
              <w:t>Impact on data requirements</w:t>
            </w:r>
          </w:p>
        </w:tc>
        <w:tc>
          <w:tcPr>
            <w:tcW w:w="828" w:type="dxa"/>
          </w:tcPr>
          <w:p w14:paraId="03BC4469" w14:textId="77777777" w:rsidR="00BE56B6" w:rsidRPr="004A161B" w:rsidRDefault="00BE56B6" w:rsidP="003A444B">
            <w:pPr>
              <w:spacing w:before="100" w:after="100"/>
              <w:rPr>
                <w:b/>
              </w:rPr>
            </w:pPr>
            <w:r w:rsidRPr="004A161B">
              <w:rPr>
                <w:b/>
              </w:rPr>
              <w:t>Score</w:t>
            </w:r>
          </w:p>
        </w:tc>
      </w:tr>
      <w:tr w:rsidR="00BE56B6" w:rsidRPr="004A161B" w14:paraId="134390CC" w14:textId="77777777" w:rsidTr="00BE56B6">
        <w:tc>
          <w:tcPr>
            <w:tcW w:w="3980" w:type="dxa"/>
          </w:tcPr>
          <w:p w14:paraId="53DBF4BF" w14:textId="77777777" w:rsidR="00BE56B6" w:rsidRPr="004A161B" w:rsidRDefault="00BE56B6" w:rsidP="003A444B">
            <w:pPr>
              <w:spacing w:before="100" w:after="100"/>
            </w:pPr>
            <w:r w:rsidRPr="004A161B">
              <w:t>Removes existing adjustments</w:t>
            </w:r>
          </w:p>
        </w:tc>
        <w:tc>
          <w:tcPr>
            <w:tcW w:w="828" w:type="dxa"/>
          </w:tcPr>
          <w:p w14:paraId="38492445" w14:textId="77777777" w:rsidR="00BE56B6" w:rsidRPr="004A161B" w:rsidRDefault="00BE56B6" w:rsidP="003A444B">
            <w:pPr>
              <w:spacing w:before="100" w:after="100"/>
              <w:jc w:val="center"/>
            </w:pPr>
            <w:r w:rsidRPr="004A161B">
              <w:t>1</w:t>
            </w:r>
          </w:p>
        </w:tc>
        <w:tc>
          <w:tcPr>
            <w:tcW w:w="3799" w:type="dxa"/>
            <w:shd w:val="clear" w:color="auto" w:fill="CBE7B9" w:themeFill="accent3" w:themeFillTint="66"/>
          </w:tcPr>
          <w:p w14:paraId="69013F95" w14:textId="77777777" w:rsidR="00BE56B6" w:rsidRPr="004A161B" w:rsidRDefault="00BE56B6" w:rsidP="003A444B">
            <w:pPr>
              <w:spacing w:before="100" w:after="100"/>
            </w:pPr>
            <w:r w:rsidRPr="004A161B">
              <w:t>Utilises existing data</w:t>
            </w:r>
          </w:p>
        </w:tc>
        <w:tc>
          <w:tcPr>
            <w:tcW w:w="828" w:type="dxa"/>
            <w:shd w:val="clear" w:color="auto" w:fill="CBE7B9" w:themeFill="accent3" w:themeFillTint="66"/>
          </w:tcPr>
          <w:p w14:paraId="6FF13322" w14:textId="77777777" w:rsidR="00BE56B6" w:rsidRPr="004A161B" w:rsidRDefault="00BE56B6" w:rsidP="003A444B">
            <w:pPr>
              <w:spacing w:before="100" w:after="100"/>
              <w:jc w:val="center"/>
            </w:pPr>
            <w:r w:rsidRPr="004A161B">
              <w:t>1</w:t>
            </w:r>
          </w:p>
        </w:tc>
      </w:tr>
      <w:tr w:rsidR="00BE56B6" w:rsidRPr="004A161B" w14:paraId="333725A3" w14:textId="77777777" w:rsidTr="00BE56B6">
        <w:tc>
          <w:tcPr>
            <w:tcW w:w="3980" w:type="dxa"/>
          </w:tcPr>
          <w:p w14:paraId="221695E3" w14:textId="77777777" w:rsidR="00BE56B6" w:rsidRPr="004A161B" w:rsidRDefault="00BE56B6" w:rsidP="003A444B">
            <w:pPr>
              <w:spacing w:before="100" w:after="100"/>
            </w:pPr>
            <w:r w:rsidRPr="004A161B">
              <w:t>Extends existing adjustments to other patient cohorts</w:t>
            </w:r>
          </w:p>
        </w:tc>
        <w:tc>
          <w:tcPr>
            <w:tcW w:w="828" w:type="dxa"/>
          </w:tcPr>
          <w:p w14:paraId="5780ECA5" w14:textId="77777777" w:rsidR="00BE56B6" w:rsidRPr="004A161B" w:rsidRDefault="00BE56B6" w:rsidP="003A444B">
            <w:pPr>
              <w:spacing w:before="100" w:after="100"/>
              <w:jc w:val="center"/>
            </w:pPr>
            <w:r w:rsidRPr="004A161B">
              <w:t>2</w:t>
            </w:r>
          </w:p>
        </w:tc>
        <w:tc>
          <w:tcPr>
            <w:tcW w:w="3799" w:type="dxa"/>
          </w:tcPr>
          <w:p w14:paraId="08036537" w14:textId="77777777" w:rsidR="00BE56B6" w:rsidRPr="004A161B" w:rsidRDefault="00BE56B6" w:rsidP="003A444B">
            <w:pPr>
              <w:spacing w:before="100" w:after="100"/>
            </w:pPr>
            <w:r w:rsidRPr="004A161B">
              <w:t>New data items, available in state/territory systems</w:t>
            </w:r>
          </w:p>
        </w:tc>
        <w:tc>
          <w:tcPr>
            <w:tcW w:w="828" w:type="dxa"/>
          </w:tcPr>
          <w:p w14:paraId="054E9858" w14:textId="77777777" w:rsidR="00BE56B6" w:rsidRPr="004A161B" w:rsidRDefault="00BE56B6" w:rsidP="003A444B">
            <w:pPr>
              <w:spacing w:before="100" w:after="100"/>
              <w:jc w:val="center"/>
            </w:pPr>
            <w:r w:rsidRPr="004A161B">
              <w:t>2</w:t>
            </w:r>
          </w:p>
        </w:tc>
      </w:tr>
      <w:tr w:rsidR="00BE56B6" w:rsidRPr="004A161B" w14:paraId="4F57A0D2" w14:textId="77777777" w:rsidTr="00BE56B6">
        <w:tc>
          <w:tcPr>
            <w:tcW w:w="3980" w:type="dxa"/>
            <w:shd w:val="clear" w:color="auto" w:fill="CBE7B9" w:themeFill="accent3" w:themeFillTint="66"/>
          </w:tcPr>
          <w:p w14:paraId="65ABA47F" w14:textId="77777777" w:rsidR="00BE56B6" w:rsidRPr="004A161B" w:rsidRDefault="00BE56B6" w:rsidP="00A517E8">
            <w:pPr>
              <w:spacing w:before="100" w:after="100"/>
            </w:pPr>
            <w:r w:rsidRPr="004A161B">
              <w:t>Introduces new variables or specific code sets (</w:t>
            </w:r>
            <w:r w:rsidR="00A517E8" w:rsidRPr="004A161B">
              <w:t>for example,</w:t>
            </w:r>
            <w:r w:rsidRPr="004A161B">
              <w:t xml:space="preserve"> radiotherapy adjustment)</w:t>
            </w:r>
          </w:p>
        </w:tc>
        <w:tc>
          <w:tcPr>
            <w:tcW w:w="828" w:type="dxa"/>
            <w:shd w:val="clear" w:color="auto" w:fill="CBE7B9" w:themeFill="accent3" w:themeFillTint="66"/>
          </w:tcPr>
          <w:p w14:paraId="04D28484" w14:textId="77777777" w:rsidR="00BE56B6" w:rsidRPr="004A161B" w:rsidRDefault="00BE56B6" w:rsidP="003A444B">
            <w:pPr>
              <w:spacing w:before="100" w:after="100"/>
              <w:jc w:val="center"/>
            </w:pPr>
            <w:r w:rsidRPr="004A161B">
              <w:t>3</w:t>
            </w:r>
          </w:p>
        </w:tc>
        <w:tc>
          <w:tcPr>
            <w:tcW w:w="3799" w:type="dxa"/>
          </w:tcPr>
          <w:p w14:paraId="1B327068" w14:textId="77777777" w:rsidR="00BE56B6" w:rsidRPr="004A161B" w:rsidRDefault="00BE56B6" w:rsidP="003A444B">
            <w:pPr>
              <w:spacing w:before="100" w:after="100"/>
            </w:pPr>
            <w:r w:rsidRPr="004A161B">
              <w:t>New data items, not available in state/territory systems</w:t>
            </w:r>
          </w:p>
        </w:tc>
        <w:tc>
          <w:tcPr>
            <w:tcW w:w="828" w:type="dxa"/>
          </w:tcPr>
          <w:p w14:paraId="790EFEF3" w14:textId="77777777" w:rsidR="00BE56B6" w:rsidRPr="004A161B" w:rsidRDefault="00BE56B6" w:rsidP="003A444B">
            <w:pPr>
              <w:spacing w:before="100" w:after="100"/>
              <w:jc w:val="center"/>
            </w:pPr>
            <w:r w:rsidRPr="004A161B">
              <w:t>3</w:t>
            </w:r>
          </w:p>
        </w:tc>
      </w:tr>
    </w:tbl>
    <w:p w14:paraId="6FC16B88" w14:textId="77777777" w:rsidR="00BE56B6" w:rsidRPr="004A161B" w:rsidRDefault="00BE56B6" w:rsidP="00BE56B6">
      <w:pPr>
        <w:spacing w:line="240" w:lineRule="auto"/>
        <w:rPr>
          <w:b/>
          <w:lang w:val="en-GB"/>
        </w:rPr>
      </w:pPr>
      <w:r w:rsidRPr="004A161B">
        <w:rPr>
          <w:b/>
          <w:lang w:val="en-GB"/>
        </w:rPr>
        <w:lastRenderedPageBreak/>
        <w:t>Materiality calculation:</w:t>
      </w:r>
    </w:p>
    <w:p w14:paraId="6A47390A" w14:textId="77777777" w:rsidR="00BE56B6" w:rsidRPr="004A161B" w:rsidRDefault="000577E5" w:rsidP="006103B4">
      <m:oMathPara>
        <m:oMath>
          <m:r>
            <w:rPr>
              <w:rFonts w:ascii="Cambria Math" w:hAnsi="Cambria Math"/>
              <w:lang w:val="en-GB"/>
            </w:rPr>
            <m:t>Materiality score=</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2×Impact on cost allocation+Impact on performance</m:t>
                  </m:r>
                </m:e>
              </m:d>
            </m:num>
            <m:den>
              <m:d>
                <m:dPr>
                  <m:ctrlPr>
                    <w:rPr>
                      <w:rFonts w:ascii="Cambria Math" w:hAnsi="Cambria Math"/>
                      <w:i/>
                      <w:lang w:val="en-GB"/>
                    </w:rPr>
                  </m:ctrlPr>
                </m:dPr>
                <m:e>
                  <m:r>
                    <w:rPr>
                      <w:rFonts w:ascii="Cambria Math" w:hAnsi="Cambria Math"/>
                      <w:lang w:val="en-GB"/>
                    </w:rPr>
                    <m:t>Impact on pricing model complexity+2×Impact on data requirements</m:t>
                  </m:r>
                </m:e>
              </m:d>
            </m:den>
          </m:f>
        </m:oMath>
      </m:oMathPara>
    </w:p>
    <w:p w14:paraId="49641F8E" w14:textId="77777777" w:rsidR="00BE56B6" w:rsidRPr="004A161B" w:rsidRDefault="00BE56B6" w:rsidP="00BE56B6">
      <w:pPr>
        <w:ind w:left="142"/>
      </w:pPr>
      <m:oMathPara>
        <m:oMath>
          <m:r>
            <w:rPr>
              <w:rFonts w:ascii="Cambria Math" w:hAnsi="Cambria Math"/>
              <w:lang w:val="en-GB"/>
            </w:rPr>
            <m:t xml:space="preserve">= </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2×1+2</m:t>
                  </m:r>
                </m:e>
              </m:d>
            </m:num>
            <m:den>
              <m:d>
                <m:dPr>
                  <m:ctrlPr>
                    <w:rPr>
                      <w:rFonts w:ascii="Cambria Math" w:hAnsi="Cambria Math"/>
                      <w:i/>
                      <w:lang w:val="en-GB"/>
                    </w:rPr>
                  </m:ctrlPr>
                </m:dPr>
                <m:e>
                  <m:r>
                    <w:rPr>
                      <w:rFonts w:ascii="Cambria Math" w:hAnsi="Cambria Math"/>
                      <w:lang w:val="en-GB"/>
                    </w:rPr>
                    <m:t>3+2×1</m:t>
                  </m:r>
                </m:e>
              </m:d>
            </m:den>
          </m:f>
        </m:oMath>
      </m:oMathPara>
    </w:p>
    <w:p w14:paraId="211B6C25" w14:textId="77777777" w:rsidR="00BE56B6" w:rsidRPr="004A161B" w:rsidRDefault="00BE56B6" w:rsidP="00BE56B6">
      <w:pPr>
        <w:ind w:left="142"/>
      </w:pPr>
      <m:oMathPara>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4</m:t>
              </m:r>
            </m:num>
            <m:den>
              <m:r>
                <w:rPr>
                  <w:rFonts w:ascii="Cambria Math" w:hAnsi="Cambria Math"/>
                  <w:lang w:val="en-GB"/>
                </w:rPr>
                <m:t>5</m:t>
              </m:r>
            </m:den>
          </m:f>
        </m:oMath>
      </m:oMathPara>
    </w:p>
    <w:p w14:paraId="34108DF3" w14:textId="77777777" w:rsidR="00BE56B6" w:rsidRPr="004A161B" w:rsidRDefault="00BE56B6" w:rsidP="00BE56B6">
      <w:pPr>
        <w:ind w:left="142"/>
      </w:pPr>
      <m:oMathPara>
        <m:oMath>
          <m:r>
            <w:rPr>
              <w:rFonts w:ascii="Cambria Math" w:hAnsi="Cambria Math"/>
              <w:lang w:val="en-GB"/>
            </w:rPr>
            <m:t>= 0.8</m:t>
          </m:r>
        </m:oMath>
      </m:oMathPara>
    </w:p>
    <w:p w14:paraId="7A227A31" w14:textId="2B8E4A08" w:rsidR="00BE56B6" w:rsidRPr="004A161B" w:rsidRDefault="00BE56B6" w:rsidP="00BE56B6">
      <w:r w:rsidRPr="004A161B">
        <w:t xml:space="preserve">As the materiality score is less than the target threshold of 1.0, although it is consistent with the Pricing Guidelines, IHPA would not recommend that the Pricing Authority </w:t>
      </w:r>
      <w:r w:rsidR="00A517E8" w:rsidRPr="004A161B">
        <w:t>accept the proposal</w:t>
      </w:r>
      <w:r w:rsidRPr="004A161B">
        <w:t>.</w:t>
      </w:r>
    </w:p>
    <w:p w14:paraId="17B69E9E" w14:textId="77777777" w:rsidR="00BE56B6" w:rsidRPr="004A161B" w:rsidRDefault="00BE56B6">
      <w:pPr>
        <w:spacing w:before="0" w:after="0" w:line="240" w:lineRule="auto"/>
      </w:pPr>
      <w:r w:rsidRPr="004A161B">
        <w:br w:type="page"/>
      </w:r>
    </w:p>
    <w:p w14:paraId="53EFCDC4" w14:textId="0CBAF21F" w:rsidR="00BE56B6" w:rsidRPr="004A161B" w:rsidRDefault="00BE56B6" w:rsidP="00BE56B6">
      <w:pPr>
        <w:pStyle w:val="Heading3"/>
      </w:pPr>
      <w:r w:rsidRPr="004A161B">
        <w:lastRenderedPageBreak/>
        <w:t>Proposal for an adjustment for patients who receive dialysis whilst admitted to hospitals for other reasons (not assigned to DRG L61Z</w:t>
      </w:r>
      <w:r w:rsidR="00A517E8" w:rsidRPr="004A161B">
        <w:t xml:space="preserve"> Haemodialysis</w:t>
      </w:r>
      <w:r w:rsidRPr="004A161B">
        <w:t xml:space="preserve">) considered for </w:t>
      </w:r>
      <w:r w:rsidR="00A517E8" w:rsidRPr="004A161B">
        <w:t xml:space="preserve">the </w:t>
      </w:r>
      <w:r w:rsidRPr="004A161B">
        <w:t xml:space="preserve">NEP </w:t>
      </w:r>
      <w:r w:rsidR="00A517E8" w:rsidRPr="004A161B">
        <w:t xml:space="preserve">Determination </w:t>
      </w:r>
      <w:r w:rsidRPr="004A161B">
        <w:t>2015–16.</w:t>
      </w:r>
    </w:p>
    <w:p w14:paraId="31B5C526" w14:textId="7AE7413C" w:rsidR="00BE56B6" w:rsidRPr="004A161B" w:rsidRDefault="00BE56B6" w:rsidP="00BE56B6">
      <w:r w:rsidRPr="004A161B">
        <w:t>A jurisdiction proposes an adjustment be introduced for patients who receive dialysis whilst admitted to hospitals for other reasons (not assigned to DRG L61Z</w:t>
      </w:r>
      <w:r w:rsidR="00A517E8" w:rsidRPr="004A161B">
        <w:t xml:space="preserve"> Haemodialysis</w:t>
      </w:r>
      <w:r w:rsidRPr="004A161B">
        <w:t>).</w:t>
      </w:r>
    </w:p>
    <w:p w14:paraId="255920B1" w14:textId="77777777" w:rsidR="00BE56B6" w:rsidRPr="004A161B" w:rsidRDefault="00BE56B6" w:rsidP="00BE56B6">
      <w:r w:rsidRPr="004A161B">
        <w:t>IHPA analysis shows that there are 26,366 patients that meet this description in 2012–13, and an adjustment of 22</w:t>
      </w:r>
      <w:r w:rsidR="00A517E8" w:rsidRPr="004A161B">
        <w:t xml:space="preserve"> per cent</w:t>
      </w:r>
      <w:r w:rsidRPr="004A161B">
        <w:t xml:space="preserve"> would allocate an additional $91.3 million in the </w:t>
      </w:r>
      <w:r w:rsidR="007B7433" w:rsidRPr="004A161B">
        <w:t xml:space="preserve">national </w:t>
      </w:r>
      <w:r w:rsidRPr="004A161B">
        <w:t>pricing model. The change in model performance is negligible.</w:t>
      </w:r>
    </w:p>
    <w:p w14:paraId="6747F0A1" w14:textId="77777777" w:rsidR="00BE56B6" w:rsidRPr="004A161B" w:rsidRDefault="00BE56B6" w:rsidP="00BE56B6">
      <w:r w:rsidRPr="004A161B">
        <w:t>The adjustment would be consistent with the Pricing Guidelines. The model complexity would increase as a set of diagnosis codes would need to be identified that the adjustment would apply to. The proposal would utilise existing data.</w:t>
      </w:r>
    </w:p>
    <w:p w14:paraId="4DE73185" w14:textId="77777777" w:rsidR="003A444B" w:rsidRPr="004A161B" w:rsidRDefault="003A444B" w:rsidP="00BE56B6">
      <w:pPr>
        <w:rPr>
          <w:b/>
        </w:rPr>
      </w:pPr>
      <w:r w:rsidRPr="004A161B">
        <w:rPr>
          <w:b/>
        </w:rPr>
        <w:t>Table 4. Example assessment</w:t>
      </w:r>
    </w:p>
    <w:tbl>
      <w:tblPr>
        <w:tblStyle w:val="TableGrid"/>
        <w:tblW w:w="0" w:type="auto"/>
        <w:tblLook w:val="04A0" w:firstRow="1" w:lastRow="0" w:firstColumn="1" w:lastColumn="0" w:noHBand="0" w:noVBand="1"/>
      </w:tblPr>
      <w:tblGrid>
        <w:gridCol w:w="4041"/>
        <w:gridCol w:w="828"/>
        <w:gridCol w:w="3727"/>
        <w:gridCol w:w="839"/>
      </w:tblGrid>
      <w:tr w:rsidR="00A531AF" w:rsidRPr="004A161B" w14:paraId="3DA88255" w14:textId="77777777" w:rsidTr="00A531AF">
        <w:tc>
          <w:tcPr>
            <w:tcW w:w="9435" w:type="dxa"/>
            <w:gridSpan w:val="4"/>
          </w:tcPr>
          <w:p w14:paraId="39639DC6" w14:textId="77777777" w:rsidR="00A531AF" w:rsidRPr="004A161B" w:rsidRDefault="00A531AF" w:rsidP="00A517E8">
            <w:pPr>
              <w:spacing w:before="100" w:after="100"/>
              <w:jc w:val="center"/>
              <w:rPr>
                <w:b/>
              </w:rPr>
            </w:pPr>
            <w:r w:rsidRPr="004A161B">
              <w:rPr>
                <w:b/>
              </w:rPr>
              <w:t>Benefits</w:t>
            </w:r>
          </w:p>
        </w:tc>
      </w:tr>
      <w:tr w:rsidR="00A531AF" w:rsidRPr="004A161B" w14:paraId="57D76AFD" w14:textId="77777777" w:rsidTr="00A531AF">
        <w:tc>
          <w:tcPr>
            <w:tcW w:w="4041" w:type="dxa"/>
          </w:tcPr>
          <w:p w14:paraId="049CC2B6" w14:textId="77777777" w:rsidR="00A531AF" w:rsidRPr="004A161B" w:rsidRDefault="00A531AF" w:rsidP="00A517E8">
            <w:pPr>
              <w:spacing w:before="100" w:after="100"/>
              <w:rPr>
                <w:b/>
              </w:rPr>
            </w:pPr>
            <w:r w:rsidRPr="004A161B">
              <w:rPr>
                <w:b/>
              </w:rPr>
              <w:t>Impact on cost allocation</w:t>
            </w:r>
          </w:p>
        </w:tc>
        <w:tc>
          <w:tcPr>
            <w:tcW w:w="828" w:type="dxa"/>
          </w:tcPr>
          <w:p w14:paraId="0CE66CB4" w14:textId="77777777" w:rsidR="00A531AF" w:rsidRPr="004A161B" w:rsidRDefault="00A531AF" w:rsidP="00A517E8">
            <w:pPr>
              <w:spacing w:before="100" w:after="100"/>
              <w:rPr>
                <w:b/>
              </w:rPr>
            </w:pPr>
            <w:r w:rsidRPr="004A161B">
              <w:rPr>
                <w:b/>
              </w:rPr>
              <w:t>Score</w:t>
            </w:r>
          </w:p>
        </w:tc>
        <w:tc>
          <w:tcPr>
            <w:tcW w:w="3727" w:type="dxa"/>
          </w:tcPr>
          <w:p w14:paraId="7EE4EBC9" w14:textId="77777777" w:rsidR="00A531AF" w:rsidRPr="004A161B" w:rsidRDefault="00A531AF" w:rsidP="00A517E8">
            <w:pPr>
              <w:spacing w:before="100" w:after="100"/>
              <w:rPr>
                <w:b/>
              </w:rPr>
            </w:pPr>
            <w:r w:rsidRPr="004A161B">
              <w:rPr>
                <w:b/>
              </w:rPr>
              <w:t>Improvement in cost model performance</w:t>
            </w:r>
          </w:p>
        </w:tc>
        <w:tc>
          <w:tcPr>
            <w:tcW w:w="839" w:type="dxa"/>
          </w:tcPr>
          <w:p w14:paraId="2F367947" w14:textId="77777777" w:rsidR="00A531AF" w:rsidRPr="004A161B" w:rsidRDefault="00A531AF" w:rsidP="00A517E8">
            <w:pPr>
              <w:spacing w:before="100" w:after="100"/>
              <w:rPr>
                <w:b/>
              </w:rPr>
            </w:pPr>
            <w:r w:rsidRPr="004A161B">
              <w:rPr>
                <w:b/>
              </w:rPr>
              <w:t>Score</w:t>
            </w:r>
          </w:p>
        </w:tc>
      </w:tr>
      <w:tr w:rsidR="00A531AF" w:rsidRPr="004A161B" w14:paraId="09A3CE6B" w14:textId="77777777" w:rsidTr="00A531AF">
        <w:tc>
          <w:tcPr>
            <w:tcW w:w="4041" w:type="dxa"/>
          </w:tcPr>
          <w:p w14:paraId="7E304FB6" w14:textId="77777777" w:rsidR="00A531AF" w:rsidRPr="004A161B" w:rsidRDefault="00A531AF" w:rsidP="00A517E8">
            <w:pPr>
              <w:spacing w:before="100" w:after="100"/>
            </w:pPr>
            <w:r w:rsidRPr="004A161B">
              <w:t>Redistributes 0 – $25 million or impacts less than 10,000 separations</w:t>
            </w:r>
          </w:p>
        </w:tc>
        <w:tc>
          <w:tcPr>
            <w:tcW w:w="828" w:type="dxa"/>
          </w:tcPr>
          <w:p w14:paraId="1E6EF739" w14:textId="77777777" w:rsidR="00A531AF" w:rsidRPr="004A161B" w:rsidRDefault="00A531AF" w:rsidP="00A517E8">
            <w:pPr>
              <w:spacing w:before="100" w:after="100"/>
              <w:jc w:val="center"/>
            </w:pPr>
            <w:r w:rsidRPr="004A161B">
              <w:t>1</w:t>
            </w:r>
          </w:p>
        </w:tc>
        <w:tc>
          <w:tcPr>
            <w:tcW w:w="3727" w:type="dxa"/>
          </w:tcPr>
          <w:p w14:paraId="220F1429" w14:textId="77777777" w:rsidR="00A531AF" w:rsidRPr="004A161B" w:rsidRDefault="00A531AF" w:rsidP="00A517E8">
            <w:pPr>
              <w:spacing w:before="100" w:after="100"/>
            </w:pPr>
            <w:r w:rsidRPr="004A161B">
              <w:t xml:space="preserve">Increases SMAPE more than 0.5% </w:t>
            </w:r>
          </w:p>
        </w:tc>
        <w:tc>
          <w:tcPr>
            <w:tcW w:w="839" w:type="dxa"/>
          </w:tcPr>
          <w:p w14:paraId="37852331" w14:textId="77777777" w:rsidR="00A531AF" w:rsidRPr="004A161B" w:rsidRDefault="00A531AF" w:rsidP="00A517E8">
            <w:pPr>
              <w:spacing w:before="100" w:after="100"/>
              <w:jc w:val="center"/>
            </w:pPr>
            <w:r w:rsidRPr="004A161B">
              <w:t>1</w:t>
            </w:r>
          </w:p>
        </w:tc>
      </w:tr>
      <w:tr w:rsidR="00A531AF" w:rsidRPr="004A161B" w14:paraId="5EE49557" w14:textId="77777777" w:rsidTr="00A531AF">
        <w:tc>
          <w:tcPr>
            <w:tcW w:w="4041" w:type="dxa"/>
            <w:shd w:val="clear" w:color="auto" w:fill="CBE7B9" w:themeFill="accent3" w:themeFillTint="66"/>
          </w:tcPr>
          <w:p w14:paraId="6C329A83" w14:textId="77777777" w:rsidR="00A531AF" w:rsidRPr="004A161B" w:rsidRDefault="00A531AF" w:rsidP="00A517E8">
            <w:pPr>
              <w:spacing w:before="100" w:after="100"/>
            </w:pPr>
            <w:r w:rsidRPr="004A161B">
              <w:t>Redistributes $25 – $250 million or impacts 10,000 to 100,000 separations</w:t>
            </w:r>
          </w:p>
        </w:tc>
        <w:tc>
          <w:tcPr>
            <w:tcW w:w="828" w:type="dxa"/>
            <w:shd w:val="clear" w:color="auto" w:fill="CBE7B9" w:themeFill="accent3" w:themeFillTint="66"/>
          </w:tcPr>
          <w:p w14:paraId="6C5E83E8" w14:textId="77777777" w:rsidR="00A531AF" w:rsidRPr="004A161B" w:rsidRDefault="00A531AF" w:rsidP="00A517E8">
            <w:pPr>
              <w:spacing w:before="100" w:after="100"/>
              <w:jc w:val="center"/>
            </w:pPr>
            <w:r w:rsidRPr="004A161B">
              <w:t>2</w:t>
            </w:r>
          </w:p>
        </w:tc>
        <w:tc>
          <w:tcPr>
            <w:tcW w:w="3727" w:type="dxa"/>
            <w:shd w:val="clear" w:color="auto" w:fill="CBE7B9" w:themeFill="accent3" w:themeFillTint="66"/>
          </w:tcPr>
          <w:p w14:paraId="00F73FEA" w14:textId="77777777" w:rsidR="00A531AF" w:rsidRPr="004A161B" w:rsidRDefault="00A531AF" w:rsidP="00A517E8">
            <w:pPr>
              <w:spacing w:before="100" w:after="100"/>
            </w:pPr>
            <w:r w:rsidRPr="004A161B">
              <w:t>Less than 0.5% change in SMAPE</w:t>
            </w:r>
          </w:p>
        </w:tc>
        <w:tc>
          <w:tcPr>
            <w:tcW w:w="839" w:type="dxa"/>
            <w:shd w:val="clear" w:color="auto" w:fill="CBE7B9" w:themeFill="accent3" w:themeFillTint="66"/>
          </w:tcPr>
          <w:p w14:paraId="285BA563" w14:textId="77777777" w:rsidR="00A531AF" w:rsidRPr="004A161B" w:rsidRDefault="00A531AF" w:rsidP="00A517E8">
            <w:pPr>
              <w:spacing w:before="100" w:after="100"/>
              <w:jc w:val="center"/>
            </w:pPr>
            <w:r w:rsidRPr="004A161B">
              <w:t>2</w:t>
            </w:r>
          </w:p>
        </w:tc>
      </w:tr>
      <w:tr w:rsidR="00A531AF" w:rsidRPr="004A161B" w14:paraId="308BE292" w14:textId="77777777" w:rsidTr="00A531AF">
        <w:tc>
          <w:tcPr>
            <w:tcW w:w="4041" w:type="dxa"/>
          </w:tcPr>
          <w:p w14:paraId="02420FCD" w14:textId="77777777" w:rsidR="00A531AF" w:rsidRPr="004A161B" w:rsidRDefault="00A531AF" w:rsidP="00A517E8">
            <w:pPr>
              <w:spacing w:before="100" w:after="100"/>
            </w:pPr>
            <w:r w:rsidRPr="004A161B">
              <w:t>Redistributes &gt;$250 million impacts more than 100,000 separations</w:t>
            </w:r>
          </w:p>
        </w:tc>
        <w:tc>
          <w:tcPr>
            <w:tcW w:w="828" w:type="dxa"/>
          </w:tcPr>
          <w:p w14:paraId="3B64D788" w14:textId="77777777" w:rsidR="00A531AF" w:rsidRPr="004A161B" w:rsidRDefault="00A531AF" w:rsidP="00A517E8">
            <w:pPr>
              <w:spacing w:before="100" w:after="100"/>
              <w:jc w:val="center"/>
            </w:pPr>
            <w:r w:rsidRPr="004A161B">
              <w:t>3</w:t>
            </w:r>
          </w:p>
        </w:tc>
        <w:tc>
          <w:tcPr>
            <w:tcW w:w="3727" w:type="dxa"/>
          </w:tcPr>
          <w:p w14:paraId="26AD4EC2" w14:textId="77777777" w:rsidR="00A531AF" w:rsidRPr="004A161B" w:rsidRDefault="00A531AF" w:rsidP="00A517E8">
            <w:pPr>
              <w:spacing w:before="100" w:after="100"/>
            </w:pPr>
            <w:r w:rsidRPr="004A161B">
              <w:t>Decreases SMAPE more than 0.5%</w:t>
            </w:r>
          </w:p>
        </w:tc>
        <w:tc>
          <w:tcPr>
            <w:tcW w:w="839" w:type="dxa"/>
          </w:tcPr>
          <w:p w14:paraId="61B3247E" w14:textId="77777777" w:rsidR="00A531AF" w:rsidRPr="004A161B" w:rsidRDefault="00A531AF" w:rsidP="00A517E8">
            <w:pPr>
              <w:spacing w:before="100" w:after="100"/>
              <w:jc w:val="center"/>
            </w:pPr>
            <w:r w:rsidRPr="004A161B">
              <w:t>3</w:t>
            </w:r>
          </w:p>
        </w:tc>
      </w:tr>
      <w:tr w:rsidR="00A531AF" w:rsidRPr="004A161B" w14:paraId="1E9B1E7C" w14:textId="77777777" w:rsidTr="00A531AF">
        <w:tc>
          <w:tcPr>
            <w:tcW w:w="9435" w:type="dxa"/>
            <w:gridSpan w:val="4"/>
          </w:tcPr>
          <w:p w14:paraId="017FCAFE" w14:textId="77777777" w:rsidR="00A531AF" w:rsidRPr="004A161B" w:rsidRDefault="00A531AF" w:rsidP="00A517E8">
            <w:pPr>
              <w:spacing w:before="100" w:after="100"/>
              <w:jc w:val="center"/>
              <w:rPr>
                <w:b/>
              </w:rPr>
            </w:pPr>
            <w:r w:rsidRPr="004A161B">
              <w:rPr>
                <w:b/>
              </w:rPr>
              <w:t>Costs</w:t>
            </w:r>
          </w:p>
        </w:tc>
      </w:tr>
      <w:tr w:rsidR="00A531AF" w:rsidRPr="004A161B" w14:paraId="1F967003" w14:textId="77777777" w:rsidTr="00A531AF">
        <w:tc>
          <w:tcPr>
            <w:tcW w:w="4041" w:type="dxa"/>
          </w:tcPr>
          <w:p w14:paraId="3FED34F8" w14:textId="77777777" w:rsidR="00A531AF" w:rsidRPr="004A161B" w:rsidRDefault="00A531AF" w:rsidP="00A517E8">
            <w:pPr>
              <w:spacing w:before="100" w:after="100"/>
              <w:rPr>
                <w:b/>
              </w:rPr>
            </w:pPr>
            <w:r w:rsidRPr="004A161B">
              <w:rPr>
                <w:b/>
              </w:rPr>
              <w:t>Impact on pricing model complexity</w:t>
            </w:r>
          </w:p>
        </w:tc>
        <w:tc>
          <w:tcPr>
            <w:tcW w:w="828" w:type="dxa"/>
          </w:tcPr>
          <w:p w14:paraId="0A15DCBC" w14:textId="77777777" w:rsidR="00A531AF" w:rsidRPr="004A161B" w:rsidRDefault="00A531AF" w:rsidP="00A517E8">
            <w:pPr>
              <w:spacing w:before="100" w:after="100"/>
              <w:rPr>
                <w:b/>
              </w:rPr>
            </w:pPr>
            <w:r w:rsidRPr="004A161B">
              <w:rPr>
                <w:b/>
              </w:rPr>
              <w:t>Score</w:t>
            </w:r>
          </w:p>
        </w:tc>
        <w:tc>
          <w:tcPr>
            <w:tcW w:w="3727" w:type="dxa"/>
          </w:tcPr>
          <w:p w14:paraId="03C1D0CC" w14:textId="77777777" w:rsidR="00A531AF" w:rsidRPr="004A161B" w:rsidRDefault="00A531AF" w:rsidP="00A517E8">
            <w:pPr>
              <w:spacing w:before="100" w:after="100"/>
              <w:rPr>
                <w:b/>
              </w:rPr>
            </w:pPr>
            <w:r w:rsidRPr="004A161B">
              <w:rPr>
                <w:b/>
              </w:rPr>
              <w:t>Impact on data requirements</w:t>
            </w:r>
          </w:p>
        </w:tc>
        <w:tc>
          <w:tcPr>
            <w:tcW w:w="839" w:type="dxa"/>
          </w:tcPr>
          <w:p w14:paraId="3D73D3F0" w14:textId="77777777" w:rsidR="00A531AF" w:rsidRPr="004A161B" w:rsidRDefault="00A531AF" w:rsidP="00A517E8">
            <w:pPr>
              <w:spacing w:before="100" w:after="100"/>
              <w:rPr>
                <w:b/>
              </w:rPr>
            </w:pPr>
            <w:r w:rsidRPr="004A161B">
              <w:rPr>
                <w:b/>
              </w:rPr>
              <w:t>Score</w:t>
            </w:r>
          </w:p>
        </w:tc>
      </w:tr>
      <w:tr w:rsidR="00A531AF" w:rsidRPr="004A161B" w14:paraId="34D2407F" w14:textId="77777777" w:rsidTr="00A531AF">
        <w:tc>
          <w:tcPr>
            <w:tcW w:w="4041" w:type="dxa"/>
          </w:tcPr>
          <w:p w14:paraId="6953E40D" w14:textId="77777777" w:rsidR="00A531AF" w:rsidRPr="004A161B" w:rsidRDefault="00A531AF" w:rsidP="00A517E8">
            <w:pPr>
              <w:spacing w:before="100" w:after="100"/>
            </w:pPr>
            <w:r w:rsidRPr="004A161B">
              <w:t>Removes existing adjustments</w:t>
            </w:r>
          </w:p>
        </w:tc>
        <w:tc>
          <w:tcPr>
            <w:tcW w:w="828" w:type="dxa"/>
          </w:tcPr>
          <w:p w14:paraId="5260B311" w14:textId="77777777" w:rsidR="00A531AF" w:rsidRPr="004A161B" w:rsidRDefault="00A531AF" w:rsidP="00A517E8">
            <w:pPr>
              <w:spacing w:before="100" w:after="100"/>
              <w:jc w:val="center"/>
            </w:pPr>
            <w:r w:rsidRPr="004A161B">
              <w:t>1</w:t>
            </w:r>
          </w:p>
        </w:tc>
        <w:tc>
          <w:tcPr>
            <w:tcW w:w="3727" w:type="dxa"/>
            <w:shd w:val="clear" w:color="auto" w:fill="CBE7B9" w:themeFill="accent3" w:themeFillTint="66"/>
          </w:tcPr>
          <w:p w14:paraId="62C2860A" w14:textId="77777777" w:rsidR="00A531AF" w:rsidRPr="004A161B" w:rsidRDefault="00A531AF" w:rsidP="00A517E8">
            <w:pPr>
              <w:spacing w:before="100" w:after="100"/>
            </w:pPr>
            <w:r w:rsidRPr="004A161B">
              <w:t>Utilises existing data</w:t>
            </w:r>
          </w:p>
        </w:tc>
        <w:tc>
          <w:tcPr>
            <w:tcW w:w="839" w:type="dxa"/>
            <w:shd w:val="clear" w:color="auto" w:fill="CBE7B9" w:themeFill="accent3" w:themeFillTint="66"/>
          </w:tcPr>
          <w:p w14:paraId="5B9D18EE" w14:textId="77777777" w:rsidR="00A531AF" w:rsidRPr="004A161B" w:rsidRDefault="00A531AF" w:rsidP="00A517E8">
            <w:pPr>
              <w:spacing w:before="100" w:after="100"/>
              <w:jc w:val="center"/>
            </w:pPr>
            <w:r w:rsidRPr="004A161B">
              <w:t>1</w:t>
            </w:r>
          </w:p>
        </w:tc>
      </w:tr>
      <w:tr w:rsidR="00A531AF" w:rsidRPr="004A161B" w14:paraId="09B43334" w14:textId="77777777" w:rsidTr="00A531AF">
        <w:tc>
          <w:tcPr>
            <w:tcW w:w="4041" w:type="dxa"/>
          </w:tcPr>
          <w:p w14:paraId="01012068" w14:textId="77777777" w:rsidR="00A531AF" w:rsidRPr="004A161B" w:rsidRDefault="00A531AF" w:rsidP="00A517E8">
            <w:pPr>
              <w:spacing w:before="100" w:after="100"/>
            </w:pPr>
            <w:r w:rsidRPr="004A161B">
              <w:t>Extends existing adjustments to other patient cohorts</w:t>
            </w:r>
          </w:p>
        </w:tc>
        <w:tc>
          <w:tcPr>
            <w:tcW w:w="828" w:type="dxa"/>
          </w:tcPr>
          <w:p w14:paraId="2344E836" w14:textId="77777777" w:rsidR="00A531AF" w:rsidRPr="004A161B" w:rsidRDefault="00A531AF" w:rsidP="00A517E8">
            <w:pPr>
              <w:spacing w:before="100" w:after="100"/>
              <w:jc w:val="center"/>
            </w:pPr>
            <w:r w:rsidRPr="004A161B">
              <w:t>2</w:t>
            </w:r>
          </w:p>
        </w:tc>
        <w:tc>
          <w:tcPr>
            <w:tcW w:w="3727" w:type="dxa"/>
          </w:tcPr>
          <w:p w14:paraId="258D1C76" w14:textId="77777777" w:rsidR="00A531AF" w:rsidRPr="004A161B" w:rsidRDefault="00A531AF" w:rsidP="00A517E8">
            <w:pPr>
              <w:spacing w:before="100" w:after="100"/>
            </w:pPr>
            <w:r w:rsidRPr="004A161B">
              <w:t>New data items, available in state/territory systems</w:t>
            </w:r>
          </w:p>
        </w:tc>
        <w:tc>
          <w:tcPr>
            <w:tcW w:w="839" w:type="dxa"/>
          </w:tcPr>
          <w:p w14:paraId="3189ACBA" w14:textId="77777777" w:rsidR="00A531AF" w:rsidRPr="004A161B" w:rsidRDefault="00A531AF" w:rsidP="00A517E8">
            <w:pPr>
              <w:spacing w:before="100" w:after="100"/>
              <w:jc w:val="center"/>
            </w:pPr>
            <w:r w:rsidRPr="004A161B">
              <w:t>2</w:t>
            </w:r>
          </w:p>
        </w:tc>
      </w:tr>
      <w:tr w:rsidR="00A531AF" w:rsidRPr="004A161B" w14:paraId="17DC9887" w14:textId="77777777" w:rsidTr="00A531AF">
        <w:tc>
          <w:tcPr>
            <w:tcW w:w="4041" w:type="dxa"/>
            <w:shd w:val="clear" w:color="auto" w:fill="CBE7B9" w:themeFill="accent3" w:themeFillTint="66"/>
          </w:tcPr>
          <w:p w14:paraId="611D02A1" w14:textId="77777777" w:rsidR="00A531AF" w:rsidRPr="004A161B" w:rsidRDefault="00A531AF" w:rsidP="00A517E8">
            <w:pPr>
              <w:spacing w:before="100" w:after="100"/>
            </w:pPr>
            <w:r w:rsidRPr="004A161B">
              <w:t>Introduces new variables or specific code sets (</w:t>
            </w:r>
            <w:r w:rsidR="00A517E8" w:rsidRPr="004A161B">
              <w:t>for example,</w:t>
            </w:r>
            <w:r w:rsidRPr="004A161B">
              <w:t xml:space="preserve"> radiotherapy adjustment)</w:t>
            </w:r>
          </w:p>
        </w:tc>
        <w:tc>
          <w:tcPr>
            <w:tcW w:w="828" w:type="dxa"/>
            <w:shd w:val="clear" w:color="auto" w:fill="CBE7B9" w:themeFill="accent3" w:themeFillTint="66"/>
          </w:tcPr>
          <w:p w14:paraId="30FACD8B" w14:textId="77777777" w:rsidR="00A531AF" w:rsidRPr="004A161B" w:rsidRDefault="00A531AF" w:rsidP="00A517E8">
            <w:pPr>
              <w:spacing w:before="100" w:after="100"/>
              <w:jc w:val="center"/>
            </w:pPr>
            <w:r w:rsidRPr="004A161B">
              <w:t>3</w:t>
            </w:r>
          </w:p>
        </w:tc>
        <w:tc>
          <w:tcPr>
            <w:tcW w:w="3727" w:type="dxa"/>
          </w:tcPr>
          <w:p w14:paraId="20AC10A2" w14:textId="77777777" w:rsidR="00A531AF" w:rsidRPr="004A161B" w:rsidRDefault="00A531AF" w:rsidP="00A517E8">
            <w:pPr>
              <w:spacing w:before="100" w:after="100"/>
            </w:pPr>
            <w:r w:rsidRPr="004A161B">
              <w:t>New data items, not available in state/territory systems</w:t>
            </w:r>
          </w:p>
        </w:tc>
        <w:tc>
          <w:tcPr>
            <w:tcW w:w="839" w:type="dxa"/>
          </w:tcPr>
          <w:p w14:paraId="0406E71B" w14:textId="77777777" w:rsidR="00A531AF" w:rsidRPr="004A161B" w:rsidRDefault="00A531AF" w:rsidP="00A517E8">
            <w:pPr>
              <w:spacing w:before="100" w:after="100"/>
              <w:jc w:val="center"/>
            </w:pPr>
            <w:r w:rsidRPr="004A161B">
              <w:t>3</w:t>
            </w:r>
          </w:p>
        </w:tc>
      </w:tr>
    </w:tbl>
    <w:p w14:paraId="04D442D8" w14:textId="77777777" w:rsidR="00A531AF" w:rsidRPr="004A161B" w:rsidRDefault="00A531AF" w:rsidP="00A531AF">
      <w:pPr>
        <w:rPr>
          <w:b/>
          <w:lang w:val="en-GB"/>
        </w:rPr>
      </w:pPr>
      <w:r w:rsidRPr="004A161B">
        <w:rPr>
          <w:b/>
          <w:lang w:val="en-GB"/>
        </w:rPr>
        <w:t>Materiality calculation:</w:t>
      </w:r>
    </w:p>
    <w:p w14:paraId="5E151D1A" w14:textId="77777777" w:rsidR="00A531AF" w:rsidRPr="004A161B" w:rsidRDefault="000577E5" w:rsidP="00A531AF">
      <w:pPr>
        <w:rPr>
          <w:lang w:val="en-GB"/>
        </w:rPr>
      </w:pPr>
      <m:oMathPara>
        <m:oMath>
          <m:r>
            <w:rPr>
              <w:rFonts w:ascii="Cambria Math" w:hAnsi="Cambria Math"/>
              <w:lang w:val="en-GB"/>
            </w:rPr>
            <m:t>Materiality score=</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2×Impact on cost allocation+Impact on performance</m:t>
                  </m:r>
                </m:e>
              </m:d>
            </m:num>
            <m:den>
              <m:d>
                <m:dPr>
                  <m:ctrlPr>
                    <w:rPr>
                      <w:rFonts w:ascii="Cambria Math" w:hAnsi="Cambria Math"/>
                      <w:i/>
                      <w:lang w:val="en-GB"/>
                    </w:rPr>
                  </m:ctrlPr>
                </m:dPr>
                <m:e>
                  <m:r>
                    <w:rPr>
                      <w:rFonts w:ascii="Cambria Math" w:hAnsi="Cambria Math"/>
                      <w:lang w:val="en-GB"/>
                    </w:rPr>
                    <m:t>Impact on pricing model complexity+2×Impact on data requirements</m:t>
                  </m:r>
                </m:e>
              </m:d>
            </m:den>
          </m:f>
        </m:oMath>
      </m:oMathPara>
    </w:p>
    <w:p w14:paraId="6B0A56F8" w14:textId="77777777" w:rsidR="00A531AF" w:rsidRPr="004A161B" w:rsidRDefault="00A531AF" w:rsidP="00A531AF">
      <w:pPr>
        <w:rPr>
          <w:lang w:val="en-GB"/>
        </w:rPr>
      </w:pPr>
      <m:oMathPara>
        <m:oMath>
          <m:r>
            <w:rPr>
              <w:rFonts w:ascii="Cambria Math" w:hAnsi="Cambria Math"/>
              <w:lang w:val="en-GB"/>
            </w:rPr>
            <m:t xml:space="preserve">= </m:t>
          </m:r>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2×2+2</m:t>
                  </m:r>
                </m:e>
              </m:d>
            </m:num>
            <m:den>
              <m:d>
                <m:dPr>
                  <m:ctrlPr>
                    <w:rPr>
                      <w:rFonts w:ascii="Cambria Math" w:hAnsi="Cambria Math"/>
                      <w:i/>
                      <w:lang w:val="en-GB"/>
                    </w:rPr>
                  </m:ctrlPr>
                </m:dPr>
                <m:e>
                  <m:r>
                    <w:rPr>
                      <w:rFonts w:ascii="Cambria Math" w:hAnsi="Cambria Math"/>
                      <w:lang w:val="en-GB"/>
                    </w:rPr>
                    <m:t>3+2×1</m:t>
                  </m:r>
                </m:e>
              </m:d>
            </m:den>
          </m:f>
        </m:oMath>
      </m:oMathPara>
    </w:p>
    <w:p w14:paraId="06B750D9" w14:textId="77777777" w:rsidR="00A531AF" w:rsidRPr="004A161B" w:rsidRDefault="00A531AF" w:rsidP="00A531AF">
      <w:pPr>
        <w:rPr>
          <w:lang w:val="en-GB"/>
        </w:rPr>
      </w:pPr>
      <m:oMathPara>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6</m:t>
              </m:r>
            </m:num>
            <m:den>
              <m:r>
                <w:rPr>
                  <w:rFonts w:ascii="Cambria Math" w:hAnsi="Cambria Math"/>
                  <w:lang w:val="en-GB"/>
                </w:rPr>
                <m:t>5</m:t>
              </m:r>
            </m:den>
          </m:f>
        </m:oMath>
      </m:oMathPara>
    </w:p>
    <w:p w14:paraId="41A545E9" w14:textId="77777777" w:rsidR="00A531AF" w:rsidRPr="004A161B" w:rsidRDefault="00A531AF" w:rsidP="00A531AF">
      <w:pPr>
        <w:rPr>
          <w:lang w:val="en-GB"/>
        </w:rPr>
      </w:pPr>
      <m:oMathPara>
        <m:oMath>
          <m:r>
            <w:rPr>
              <w:rFonts w:ascii="Cambria Math" w:hAnsi="Cambria Math"/>
              <w:lang w:val="en-GB"/>
            </w:rPr>
            <m:t>= 1.2</m:t>
          </m:r>
        </m:oMath>
      </m:oMathPara>
    </w:p>
    <w:p w14:paraId="7C77D482" w14:textId="77777777" w:rsidR="0098702F" w:rsidRPr="004A161B" w:rsidRDefault="00A531AF" w:rsidP="00A531AF">
      <w:r w:rsidRPr="004A161B">
        <w:t>As the materiality score is greater than the target threshold of 1.0, and is consistent with the Pricing Guidelines, IHPA would recommend that the Pricing Authority accept the proposal.</w:t>
      </w:r>
      <w:r w:rsidR="0098702F" w:rsidRPr="004A161B">
        <w:br w:type="page"/>
      </w:r>
    </w:p>
    <w:p w14:paraId="1C206967" w14:textId="77777777" w:rsidR="00562759" w:rsidRPr="004A161B" w:rsidRDefault="00562759">
      <w:pPr>
        <w:spacing w:before="0" w:after="0" w:line="240" w:lineRule="auto"/>
        <w:sectPr w:rsidR="00562759" w:rsidRPr="004A161B" w:rsidSect="008C2111">
          <w:pgSz w:w="11906" w:h="16838" w:code="9"/>
          <w:pgMar w:top="2041" w:right="1440" w:bottom="1021" w:left="1021" w:header="680" w:footer="510" w:gutter="0"/>
          <w:pgNumType w:start="1"/>
          <w:cols w:space="708"/>
          <w:docGrid w:linePitch="360"/>
        </w:sectPr>
      </w:pPr>
    </w:p>
    <w:p w14:paraId="227856BB" w14:textId="77777777" w:rsidR="00562759" w:rsidRDefault="000577E5" w:rsidP="00350852">
      <w:r w:rsidRPr="004A161B">
        <w:rPr>
          <w:noProof/>
        </w:rPr>
        <w:lastRenderedPageBreak/>
        <w:drawing>
          <wp:anchor distT="0" distB="0" distL="114300" distR="114300" simplePos="0" relativeHeight="251676672" behindDoc="1" locked="0" layoutInCell="0" allowOverlap="1" wp14:anchorId="0B86D961" wp14:editId="4F4E0C65">
            <wp:simplePos x="0" y="0"/>
            <wp:positionH relativeFrom="page">
              <wp:align>right</wp:align>
            </wp:positionH>
            <wp:positionV relativeFrom="page">
              <wp:align>top</wp:align>
            </wp:positionV>
            <wp:extent cx="7560378" cy="10455965"/>
            <wp:effectExtent l="0" t="0" r="2540" b="254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378" cy="10455965"/>
                    </a:xfrm>
                    <a:prstGeom prst="rect">
                      <a:avLst/>
                    </a:prstGeom>
                  </pic:spPr>
                </pic:pic>
              </a:graphicData>
            </a:graphic>
            <wp14:sizeRelH relativeFrom="margin">
              <wp14:pctWidth>0</wp14:pctWidth>
            </wp14:sizeRelH>
            <wp14:sizeRelV relativeFrom="margin">
              <wp14:pctHeight>0</wp14:pctHeight>
            </wp14:sizeRelV>
          </wp:anchor>
        </w:drawing>
      </w:r>
      <w:r w:rsidR="00D42D45" w:rsidRPr="004A161B">
        <w:rPr>
          <w:noProof/>
        </w:rPr>
        <mc:AlternateContent>
          <mc:Choice Requires="wps">
            <w:drawing>
              <wp:anchor distT="0" distB="0" distL="114300" distR="114300" simplePos="0" relativeHeight="251678720" behindDoc="0" locked="0" layoutInCell="1" allowOverlap="1" wp14:anchorId="003E5457" wp14:editId="72363251">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F86957" w14:textId="77777777" w:rsidR="00D42D45" w:rsidRPr="002029AC" w:rsidRDefault="00D42D45" w:rsidP="00D42D45">
                            <w:pPr>
                              <w:pStyle w:val="Address"/>
                            </w:pPr>
                            <w:r w:rsidRPr="002029AC">
                              <w:t>Independent Hospital Pricing Authority</w:t>
                            </w:r>
                          </w:p>
                          <w:p w14:paraId="5EEDFB1B" w14:textId="77777777" w:rsidR="00D42D45" w:rsidRPr="0098702F" w:rsidRDefault="00D42D45" w:rsidP="00D42D45">
                            <w:pPr>
                              <w:pStyle w:val="Address"/>
                            </w:pPr>
                            <w:r w:rsidRPr="0098702F">
                              <w:t> </w:t>
                            </w:r>
                          </w:p>
                          <w:p w14:paraId="6AC7261B" w14:textId="77777777" w:rsidR="00D42D45" w:rsidRPr="002029AC" w:rsidRDefault="00D42D45" w:rsidP="00D42D45">
                            <w:pPr>
                              <w:pStyle w:val="Address"/>
                              <w:rPr>
                                <w:color w:val="008542" w:themeColor="accent2"/>
                              </w:rPr>
                            </w:pPr>
                            <w:r>
                              <w:rPr>
                                <w:color w:val="008542" w:themeColor="accent2"/>
                              </w:rPr>
                              <w:t xml:space="preserve">Eora Nation, </w:t>
                            </w:r>
                            <w:r w:rsidRPr="002029AC">
                              <w:rPr>
                                <w:color w:val="008542" w:themeColor="accent2"/>
                              </w:rPr>
                              <w:t xml:space="preserve">Level </w:t>
                            </w:r>
                            <w:r w:rsidR="00EE76FA">
                              <w:rPr>
                                <w:color w:val="008542" w:themeColor="accent2"/>
                              </w:rPr>
                              <w:t>12</w:t>
                            </w:r>
                            <w:r w:rsidRPr="002029AC">
                              <w:rPr>
                                <w:color w:val="008542" w:themeColor="accent2"/>
                              </w:rPr>
                              <w:t>, 1 Oxford Street</w:t>
                            </w:r>
                          </w:p>
                          <w:p w14:paraId="750DB7D7" w14:textId="77777777" w:rsidR="00D42D45" w:rsidRPr="002029AC" w:rsidRDefault="00D42D45" w:rsidP="00D42D45">
                            <w:pPr>
                              <w:pStyle w:val="Address"/>
                              <w:rPr>
                                <w:color w:val="008542" w:themeColor="accent2"/>
                              </w:rPr>
                            </w:pPr>
                            <w:r w:rsidRPr="002029AC">
                              <w:rPr>
                                <w:color w:val="008542" w:themeColor="accent2"/>
                              </w:rPr>
                              <w:t>Sydney NSW 2000</w:t>
                            </w:r>
                          </w:p>
                          <w:p w14:paraId="2A52B1D0" w14:textId="77777777" w:rsidR="00D42D45" w:rsidRPr="00562759" w:rsidRDefault="00D42D45" w:rsidP="00D42D45">
                            <w:pPr>
                              <w:pStyle w:val="Address"/>
                            </w:pPr>
                          </w:p>
                          <w:p w14:paraId="417C3208" w14:textId="77777777" w:rsidR="00D42D45" w:rsidRPr="00562759" w:rsidRDefault="00D42D45" w:rsidP="00D42D45">
                            <w:pPr>
                              <w:pStyle w:val="Address"/>
                            </w:pPr>
                            <w:r w:rsidRPr="00562759">
                              <w:t xml:space="preserve">Phone </w:t>
                            </w:r>
                            <w:r w:rsidRPr="002029AC">
                              <w:rPr>
                                <w:color w:val="008542" w:themeColor="accent2"/>
                              </w:rPr>
                              <w:t>02 8215 1100</w:t>
                            </w:r>
                          </w:p>
                          <w:p w14:paraId="549842F5" w14:textId="77777777" w:rsidR="00D42D45" w:rsidRPr="00562759" w:rsidRDefault="00D42D45" w:rsidP="00D42D45">
                            <w:pPr>
                              <w:pStyle w:val="Address"/>
                            </w:pPr>
                            <w:r w:rsidRPr="00562759">
                              <w:t xml:space="preserve">Email </w:t>
                            </w:r>
                            <w:r w:rsidRPr="002029AC">
                              <w:rPr>
                                <w:color w:val="008542" w:themeColor="accent2"/>
                              </w:rPr>
                              <w:t>enquiries.ihpa@ihpa.gov.au</w:t>
                            </w:r>
                          </w:p>
                          <w:p w14:paraId="704D99FA" w14:textId="77777777" w:rsidR="00D42D45" w:rsidRPr="00562759" w:rsidRDefault="00D42D45" w:rsidP="00D42D45">
                            <w:pPr>
                              <w:pStyle w:val="Address"/>
                            </w:pPr>
                            <w:r w:rsidRPr="00562759">
                              <w:t xml:space="preserve">Twitter </w:t>
                            </w:r>
                            <w:r w:rsidRPr="002029AC">
                              <w:rPr>
                                <w:color w:val="008542" w:themeColor="accent2"/>
                              </w:rPr>
                              <w:t>@IHPAnews</w:t>
                            </w:r>
                          </w:p>
                          <w:p w14:paraId="6C18F804" w14:textId="77777777" w:rsidR="00D42D45" w:rsidRPr="00562759" w:rsidRDefault="00D42D45" w:rsidP="00D42D45">
                            <w:pPr>
                              <w:pStyle w:val="Address"/>
                            </w:pPr>
                          </w:p>
                          <w:p w14:paraId="14EF9662" w14:textId="77777777" w:rsidR="00D42D45" w:rsidRPr="00562759" w:rsidRDefault="00D42D45" w:rsidP="00D42D45">
                            <w:pPr>
                              <w:pStyle w:val="Address"/>
                            </w:pPr>
                            <w:r w:rsidRPr="00562759">
                              <w:t>www.ihpa.gov.au</w:t>
                            </w:r>
                          </w:p>
                          <w:p w14:paraId="4668FADA" w14:textId="77777777" w:rsidR="00D42D45" w:rsidRPr="0098702F" w:rsidRDefault="00D42D45" w:rsidP="00D42D45">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E5457" id="_x0000_t202" coordsize="21600,21600" o:spt="202" path="m,l,21600r21600,l21600,xe">
                <v:stroke joinstyle="miter"/>
                <v:path gradientshapeok="t" o:connecttype="rect"/>
              </v:shapetype>
              <v:shape id="Text Box 14" o:spid="_x0000_s1026" type="#_x0000_t202" style="position:absolute;margin-left:12pt;margin-top:600.8pt;width:153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12F86957" w14:textId="77777777" w:rsidR="00D42D45" w:rsidRPr="002029AC" w:rsidRDefault="00D42D45" w:rsidP="00D42D45">
                      <w:pPr>
                        <w:pStyle w:val="Address"/>
                      </w:pPr>
                      <w:r w:rsidRPr="002029AC">
                        <w:t>Independent Hospital Pricing Authority</w:t>
                      </w:r>
                    </w:p>
                    <w:p w14:paraId="5EEDFB1B" w14:textId="77777777" w:rsidR="00D42D45" w:rsidRPr="0098702F" w:rsidRDefault="00D42D45" w:rsidP="00D42D45">
                      <w:pPr>
                        <w:pStyle w:val="Address"/>
                      </w:pPr>
                      <w:r w:rsidRPr="0098702F">
                        <w:t> </w:t>
                      </w:r>
                    </w:p>
                    <w:p w14:paraId="6AC7261B" w14:textId="77777777" w:rsidR="00D42D45" w:rsidRPr="002029AC" w:rsidRDefault="00D42D45" w:rsidP="00D42D45">
                      <w:pPr>
                        <w:pStyle w:val="Address"/>
                        <w:rPr>
                          <w:color w:val="008542" w:themeColor="accent2"/>
                        </w:rPr>
                      </w:pPr>
                      <w:r>
                        <w:rPr>
                          <w:color w:val="008542" w:themeColor="accent2"/>
                        </w:rPr>
                        <w:t xml:space="preserve">Eora Nation, </w:t>
                      </w:r>
                      <w:r w:rsidRPr="002029AC">
                        <w:rPr>
                          <w:color w:val="008542" w:themeColor="accent2"/>
                        </w:rPr>
                        <w:t xml:space="preserve">Level </w:t>
                      </w:r>
                      <w:r w:rsidR="00EE76FA">
                        <w:rPr>
                          <w:color w:val="008542" w:themeColor="accent2"/>
                        </w:rPr>
                        <w:t>12</w:t>
                      </w:r>
                      <w:r w:rsidRPr="002029AC">
                        <w:rPr>
                          <w:color w:val="008542" w:themeColor="accent2"/>
                        </w:rPr>
                        <w:t>, 1 Oxford Street</w:t>
                      </w:r>
                    </w:p>
                    <w:p w14:paraId="750DB7D7" w14:textId="77777777" w:rsidR="00D42D45" w:rsidRPr="002029AC" w:rsidRDefault="00D42D45" w:rsidP="00D42D45">
                      <w:pPr>
                        <w:pStyle w:val="Address"/>
                        <w:rPr>
                          <w:color w:val="008542" w:themeColor="accent2"/>
                        </w:rPr>
                      </w:pPr>
                      <w:r w:rsidRPr="002029AC">
                        <w:rPr>
                          <w:color w:val="008542" w:themeColor="accent2"/>
                        </w:rPr>
                        <w:t>Sydney NSW 2000</w:t>
                      </w:r>
                    </w:p>
                    <w:p w14:paraId="2A52B1D0" w14:textId="77777777" w:rsidR="00D42D45" w:rsidRPr="00562759" w:rsidRDefault="00D42D45" w:rsidP="00D42D45">
                      <w:pPr>
                        <w:pStyle w:val="Address"/>
                      </w:pPr>
                    </w:p>
                    <w:p w14:paraId="417C3208" w14:textId="77777777" w:rsidR="00D42D45" w:rsidRPr="00562759" w:rsidRDefault="00D42D45" w:rsidP="00D42D45">
                      <w:pPr>
                        <w:pStyle w:val="Address"/>
                      </w:pPr>
                      <w:r w:rsidRPr="00562759">
                        <w:t xml:space="preserve">Phone </w:t>
                      </w:r>
                      <w:r w:rsidRPr="002029AC">
                        <w:rPr>
                          <w:color w:val="008542" w:themeColor="accent2"/>
                        </w:rPr>
                        <w:t>02 8215 1100</w:t>
                      </w:r>
                    </w:p>
                    <w:p w14:paraId="549842F5" w14:textId="77777777" w:rsidR="00D42D45" w:rsidRPr="00562759" w:rsidRDefault="00D42D45" w:rsidP="00D42D45">
                      <w:pPr>
                        <w:pStyle w:val="Address"/>
                      </w:pPr>
                      <w:r w:rsidRPr="00562759">
                        <w:t xml:space="preserve">Email </w:t>
                      </w:r>
                      <w:r w:rsidRPr="002029AC">
                        <w:rPr>
                          <w:color w:val="008542" w:themeColor="accent2"/>
                        </w:rPr>
                        <w:t>enquiries.ihpa@ihpa.gov.au</w:t>
                      </w:r>
                    </w:p>
                    <w:p w14:paraId="704D99FA" w14:textId="77777777" w:rsidR="00D42D45" w:rsidRPr="00562759" w:rsidRDefault="00D42D45" w:rsidP="00D42D45">
                      <w:pPr>
                        <w:pStyle w:val="Address"/>
                      </w:pPr>
                      <w:r w:rsidRPr="00562759">
                        <w:t xml:space="preserve">Twitter </w:t>
                      </w:r>
                      <w:r w:rsidRPr="002029AC">
                        <w:rPr>
                          <w:color w:val="008542" w:themeColor="accent2"/>
                        </w:rPr>
                        <w:t>@IHPAnews</w:t>
                      </w:r>
                    </w:p>
                    <w:p w14:paraId="6C18F804" w14:textId="77777777" w:rsidR="00D42D45" w:rsidRPr="00562759" w:rsidRDefault="00D42D45" w:rsidP="00D42D45">
                      <w:pPr>
                        <w:pStyle w:val="Address"/>
                      </w:pPr>
                    </w:p>
                    <w:p w14:paraId="14EF9662" w14:textId="77777777" w:rsidR="00D42D45" w:rsidRPr="00562759" w:rsidRDefault="00D42D45" w:rsidP="00D42D45">
                      <w:pPr>
                        <w:pStyle w:val="Address"/>
                      </w:pPr>
                      <w:r w:rsidRPr="00562759">
                        <w:t>www.ihpa.gov.au</w:t>
                      </w:r>
                    </w:p>
                    <w:p w14:paraId="4668FADA" w14:textId="77777777" w:rsidR="00D42D45" w:rsidRPr="0098702F" w:rsidRDefault="00D42D45" w:rsidP="00D42D45">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E3343" w14:textId="77777777" w:rsidR="00583BB4" w:rsidRDefault="00583BB4">
      <w:r>
        <w:separator/>
      </w:r>
    </w:p>
  </w:endnote>
  <w:endnote w:type="continuationSeparator" w:id="0">
    <w:p w14:paraId="593D18E4" w14:textId="77777777" w:rsidR="00583BB4" w:rsidRDefault="0058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BA09F" w14:textId="77777777" w:rsidR="00583BB4" w:rsidRDefault="00583BB4">
      <w:r>
        <w:separator/>
      </w:r>
    </w:p>
  </w:footnote>
  <w:footnote w:type="continuationSeparator" w:id="0">
    <w:p w14:paraId="15091C4B" w14:textId="77777777" w:rsidR="00583BB4" w:rsidRDefault="00583BB4">
      <w:r>
        <w:continuationSeparator/>
      </w:r>
    </w:p>
  </w:footnote>
  <w:footnote w:id="1">
    <w:p w14:paraId="187F6E14" w14:textId="77777777" w:rsidR="00C90356" w:rsidRPr="00DD6C9F" w:rsidRDefault="00C90356" w:rsidP="003A444B">
      <w:pPr>
        <w:pStyle w:val="FootnoteText"/>
      </w:pPr>
      <w:r w:rsidRPr="00DD6C9F">
        <w:rPr>
          <w:rStyle w:val="FootnoteReference"/>
        </w:rPr>
        <w:footnoteRef/>
      </w:r>
      <w:r w:rsidRPr="00DD6C9F">
        <w:t xml:space="preserve"> Clause A46 of the Addendum to the National Health Reform Agreement 2020–25.</w:t>
      </w:r>
    </w:p>
  </w:footnote>
  <w:footnote w:id="2">
    <w:p w14:paraId="6BAEBB52" w14:textId="77777777" w:rsidR="00DD6C9F" w:rsidRDefault="00DD6C9F" w:rsidP="003A444B">
      <w:pPr>
        <w:pStyle w:val="FootnoteText"/>
      </w:pPr>
      <w:r w:rsidRPr="00DD6C9F">
        <w:rPr>
          <w:rStyle w:val="FootnoteReference"/>
        </w:rPr>
        <w:footnoteRef/>
      </w:r>
      <w:r w:rsidRPr="00DD6C9F">
        <w:t xml:space="preserve"> IHPA will adopt the Pricing Guidelines, as set out in the </w:t>
      </w:r>
      <w:r w:rsidRPr="00DD6C9F">
        <w:rPr>
          <w:i/>
        </w:rPr>
        <w:t>Pricing Framework for Australian Public Hospital Services</w:t>
      </w:r>
      <w:r w:rsidRPr="00DD6C9F">
        <w:t>, to guide its decision-making, where it is required to exercise policy judgement in undertaking its legislated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986E" w14:textId="14BEA0EC" w:rsidR="0032530E" w:rsidRPr="00CC2138" w:rsidRDefault="00CC2138"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427E0B50" wp14:editId="7884C4D1">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A1F8D" w:rsidRPr="00AA1F8D">
      <w:rPr>
        <w:noProof/>
        <w:color w:val="FFFFFF" w:themeColor="background1"/>
      </w:rPr>
      <w:t>National Pricing Model</w:t>
    </w:r>
    <w:r w:rsidR="007B7433">
      <w:rPr>
        <w:noProof/>
        <w:color w:val="FFFFFF" w:themeColor="background1"/>
      </w:rPr>
      <w:t xml:space="preserve"> Materiality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287E12">
      <w:rPr>
        <w:noProof/>
        <w:color w:val="008542" w:themeColor="accent2"/>
      </w:rPr>
      <w:t>5</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81213"/>
    <w:multiLevelType w:val="hybridMultilevel"/>
    <w:tmpl w:val="4E604DB2"/>
    <w:lvl w:ilvl="0" w:tplc="159C7C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D265DF"/>
    <w:multiLevelType w:val="multilevel"/>
    <w:tmpl w:val="AADAFB26"/>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06326D"/>
    <w:multiLevelType w:val="hybridMultilevel"/>
    <w:tmpl w:val="D7FEA8E2"/>
    <w:lvl w:ilvl="0" w:tplc="7DA6E9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AC"/>
    <w:rsid w:val="00005785"/>
    <w:rsid w:val="00006876"/>
    <w:rsid w:val="000079AD"/>
    <w:rsid w:val="00007D1F"/>
    <w:rsid w:val="00010D84"/>
    <w:rsid w:val="00010F15"/>
    <w:rsid w:val="00011CE3"/>
    <w:rsid w:val="00017875"/>
    <w:rsid w:val="00022E9C"/>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577E5"/>
    <w:rsid w:val="0006075A"/>
    <w:rsid w:val="00061C84"/>
    <w:rsid w:val="00062484"/>
    <w:rsid w:val="00063129"/>
    <w:rsid w:val="00064EE9"/>
    <w:rsid w:val="00065022"/>
    <w:rsid w:val="00065A5E"/>
    <w:rsid w:val="0007034E"/>
    <w:rsid w:val="00070681"/>
    <w:rsid w:val="00080A09"/>
    <w:rsid w:val="00081CEB"/>
    <w:rsid w:val="00083082"/>
    <w:rsid w:val="00087B2C"/>
    <w:rsid w:val="00087DBD"/>
    <w:rsid w:val="00090718"/>
    <w:rsid w:val="00091B4E"/>
    <w:rsid w:val="00091CD7"/>
    <w:rsid w:val="00093DD5"/>
    <w:rsid w:val="000A03DD"/>
    <w:rsid w:val="000A1A09"/>
    <w:rsid w:val="000A47A8"/>
    <w:rsid w:val="000A73FB"/>
    <w:rsid w:val="000B218A"/>
    <w:rsid w:val="000C014D"/>
    <w:rsid w:val="000C29B4"/>
    <w:rsid w:val="000C5CD8"/>
    <w:rsid w:val="000C7A69"/>
    <w:rsid w:val="000D1158"/>
    <w:rsid w:val="000D4703"/>
    <w:rsid w:val="000E12D4"/>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0B2F"/>
    <w:rsid w:val="001D141C"/>
    <w:rsid w:val="001D2904"/>
    <w:rsid w:val="001D652D"/>
    <w:rsid w:val="001D693F"/>
    <w:rsid w:val="001D6F9E"/>
    <w:rsid w:val="001E38FB"/>
    <w:rsid w:val="001E52C2"/>
    <w:rsid w:val="001F0BE1"/>
    <w:rsid w:val="001F101A"/>
    <w:rsid w:val="001F24EF"/>
    <w:rsid w:val="001F56C7"/>
    <w:rsid w:val="002029AC"/>
    <w:rsid w:val="00203039"/>
    <w:rsid w:val="00204B17"/>
    <w:rsid w:val="002069D2"/>
    <w:rsid w:val="00211DA2"/>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87E12"/>
    <w:rsid w:val="00293489"/>
    <w:rsid w:val="00296F5E"/>
    <w:rsid w:val="002A30F0"/>
    <w:rsid w:val="002A6DF5"/>
    <w:rsid w:val="002B6406"/>
    <w:rsid w:val="002B6809"/>
    <w:rsid w:val="002B7F9D"/>
    <w:rsid w:val="002C4231"/>
    <w:rsid w:val="002C7080"/>
    <w:rsid w:val="002D00B0"/>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6976"/>
    <w:rsid w:val="003311D7"/>
    <w:rsid w:val="00332B8B"/>
    <w:rsid w:val="0033521E"/>
    <w:rsid w:val="00337CA2"/>
    <w:rsid w:val="003404A4"/>
    <w:rsid w:val="00347104"/>
    <w:rsid w:val="00350852"/>
    <w:rsid w:val="0035096E"/>
    <w:rsid w:val="0035219F"/>
    <w:rsid w:val="00355D01"/>
    <w:rsid w:val="00360B81"/>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A444B"/>
    <w:rsid w:val="003B535C"/>
    <w:rsid w:val="003C2120"/>
    <w:rsid w:val="003D030E"/>
    <w:rsid w:val="003D040D"/>
    <w:rsid w:val="003D1F49"/>
    <w:rsid w:val="003D2061"/>
    <w:rsid w:val="003E0845"/>
    <w:rsid w:val="003E1FE3"/>
    <w:rsid w:val="003E32A7"/>
    <w:rsid w:val="003F1A33"/>
    <w:rsid w:val="003F3072"/>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547D"/>
    <w:rsid w:val="00446F93"/>
    <w:rsid w:val="00451A74"/>
    <w:rsid w:val="004552AB"/>
    <w:rsid w:val="0045622C"/>
    <w:rsid w:val="00464FB1"/>
    <w:rsid w:val="00465398"/>
    <w:rsid w:val="00467185"/>
    <w:rsid w:val="00467736"/>
    <w:rsid w:val="0047050C"/>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161B"/>
    <w:rsid w:val="004A4CED"/>
    <w:rsid w:val="004A6BE6"/>
    <w:rsid w:val="004B0828"/>
    <w:rsid w:val="004B3304"/>
    <w:rsid w:val="004B3DF1"/>
    <w:rsid w:val="004B4858"/>
    <w:rsid w:val="004B4BC0"/>
    <w:rsid w:val="004B5555"/>
    <w:rsid w:val="004C0484"/>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5EA4"/>
    <w:rsid w:val="0052791F"/>
    <w:rsid w:val="00532CFF"/>
    <w:rsid w:val="00536880"/>
    <w:rsid w:val="00540AD0"/>
    <w:rsid w:val="00543A76"/>
    <w:rsid w:val="005523D1"/>
    <w:rsid w:val="0055532E"/>
    <w:rsid w:val="00555BC3"/>
    <w:rsid w:val="00557C8E"/>
    <w:rsid w:val="00561B2B"/>
    <w:rsid w:val="00562759"/>
    <w:rsid w:val="0056357E"/>
    <w:rsid w:val="00564952"/>
    <w:rsid w:val="0056645F"/>
    <w:rsid w:val="00571AB1"/>
    <w:rsid w:val="00577E1C"/>
    <w:rsid w:val="00580DB1"/>
    <w:rsid w:val="005814AC"/>
    <w:rsid w:val="00583BB4"/>
    <w:rsid w:val="00583DCB"/>
    <w:rsid w:val="00584676"/>
    <w:rsid w:val="005854B7"/>
    <w:rsid w:val="00587AB1"/>
    <w:rsid w:val="0059070B"/>
    <w:rsid w:val="0059283C"/>
    <w:rsid w:val="005A0D95"/>
    <w:rsid w:val="005A224B"/>
    <w:rsid w:val="005B1225"/>
    <w:rsid w:val="005B17D8"/>
    <w:rsid w:val="005B1D82"/>
    <w:rsid w:val="005B4077"/>
    <w:rsid w:val="005C28B0"/>
    <w:rsid w:val="005C2F01"/>
    <w:rsid w:val="005C5F3C"/>
    <w:rsid w:val="005D01BE"/>
    <w:rsid w:val="005D1177"/>
    <w:rsid w:val="005D1D13"/>
    <w:rsid w:val="005D5460"/>
    <w:rsid w:val="005E08CD"/>
    <w:rsid w:val="005E37E8"/>
    <w:rsid w:val="005E74C5"/>
    <w:rsid w:val="005F219D"/>
    <w:rsid w:val="005F2437"/>
    <w:rsid w:val="005F318A"/>
    <w:rsid w:val="005F7710"/>
    <w:rsid w:val="006004F7"/>
    <w:rsid w:val="00601128"/>
    <w:rsid w:val="00603261"/>
    <w:rsid w:val="00607597"/>
    <w:rsid w:val="006103B4"/>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B05E3"/>
    <w:rsid w:val="006B09BC"/>
    <w:rsid w:val="006B6D5D"/>
    <w:rsid w:val="006B7B5A"/>
    <w:rsid w:val="006C0801"/>
    <w:rsid w:val="006C0C2C"/>
    <w:rsid w:val="006C1EAA"/>
    <w:rsid w:val="006C216F"/>
    <w:rsid w:val="006C45D4"/>
    <w:rsid w:val="006D2042"/>
    <w:rsid w:val="006D66E3"/>
    <w:rsid w:val="006D7855"/>
    <w:rsid w:val="006E010C"/>
    <w:rsid w:val="006E1003"/>
    <w:rsid w:val="006E16BF"/>
    <w:rsid w:val="006E18F0"/>
    <w:rsid w:val="006E38AF"/>
    <w:rsid w:val="006E4F93"/>
    <w:rsid w:val="006F1174"/>
    <w:rsid w:val="00700135"/>
    <w:rsid w:val="00705180"/>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5299"/>
    <w:rsid w:val="00736DCA"/>
    <w:rsid w:val="00745C47"/>
    <w:rsid w:val="0075003D"/>
    <w:rsid w:val="00751D97"/>
    <w:rsid w:val="00752C55"/>
    <w:rsid w:val="007562D4"/>
    <w:rsid w:val="007573FA"/>
    <w:rsid w:val="00761C65"/>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7D19"/>
    <w:rsid w:val="007A7EC2"/>
    <w:rsid w:val="007B042D"/>
    <w:rsid w:val="007B05BB"/>
    <w:rsid w:val="007B6E0A"/>
    <w:rsid w:val="007B7433"/>
    <w:rsid w:val="007B764C"/>
    <w:rsid w:val="007C118A"/>
    <w:rsid w:val="007C636F"/>
    <w:rsid w:val="007D39EB"/>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68F7"/>
    <w:rsid w:val="009005A6"/>
    <w:rsid w:val="009006CF"/>
    <w:rsid w:val="00900C71"/>
    <w:rsid w:val="00902A1C"/>
    <w:rsid w:val="009037B6"/>
    <w:rsid w:val="00906CBE"/>
    <w:rsid w:val="00910024"/>
    <w:rsid w:val="00910384"/>
    <w:rsid w:val="009124A9"/>
    <w:rsid w:val="0091643D"/>
    <w:rsid w:val="00916E33"/>
    <w:rsid w:val="0092093B"/>
    <w:rsid w:val="00925FD2"/>
    <w:rsid w:val="00930669"/>
    <w:rsid w:val="00932C33"/>
    <w:rsid w:val="009427A1"/>
    <w:rsid w:val="00942FFE"/>
    <w:rsid w:val="0094739D"/>
    <w:rsid w:val="009551E0"/>
    <w:rsid w:val="0095654E"/>
    <w:rsid w:val="00956F3C"/>
    <w:rsid w:val="00971C34"/>
    <w:rsid w:val="00972488"/>
    <w:rsid w:val="009726D0"/>
    <w:rsid w:val="0097421D"/>
    <w:rsid w:val="00976117"/>
    <w:rsid w:val="00976A23"/>
    <w:rsid w:val="0097735F"/>
    <w:rsid w:val="009800BC"/>
    <w:rsid w:val="009816F6"/>
    <w:rsid w:val="0098702F"/>
    <w:rsid w:val="009900F0"/>
    <w:rsid w:val="00990B9B"/>
    <w:rsid w:val="00991769"/>
    <w:rsid w:val="00993236"/>
    <w:rsid w:val="00993D8C"/>
    <w:rsid w:val="00994E3D"/>
    <w:rsid w:val="009A297E"/>
    <w:rsid w:val="009A6127"/>
    <w:rsid w:val="009B0CC1"/>
    <w:rsid w:val="009B12B8"/>
    <w:rsid w:val="009B713C"/>
    <w:rsid w:val="009C0F18"/>
    <w:rsid w:val="009C12C6"/>
    <w:rsid w:val="009C2555"/>
    <w:rsid w:val="009C7778"/>
    <w:rsid w:val="009D06AE"/>
    <w:rsid w:val="009D09E2"/>
    <w:rsid w:val="009D1E42"/>
    <w:rsid w:val="009D7148"/>
    <w:rsid w:val="009E02FD"/>
    <w:rsid w:val="009E4C74"/>
    <w:rsid w:val="009E62B6"/>
    <w:rsid w:val="009F35DA"/>
    <w:rsid w:val="009F43D0"/>
    <w:rsid w:val="00A00568"/>
    <w:rsid w:val="00A00884"/>
    <w:rsid w:val="00A02F62"/>
    <w:rsid w:val="00A02FA3"/>
    <w:rsid w:val="00A030C3"/>
    <w:rsid w:val="00A04803"/>
    <w:rsid w:val="00A10147"/>
    <w:rsid w:val="00A11331"/>
    <w:rsid w:val="00A131E6"/>
    <w:rsid w:val="00A13843"/>
    <w:rsid w:val="00A146A5"/>
    <w:rsid w:val="00A17466"/>
    <w:rsid w:val="00A204B3"/>
    <w:rsid w:val="00A20576"/>
    <w:rsid w:val="00A21593"/>
    <w:rsid w:val="00A221F7"/>
    <w:rsid w:val="00A22C21"/>
    <w:rsid w:val="00A2604E"/>
    <w:rsid w:val="00A30A74"/>
    <w:rsid w:val="00A31CCE"/>
    <w:rsid w:val="00A33C95"/>
    <w:rsid w:val="00A34FF3"/>
    <w:rsid w:val="00A35351"/>
    <w:rsid w:val="00A361C7"/>
    <w:rsid w:val="00A36723"/>
    <w:rsid w:val="00A46DF5"/>
    <w:rsid w:val="00A5149A"/>
    <w:rsid w:val="00A517E8"/>
    <w:rsid w:val="00A531AF"/>
    <w:rsid w:val="00A53650"/>
    <w:rsid w:val="00A53E51"/>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6C8"/>
    <w:rsid w:val="00A917B6"/>
    <w:rsid w:val="00A91831"/>
    <w:rsid w:val="00A91B3B"/>
    <w:rsid w:val="00A93B4F"/>
    <w:rsid w:val="00A94F7A"/>
    <w:rsid w:val="00A95D3B"/>
    <w:rsid w:val="00A97341"/>
    <w:rsid w:val="00AA0081"/>
    <w:rsid w:val="00AA1F8D"/>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793A"/>
    <w:rsid w:val="00AE0120"/>
    <w:rsid w:val="00AE3038"/>
    <w:rsid w:val="00AE3D4A"/>
    <w:rsid w:val="00AE5956"/>
    <w:rsid w:val="00AE619F"/>
    <w:rsid w:val="00AE7A88"/>
    <w:rsid w:val="00AF2A56"/>
    <w:rsid w:val="00AF63AB"/>
    <w:rsid w:val="00B01784"/>
    <w:rsid w:val="00B0388B"/>
    <w:rsid w:val="00B03BEE"/>
    <w:rsid w:val="00B0517E"/>
    <w:rsid w:val="00B06293"/>
    <w:rsid w:val="00B11314"/>
    <w:rsid w:val="00B113E3"/>
    <w:rsid w:val="00B1156A"/>
    <w:rsid w:val="00B1181B"/>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5329"/>
    <w:rsid w:val="00B86D4D"/>
    <w:rsid w:val="00B91B9D"/>
    <w:rsid w:val="00B94237"/>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56B6"/>
    <w:rsid w:val="00BE6767"/>
    <w:rsid w:val="00BE78EC"/>
    <w:rsid w:val="00BF46EE"/>
    <w:rsid w:val="00C0613C"/>
    <w:rsid w:val="00C10597"/>
    <w:rsid w:val="00C10D05"/>
    <w:rsid w:val="00C14FBA"/>
    <w:rsid w:val="00C15EA1"/>
    <w:rsid w:val="00C17A8E"/>
    <w:rsid w:val="00C24F70"/>
    <w:rsid w:val="00C25DC2"/>
    <w:rsid w:val="00C33479"/>
    <w:rsid w:val="00C40ED2"/>
    <w:rsid w:val="00C41F10"/>
    <w:rsid w:val="00C432DD"/>
    <w:rsid w:val="00C4423A"/>
    <w:rsid w:val="00C501FE"/>
    <w:rsid w:val="00C5784B"/>
    <w:rsid w:val="00C639FF"/>
    <w:rsid w:val="00C6442A"/>
    <w:rsid w:val="00C64D15"/>
    <w:rsid w:val="00C66088"/>
    <w:rsid w:val="00C67C4C"/>
    <w:rsid w:val="00C74B5D"/>
    <w:rsid w:val="00C74F74"/>
    <w:rsid w:val="00C7554B"/>
    <w:rsid w:val="00C80951"/>
    <w:rsid w:val="00C8205E"/>
    <w:rsid w:val="00C82EB5"/>
    <w:rsid w:val="00C87966"/>
    <w:rsid w:val="00C902DE"/>
    <w:rsid w:val="00C90356"/>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50BE"/>
    <w:rsid w:val="00CF7625"/>
    <w:rsid w:val="00D0506A"/>
    <w:rsid w:val="00D1289C"/>
    <w:rsid w:val="00D1666F"/>
    <w:rsid w:val="00D2071A"/>
    <w:rsid w:val="00D30F73"/>
    <w:rsid w:val="00D30F97"/>
    <w:rsid w:val="00D313A0"/>
    <w:rsid w:val="00D36FE0"/>
    <w:rsid w:val="00D40799"/>
    <w:rsid w:val="00D41A06"/>
    <w:rsid w:val="00D42ABF"/>
    <w:rsid w:val="00D42D45"/>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4AFC"/>
    <w:rsid w:val="00D950E6"/>
    <w:rsid w:val="00D97047"/>
    <w:rsid w:val="00DA3619"/>
    <w:rsid w:val="00DB0B88"/>
    <w:rsid w:val="00DB1652"/>
    <w:rsid w:val="00DB58A6"/>
    <w:rsid w:val="00DB6B99"/>
    <w:rsid w:val="00DC001A"/>
    <w:rsid w:val="00DC5842"/>
    <w:rsid w:val="00DD4F44"/>
    <w:rsid w:val="00DD686C"/>
    <w:rsid w:val="00DD6C9F"/>
    <w:rsid w:val="00DE2AC3"/>
    <w:rsid w:val="00DE2E40"/>
    <w:rsid w:val="00DE3598"/>
    <w:rsid w:val="00DE3FBD"/>
    <w:rsid w:val="00DE43F5"/>
    <w:rsid w:val="00DE65FB"/>
    <w:rsid w:val="00DF420A"/>
    <w:rsid w:val="00E02472"/>
    <w:rsid w:val="00E041F0"/>
    <w:rsid w:val="00E128D8"/>
    <w:rsid w:val="00E130C3"/>
    <w:rsid w:val="00E17EDF"/>
    <w:rsid w:val="00E2082D"/>
    <w:rsid w:val="00E221E2"/>
    <w:rsid w:val="00E24303"/>
    <w:rsid w:val="00E27A16"/>
    <w:rsid w:val="00E40F7B"/>
    <w:rsid w:val="00E46D60"/>
    <w:rsid w:val="00E47C33"/>
    <w:rsid w:val="00E47F58"/>
    <w:rsid w:val="00E54BFC"/>
    <w:rsid w:val="00E56D9D"/>
    <w:rsid w:val="00E60E2E"/>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3F31"/>
    <w:rsid w:val="00EC52E7"/>
    <w:rsid w:val="00ED3698"/>
    <w:rsid w:val="00ED4794"/>
    <w:rsid w:val="00EE265C"/>
    <w:rsid w:val="00EE5C63"/>
    <w:rsid w:val="00EE76FA"/>
    <w:rsid w:val="00F0095C"/>
    <w:rsid w:val="00F01129"/>
    <w:rsid w:val="00F01CCA"/>
    <w:rsid w:val="00F01F2C"/>
    <w:rsid w:val="00F02104"/>
    <w:rsid w:val="00F04455"/>
    <w:rsid w:val="00F06C17"/>
    <w:rsid w:val="00F1632B"/>
    <w:rsid w:val="00F334CB"/>
    <w:rsid w:val="00F3495A"/>
    <w:rsid w:val="00F34E2C"/>
    <w:rsid w:val="00F370BC"/>
    <w:rsid w:val="00F37143"/>
    <w:rsid w:val="00F50562"/>
    <w:rsid w:val="00F50A92"/>
    <w:rsid w:val="00F50D01"/>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2482F6"/>
  <w15:docId w15:val="{FC4FE90F-BAEA-4887-BB23-8C8A1D1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2029AC"/>
    <w:pPr>
      <w:keepNext/>
      <w:keepLines/>
      <w:numPr>
        <w:numId w:val="12"/>
      </w:numPr>
      <w:spacing w:before="0" w:after="1080" w:line="240" w:lineRule="auto"/>
      <w:ind w:left="709"/>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2029AC"/>
    <w:pPr>
      <w:keepNext/>
      <w:keepLines/>
      <w:numPr>
        <w:ilvl w:val="1"/>
        <w:numId w:val="12"/>
      </w:numPr>
      <w:spacing w:before="360"/>
      <w:ind w:left="709"/>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3A444B"/>
    <w:pPr>
      <w:spacing w:before="0" w:after="0" w:line="240" w:lineRule="auto"/>
      <w:ind w:left="142" w:hanging="142"/>
    </w:pPr>
    <w:rPr>
      <w:sz w:val="18"/>
      <w:szCs w:val="18"/>
    </w:rPr>
  </w:style>
  <w:style w:type="character" w:customStyle="1" w:styleId="FootnoteTextChar">
    <w:name w:val="Footnote Text Char"/>
    <w:basedOn w:val="DefaultParagraphFont"/>
    <w:link w:val="FootnoteText"/>
    <w:uiPriority w:val="99"/>
    <w:rsid w:val="003A444B"/>
    <w:rPr>
      <w:rFonts w:ascii="Arial" w:hAnsi="Arial"/>
      <w:sz w:val="18"/>
      <w:szCs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2"/>
    <w:rsid w:val="002029AC"/>
    <w:rPr>
      <w:rFonts w:asciiTheme="majorHAnsi" w:hAnsiTheme="majorHAnsi"/>
      <w:b/>
      <w:sz w:val="28"/>
      <w:szCs w:val="44"/>
    </w:rPr>
  </w:style>
  <w:style w:type="paragraph" w:styleId="TOC1">
    <w:name w:val="toc 1"/>
    <w:basedOn w:val="Normal"/>
    <w:next w:val="Normal"/>
    <w:autoRedefine/>
    <w:uiPriority w:val="39"/>
    <w:rsid w:val="003E0845"/>
    <w:pPr>
      <w:spacing w:before="240" w:line="240" w:lineRule="auto"/>
      <w:ind w:right="567"/>
    </w:pPr>
    <w:rPr>
      <w:b/>
      <w:noProof/>
    </w:rPr>
  </w:style>
  <w:style w:type="paragraph" w:styleId="TOC2">
    <w:name w:val="toc 2"/>
    <w:basedOn w:val="Normal"/>
    <w:next w:val="Normal"/>
    <w:autoRedefine/>
    <w:uiPriority w:val="39"/>
    <w:rsid w:val="003E0845"/>
    <w:pPr>
      <w:spacing w:line="240" w:lineRule="auto"/>
      <w:ind w:right="11"/>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2029AC"/>
    <w:pPr>
      <w:spacing w:before="0" w:after="0" w:line="192" w:lineRule="exact"/>
    </w:pPr>
    <w:rPr>
      <w:b/>
      <w:bCs/>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styleId="Revision">
    <w:name w:val="Revision"/>
    <w:hidden/>
    <w:uiPriority w:val="99"/>
    <w:semiHidden/>
    <w:rsid w:val="006103B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pricing-framework" TargetMode="External"/><Relationship Id="rId10" Type="http://schemas.openxmlformats.org/officeDocument/2006/relationships/hyperlink" Target="http://creativecommons.org/licenses/by/3.0/au/deed.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pricing/national-pricing-model-technical-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3B1B-722B-4736-9709-BA933131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2330</Words>
  <Characters>14835</Characters>
  <Application>Microsoft Office Word</Application>
  <DocSecurity>0</DocSecurity>
  <Lines>423</Lines>
  <Paragraphs>231</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Cindy</dc:creator>
  <cp:lastModifiedBy>FENG, Cindy</cp:lastModifiedBy>
  <cp:revision>3</cp:revision>
  <cp:lastPrinted>2015-10-21T06:45:00Z</cp:lastPrinted>
  <dcterms:created xsi:type="dcterms:W3CDTF">2022-05-10T04:34:00Z</dcterms:created>
  <dcterms:modified xsi:type="dcterms:W3CDTF">2022-05-10T04:40:00Z</dcterms:modified>
</cp:coreProperties>
</file>