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C8E05" w14:textId="667A1D6D" w:rsidR="00CC586D" w:rsidRPr="00007DBF" w:rsidRDefault="009D486D" w:rsidP="00B70EE3">
      <w:pPr>
        <w:pStyle w:val="Organisation"/>
      </w:pPr>
      <w:r w:rsidRPr="00007DBF">
        <w:rPr>
          <w:color w:val="008542" w:themeColor="accent2"/>
          <w:sz w:val="16"/>
        </w:rPr>
        <w:drawing>
          <wp:anchor distT="0" distB="0" distL="114300" distR="114300" simplePos="0" relativeHeight="251679744" behindDoc="1" locked="0" layoutInCell="0" allowOverlap="1" wp14:anchorId="4EDFB224" wp14:editId="3B167349">
            <wp:simplePos x="0" y="0"/>
            <wp:positionH relativeFrom="page">
              <wp:align>left</wp:align>
            </wp:positionH>
            <wp:positionV relativeFrom="page">
              <wp:posOffset>8841</wp:posOffset>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C586D" w:rsidRPr="00007DBF">
        <w:t>Independent Hospital Pricing Authority</w:t>
      </w:r>
    </w:p>
    <w:p w14:paraId="66F14109" w14:textId="77777777" w:rsidR="00102824" w:rsidRPr="00007DBF" w:rsidRDefault="00351725" w:rsidP="002B2EB7">
      <w:pPr>
        <w:pStyle w:val="Title"/>
      </w:pPr>
      <w:bookmarkStart w:id="0" w:name="_Toc506796524"/>
      <w:r w:rsidRPr="00007DBF">
        <w:t xml:space="preserve">Data Access and </w:t>
      </w:r>
      <w:r w:rsidR="00D82D81" w:rsidRPr="00007DBF">
        <w:t>Release Policy</w:t>
      </w:r>
      <w:bookmarkEnd w:id="0"/>
      <w:r w:rsidR="00D82D81" w:rsidRPr="00007DBF">
        <w:t xml:space="preserve"> </w:t>
      </w:r>
    </w:p>
    <w:p w14:paraId="5058F3C6" w14:textId="7D5BDA00" w:rsidR="00BC1032" w:rsidRPr="006F41E4" w:rsidRDefault="00F12E89" w:rsidP="005430C3">
      <w:pPr>
        <w:pStyle w:val="Versionanddate"/>
      </w:pPr>
      <w:r w:rsidRPr="005430C3">
        <w:t>May</w:t>
      </w:r>
      <w:r w:rsidR="006C053C" w:rsidRPr="005430C3">
        <w:t xml:space="preserve"> 2022</w:t>
      </w:r>
    </w:p>
    <w:p w14:paraId="7F8CD648" w14:textId="37BBE61D" w:rsidR="0035219F" w:rsidRPr="00007DBF" w:rsidRDefault="0035219F" w:rsidP="0035219F">
      <w:r w:rsidRPr="00007DBF">
        <w:br w:type="page"/>
      </w:r>
    </w:p>
    <w:p w14:paraId="590582D0" w14:textId="77777777" w:rsidR="002B2EB7" w:rsidRPr="00007DBF" w:rsidRDefault="002B2EB7" w:rsidP="003A48E2">
      <w:pPr>
        <w:pStyle w:val="Report"/>
      </w:pPr>
    </w:p>
    <w:p w14:paraId="43784CBD" w14:textId="7A1F6890" w:rsidR="00BC1032" w:rsidRPr="00007DBF" w:rsidRDefault="0047088D" w:rsidP="003A48E2">
      <w:pPr>
        <w:pStyle w:val="Report"/>
      </w:pPr>
      <w:r w:rsidRPr="00007DBF">
        <w:t xml:space="preserve">Data Access and </w:t>
      </w:r>
      <w:r w:rsidR="0002763A" w:rsidRPr="00007DBF">
        <w:t xml:space="preserve">Release Policy </w:t>
      </w:r>
      <w:r w:rsidR="00BC1032" w:rsidRPr="00007DBF">
        <w:t xml:space="preserve">– </w:t>
      </w:r>
      <w:r w:rsidR="008C2111" w:rsidRPr="00007DBF">
        <w:t>Version</w:t>
      </w:r>
      <w:r w:rsidR="0002763A" w:rsidRPr="00007DBF">
        <w:t xml:space="preserve"> </w:t>
      </w:r>
      <w:r w:rsidR="003E43FB">
        <w:t>6.0</w:t>
      </w:r>
      <w:r w:rsidR="007646C0">
        <w:t xml:space="preserve"> </w:t>
      </w:r>
      <w:r w:rsidR="00F12E89">
        <w:t>May 2022</w:t>
      </w:r>
    </w:p>
    <w:p w14:paraId="7924CD11" w14:textId="77777777" w:rsidR="00BC1032" w:rsidRPr="00007DBF" w:rsidRDefault="00BC1032" w:rsidP="00BC1032"/>
    <w:p w14:paraId="13DC0049" w14:textId="21FB66A2" w:rsidR="00BC1032" w:rsidRPr="00007DBF" w:rsidRDefault="00BC1032" w:rsidP="00BC1032">
      <w:r w:rsidRPr="00007DBF">
        <w:t xml:space="preserve">© Independent Hospital Pricing Authority </w:t>
      </w:r>
      <w:r w:rsidR="00CB2C53" w:rsidRPr="00007DBF">
        <w:t>202</w:t>
      </w:r>
      <w:r w:rsidR="006C053C">
        <w:t>2</w:t>
      </w:r>
    </w:p>
    <w:p w14:paraId="7A03B4C7" w14:textId="77777777" w:rsidR="00BC1032" w:rsidRPr="00007DBF" w:rsidRDefault="00BC1032" w:rsidP="00BC1032">
      <w:r w:rsidRPr="00007DBF">
        <w:t xml:space="preserve">This publication is available for your use under a </w:t>
      </w:r>
      <w:hyperlink r:id="rId9" w:history="1">
        <w:r w:rsidRPr="00007DBF">
          <w:t>Creative Commons BY Attribution 3.0 Australia</w:t>
        </w:r>
      </w:hyperlink>
      <w:r w:rsidRPr="00007DBF">
        <w:t xml:space="preserve"> licence, </w:t>
      </w:r>
      <w:proofErr w:type="gramStart"/>
      <w:r w:rsidRPr="00007DBF">
        <w:t>with the exception of</w:t>
      </w:r>
      <w:proofErr w:type="gramEnd"/>
      <w:r w:rsidRPr="00007DBF">
        <w:t xml:space="preserve"> the Independent Hospital Pricing Authority logo, photographs, images, signatures and where otherwise stated. The full licence terms are available from </w:t>
      </w:r>
      <w:hyperlink r:id="rId10" w:history="1">
        <w:r w:rsidRPr="00007DBF">
          <w:t>the Creative Commons website</w:t>
        </w:r>
      </w:hyperlink>
      <w:r w:rsidRPr="00007DBF">
        <w:t>.</w:t>
      </w:r>
    </w:p>
    <w:p w14:paraId="7B3B2256" w14:textId="77777777" w:rsidR="00BC1032" w:rsidRPr="00007DBF" w:rsidRDefault="00BC1032" w:rsidP="00BC1032">
      <w:r w:rsidRPr="00007DBF">
        <w:rPr>
          <w:rFonts w:cs="Calibri"/>
          <w:noProof/>
          <w:sz w:val="24"/>
        </w:rPr>
        <w:drawing>
          <wp:inline distT="0" distB="0" distL="0" distR="0" wp14:anchorId="19D4B2C1" wp14:editId="0FDA4360">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26A13AC0" w14:textId="77777777" w:rsidR="00BC1032" w:rsidRPr="00007DBF" w:rsidRDefault="00BC1032" w:rsidP="00BC1032">
      <w:r w:rsidRPr="00007DBF">
        <w:t xml:space="preserve">Use of Independent Hospital Pricing Authority material under a </w:t>
      </w:r>
      <w:hyperlink r:id="rId12" w:history="1">
        <w:r w:rsidRPr="00007DBF">
          <w:t>Creative Commons BY Attribution 3.0 Australia</w:t>
        </w:r>
      </w:hyperlink>
      <w:r w:rsidRPr="00007DBF">
        <w:t xml:space="preserve"> licence requires you to attribute the work (but not in any way that suggests that the Independent Hospital Pricing Authority endorses you or your use of the work).</w:t>
      </w:r>
    </w:p>
    <w:p w14:paraId="125794D2" w14:textId="77777777" w:rsidR="00BC1032" w:rsidRPr="00007DBF" w:rsidRDefault="00BC1032" w:rsidP="00BC1032">
      <w:pPr>
        <w:rPr>
          <w:i/>
        </w:rPr>
      </w:pPr>
      <w:r w:rsidRPr="00007DBF">
        <w:rPr>
          <w:i/>
        </w:rPr>
        <w:t>Independent Hospital Pricing Authority material used 'as supplied'.</w:t>
      </w:r>
    </w:p>
    <w:p w14:paraId="44F4F130" w14:textId="77777777" w:rsidR="00BC1032" w:rsidRPr="00007DBF" w:rsidRDefault="00BC1032" w:rsidP="00BC1032">
      <w:r w:rsidRPr="00007DBF">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03D5A16C" w14:textId="77777777" w:rsidR="007669F3" w:rsidRPr="00007DBF" w:rsidRDefault="00BC1032" w:rsidP="00A1338F">
      <w:pPr>
        <w:pStyle w:val="NormalIndent"/>
        <w:rPr>
          <w:i/>
        </w:rPr>
      </w:pPr>
      <w:r w:rsidRPr="00007DBF">
        <w:rPr>
          <w:i/>
        </w:rPr>
        <w:t>Source: The Independent Hospital Pricing Authority</w:t>
      </w:r>
      <w:r w:rsidRPr="00007DBF">
        <w:rPr>
          <w:i/>
        </w:rPr>
        <w:br w:type="page"/>
      </w:r>
    </w:p>
    <w:p w14:paraId="04C3A9DF" w14:textId="77777777" w:rsidR="00B67EC7" w:rsidRDefault="002B2EB7" w:rsidP="00834ADB">
      <w:pPr>
        <w:pStyle w:val="Heading1"/>
        <w:numPr>
          <w:ilvl w:val="0"/>
          <w:numId w:val="0"/>
        </w:numPr>
        <w:rPr>
          <w:noProof/>
        </w:rPr>
      </w:pPr>
      <w:bookmarkStart w:id="1" w:name="_Toc61186073"/>
      <w:bookmarkStart w:id="2" w:name="_Toc61186139"/>
      <w:bookmarkStart w:id="3" w:name="_Toc61186201"/>
      <w:bookmarkStart w:id="4" w:name="_Toc36114967"/>
      <w:bookmarkStart w:id="5" w:name="_Toc61536303"/>
      <w:bookmarkStart w:id="6" w:name="_Toc94518806"/>
      <w:bookmarkStart w:id="7" w:name="_Toc94525287"/>
      <w:bookmarkStart w:id="8" w:name="_Toc94527615"/>
      <w:r w:rsidRPr="00007DBF">
        <w:lastRenderedPageBreak/>
        <w:t xml:space="preserve">Table of </w:t>
      </w:r>
      <w:r w:rsidR="002A20CA" w:rsidRPr="00007DBF">
        <w:t>c</w:t>
      </w:r>
      <w:r w:rsidR="00EE5B6A" w:rsidRPr="00007DBF">
        <w:t>ontents</w:t>
      </w:r>
      <w:bookmarkStart w:id="9" w:name="_Toc36114968"/>
      <w:bookmarkStart w:id="10" w:name="_Toc506796527"/>
      <w:bookmarkEnd w:id="1"/>
      <w:bookmarkEnd w:id="2"/>
      <w:bookmarkEnd w:id="3"/>
      <w:bookmarkEnd w:id="4"/>
      <w:bookmarkEnd w:id="5"/>
      <w:bookmarkEnd w:id="6"/>
      <w:bookmarkEnd w:id="7"/>
      <w:bookmarkEnd w:id="8"/>
      <w:r w:rsidR="0096162B">
        <w:fldChar w:fldCharType="begin"/>
      </w:r>
      <w:r w:rsidR="0096162B">
        <w:instrText xml:space="preserve"> TOC \o "1-2" \u </w:instrText>
      </w:r>
      <w:r w:rsidR="0096162B">
        <w:fldChar w:fldCharType="separate"/>
      </w:r>
    </w:p>
    <w:p w14:paraId="1E820403" w14:textId="3252057B" w:rsidR="00B67EC7" w:rsidRDefault="00B67EC7" w:rsidP="007B11F7">
      <w:pPr>
        <w:pStyle w:val="TOC1"/>
        <w:rPr>
          <w:rFonts w:asciiTheme="minorHAnsi" w:eastAsiaTheme="minorEastAsia" w:hAnsiTheme="minorHAnsi" w:cstheme="minorBidi"/>
          <w:szCs w:val="22"/>
        </w:rPr>
      </w:pPr>
      <w:r>
        <w:t>Acronyms and abbreviations</w:t>
      </w:r>
      <w:r>
        <w:tab/>
      </w:r>
      <w:r>
        <w:fldChar w:fldCharType="begin"/>
      </w:r>
      <w:r>
        <w:instrText xml:space="preserve"> PAGEREF _Toc94527616 \h </w:instrText>
      </w:r>
      <w:r>
        <w:fldChar w:fldCharType="separate"/>
      </w:r>
      <w:r w:rsidR="007F4E6B">
        <w:t>4</w:t>
      </w:r>
      <w:r>
        <w:fldChar w:fldCharType="end"/>
      </w:r>
    </w:p>
    <w:p w14:paraId="7CE0A7E6" w14:textId="62CA1B8C" w:rsidR="00B67EC7" w:rsidRDefault="00B67EC7" w:rsidP="007B11F7">
      <w:pPr>
        <w:pStyle w:val="TOC1"/>
        <w:rPr>
          <w:rFonts w:asciiTheme="minorHAnsi" w:eastAsiaTheme="minorEastAsia" w:hAnsiTheme="minorHAnsi" w:cstheme="minorBidi"/>
          <w:szCs w:val="22"/>
        </w:rPr>
      </w:pPr>
      <w:r>
        <w:t>Definitions</w:t>
      </w:r>
      <w:r>
        <w:tab/>
      </w:r>
      <w:r>
        <w:fldChar w:fldCharType="begin"/>
      </w:r>
      <w:r>
        <w:instrText xml:space="preserve"> PAGEREF _Toc94527617 \h </w:instrText>
      </w:r>
      <w:r>
        <w:fldChar w:fldCharType="separate"/>
      </w:r>
      <w:r w:rsidR="007F4E6B">
        <w:t>5</w:t>
      </w:r>
      <w:r>
        <w:fldChar w:fldCharType="end"/>
      </w:r>
    </w:p>
    <w:p w14:paraId="51962754" w14:textId="75DAF517" w:rsidR="00B67EC7" w:rsidRDefault="00B67EC7" w:rsidP="007B11F7">
      <w:pPr>
        <w:pStyle w:val="TOC1"/>
        <w:rPr>
          <w:rFonts w:asciiTheme="minorHAnsi" w:eastAsiaTheme="minorEastAsia" w:hAnsiTheme="minorHAnsi" w:cstheme="minorBidi"/>
          <w:szCs w:val="22"/>
        </w:rPr>
      </w:pPr>
      <w:r>
        <w:t>1.</w:t>
      </w:r>
      <w:r w:rsidR="003E2AEA">
        <w:rPr>
          <w:rFonts w:asciiTheme="minorHAnsi" w:eastAsiaTheme="minorEastAsia" w:hAnsiTheme="minorHAnsi" w:cstheme="minorBidi"/>
          <w:szCs w:val="22"/>
        </w:rPr>
        <w:t xml:space="preserve"> </w:t>
      </w:r>
      <w:r>
        <w:t>Executive summary</w:t>
      </w:r>
      <w:r>
        <w:tab/>
      </w:r>
      <w:r>
        <w:fldChar w:fldCharType="begin"/>
      </w:r>
      <w:r>
        <w:instrText xml:space="preserve"> PAGEREF _Toc94527618 \h </w:instrText>
      </w:r>
      <w:r>
        <w:fldChar w:fldCharType="separate"/>
      </w:r>
      <w:r w:rsidR="007F4E6B">
        <w:t>6</w:t>
      </w:r>
      <w:r>
        <w:fldChar w:fldCharType="end"/>
      </w:r>
    </w:p>
    <w:p w14:paraId="086F9643" w14:textId="6BF9640C" w:rsidR="00B67EC7" w:rsidRDefault="00B67EC7">
      <w:pPr>
        <w:pStyle w:val="TOC2"/>
        <w:tabs>
          <w:tab w:val="left" w:pos="660"/>
          <w:tab w:val="right" w:leader="dot" w:pos="9435"/>
        </w:tabs>
        <w:rPr>
          <w:rFonts w:asciiTheme="minorHAnsi" w:eastAsiaTheme="minorEastAsia" w:hAnsiTheme="minorHAnsi" w:cstheme="minorBidi"/>
          <w:szCs w:val="22"/>
        </w:rPr>
      </w:pPr>
      <w:r>
        <w:t>1.1</w:t>
      </w:r>
      <w:r>
        <w:rPr>
          <w:rFonts w:asciiTheme="minorHAnsi" w:eastAsiaTheme="minorEastAsia" w:hAnsiTheme="minorHAnsi" w:cstheme="minorBidi"/>
          <w:szCs w:val="22"/>
        </w:rPr>
        <w:tab/>
      </w:r>
      <w:r>
        <w:t>Background</w:t>
      </w:r>
      <w:r>
        <w:tab/>
      </w:r>
      <w:r>
        <w:fldChar w:fldCharType="begin"/>
      </w:r>
      <w:r>
        <w:instrText xml:space="preserve"> PAGEREF _Toc94527619 \h </w:instrText>
      </w:r>
      <w:r>
        <w:fldChar w:fldCharType="separate"/>
      </w:r>
      <w:r w:rsidR="007F4E6B">
        <w:t>6</w:t>
      </w:r>
      <w:r>
        <w:fldChar w:fldCharType="end"/>
      </w:r>
    </w:p>
    <w:p w14:paraId="3BE44C86" w14:textId="3538E586" w:rsidR="00B67EC7" w:rsidRDefault="00B67EC7">
      <w:pPr>
        <w:pStyle w:val="TOC2"/>
        <w:tabs>
          <w:tab w:val="left" w:pos="660"/>
          <w:tab w:val="right" w:leader="dot" w:pos="9435"/>
        </w:tabs>
        <w:rPr>
          <w:rFonts w:asciiTheme="minorHAnsi" w:eastAsiaTheme="minorEastAsia" w:hAnsiTheme="minorHAnsi" w:cstheme="minorBidi"/>
          <w:szCs w:val="22"/>
        </w:rPr>
      </w:pPr>
      <w:r>
        <w:t>1.2</w:t>
      </w:r>
      <w:r>
        <w:rPr>
          <w:rFonts w:asciiTheme="minorHAnsi" w:eastAsiaTheme="minorEastAsia" w:hAnsiTheme="minorHAnsi" w:cstheme="minorBidi"/>
          <w:szCs w:val="22"/>
        </w:rPr>
        <w:tab/>
      </w:r>
      <w:r>
        <w:t>Purpose</w:t>
      </w:r>
      <w:r>
        <w:tab/>
      </w:r>
      <w:r>
        <w:fldChar w:fldCharType="begin"/>
      </w:r>
      <w:r>
        <w:instrText xml:space="preserve"> PAGEREF _Toc94527620 \h </w:instrText>
      </w:r>
      <w:r>
        <w:fldChar w:fldCharType="separate"/>
      </w:r>
      <w:r w:rsidR="007F4E6B">
        <w:t>6</w:t>
      </w:r>
      <w:r>
        <w:fldChar w:fldCharType="end"/>
      </w:r>
    </w:p>
    <w:p w14:paraId="405895C2" w14:textId="59800164" w:rsidR="00B67EC7" w:rsidRDefault="00B67EC7">
      <w:pPr>
        <w:pStyle w:val="TOC2"/>
        <w:tabs>
          <w:tab w:val="left" w:pos="660"/>
          <w:tab w:val="right" w:leader="dot" w:pos="9435"/>
        </w:tabs>
        <w:rPr>
          <w:rFonts w:asciiTheme="minorHAnsi" w:eastAsiaTheme="minorEastAsia" w:hAnsiTheme="minorHAnsi" w:cstheme="minorBidi"/>
          <w:szCs w:val="22"/>
        </w:rPr>
      </w:pPr>
      <w:r>
        <w:t>1.3</w:t>
      </w:r>
      <w:r>
        <w:rPr>
          <w:rFonts w:asciiTheme="minorHAnsi" w:eastAsiaTheme="minorEastAsia" w:hAnsiTheme="minorHAnsi" w:cstheme="minorBidi"/>
          <w:szCs w:val="22"/>
        </w:rPr>
        <w:tab/>
      </w:r>
      <w:r>
        <w:t>Review</w:t>
      </w:r>
      <w:r>
        <w:tab/>
      </w:r>
      <w:r>
        <w:fldChar w:fldCharType="begin"/>
      </w:r>
      <w:r>
        <w:instrText xml:space="preserve"> PAGEREF _Toc94527634 \h </w:instrText>
      </w:r>
      <w:r>
        <w:fldChar w:fldCharType="separate"/>
      </w:r>
      <w:r w:rsidR="007F4E6B">
        <w:t>6</w:t>
      </w:r>
      <w:r>
        <w:fldChar w:fldCharType="end"/>
      </w:r>
    </w:p>
    <w:p w14:paraId="21760E97" w14:textId="1EC23BDC" w:rsidR="00B67EC7" w:rsidRDefault="00B67EC7" w:rsidP="007B11F7">
      <w:pPr>
        <w:pStyle w:val="TOC1"/>
        <w:rPr>
          <w:rFonts w:asciiTheme="minorHAnsi" w:eastAsiaTheme="minorEastAsia" w:hAnsiTheme="minorHAnsi" w:cstheme="minorBidi"/>
          <w:szCs w:val="22"/>
        </w:rPr>
      </w:pPr>
      <w:r>
        <w:t>2.</w:t>
      </w:r>
      <w:r w:rsidR="003E2AEA">
        <w:rPr>
          <w:rFonts w:asciiTheme="minorHAnsi" w:eastAsiaTheme="minorEastAsia" w:hAnsiTheme="minorHAnsi" w:cstheme="minorBidi"/>
          <w:szCs w:val="22"/>
        </w:rPr>
        <w:t xml:space="preserve"> </w:t>
      </w:r>
      <w:r>
        <w:t>Types of data release</w:t>
      </w:r>
      <w:r>
        <w:tab/>
      </w:r>
      <w:r>
        <w:fldChar w:fldCharType="begin"/>
      </w:r>
      <w:r>
        <w:instrText xml:space="preserve"> PAGEREF _Toc94527635 \h </w:instrText>
      </w:r>
      <w:r>
        <w:fldChar w:fldCharType="separate"/>
      </w:r>
      <w:r w:rsidR="007F4E6B">
        <w:t>7</w:t>
      </w:r>
      <w:r>
        <w:fldChar w:fldCharType="end"/>
      </w:r>
    </w:p>
    <w:p w14:paraId="491A8BE6" w14:textId="1C7F3B4B" w:rsidR="00B67EC7" w:rsidRDefault="00B67EC7">
      <w:pPr>
        <w:pStyle w:val="TOC2"/>
        <w:tabs>
          <w:tab w:val="left" w:pos="660"/>
          <w:tab w:val="right" w:leader="dot" w:pos="9435"/>
        </w:tabs>
        <w:rPr>
          <w:rFonts w:asciiTheme="minorHAnsi" w:eastAsiaTheme="minorEastAsia" w:hAnsiTheme="minorHAnsi" w:cstheme="minorBidi"/>
          <w:szCs w:val="22"/>
        </w:rPr>
      </w:pPr>
      <w:r>
        <w:t>2.1</w:t>
      </w:r>
      <w:r>
        <w:rPr>
          <w:rFonts w:asciiTheme="minorHAnsi" w:eastAsiaTheme="minorEastAsia" w:hAnsiTheme="minorHAnsi" w:cstheme="minorBidi"/>
          <w:szCs w:val="22"/>
        </w:rPr>
        <w:tab/>
      </w:r>
      <w:r>
        <w:t>Release of data to different parties</w:t>
      </w:r>
      <w:r>
        <w:tab/>
      </w:r>
      <w:r>
        <w:fldChar w:fldCharType="begin"/>
      </w:r>
      <w:r>
        <w:instrText xml:space="preserve"> PAGEREF _Toc94527637 \h </w:instrText>
      </w:r>
      <w:r>
        <w:fldChar w:fldCharType="separate"/>
      </w:r>
      <w:r w:rsidR="007F4E6B">
        <w:t>7</w:t>
      </w:r>
      <w:r>
        <w:fldChar w:fldCharType="end"/>
      </w:r>
    </w:p>
    <w:p w14:paraId="1A75D69E" w14:textId="581273F4" w:rsidR="00B67EC7" w:rsidRDefault="00B67EC7">
      <w:pPr>
        <w:pStyle w:val="TOC2"/>
        <w:tabs>
          <w:tab w:val="left" w:pos="660"/>
          <w:tab w:val="right" w:leader="dot" w:pos="9435"/>
        </w:tabs>
        <w:rPr>
          <w:rFonts w:asciiTheme="minorHAnsi" w:eastAsiaTheme="minorEastAsia" w:hAnsiTheme="minorHAnsi" w:cstheme="minorBidi"/>
          <w:szCs w:val="22"/>
        </w:rPr>
      </w:pPr>
      <w:r>
        <w:t>2.2</w:t>
      </w:r>
      <w:r>
        <w:rPr>
          <w:rFonts w:asciiTheme="minorHAnsi" w:eastAsiaTheme="minorEastAsia" w:hAnsiTheme="minorHAnsi" w:cstheme="minorBidi"/>
          <w:szCs w:val="22"/>
        </w:rPr>
        <w:tab/>
      </w:r>
      <w:r>
        <w:t>Release of data to conduct research</w:t>
      </w:r>
      <w:r>
        <w:tab/>
      </w:r>
      <w:r>
        <w:fldChar w:fldCharType="begin"/>
      </w:r>
      <w:r>
        <w:instrText xml:space="preserve"> PAGEREF _Toc94527638 \h </w:instrText>
      </w:r>
      <w:r>
        <w:fldChar w:fldCharType="separate"/>
      </w:r>
      <w:r w:rsidR="007F4E6B">
        <w:t>7</w:t>
      </w:r>
      <w:r>
        <w:fldChar w:fldCharType="end"/>
      </w:r>
    </w:p>
    <w:p w14:paraId="35B719A1" w14:textId="56F72AF6" w:rsidR="00B67EC7" w:rsidRDefault="00B67EC7">
      <w:pPr>
        <w:pStyle w:val="TOC2"/>
        <w:tabs>
          <w:tab w:val="left" w:pos="660"/>
          <w:tab w:val="right" w:leader="dot" w:pos="9435"/>
        </w:tabs>
        <w:rPr>
          <w:rFonts w:asciiTheme="minorHAnsi" w:eastAsiaTheme="minorEastAsia" w:hAnsiTheme="minorHAnsi" w:cstheme="minorBidi"/>
          <w:szCs w:val="22"/>
        </w:rPr>
      </w:pPr>
      <w:r>
        <w:t>2.3</w:t>
      </w:r>
      <w:r>
        <w:rPr>
          <w:rFonts w:asciiTheme="minorHAnsi" w:eastAsiaTheme="minorEastAsia" w:hAnsiTheme="minorHAnsi" w:cstheme="minorBidi"/>
          <w:szCs w:val="22"/>
        </w:rPr>
        <w:tab/>
      </w:r>
      <w:r>
        <w:t>Release of data to certain bodies, agencies or persons</w:t>
      </w:r>
      <w:r>
        <w:tab/>
      </w:r>
      <w:r>
        <w:fldChar w:fldCharType="begin"/>
      </w:r>
      <w:r>
        <w:instrText xml:space="preserve"> PAGEREF _Toc94527640 \h </w:instrText>
      </w:r>
      <w:r>
        <w:fldChar w:fldCharType="separate"/>
      </w:r>
      <w:r w:rsidR="007F4E6B">
        <w:t>8</w:t>
      </w:r>
      <w:r>
        <w:fldChar w:fldCharType="end"/>
      </w:r>
    </w:p>
    <w:p w14:paraId="4C5F1219" w14:textId="6337F89B" w:rsidR="00B67EC7" w:rsidRDefault="00B67EC7" w:rsidP="007B11F7">
      <w:pPr>
        <w:pStyle w:val="TOC1"/>
        <w:rPr>
          <w:rFonts w:asciiTheme="minorHAnsi" w:eastAsiaTheme="minorEastAsia" w:hAnsiTheme="minorHAnsi" w:cstheme="minorBidi"/>
          <w:szCs w:val="22"/>
        </w:rPr>
      </w:pPr>
      <w:r>
        <w:rPr>
          <w:lang w:eastAsia="zh-CN"/>
        </w:rPr>
        <w:t>3.</w:t>
      </w:r>
      <w:r w:rsidR="003E2AEA">
        <w:rPr>
          <w:rFonts w:asciiTheme="minorHAnsi" w:eastAsiaTheme="minorEastAsia" w:hAnsiTheme="minorHAnsi" w:cstheme="minorBidi"/>
          <w:szCs w:val="22"/>
        </w:rPr>
        <w:t xml:space="preserve"> </w:t>
      </w:r>
      <w:r>
        <w:t>Principles</w:t>
      </w:r>
      <w:r>
        <w:rPr>
          <w:lang w:eastAsia="zh-CN"/>
        </w:rPr>
        <w:t xml:space="preserve"> for data access and release</w:t>
      </w:r>
      <w:r>
        <w:tab/>
      </w:r>
      <w:r>
        <w:fldChar w:fldCharType="begin"/>
      </w:r>
      <w:r>
        <w:instrText xml:space="preserve"> PAGEREF _Toc94527641 \h </w:instrText>
      </w:r>
      <w:r>
        <w:fldChar w:fldCharType="separate"/>
      </w:r>
      <w:r w:rsidR="007F4E6B">
        <w:t>9</w:t>
      </w:r>
      <w:r>
        <w:fldChar w:fldCharType="end"/>
      </w:r>
    </w:p>
    <w:p w14:paraId="76463666" w14:textId="754938F5" w:rsidR="00B67EC7" w:rsidRDefault="00B67EC7" w:rsidP="007B11F7">
      <w:pPr>
        <w:pStyle w:val="TOC1"/>
        <w:rPr>
          <w:rFonts w:asciiTheme="minorHAnsi" w:eastAsiaTheme="minorEastAsia" w:hAnsiTheme="minorHAnsi" w:cstheme="minorBidi"/>
          <w:szCs w:val="22"/>
        </w:rPr>
      </w:pPr>
      <w:r>
        <w:t>4.</w:t>
      </w:r>
      <w:r w:rsidR="003E2AEA">
        <w:rPr>
          <w:rFonts w:asciiTheme="minorHAnsi" w:eastAsiaTheme="minorEastAsia" w:hAnsiTheme="minorHAnsi" w:cstheme="minorBidi"/>
          <w:szCs w:val="22"/>
        </w:rPr>
        <w:t xml:space="preserve"> </w:t>
      </w:r>
      <w:r>
        <w:t>Data access and release process</w:t>
      </w:r>
      <w:r>
        <w:tab/>
      </w:r>
      <w:r>
        <w:fldChar w:fldCharType="begin"/>
      </w:r>
      <w:r>
        <w:instrText xml:space="preserve"> PAGEREF _Toc94527642 \h </w:instrText>
      </w:r>
      <w:r>
        <w:fldChar w:fldCharType="separate"/>
      </w:r>
      <w:r w:rsidR="007F4E6B">
        <w:t>11</w:t>
      </w:r>
      <w:r>
        <w:fldChar w:fldCharType="end"/>
      </w:r>
    </w:p>
    <w:p w14:paraId="7EA1E7C7" w14:textId="151B095D" w:rsidR="00B67EC7" w:rsidRDefault="00B67EC7">
      <w:pPr>
        <w:pStyle w:val="TOC2"/>
        <w:tabs>
          <w:tab w:val="left" w:pos="660"/>
          <w:tab w:val="right" w:leader="dot" w:pos="9435"/>
        </w:tabs>
        <w:rPr>
          <w:rFonts w:asciiTheme="minorHAnsi" w:eastAsiaTheme="minorEastAsia" w:hAnsiTheme="minorHAnsi" w:cstheme="minorBidi"/>
          <w:szCs w:val="22"/>
        </w:rPr>
      </w:pPr>
      <w:r>
        <w:t>4.1</w:t>
      </w:r>
      <w:r>
        <w:rPr>
          <w:rFonts w:asciiTheme="minorHAnsi" w:eastAsiaTheme="minorEastAsia" w:hAnsiTheme="minorHAnsi" w:cstheme="minorBidi"/>
          <w:szCs w:val="22"/>
        </w:rPr>
        <w:tab/>
      </w:r>
      <w:r>
        <w:t>Submitting a data request</w:t>
      </w:r>
      <w:r>
        <w:tab/>
      </w:r>
      <w:r>
        <w:fldChar w:fldCharType="begin"/>
      </w:r>
      <w:r>
        <w:instrText xml:space="preserve"> PAGEREF _Toc94527643 \h </w:instrText>
      </w:r>
      <w:r>
        <w:fldChar w:fldCharType="separate"/>
      </w:r>
      <w:r w:rsidR="007F4E6B">
        <w:t>11</w:t>
      </w:r>
      <w:r>
        <w:fldChar w:fldCharType="end"/>
      </w:r>
    </w:p>
    <w:p w14:paraId="2445BFE5" w14:textId="49430016" w:rsidR="00B67EC7" w:rsidRDefault="00B67EC7">
      <w:pPr>
        <w:pStyle w:val="TOC2"/>
        <w:tabs>
          <w:tab w:val="left" w:pos="660"/>
          <w:tab w:val="right" w:leader="dot" w:pos="9435"/>
        </w:tabs>
        <w:rPr>
          <w:rFonts w:asciiTheme="minorHAnsi" w:eastAsiaTheme="minorEastAsia" w:hAnsiTheme="minorHAnsi" w:cstheme="minorBidi"/>
          <w:szCs w:val="22"/>
        </w:rPr>
      </w:pPr>
      <w:r>
        <w:t>4.2</w:t>
      </w:r>
      <w:r>
        <w:rPr>
          <w:rFonts w:asciiTheme="minorHAnsi" w:eastAsiaTheme="minorEastAsia" w:hAnsiTheme="minorHAnsi" w:cstheme="minorBidi"/>
          <w:szCs w:val="22"/>
        </w:rPr>
        <w:tab/>
      </w:r>
      <w:r>
        <w:t>Consideration of data requests</w:t>
      </w:r>
      <w:r>
        <w:tab/>
      </w:r>
      <w:r>
        <w:fldChar w:fldCharType="begin"/>
      </w:r>
      <w:r>
        <w:instrText xml:space="preserve"> PAGEREF _Toc94527644 \h </w:instrText>
      </w:r>
      <w:r>
        <w:fldChar w:fldCharType="separate"/>
      </w:r>
      <w:r w:rsidR="007F4E6B">
        <w:t>11</w:t>
      </w:r>
      <w:r>
        <w:fldChar w:fldCharType="end"/>
      </w:r>
    </w:p>
    <w:p w14:paraId="22DF7EBF" w14:textId="2A673AE3" w:rsidR="00B67EC7" w:rsidRDefault="00B67EC7">
      <w:pPr>
        <w:pStyle w:val="TOC2"/>
        <w:tabs>
          <w:tab w:val="left" w:pos="660"/>
          <w:tab w:val="right" w:leader="dot" w:pos="9435"/>
        </w:tabs>
        <w:rPr>
          <w:rFonts w:asciiTheme="minorHAnsi" w:eastAsiaTheme="minorEastAsia" w:hAnsiTheme="minorHAnsi" w:cstheme="minorBidi"/>
          <w:szCs w:val="22"/>
        </w:rPr>
      </w:pPr>
      <w:r>
        <w:t>4.3</w:t>
      </w:r>
      <w:r>
        <w:rPr>
          <w:rFonts w:asciiTheme="minorHAnsi" w:eastAsiaTheme="minorEastAsia" w:hAnsiTheme="minorHAnsi" w:cstheme="minorBidi"/>
          <w:szCs w:val="22"/>
        </w:rPr>
        <w:tab/>
      </w:r>
      <w:r>
        <w:t>Amending a data request</w:t>
      </w:r>
      <w:r>
        <w:tab/>
      </w:r>
      <w:r>
        <w:fldChar w:fldCharType="begin"/>
      </w:r>
      <w:r>
        <w:instrText xml:space="preserve"> PAGEREF _Toc94527645 \h </w:instrText>
      </w:r>
      <w:r>
        <w:fldChar w:fldCharType="separate"/>
      </w:r>
      <w:r w:rsidR="007F4E6B">
        <w:t>12</w:t>
      </w:r>
      <w:r>
        <w:fldChar w:fldCharType="end"/>
      </w:r>
    </w:p>
    <w:p w14:paraId="730E34F5" w14:textId="554AE9B6" w:rsidR="00B67EC7" w:rsidRDefault="00B67EC7">
      <w:pPr>
        <w:pStyle w:val="TOC2"/>
        <w:tabs>
          <w:tab w:val="left" w:pos="660"/>
          <w:tab w:val="right" w:leader="dot" w:pos="9435"/>
        </w:tabs>
        <w:rPr>
          <w:rFonts w:asciiTheme="minorHAnsi" w:eastAsiaTheme="minorEastAsia" w:hAnsiTheme="minorHAnsi" w:cstheme="minorBidi"/>
          <w:szCs w:val="22"/>
        </w:rPr>
      </w:pPr>
      <w:r>
        <w:t>4.4</w:t>
      </w:r>
      <w:r>
        <w:rPr>
          <w:rFonts w:asciiTheme="minorHAnsi" w:eastAsiaTheme="minorEastAsia" w:hAnsiTheme="minorHAnsi" w:cstheme="minorBidi"/>
          <w:szCs w:val="22"/>
        </w:rPr>
        <w:tab/>
      </w:r>
      <w:r>
        <w:t>Ethics approvals for data requests</w:t>
      </w:r>
      <w:r>
        <w:tab/>
      </w:r>
      <w:r>
        <w:fldChar w:fldCharType="begin"/>
      </w:r>
      <w:r>
        <w:instrText xml:space="preserve"> PAGEREF _Toc94527646 \h </w:instrText>
      </w:r>
      <w:r>
        <w:fldChar w:fldCharType="separate"/>
      </w:r>
      <w:r w:rsidR="007F4E6B">
        <w:t>12</w:t>
      </w:r>
      <w:r>
        <w:fldChar w:fldCharType="end"/>
      </w:r>
    </w:p>
    <w:p w14:paraId="03129777" w14:textId="35F4BD64" w:rsidR="00B67EC7" w:rsidRDefault="00B67EC7">
      <w:pPr>
        <w:pStyle w:val="TOC2"/>
        <w:tabs>
          <w:tab w:val="left" w:pos="660"/>
          <w:tab w:val="right" w:leader="dot" w:pos="9435"/>
        </w:tabs>
        <w:rPr>
          <w:rFonts w:asciiTheme="minorHAnsi" w:eastAsiaTheme="minorEastAsia" w:hAnsiTheme="minorHAnsi" w:cstheme="minorBidi"/>
          <w:szCs w:val="22"/>
        </w:rPr>
      </w:pPr>
      <w:r>
        <w:t>4.5</w:t>
      </w:r>
      <w:r>
        <w:rPr>
          <w:rFonts w:asciiTheme="minorHAnsi" w:eastAsiaTheme="minorEastAsia" w:hAnsiTheme="minorHAnsi" w:cstheme="minorBidi"/>
          <w:szCs w:val="22"/>
        </w:rPr>
        <w:tab/>
      </w:r>
      <w:r>
        <w:t>Requirements prior to data being released to conduct research</w:t>
      </w:r>
      <w:r>
        <w:tab/>
      </w:r>
      <w:r>
        <w:fldChar w:fldCharType="begin"/>
      </w:r>
      <w:r>
        <w:instrText xml:space="preserve"> PAGEREF _Toc94527647 \h </w:instrText>
      </w:r>
      <w:r>
        <w:fldChar w:fldCharType="separate"/>
      </w:r>
      <w:r w:rsidR="007F4E6B">
        <w:t>13</w:t>
      </w:r>
      <w:r>
        <w:fldChar w:fldCharType="end"/>
      </w:r>
    </w:p>
    <w:p w14:paraId="7B495877" w14:textId="091269BE" w:rsidR="00B67EC7" w:rsidRDefault="00B67EC7">
      <w:pPr>
        <w:pStyle w:val="TOC2"/>
        <w:tabs>
          <w:tab w:val="left" w:pos="660"/>
          <w:tab w:val="right" w:leader="dot" w:pos="9435"/>
        </w:tabs>
        <w:rPr>
          <w:rFonts w:asciiTheme="minorHAnsi" w:eastAsiaTheme="minorEastAsia" w:hAnsiTheme="minorHAnsi" w:cstheme="minorBidi"/>
          <w:szCs w:val="22"/>
        </w:rPr>
      </w:pPr>
      <w:r>
        <w:t>4.6</w:t>
      </w:r>
      <w:r>
        <w:rPr>
          <w:rFonts w:asciiTheme="minorHAnsi" w:eastAsiaTheme="minorEastAsia" w:hAnsiTheme="minorHAnsi" w:cstheme="minorBidi"/>
          <w:szCs w:val="22"/>
        </w:rPr>
        <w:tab/>
      </w:r>
      <w:r>
        <w:t>Assessment of risks associated with release of data to conduct research</w:t>
      </w:r>
      <w:r>
        <w:tab/>
      </w:r>
      <w:r>
        <w:fldChar w:fldCharType="begin"/>
      </w:r>
      <w:r>
        <w:instrText xml:space="preserve"> PAGEREF _Toc94527648 \h </w:instrText>
      </w:r>
      <w:r>
        <w:fldChar w:fldCharType="separate"/>
      </w:r>
      <w:r w:rsidR="007F4E6B">
        <w:t>13</w:t>
      </w:r>
      <w:r>
        <w:fldChar w:fldCharType="end"/>
      </w:r>
    </w:p>
    <w:p w14:paraId="47D3BBD4" w14:textId="226F4B48" w:rsidR="00B67EC7" w:rsidRDefault="00B67EC7">
      <w:pPr>
        <w:pStyle w:val="TOC2"/>
        <w:tabs>
          <w:tab w:val="left" w:pos="660"/>
          <w:tab w:val="right" w:leader="dot" w:pos="9435"/>
        </w:tabs>
        <w:rPr>
          <w:rFonts w:asciiTheme="minorHAnsi" w:eastAsiaTheme="minorEastAsia" w:hAnsiTheme="minorHAnsi" w:cstheme="minorBidi"/>
          <w:szCs w:val="22"/>
        </w:rPr>
      </w:pPr>
      <w:r>
        <w:t>4.7</w:t>
      </w:r>
      <w:r>
        <w:rPr>
          <w:rFonts w:asciiTheme="minorHAnsi" w:eastAsiaTheme="minorEastAsia" w:hAnsiTheme="minorHAnsi" w:cstheme="minorBidi"/>
          <w:szCs w:val="22"/>
        </w:rPr>
        <w:tab/>
      </w:r>
      <w:r>
        <w:t>Data access model</w:t>
      </w:r>
      <w:r>
        <w:tab/>
      </w:r>
      <w:r>
        <w:fldChar w:fldCharType="begin"/>
      </w:r>
      <w:r>
        <w:instrText xml:space="preserve"> PAGEREF _Toc94527649 \h </w:instrText>
      </w:r>
      <w:r>
        <w:fldChar w:fldCharType="separate"/>
      </w:r>
      <w:r w:rsidR="007F4E6B">
        <w:t>13</w:t>
      </w:r>
      <w:r>
        <w:fldChar w:fldCharType="end"/>
      </w:r>
    </w:p>
    <w:p w14:paraId="20D98278" w14:textId="22A7D7E8" w:rsidR="00B67EC7" w:rsidRDefault="00B67EC7">
      <w:pPr>
        <w:pStyle w:val="TOC2"/>
        <w:tabs>
          <w:tab w:val="left" w:pos="660"/>
          <w:tab w:val="right" w:leader="dot" w:pos="9435"/>
        </w:tabs>
        <w:rPr>
          <w:rFonts w:asciiTheme="minorHAnsi" w:eastAsiaTheme="minorEastAsia" w:hAnsiTheme="minorHAnsi" w:cstheme="minorBidi"/>
          <w:szCs w:val="22"/>
        </w:rPr>
      </w:pPr>
      <w:r>
        <w:t>4.8</w:t>
      </w:r>
      <w:r>
        <w:rPr>
          <w:rFonts w:asciiTheme="minorHAnsi" w:eastAsiaTheme="minorEastAsia" w:hAnsiTheme="minorHAnsi" w:cstheme="minorBidi"/>
          <w:szCs w:val="22"/>
        </w:rPr>
        <w:tab/>
      </w:r>
      <w:r>
        <w:t>Data storage and transfer rules</w:t>
      </w:r>
      <w:r>
        <w:tab/>
      </w:r>
      <w:r>
        <w:fldChar w:fldCharType="begin"/>
      </w:r>
      <w:r>
        <w:instrText xml:space="preserve"> PAGEREF _Toc94527650 \h </w:instrText>
      </w:r>
      <w:r>
        <w:fldChar w:fldCharType="separate"/>
      </w:r>
      <w:r w:rsidR="007F4E6B">
        <w:t>14</w:t>
      </w:r>
      <w:r>
        <w:fldChar w:fldCharType="end"/>
      </w:r>
    </w:p>
    <w:p w14:paraId="536EEFE3" w14:textId="1C12B574" w:rsidR="00B67EC7" w:rsidRDefault="00B67EC7">
      <w:pPr>
        <w:pStyle w:val="TOC2"/>
        <w:tabs>
          <w:tab w:val="left" w:pos="660"/>
          <w:tab w:val="right" w:leader="dot" w:pos="9435"/>
        </w:tabs>
        <w:rPr>
          <w:rFonts w:asciiTheme="minorHAnsi" w:eastAsiaTheme="minorEastAsia" w:hAnsiTheme="minorHAnsi" w:cstheme="minorBidi"/>
          <w:szCs w:val="22"/>
        </w:rPr>
      </w:pPr>
      <w:r>
        <w:t>4.9</w:t>
      </w:r>
      <w:r>
        <w:rPr>
          <w:rFonts w:asciiTheme="minorHAnsi" w:eastAsiaTheme="minorEastAsia" w:hAnsiTheme="minorHAnsi" w:cstheme="minorBidi"/>
          <w:szCs w:val="22"/>
        </w:rPr>
        <w:tab/>
      </w:r>
      <w:r>
        <w:t>End of data access</w:t>
      </w:r>
      <w:r>
        <w:tab/>
      </w:r>
      <w:r>
        <w:fldChar w:fldCharType="begin"/>
      </w:r>
      <w:r>
        <w:instrText xml:space="preserve"> PAGEREF _Toc94527651 \h </w:instrText>
      </w:r>
      <w:r>
        <w:fldChar w:fldCharType="separate"/>
      </w:r>
      <w:r w:rsidR="007F4E6B">
        <w:t>14</w:t>
      </w:r>
      <w:r>
        <w:fldChar w:fldCharType="end"/>
      </w:r>
    </w:p>
    <w:p w14:paraId="61F5BD71" w14:textId="14C7D246" w:rsidR="00B67EC7" w:rsidRDefault="00B67EC7">
      <w:pPr>
        <w:pStyle w:val="TOC2"/>
        <w:tabs>
          <w:tab w:val="left" w:pos="660"/>
          <w:tab w:val="right" w:leader="dot" w:pos="9435"/>
        </w:tabs>
        <w:rPr>
          <w:rFonts w:asciiTheme="minorHAnsi" w:eastAsiaTheme="minorEastAsia" w:hAnsiTheme="minorHAnsi" w:cstheme="minorBidi"/>
          <w:szCs w:val="22"/>
        </w:rPr>
      </w:pPr>
      <w:r>
        <w:t>4.10</w:t>
      </w:r>
      <w:r>
        <w:rPr>
          <w:rFonts w:asciiTheme="minorHAnsi" w:eastAsiaTheme="minorEastAsia" w:hAnsiTheme="minorHAnsi" w:cstheme="minorBidi"/>
          <w:szCs w:val="22"/>
        </w:rPr>
        <w:tab/>
      </w:r>
      <w:r>
        <w:t>Requests for extended access to data</w:t>
      </w:r>
      <w:r>
        <w:tab/>
      </w:r>
      <w:r>
        <w:fldChar w:fldCharType="begin"/>
      </w:r>
      <w:r>
        <w:instrText xml:space="preserve"> PAGEREF _Toc94527652 \h </w:instrText>
      </w:r>
      <w:r>
        <w:fldChar w:fldCharType="separate"/>
      </w:r>
      <w:r w:rsidR="007F4E6B">
        <w:t>14</w:t>
      </w:r>
      <w:r>
        <w:fldChar w:fldCharType="end"/>
      </w:r>
    </w:p>
    <w:p w14:paraId="2B717A0F" w14:textId="50DA8492" w:rsidR="00B67EC7" w:rsidRDefault="00B67EC7">
      <w:pPr>
        <w:pStyle w:val="TOC2"/>
        <w:tabs>
          <w:tab w:val="left" w:pos="660"/>
          <w:tab w:val="right" w:leader="dot" w:pos="9435"/>
        </w:tabs>
        <w:rPr>
          <w:rFonts w:asciiTheme="minorHAnsi" w:eastAsiaTheme="minorEastAsia" w:hAnsiTheme="minorHAnsi" w:cstheme="minorBidi"/>
          <w:szCs w:val="22"/>
        </w:rPr>
      </w:pPr>
      <w:r>
        <w:t>4.11</w:t>
      </w:r>
      <w:r>
        <w:rPr>
          <w:rFonts w:asciiTheme="minorHAnsi" w:eastAsiaTheme="minorEastAsia" w:hAnsiTheme="minorHAnsi" w:cstheme="minorBidi"/>
          <w:szCs w:val="22"/>
        </w:rPr>
        <w:tab/>
      </w:r>
      <w:r>
        <w:t>Complaint process</w:t>
      </w:r>
      <w:r>
        <w:tab/>
      </w:r>
      <w:r>
        <w:fldChar w:fldCharType="begin"/>
      </w:r>
      <w:r>
        <w:instrText xml:space="preserve"> PAGEREF _Toc94527653 \h </w:instrText>
      </w:r>
      <w:r>
        <w:fldChar w:fldCharType="separate"/>
      </w:r>
      <w:r w:rsidR="007F4E6B">
        <w:t>15</w:t>
      </w:r>
      <w:r>
        <w:fldChar w:fldCharType="end"/>
      </w:r>
    </w:p>
    <w:p w14:paraId="3B645B67" w14:textId="6A1CB745" w:rsidR="00B67EC7" w:rsidRDefault="00B67EC7" w:rsidP="007B11F7">
      <w:pPr>
        <w:pStyle w:val="TOC1"/>
        <w:rPr>
          <w:rFonts w:asciiTheme="minorHAnsi" w:eastAsiaTheme="minorEastAsia" w:hAnsiTheme="minorHAnsi" w:cstheme="minorBidi"/>
          <w:szCs w:val="22"/>
        </w:rPr>
      </w:pPr>
      <w:r>
        <w:t>5.</w:t>
      </w:r>
      <w:r w:rsidR="003E2AEA">
        <w:rPr>
          <w:rFonts w:asciiTheme="minorHAnsi" w:eastAsiaTheme="minorEastAsia" w:hAnsiTheme="minorHAnsi" w:cstheme="minorBidi"/>
          <w:szCs w:val="22"/>
        </w:rPr>
        <w:t xml:space="preserve"> </w:t>
      </w:r>
      <w:r>
        <w:t>Inadvertent release of data</w:t>
      </w:r>
      <w:r>
        <w:tab/>
      </w:r>
      <w:r>
        <w:fldChar w:fldCharType="begin"/>
      </w:r>
      <w:r>
        <w:instrText xml:space="preserve"> PAGEREF _Toc94527654 \h </w:instrText>
      </w:r>
      <w:r>
        <w:fldChar w:fldCharType="separate"/>
      </w:r>
      <w:r w:rsidR="007F4E6B">
        <w:t>16</w:t>
      </w:r>
      <w:r>
        <w:fldChar w:fldCharType="end"/>
      </w:r>
    </w:p>
    <w:p w14:paraId="141362FA" w14:textId="6AAFB0EC" w:rsidR="00B67EC7" w:rsidRDefault="00B67EC7" w:rsidP="007B11F7">
      <w:pPr>
        <w:pStyle w:val="TOC1"/>
        <w:rPr>
          <w:rFonts w:asciiTheme="minorHAnsi" w:eastAsiaTheme="minorEastAsia" w:hAnsiTheme="minorHAnsi" w:cstheme="minorBidi"/>
          <w:szCs w:val="22"/>
        </w:rPr>
      </w:pPr>
      <w:r>
        <w:t>Appendix A: Data held by IHPA</w:t>
      </w:r>
      <w:r>
        <w:tab/>
      </w:r>
      <w:r>
        <w:fldChar w:fldCharType="begin"/>
      </w:r>
      <w:r>
        <w:instrText xml:space="preserve"> PAGEREF _Toc94527655 \h </w:instrText>
      </w:r>
      <w:r>
        <w:fldChar w:fldCharType="separate"/>
      </w:r>
      <w:r w:rsidR="007F4E6B">
        <w:t>17</w:t>
      </w:r>
      <w:r>
        <w:fldChar w:fldCharType="end"/>
      </w:r>
    </w:p>
    <w:p w14:paraId="46C8BB28" w14:textId="71234C49" w:rsidR="00B67EC7" w:rsidRDefault="00B67EC7" w:rsidP="007B11F7">
      <w:pPr>
        <w:pStyle w:val="TOC1"/>
        <w:rPr>
          <w:rFonts w:asciiTheme="minorHAnsi" w:eastAsiaTheme="minorEastAsia" w:hAnsiTheme="minorHAnsi" w:cstheme="minorBidi"/>
          <w:szCs w:val="22"/>
        </w:rPr>
      </w:pPr>
      <w:r>
        <w:t>Appendix B: IHPA publications and publicly available information</w:t>
      </w:r>
      <w:r>
        <w:tab/>
      </w:r>
      <w:r>
        <w:fldChar w:fldCharType="begin"/>
      </w:r>
      <w:r>
        <w:instrText xml:space="preserve"> PAGEREF _Toc94527656 \h </w:instrText>
      </w:r>
      <w:r>
        <w:fldChar w:fldCharType="separate"/>
      </w:r>
      <w:r w:rsidR="007F4E6B">
        <w:t>18</w:t>
      </w:r>
      <w:r>
        <w:fldChar w:fldCharType="end"/>
      </w:r>
    </w:p>
    <w:p w14:paraId="1DC0B910" w14:textId="723284B4" w:rsidR="00B67EC7" w:rsidRDefault="00B67EC7" w:rsidP="007B11F7">
      <w:pPr>
        <w:pStyle w:val="TOC1"/>
        <w:rPr>
          <w:rFonts w:asciiTheme="minorHAnsi" w:eastAsiaTheme="minorEastAsia" w:hAnsiTheme="minorHAnsi" w:cstheme="minorBidi"/>
          <w:szCs w:val="22"/>
        </w:rPr>
      </w:pPr>
      <w:r>
        <w:rPr>
          <w:lang w:eastAsia="zh-CN"/>
        </w:rPr>
        <w:t>Appendix C: Research Data Request Form</w:t>
      </w:r>
      <w:r>
        <w:tab/>
      </w:r>
      <w:r>
        <w:fldChar w:fldCharType="begin"/>
      </w:r>
      <w:r>
        <w:instrText xml:space="preserve"> PAGEREF _Toc94527657 \h </w:instrText>
      </w:r>
      <w:r>
        <w:fldChar w:fldCharType="separate"/>
      </w:r>
      <w:r w:rsidR="007F4E6B">
        <w:t>19</w:t>
      </w:r>
      <w:r>
        <w:fldChar w:fldCharType="end"/>
      </w:r>
    </w:p>
    <w:p w14:paraId="59531FD2" w14:textId="3B6FB5BB" w:rsidR="00521916" w:rsidRPr="00007DBF" w:rsidRDefault="0096162B" w:rsidP="0096162B">
      <w:r>
        <w:fldChar w:fldCharType="end"/>
      </w:r>
    </w:p>
    <w:p w14:paraId="65B3A422" w14:textId="18DE58FF" w:rsidR="00521916" w:rsidRPr="00007DBF" w:rsidRDefault="00521916" w:rsidP="006C1780"/>
    <w:p w14:paraId="2508ECE7" w14:textId="77777777" w:rsidR="00521916" w:rsidRPr="00007DBF" w:rsidRDefault="00521916" w:rsidP="006C1780"/>
    <w:p w14:paraId="38453517" w14:textId="0426CC88" w:rsidR="00094014" w:rsidRPr="00007DBF" w:rsidRDefault="00094014" w:rsidP="00595081">
      <w:pPr>
        <w:pStyle w:val="Heading1"/>
        <w:numPr>
          <w:ilvl w:val="0"/>
          <w:numId w:val="0"/>
        </w:numPr>
        <w:ind w:left="709" w:hanging="709"/>
      </w:pPr>
      <w:bookmarkStart w:id="11" w:name="_Toc94527616"/>
      <w:r w:rsidRPr="00007DBF">
        <w:lastRenderedPageBreak/>
        <w:t>Acronyms and abbreviations</w:t>
      </w:r>
      <w:bookmarkEnd w:id="9"/>
      <w:bookmarkEnd w:id="11"/>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A10B9A" w:rsidRPr="00007DBF" w14:paraId="12D30926" w14:textId="77777777" w:rsidTr="009A53EA">
        <w:trPr>
          <w:trHeight w:val="509"/>
        </w:trPr>
        <w:tc>
          <w:tcPr>
            <w:tcW w:w="2946" w:type="dxa"/>
          </w:tcPr>
          <w:p w14:paraId="624BDE55" w14:textId="59EC853D" w:rsidR="00A10B9A" w:rsidRPr="00007DBF" w:rsidRDefault="00A10B9A" w:rsidP="002A20CA">
            <w:pPr>
              <w:spacing w:before="0" w:after="0" w:line="480" w:lineRule="auto"/>
              <w:rPr>
                <w:b/>
              </w:rPr>
            </w:pPr>
            <w:r>
              <w:rPr>
                <w:b/>
              </w:rPr>
              <w:t>ABF</w:t>
            </w:r>
          </w:p>
        </w:tc>
        <w:tc>
          <w:tcPr>
            <w:tcW w:w="6706" w:type="dxa"/>
          </w:tcPr>
          <w:p w14:paraId="139D40FE" w14:textId="5C04BAF7" w:rsidR="00A10B9A" w:rsidRPr="00007DBF" w:rsidRDefault="00A10B9A" w:rsidP="002A20CA">
            <w:pPr>
              <w:spacing w:before="0" w:after="0" w:line="480" w:lineRule="auto"/>
            </w:pPr>
            <w:r>
              <w:t>Activity based funding</w:t>
            </w:r>
          </w:p>
        </w:tc>
      </w:tr>
      <w:tr w:rsidR="005B1D18" w:rsidRPr="00007DBF" w14:paraId="06A02A31" w14:textId="77777777" w:rsidTr="009A53EA">
        <w:trPr>
          <w:trHeight w:val="509"/>
        </w:trPr>
        <w:tc>
          <w:tcPr>
            <w:tcW w:w="2946" w:type="dxa"/>
          </w:tcPr>
          <w:p w14:paraId="0C26EF18" w14:textId="2D369A12" w:rsidR="005B1D18" w:rsidRPr="00007DBF" w:rsidRDefault="005B1D18" w:rsidP="002A20CA">
            <w:pPr>
              <w:spacing w:before="0" w:after="0" w:line="480" w:lineRule="auto"/>
              <w:rPr>
                <w:b/>
              </w:rPr>
            </w:pPr>
            <w:r w:rsidRPr="00007DBF">
              <w:rPr>
                <w:b/>
              </w:rPr>
              <w:t>AIHW</w:t>
            </w:r>
          </w:p>
        </w:tc>
        <w:tc>
          <w:tcPr>
            <w:tcW w:w="6706" w:type="dxa"/>
          </w:tcPr>
          <w:p w14:paraId="0B48E5AF" w14:textId="4D429300" w:rsidR="005B1D18" w:rsidRPr="00007DBF" w:rsidRDefault="005B1D18" w:rsidP="002A20CA">
            <w:pPr>
              <w:spacing w:before="0" w:after="0" w:line="480" w:lineRule="auto"/>
            </w:pPr>
            <w:r w:rsidRPr="00007DBF">
              <w:t>Australian Institute of Health and Welfare</w:t>
            </w:r>
          </w:p>
        </w:tc>
      </w:tr>
      <w:tr w:rsidR="005B1D18" w:rsidRPr="00007DBF" w14:paraId="467D1115" w14:textId="77777777" w:rsidTr="009A53EA">
        <w:trPr>
          <w:trHeight w:val="509"/>
        </w:trPr>
        <w:tc>
          <w:tcPr>
            <w:tcW w:w="2946" w:type="dxa"/>
          </w:tcPr>
          <w:p w14:paraId="56E25388" w14:textId="0BDF2D86" w:rsidR="005B1D18" w:rsidRPr="00007DBF" w:rsidRDefault="005B1D18" w:rsidP="002A20CA">
            <w:pPr>
              <w:spacing w:before="0" w:after="0" w:line="480" w:lineRule="auto"/>
              <w:rPr>
                <w:b/>
              </w:rPr>
            </w:pPr>
            <w:r w:rsidRPr="00007DBF">
              <w:rPr>
                <w:b/>
              </w:rPr>
              <w:t>CEO</w:t>
            </w:r>
          </w:p>
        </w:tc>
        <w:tc>
          <w:tcPr>
            <w:tcW w:w="6706" w:type="dxa"/>
          </w:tcPr>
          <w:p w14:paraId="194D5330" w14:textId="33F45520" w:rsidR="005B1D18" w:rsidRPr="00007DBF" w:rsidRDefault="005B1D18" w:rsidP="002A20CA">
            <w:pPr>
              <w:spacing w:before="0" w:after="0" w:line="480" w:lineRule="auto"/>
            </w:pPr>
            <w:r w:rsidRPr="00007DBF">
              <w:t xml:space="preserve">Chief Executive Officer </w:t>
            </w:r>
          </w:p>
        </w:tc>
      </w:tr>
      <w:tr w:rsidR="00094014" w:rsidRPr="00007DBF" w14:paraId="05C9BAB5" w14:textId="77777777" w:rsidTr="009A53EA">
        <w:trPr>
          <w:trHeight w:val="509"/>
        </w:trPr>
        <w:tc>
          <w:tcPr>
            <w:tcW w:w="2946" w:type="dxa"/>
          </w:tcPr>
          <w:p w14:paraId="497F5572" w14:textId="77777777" w:rsidR="00094014" w:rsidRPr="00007DBF" w:rsidRDefault="00094014" w:rsidP="002A20CA">
            <w:pPr>
              <w:spacing w:before="0" w:after="0" w:line="480" w:lineRule="auto"/>
              <w:rPr>
                <w:b/>
              </w:rPr>
            </w:pPr>
            <w:r w:rsidRPr="00007DBF">
              <w:rPr>
                <w:b/>
              </w:rPr>
              <w:t xml:space="preserve">FOI Act </w:t>
            </w:r>
          </w:p>
        </w:tc>
        <w:tc>
          <w:tcPr>
            <w:tcW w:w="6706" w:type="dxa"/>
          </w:tcPr>
          <w:p w14:paraId="34FDC05F" w14:textId="4AB6D77F" w:rsidR="00094014" w:rsidRPr="00007DBF" w:rsidRDefault="00094014" w:rsidP="0096162B">
            <w:pPr>
              <w:spacing w:before="0" w:after="0" w:line="480" w:lineRule="auto"/>
              <w:rPr>
                <w:i/>
              </w:rPr>
            </w:pPr>
            <w:r w:rsidRPr="00007DBF">
              <w:rPr>
                <w:i/>
              </w:rPr>
              <w:t>Freedom of Information Act 1982</w:t>
            </w:r>
            <w:r w:rsidR="00BD6447">
              <w:rPr>
                <w:i/>
              </w:rPr>
              <w:t xml:space="preserve"> </w:t>
            </w:r>
            <w:r w:rsidR="00BD6447">
              <w:t>(Cwlth)</w:t>
            </w:r>
          </w:p>
        </w:tc>
      </w:tr>
      <w:tr w:rsidR="00602BAD" w:rsidRPr="00007DBF" w14:paraId="6610547C" w14:textId="77777777" w:rsidTr="009A53EA">
        <w:trPr>
          <w:trHeight w:val="509"/>
        </w:trPr>
        <w:tc>
          <w:tcPr>
            <w:tcW w:w="2946" w:type="dxa"/>
          </w:tcPr>
          <w:p w14:paraId="04B8E95A" w14:textId="29F17A42" w:rsidR="00602BAD" w:rsidRPr="00007DBF" w:rsidRDefault="007D61F9" w:rsidP="002A20CA">
            <w:pPr>
              <w:spacing w:before="0" w:after="0" w:line="480" w:lineRule="auto"/>
              <w:rPr>
                <w:b/>
              </w:rPr>
            </w:pPr>
            <w:r>
              <w:rPr>
                <w:b/>
              </w:rPr>
              <w:t>HCEF</w:t>
            </w:r>
          </w:p>
        </w:tc>
        <w:tc>
          <w:tcPr>
            <w:tcW w:w="6706" w:type="dxa"/>
          </w:tcPr>
          <w:p w14:paraId="44DCCF7A" w14:textId="52E5EAAE" w:rsidR="00602BAD" w:rsidRPr="00007DBF" w:rsidRDefault="007D61F9" w:rsidP="002A20CA">
            <w:pPr>
              <w:spacing w:before="0" w:after="0" w:line="480" w:lineRule="auto"/>
            </w:pPr>
            <w:r>
              <w:t>Health Chief Executives Forum</w:t>
            </w:r>
            <w:r>
              <w:rPr>
                <w:rStyle w:val="FootnoteReference"/>
              </w:rPr>
              <w:footnoteReference w:id="2"/>
            </w:r>
          </w:p>
        </w:tc>
      </w:tr>
      <w:tr w:rsidR="00602BAD" w:rsidRPr="00007DBF" w14:paraId="16231B94" w14:textId="77777777" w:rsidTr="009A53EA">
        <w:trPr>
          <w:trHeight w:val="509"/>
        </w:trPr>
        <w:tc>
          <w:tcPr>
            <w:tcW w:w="2946" w:type="dxa"/>
          </w:tcPr>
          <w:p w14:paraId="1B85F8BC" w14:textId="0E559B9F" w:rsidR="00602BAD" w:rsidRPr="00007DBF" w:rsidRDefault="007D61F9" w:rsidP="002A20CA">
            <w:pPr>
              <w:spacing w:before="0" w:after="0" w:line="480" w:lineRule="auto"/>
              <w:rPr>
                <w:b/>
              </w:rPr>
            </w:pPr>
            <w:r>
              <w:rPr>
                <w:b/>
              </w:rPr>
              <w:t>HMM</w:t>
            </w:r>
          </w:p>
        </w:tc>
        <w:tc>
          <w:tcPr>
            <w:tcW w:w="6706" w:type="dxa"/>
          </w:tcPr>
          <w:p w14:paraId="7DA3F60C" w14:textId="7948DCE4" w:rsidR="00602BAD" w:rsidRPr="00007DBF" w:rsidRDefault="007D61F9" w:rsidP="002A20CA">
            <w:pPr>
              <w:spacing w:before="0" w:after="0" w:line="480" w:lineRule="auto"/>
            </w:pPr>
            <w:r>
              <w:t>Health Ministers’ Meetings</w:t>
            </w:r>
            <w:r>
              <w:rPr>
                <w:rStyle w:val="FootnoteReference"/>
              </w:rPr>
              <w:footnoteReference w:id="3"/>
            </w:r>
          </w:p>
        </w:tc>
      </w:tr>
      <w:tr w:rsidR="00094014" w:rsidRPr="00007DBF" w14:paraId="45C3208A" w14:textId="77777777" w:rsidTr="009A53EA">
        <w:trPr>
          <w:trHeight w:val="509"/>
        </w:trPr>
        <w:tc>
          <w:tcPr>
            <w:tcW w:w="2946" w:type="dxa"/>
          </w:tcPr>
          <w:p w14:paraId="270C5C17" w14:textId="77777777" w:rsidR="00094014" w:rsidRPr="00007DBF" w:rsidRDefault="00094014" w:rsidP="002A20CA">
            <w:pPr>
              <w:spacing w:before="0" w:after="0" w:line="480" w:lineRule="auto"/>
              <w:rPr>
                <w:b/>
              </w:rPr>
            </w:pPr>
            <w:r w:rsidRPr="00007DBF">
              <w:rPr>
                <w:b/>
              </w:rPr>
              <w:t xml:space="preserve">IHPA </w:t>
            </w:r>
          </w:p>
        </w:tc>
        <w:tc>
          <w:tcPr>
            <w:tcW w:w="6706" w:type="dxa"/>
          </w:tcPr>
          <w:p w14:paraId="2035A9E3" w14:textId="77777777" w:rsidR="00094014" w:rsidRPr="00007DBF" w:rsidRDefault="00094014" w:rsidP="002A20CA">
            <w:pPr>
              <w:spacing w:before="0" w:after="0" w:line="480" w:lineRule="auto"/>
            </w:pPr>
            <w:r w:rsidRPr="00007DBF">
              <w:t xml:space="preserve">Independent Hospital Pricing Authority </w:t>
            </w:r>
          </w:p>
        </w:tc>
      </w:tr>
      <w:tr w:rsidR="005B1D18" w:rsidRPr="00007DBF" w14:paraId="207BCFEF" w14:textId="77777777" w:rsidTr="009A53EA">
        <w:trPr>
          <w:trHeight w:val="509"/>
        </w:trPr>
        <w:tc>
          <w:tcPr>
            <w:tcW w:w="2946" w:type="dxa"/>
          </w:tcPr>
          <w:p w14:paraId="3D92BC43" w14:textId="7893B3A9" w:rsidR="005B1D18" w:rsidRPr="00007DBF" w:rsidRDefault="005B1D18" w:rsidP="002A20CA">
            <w:pPr>
              <w:spacing w:before="0" w:after="0" w:line="480" w:lineRule="auto"/>
              <w:rPr>
                <w:b/>
              </w:rPr>
            </w:pPr>
            <w:r w:rsidRPr="00007DBF">
              <w:rPr>
                <w:b/>
              </w:rPr>
              <w:t xml:space="preserve">IPS </w:t>
            </w:r>
          </w:p>
        </w:tc>
        <w:tc>
          <w:tcPr>
            <w:tcW w:w="6706" w:type="dxa"/>
          </w:tcPr>
          <w:p w14:paraId="28B0C4D4" w14:textId="23F5DEAD" w:rsidR="005B1D18" w:rsidRPr="00007DBF" w:rsidRDefault="005B1D18" w:rsidP="002A20CA">
            <w:pPr>
              <w:spacing w:before="0" w:after="0" w:line="480" w:lineRule="auto"/>
              <w:rPr>
                <w:i/>
              </w:rPr>
            </w:pPr>
            <w:r w:rsidRPr="00007DBF">
              <w:t xml:space="preserve">Information Publication Scheme </w:t>
            </w:r>
          </w:p>
        </w:tc>
      </w:tr>
      <w:tr w:rsidR="005B1D18" w:rsidRPr="00007DBF" w14:paraId="1EE08D92" w14:textId="77777777" w:rsidTr="009A53EA">
        <w:trPr>
          <w:trHeight w:val="509"/>
        </w:trPr>
        <w:tc>
          <w:tcPr>
            <w:tcW w:w="2946" w:type="dxa"/>
          </w:tcPr>
          <w:p w14:paraId="32F84D29" w14:textId="1403C72E" w:rsidR="005B1D18" w:rsidRPr="00007DBF" w:rsidRDefault="005B1D18" w:rsidP="002A20CA">
            <w:pPr>
              <w:spacing w:before="0" w:after="0" w:line="480" w:lineRule="auto"/>
              <w:rPr>
                <w:b/>
              </w:rPr>
            </w:pPr>
            <w:r w:rsidRPr="00007DBF">
              <w:rPr>
                <w:b/>
              </w:rPr>
              <w:t>NHCDC</w:t>
            </w:r>
          </w:p>
        </w:tc>
        <w:tc>
          <w:tcPr>
            <w:tcW w:w="6706" w:type="dxa"/>
          </w:tcPr>
          <w:p w14:paraId="5E3E80D0" w14:textId="260D8CDB" w:rsidR="005B1D18" w:rsidRPr="00007DBF" w:rsidRDefault="005B1D18" w:rsidP="002A20CA">
            <w:pPr>
              <w:spacing w:before="0" w:after="0" w:line="480" w:lineRule="auto"/>
            </w:pPr>
            <w:r w:rsidRPr="00007DBF">
              <w:t>National Hospital Cost Data Collection</w:t>
            </w:r>
          </w:p>
        </w:tc>
      </w:tr>
      <w:tr w:rsidR="005B1D18" w:rsidRPr="00007DBF" w14:paraId="556E6BD4" w14:textId="77777777" w:rsidTr="009A53EA">
        <w:trPr>
          <w:trHeight w:val="509"/>
        </w:trPr>
        <w:tc>
          <w:tcPr>
            <w:tcW w:w="2946" w:type="dxa"/>
          </w:tcPr>
          <w:p w14:paraId="033029E9" w14:textId="1197ECCC" w:rsidR="005B1D18" w:rsidRPr="00007DBF" w:rsidRDefault="005B1D18" w:rsidP="002A20CA">
            <w:pPr>
              <w:spacing w:before="0" w:after="0" w:line="480" w:lineRule="auto"/>
              <w:rPr>
                <w:b/>
              </w:rPr>
            </w:pPr>
            <w:r w:rsidRPr="00007DBF">
              <w:rPr>
                <w:b/>
              </w:rPr>
              <w:t>NHR Act</w:t>
            </w:r>
          </w:p>
        </w:tc>
        <w:tc>
          <w:tcPr>
            <w:tcW w:w="6706" w:type="dxa"/>
          </w:tcPr>
          <w:p w14:paraId="27A3E3FF" w14:textId="38AEF3C1" w:rsidR="005B1D18" w:rsidRPr="00007DBF" w:rsidRDefault="005B1D18" w:rsidP="0096162B">
            <w:pPr>
              <w:spacing w:before="0" w:after="0" w:line="480" w:lineRule="auto"/>
              <w:rPr>
                <w:b/>
              </w:rPr>
            </w:pPr>
            <w:r w:rsidRPr="00007DBF">
              <w:rPr>
                <w:i/>
              </w:rPr>
              <w:t>National Health Reform Act 2011</w:t>
            </w:r>
            <w:r w:rsidR="00BD6447">
              <w:rPr>
                <w:i/>
              </w:rPr>
              <w:t xml:space="preserve"> </w:t>
            </w:r>
            <w:r w:rsidR="00BD6447">
              <w:t>(Cwlth)</w:t>
            </w:r>
          </w:p>
        </w:tc>
      </w:tr>
      <w:tr w:rsidR="005B1D18" w:rsidRPr="00007DBF" w14:paraId="0D1FD937" w14:textId="77777777" w:rsidTr="009A53EA">
        <w:trPr>
          <w:trHeight w:val="509"/>
        </w:trPr>
        <w:tc>
          <w:tcPr>
            <w:tcW w:w="2946" w:type="dxa"/>
          </w:tcPr>
          <w:p w14:paraId="67150170" w14:textId="79CF4871" w:rsidR="005B1D18" w:rsidRPr="00007DBF" w:rsidRDefault="005B1D18" w:rsidP="002A20CA">
            <w:pPr>
              <w:spacing w:before="0" w:after="0" w:line="480" w:lineRule="auto"/>
              <w:rPr>
                <w:b/>
              </w:rPr>
            </w:pPr>
            <w:r w:rsidRPr="00007DBF">
              <w:rPr>
                <w:b/>
              </w:rPr>
              <w:t>NMDS</w:t>
            </w:r>
          </w:p>
        </w:tc>
        <w:tc>
          <w:tcPr>
            <w:tcW w:w="6706" w:type="dxa"/>
          </w:tcPr>
          <w:p w14:paraId="2BE50C91" w14:textId="70FA3AC9" w:rsidR="005B1D18" w:rsidRPr="00007DBF" w:rsidRDefault="005B1D18" w:rsidP="002A20CA">
            <w:pPr>
              <w:spacing w:before="0" w:after="0" w:line="480" w:lineRule="auto"/>
            </w:pPr>
            <w:r w:rsidRPr="00007DBF">
              <w:t>National Minimum Data Set</w:t>
            </w:r>
          </w:p>
        </w:tc>
      </w:tr>
      <w:tr w:rsidR="005B1D18" w:rsidRPr="00007DBF" w14:paraId="690F30D9" w14:textId="77777777" w:rsidTr="009A53EA">
        <w:trPr>
          <w:trHeight w:val="509"/>
        </w:trPr>
        <w:tc>
          <w:tcPr>
            <w:tcW w:w="2946" w:type="dxa"/>
          </w:tcPr>
          <w:p w14:paraId="23C5C943" w14:textId="4D70CDD9" w:rsidR="005B1D18" w:rsidRPr="00007DBF" w:rsidRDefault="005B1D18" w:rsidP="002A20CA">
            <w:pPr>
              <w:spacing w:before="0" w:after="0" w:line="480" w:lineRule="auto"/>
              <w:rPr>
                <w:b/>
              </w:rPr>
            </w:pPr>
            <w:r w:rsidRPr="00007DBF">
              <w:rPr>
                <w:b/>
              </w:rPr>
              <w:t>NBEDS</w:t>
            </w:r>
          </w:p>
        </w:tc>
        <w:tc>
          <w:tcPr>
            <w:tcW w:w="6706" w:type="dxa"/>
          </w:tcPr>
          <w:p w14:paraId="75C6DCBD" w14:textId="77583398" w:rsidR="005B1D18" w:rsidRPr="00007DBF" w:rsidRDefault="005B1D18" w:rsidP="002A20CA">
            <w:pPr>
              <w:spacing w:before="0" w:after="0" w:line="480" w:lineRule="auto"/>
            </w:pPr>
            <w:r w:rsidRPr="00007DBF">
              <w:t>National Best Endeavours Data Set</w:t>
            </w:r>
          </w:p>
        </w:tc>
      </w:tr>
      <w:tr w:rsidR="002F67ED" w:rsidRPr="00007DBF" w14:paraId="5069E817" w14:textId="77777777" w:rsidTr="009A53EA">
        <w:trPr>
          <w:trHeight w:val="509"/>
        </w:trPr>
        <w:tc>
          <w:tcPr>
            <w:tcW w:w="2946" w:type="dxa"/>
          </w:tcPr>
          <w:p w14:paraId="266F0BE4" w14:textId="35F1411A" w:rsidR="002F67ED" w:rsidRPr="00007DBF" w:rsidRDefault="002F67ED" w:rsidP="002A20CA">
            <w:pPr>
              <w:spacing w:before="0" w:after="0" w:line="480" w:lineRule="auto"/>
              <w:rPr>
                <w:b/>
              </w:rPr>
            </w:pPr>
            <w:r>
              <w:rPr>
                <w:b/>
              </w:rPr>
              <w:t>The Addendum</w:t>
            </w:r>
          </w:p>
        </w:tc>
        <w:tc>
          <w:tcPr>
            <w:tcW w:w="6706" w:type="dxa"/>
          </w:tcPr>
          <w:p w14:paraId="0D27F18A" w14:textId="59E716A4" w:rsidR="002F67ED" w:rsidRPr="002F67ED" w:rsidRDefault="002F67ED" w:rsidP="0096162B">
            <w:pPr>
              <w:spacing w:before="0" w:after="0" w:line="480" w:lineRule="auto"/>
            </w:pPr>
            <w:r>
              <w:t>Addendum to the National Health Reform Agreement 2020–25</w:t>
            </w:r>
          </w:p>
        </w:tc>
      </w:tr>
      <w:tr w:rsidR="00094014" w:rsidRPr="00007DBF" w14:paraId="7EC8187E" w14:textId="77777777" w:rsidTr="009A53EA">
        <w:trPr>
          <w:trHeight w:val="509"/>
        </w:trPr>
        <w:tc>
          <w:tcPr>
            <w:tcW w:w="2946" w:type="dxa"/>
          </w:tcPr>
          <w:p w14:paraId="72CF2609" w14:textId="21096E2B" w:rsidR="009E190B" w:rsidRPr="00007DBF" w:rsidRDefault="005B1D18" w:rsidP="002A20CA">
            <w:pPr>
              <w:spacing w:before="0" w:after="0" w:line="480" w:lineRule="auto"/>
              <w:rPr>
                <w:b/>
              </w:rPr>
            </w:pPr>
            <w:r w:rsidRPr="00007DBF">
              <w:rPr>
                <w:b/>
              </w:rPr>
              <w:t>Th</w:t>
            </w:r>
            <w:r w:rsidR="003E43FB">
              <w:rPr>
                <w:b/>
              </w:rPr>
              <w:t>is</w:t>
            </w:r>
            <w:r w:rsidRPr="00007DBF">
              <w:rPr>
                <w:b/>
              </w:rPr>
              <w:t xml:space="preserve"> Policy</w:t>
            </w:r>
          </w:p>
        </w:tc>
        <w:tc>
          <w:tcPr>
            <w:tcW w:w="6706" w:type="dxa"/>
          </w:tcPr>
          <w:p w14:paraId="0FF32B12" w14:textId="2F617F76" w:rsidR="009E190B" w:rsidRPr="00007DBF" w:rsidRDefault="005B1D18" w:rsidP="002A20CA">
            <w:pPr>
              <w:spacing w:before="0" w:after="0" w:line="480" w:lineRule="auto"/>
              <w:rPr>
                <w:i/>
              </w:rPr>
            </w:pPr>
            <w:r w:rsidRPr="00007DBF">
              <w:rPr>
                <w:i/>
              </w:rPr>
              <w:t>Data Access and Release Policy</w:t>
            </w:r>
          </w:p>
        </w:tc>
      </w:tr>
      <w:tr w:rsidR="00351FA3" w:rsidRPr="00007DBF" w14:paraId="360C92AF" w14:textId="77777777" w:rsidTr="009A53EA">
        <w:trPr>
          <w:trHeight w:val="509"/>
        </w:trPr>
        <w:tc>
          <w:tcPr>
            <w:tcW w:w="2946" w:type="dxa"/>
          </w:tcPr>
          <w:p w14:paraId="5E13FCBC" w14:textId="780C3456" w:rsidR="00AD51EB" w:rsidRPr="00007DBF" w:rsidRDefault="005B1D18" w:rsidP="002A20CA">
            <w:pPr>
              <w:spacing w:before="0" w:after="0" w:line="480" w:lineRule="auto"/>
              <w:rPr>
                <w:b/>
              </w:rPr>
            </w:pPr>
            <w:r w:rsidRPr="00007DBF">
              <w:rPr>
                <w:b/>
              </w:rPr>
              <w:t>SDMS</w:t>
            </w:r>
          </w:p>
        </w:tc>
        <w:tc>
          <w:tcPr>
            <w:tcW w:w="6706" w:type="dxa"/>
          </w:tcPr>
          <w:p w14:paraId="3FD3A924" w14:textId="59224482" w:rsidR="00AD51EB" w:rsidRPr="00007DBF" w:rsidRDefault="005B1D18" w:rsidP="002A20CA">
            <w:pPr>
              <w:spacing w:before="0" w:after="0" w:line="480" w:lineRule="auto"/>
            </w:pPr>
            <w:r w:rsidRPr="00007DBF">
              <w:t>Secure Data Management System</w:t>
            </w:r>
          </w:p>
        </w:tc>
      </w:tr>
    </w:tbl>
    <w:p w14:paraId="1B641DCA" w14:textId="3FC0B3E6" w:rsidR="00517520" w:rsidRPr="00007DBF" w:rsidRDefault="001F6F10" w:rsidP="0049336A">
      <w:pPr>
        <w:pStyle w:val="Heading1"/>
        <w:numPr>
          <w:ilvl w:val="0"/>
          <w:numId w:val="0"/>
        </w:numPr>
        <w:ind w:left="709" w:hanging="709"/>
      </w:pPr>
      <w:bookmarkStart w:id="12" w:name="_Toc506796528"/>
      <w:bookmarkEnd w:id="10"/>
      <w:r w:rsidRPr="00007DBF">
        <w:br w:type="page"/>
      </w:r>
      <w:bookmarkStart w:id="13" w:name="_Toc36114969"/>
      <w:bookmarkStart w:id="14" w:name="_Toc94527617"/>
      <w:r w:rsidR="00AC0259" w:rsidRPr="00007DBF">
        <w:lastRenderedPageBreak/>
        <w:t>D</w:t>
      </w:r>
      <w:r w:rsidR="00517520" w:rsidRPr="00007DBF">
        <w:t>efinitions</w:t>
      </w:r>
      <w:bookmarkEnd w:id="12"/>
      <w:bookmarkEnd w:id="13"/>
      <w:bookmarkEnd w:id="14"/>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8071"/>
      </w:tblGrid>
      <w:tr w:rsidR="00A90224" w:rsidRPr="00007DBF" w14:paraId="6D400A52" w14:textId="77777777" w:rsidTr="005843FC">
        <w:tc>
          <w:tcPr>
            <w:tcW w:w="2127" w:type="dxa"/>
          </w:tcPr>
          <w:p w14:paraId="6C9CF88D" w14:textId="77777777" w:rsidR="00517520" w:rsidRPr="00007DBF" w:rsidRDefault="00517520" w:rsidP="00C11B9E">
            <w:pPr>
              <w:adjustRightInd w:val="0"/>
              <w:snapToGrid w:val="0"/>
              <w:spacing w:line="240" w:lineRule="auto"/>
              <w:rPr>
                <w:rFonts w:cs="Arial"/>
                <w:b/>
                <w:szCs w:val="22"/>
                <w:lang w:eastAsia="zh-CN"/>
              </w:rPr>
            </w:pPr>
            <w:r w:rsidRPr="00007DBF">
              <w:rPr>
                <w:rFonts w:cs="Arial"/>
                <w:b/>
                <w:szCs w:val="22"/>
                <w:lang w:eastAsia="zh-CN"/>
              </w:rPr>
              <w:t>Aggregate data</w:t>
            </w:r>
          </w:p>
        </w:tc>
        <w:tc>
          <w:tcPr>
            <w:tcW w:w="8071" w:type="dxa"/>
          </w:tcPr>
          <w:p w14:paraId="384FECE6" w14:textId="4A638FAF" w:rsidR="00DB059D" w:rsidRPr="00007DBF" w:rsidRDefault="00094788" w:rsidP="00C11B9E">
            <w:pPr>
              <w:autoSpaceDE w:val="0"/>
              <w:autoSpaceDN w:val="0"/>
              <w:adjustRightInd w:val="0"/>
              <w:spacing w:line="240" w:lineRule="auto"/>
              <w:rPr>
                <w:rFonts w:cs="Arial"/>
                <w:szCs w:val="22"/>
              </w:rPr>
            </w:pPr>
            <w:r w:rsidRPr="00007DBF">
              <w:rPr>
                <w:rFonts w:cs="Arial"/>
                <w:szCs w:val="22"/>
                <w:lang w:eastAsia="zh-CN"/>
              </w:rPr>
              <w:t xml:space="preserve">Summary </w:t>
            </w:r>
            <w:r w:rsidRPr="00007DBF">
              <w:rPr>
                <w:rFonts w:cs="Arial"/>
                <w:szCs w:val="22"/>
              </w:rPr>
              <w:t xml:space="preserve">data held by </w:t>
            </w:r>
            <w:r w:rsidR="00C11B9E">
              <w:rPr>
                <w:rFonts w:cs="Arial"/>
                <w:szCs w:val="22"/>
              </w:rPr>
              <w:t>the Independent Hospital Pricing Authority (IHPA)</w:t>
            </w:r>
            <w:r w:rsidR="00C11B9E" w:rsidRPr="00007DBF">
              <w:rPr>
                <w:rFonts w:cs="Arial"/>
                <w:szCs w:val="22"/>
              </w:rPr>
              <w:t xml:space="preserve"> </w:t>
            </w:r>
            <w:r w:rsidRPr="00007DBF">
              <w:rPr>
                <w:rFonts w:cs="Arial"/>
                <w:szCs w:val="22"/>
              </w:rPr>
              <w:t>or on IHPA’s behalf that does not contain information which may enable the identification of an individual or an organisation.</w:t>
            </w:r>
          </w:p>
        </w:tc>
      </w:tr>
      <w:tr w:rsidR="00A90224" w:rsidRPr="00007DBF" w14:paraId="4CA6CCEB" w14:textId="77777777" w:rsidTr="005843FC">
        <w:trPr>
          <w:trHeight w:val="913"/>
        </w:trPr>
        <w:tc>
          <w:tcPr>
            <w:tcW w:w="2127" w:type="dxa"/>
          </w:tcPr>
          <w:p w14:paraId="4CD8D2AA" w14:textId="77777777" w:rsidR="00517520" w:rsidRPr="00007DBF" w:rsidRDefault="00517520" w:rsidP="00C11B9E">
            <w:pPr>
              <w:adjustRightInd w:val="0"/>
              <w:snapToGrid w:val="0"/>
              <w:spacing w:line="240" w:lineRule="auto"/>
              <w:rPr>
                <w:rFonts w:cs="Arial"/>
                <w:b/>
                <w:szCs w:val="22"/>
                <w:lang w:eastAsia="zh-CN"/>
              </w:rPr>
            </w:pPr>
            <w:r w:rsidRPr="00007DBF">
              <w:rPr>
                <w:rFonts w:cs="Arial"/>
                <w:b/>
                <w:szCs w:val="22"/>
                <w:lang w:eastAsia="zh-CN"/>
              </w:rPr>
              <w:t>Aggregation</w:t>
            </w:r>
          </w:p>
        </w:tc>
        <w:tc>
          <w:tcPr>
            <w:tcW w:w="8071" w:type="dxa"/>
          </w:tcPr>
          <w:p w14:paraId="41ED6E21" w14:textId="4EE4B831" w:rsidR="00EC5795" w:rsidRPr="00007DBF" w:rsidRDefault="00517520" w:rsidP="00C11B9E">
            <w:pPr>
              <w:adjustRightInd w:val="0"/>
              <w:snapToGrid w:val="0"/>
              <w:spacing w:line="240" w:lineRule="auto"/>
              <w:rPr>
                <w:rFonts w:cs="Arial"/>
                <w:szCs w:val="22"/>
                <w:lang w:eastAsia="zh-CN"/>
              </w:rPr>
            </w:pPr>
            <w:r w:rsidRPr="00007DBF">
              <w:rPr>
                <w:rFonts w:cs="Arial"/>
                <w:szCs w:val="22"/>
                <w:lang w:eastAsia="zh-CN"/>
              </w:rPr>
              <w:t>The combination of related categories, usually within a common branch of a hierarchy, to provide information at a broader level at which detailed observations are taken.</w:t>
            </w:r>
          </w:p>
        </w:tc>
      </w:tr>
      <w:tr w:rsidR="00A90224" w:rsidRPr="00007DBF" w14:paraId="25F15B64" w14:textId="77777777" w:rsidTr="005843FC">
        <w:tc>
          <w:tcPr>
            <w:tcW w:w="2127" w:type="dxa"/>
          </w:tcPr>
          <w:p w14:paraId="3610208C" w14:textId="77777777" w:rsidR="00517520" w:rsidRPr="00007DBF" w:rsidRDefault="00517520" w:rsidP="00C11B9E">
            <w:pPr>
              <w:adjustRightInd w:val="0"/>
              <w:snapToGrid w:val="0"/>
              <w:spacing w:line="240" w:lineRule="auto"/>
              <w:rPr>
                <w:rFonts w:cs="Arial"/>
                <w:b/>
                <w:szCs w:val="22"/>
                <w:lang w:eastAsia="zh-CN"/>
              </w:rPr>
            </w:pPr>
            <w:r w:rsidRPr="00007DBF">
              <w:rPr>
                <w:rFonts w:cs="Arial"/>
                <w:b/>
                <w:szCs w:val="22"/>
                <w:lang w:eastAsia="zh-CN"/>
              </w:rPr>
              <w:t>Data</w:t>
            </w:r>
          </w:p>
        </w:tc>
        <w:tc>
          <w:tcPr>
            <w:tcW w:w="8071" w:type="dxa"/>
          </w:tcPr>
          <w:p w14:paraId="36B702C0" w14:textId="54720A57" w:rsidR="00EC5795" w:rsidRPr="00007DBF" w:rsidRDefault="00517520" w:rsidP="00C11B9E">
            <w:pPr>
              <w:adjustRightInd w:val="0"/>
              <w:snapToGrid w:val="0"/>
              <w:spacing w:line="240" w:lineRule="auto"/>
              <w:rPr>
                <w:rFonts w:cs="Arial"/>
                <w:sz w:val="24"/>
                <w:lang w:eastAsia="zh-CN"/>
              </w:rPr>
            </w:pPr>
            <w:r w:rsidRPr="00007DBF">
              <w:rPr>
                <w:rFonts w:cs="Arial"/>
                <w:szCs w:val="22"/>
                <w:lang w:eastAsia="zh-CN"/>
              </w:rPr>
              <w:t>Representation of facts, concepts or instructions</w:t>
            </w:r>
            <w:bookmarkStart w:id="15" w:name="_Ref506797118"/>
            <w:r w:rsidRPr="00614A8C">
              <w:rPr>
                <w:rFonts w:cs="Arial"/>
                <w:szCs w:val="22"/>
                <w:vertAlign w:val="superscript"/>
                <w:lang w:eastAsia="zh-CN"/>
              </w:rPr>
              <w:footnoteReference w:id="4"/>
            </w:r>
            <w:bookmarkEnd w:id="15"/>
            <w:r w:rsidRPr="00007DBF">
              <w:rPr>
                <w:rFonts w:cs="Arial"/>
                <w:sz w:val="24"/>
                <w:lang w:eastAsia="zh-CN"/>
              </w:rPr>
              <w:t xml:space="preserve">. </w:t>
            </w:r>
          </w:p>
        </w:tc>
      </w:tr>
      <w:tr w:rsidR="00A90224" w:rsidRPr="00007DBF" w14:paraId="7ADE64D4" w14:textId="77777777" w:rsidTr="005843FC">
        <w:trPr>
          <w:trHeight w:val="353"/>
        </w:trPr>
        <w:tc>
          <w:tcPr>
            <w:tcW w:w="2127" w:type="dxa"/>
          </w:tcPr>
          <w:p w14:paraId="374BC46D" w14:textId="466E8437" w:rsidR="002677B9" w:rsidRPr="00007DBF" w:rsidRDefault="00517520" w:rsidP="00C11B9E">
            <w:pPr>
              <w:adjustRightInd w:val="0"/>
              <w:snapToGrid w:val="0"/>
              <w:spacing w:line="240" w:lineRule="auto"/>
              <w:rPr>
                <w:rFonts w:cs="Arial"/>
                <w:b/>
                <w:szCs w:val="22"/>
                <w:lang w:eastAsia="zh-CN"/>
              </w:rPr>
            </w:pPr>
            <w:r w:rsidRPr="00007DBF">
              <w:rPr>
                <w:rFonts w:cs="Arial"/>
                <w:b/>
                <w:szCs w:val="22"/>
                <w:lang w:eastAsia="zh-CN"/>
              </w:rPr>
              <w:t>Data</w:t>
            </w:r>
            <w:r w:rsidR="00C11B9E">
              <w:rPr>
                <w:rFonts w:cs="Arial"/>
                <w:b/>
                <w:szCs w:val="22"/>
                <w:lang w:eastAsia="zh-CN"/>
              </w:rPr>
              <w:t xml:space="preserve"> </w:t>
            </w:r>
            <w:r w:rsidRPr="00007DBF">
              <w:rPr>
                <w:rFonts w:cs="Arial"/>
                <w:b/>
                <w:szCs w:val="22"/>
                <w:lang w:eastAsia="zh-CN"/>
              </w:rPr>
              <w:t>set</w:t>
            </w:r>
          </w:p>
        </w:tc>
        <w:tc>
          <w:tcPr>
            <w:tcW w:w="8071" w:type="dxa"/>
          </w:tcPr>
          <w:p w14:paraId="5C7E786A" w14:textId="4E5D54AF" w:rsidR="00DB059D" w:rsidRPr="00007DBF" w:rsidRDefault="00517520" w:rsidP="00C11B9E">
            <w:pPr>
              <w:adjustRightInd w:val="0"/>
              <w:snapToGrid w:val="0"/>
              <w:spacing w:line="240" w:lineRule="auto"/>
              <w:ind w:right="369"/>
              <w:rPr>
                <w:rFonts w:cs="Arial"/>
                <w:szCs w:val="22"/>
                <w:lang w:eastAsia="zh-CN"/>
              </w:rPr>
            </w:pPr>
            <w:r w:rsidRPr="00007DBF">
              <w:rPr>
                <w:rFonts w:cs="Arial"/>
                <w:szCs w:val="22"/>
                <w:lang w:eastAsia="zh-CN"/>
              </w:rPr>
              <w:t>Any organised collection of data.</w:t>
            </w:r>
          </w:p>
        </w:tc>
      </w:tr>
      <w:tr w:rsidR="00A90224" w:rsidRPr="00007DBF" w14:paraId="022CE353" w14:textId="77777777" w:rsidTr="005843FC">
        <w:trPr>
          <w:trHeight w:val="1044"/>
        </w:trPr>
        <w:tc>
          <w:tcPr>
            <w:tcW w:w="2127" w:type="dxa"/>
          </w:tcPr>
          <w:p w14:paraId="40CF0F8D" w14:textId="77777777" w:rsidR="002677B9" w:rsidRPr="00007DBF" w:rsidRDefault="00517520" w:rsidP="00C11B9E">
            <w:pPr>
              <w:adjustRightInd w:val="0"/>
              <w:snapToGrid w:val="0"/>
              <w:spacing w:line="240" w:lineRule="auto"/>
              <w:rPr>
                <w:rFonts w:cs="Arial"/>
                <w:b/>
                <w:szCs w:val="22"/>
                <w:lang w:eastAsia="zh-CN"/>
              </w:rPr>
            </w:pPr>
            <w:r w:rsidRPr="00007DBF">
              <w:rPr>
                <w:rFonts w:cs="Arial"/>
                <w:b/>
                <w:szCs w:val="22"/>
                <w:lang w:eastAsia="zh-CN"/>
              </w:rPr>
              <w:t>Metadata</w:t>
            </w:r>
          </w:p>
        </w:tc>
        <w:tc>
          <w:tcPr>
            <w:tcW w:w="8071" w:type="dxa"/>
          </w:tcPr>
          <w:p w14:paraId="756015AF" w14:textId="22B0A251" w:rsidR="00DB059D" w:rsidRPr="00007DBF" w:rsidRDefault="002F67ED" w:rsidP="002F67ED">
            <w:pPr>
              <w:adjustRightInd w:val="0"/>
              <w:snapToGrid w:val="0"/>
              <w:spacing w:line="240" w:lineRule="auto"/>
              <w:ind w:right="369"/>
              <w:rPr>
                <w:rFonts w:cs="Arial"/>
                <w:sz w:val="24"/>
                <w:lang w:eastAsia="zh-CN"/>
              </w:rPr>
            </w:pPr>
            <w:r>
              <w:rPr>
                <w:rFonts w:cs="Arial"/>
                <w:szCs w:val="22"/>
                <w:lang w:eastAsia="zh-CN"/>
              </w:rPr>
              <w:t>I</w:t>
            </w:r>
            <w:r w:rsidR="00C11B9E">
              <w:rPr>
                <w:rFonts w:cs="Arial"/>
                <w:szCs w:val="22"/>
                <w:lang w:eastAsia="zh-CN"/>
              </w:rPr>
              <w:t xml:space="preserve">nformation about how data is defined, structured and represented. It can provide </w:t>
            </w:r>
            <w:r w:rsidR="00C11B9E" w:rsidRPr="00C11B9E">
              <w:rPr>
                <w:rFonts w:cs="Arial"/>
                <w:szCs w:val="22"/>
                <w:lang w:eastAsia="zh-CN"/>
              </w:rPr>
              <w:t>meaning and context to data by describing how data is captured and the business rules for collecting data. It can also assist in the interpretation of data</w:t>
            </w:r>
            <w:r w:rsidRPr="002F67ED">
              <w:rPr>
                <w:rFonts w:cs="Arial"/>
                <w:szCs w:val="22"/>
                <w:vertAlign w:val="superscript"/>
                <w:lang w:eastAsia="zh-CN"/>
              </w:rPr>
              <w:fldChar w:fldCharType="begin"/>
            </w:r>
            <w:r w:rsidRPr="002F67ED">
              <w:rPr>
                <w:rFonts w:cs="Arial"/>
                <w:szCs w:val="22"/>
                <w:vertAlign w:val="superscript"/>
                <w:lang w:eastAsia="zh-CN"/>
              </w:rPr>
              <w:instrText xml:space="preserve"> NOTEREF _Ref506797118 \h </w:instrText>
            </w:r>
            <w:r>
              <w:rPr>
                <w:rFonts w:cs="Arial"/>
                <w:szCs w:val="22"/>
                <w:vertAlign w:val="superscript"/>
                <w:lang w:eastAsia="zh-CN"/>
              </w:rPr>
              <w:instrText xml:space="preserve"> \* MERGEFORMAT </w:instrText>
            </w:r>
            <w:r w:rsidRPr="002F67ED">
              <w:rPr>
                <w:rFonts w:cs="Arial"/>
                <w:szCs w:val="22"/>
                <w:vertAlign w:val="superscript"/>
                <w:lang w:eastAsia="zh-CN"/>
              </w:rPr>
            </w:r>
            <w:r w:rsidRPr="002F67ED">
              <w:rPr>
                <w:rFonts w:cs="Arial"/>
                <w:szCs w:val="22"/>
                <w:vertAlign w:val="superscript"/>
                <w:lang w:eastAsia="zh-CN"/>
              </w:rPr>
              <w:fldChar w:fldCharType="separate"/>
            </w:r>
            <w:r w:rsidR="006F41E4">
              <w:rPr>
                <w:rFonts w:cs="Arial"/>
                <w:szCs w:val="22"/>
                <w:vertAlign w:val="superscript"/>
                <w:lang w:eastAsia="zh-CN"/>
              </w:rPr>
              <w:t>3</w:t>
            </w:r>
            <w:r w:rsidRPr="002F67ED">
              <w:rPr>
                <w:rFonts w:cs="Arial"/>
                <w:szCs w:val="22"/>
                <w:vertAlign w:val="superscript"/>
                <w:lang w:eastAsia="zh-CN"/>
              </w:rPr>
              <w:fldChar w:fldCharType="end"/>
            </w:r>
            <w:r w:rsidR="00DB6E79" w:rsidRPr="00007DBF">
              <w:rPr>
                <w:rFonts w:cs="Arial"/>
                <w:sz w:val="24"/>
                <w:lang w:eastAsia="zh-CN"/>
              </w:rPr>
              <w:t>.</w:t>
            </w:r>
          </w:p>
        </w:tc>
      </w:tr>
      <w:tr w:rsidR="001F2C97" w:rsidRPr="00007DBF" w14:paraId="16705230" w14:textId="77777777" w:rsidTr="005843FC">
        <w:trPr>
          <w:trHeight w:val="737"/>
        </w:trPr>
        <w:tc>
          <w:tcPr>
            <w:tcW w:w="2127" w:type="dxa"/>
          </w:tcPr>
          <w:p w14:paraId="44980A8E" w14:textId="1E24E1BC" w:rsidR="001F2C97" w:rsidRPr="00007DBF" w:rsidRDefault="001F2C97" w:rsidP="00C11B9E">
            <w:pPr>
              <w:adjustRightInd w:val="0"/>
              <w:snapToGrid w:val="0"/>
              <w:spacing w:line="240" w:lineRule="auto"/>
              <w:rPr>
                <w:rFonts w:cs="Arial"/>
                <w:b/>
                <w:szCs w:val="22"/>
                <w:lang w:eastAsia="zh-CN"/>
              </w:rPr>
            </w:pPr>
            <w:r w:rsidRPr="00007DBF">
              <w:rPr>
                <w:rFonts w:cs="Arial"/>
                <w:b/>
                <w:szCs w:val="22"/>
                <w:lang w:eastAsia="zh-CN"/>
              </w:rPr>
              <w:t>Pricing Authority</w:t>
            </w:r>
          </w:p>
        </w:tc>
        <w:tc>
          <w:tcPr>
            <w:tcW w:w="8071" w:type="dxa"/>
          </w:tcPr>
          <w:p w14:paraId="17D9B7E4" w14:textId="1154450D" w:rsidR="001F2C97" w:rsidRPr="00007DBF" w:rsidRDefault="001F2C97" w:rsidP="002F67ED">
            <w:pPr>
              <w:adjustRightInd w:val="0"/>
              <w:snapToGrid w:val="0"/>
              <w:spacing w:line="240" w:lineRule="auto"/>
              <w:ind w:right="369"/>
              <w:rPr>
                <w:rFonts w:cs="Arial"/>
                <w:szCs w:val="22"/>
                <w:lang w:eastAsia="zh-CN"/>
              </w:rPr>
            </w:pPr>
            <w:r w:rsidRPr="00007DBF">
              <w:rPr>
                <w:rFonts w:cs="Arial"/>
                <w:szCs w:val="22"/>
                <w:lang w:eastAsia="zh-CN"/>
              </w:rPr>
              <w:t xml:space="preserve">The governing body of IHPA established under the </w:t>
            </w:r>
            <w:r w:rsidRPr="00007DBF">
              <w:rPr>
                <w:rFonts w:cs="Arial"/>
                <w:i/>
                <w:szCs w:val="22"/>
                <w:lang w:eastAsia="zh-CN"/>
              </w:rPr>
              <w:t>National Health Reform Act 2011</w:t>
            </w:r>
            <w:r w:rsidR="00C54AC2" w:rsidRPr="00007DBF">
              <w:rPr>
                <w:rFonts w:cs="Arial"/>
                <w:i/>
                <w:szCs w:val="22"/>
                <w:lang w:eastAsia="zh-CN"/>
              </w:rPr>
              <w:t xml:space="preserve"> </w:t>
            </w:r>
            <w:r w:rsidR="00BD6447">
              <w:t>(Cwlth)</w:t>
            </w:r>
            <w:r w:rsidR="00BD6447">
              <w:rPr>
                <w:rFonts w:cs="Arial"/>
                <w:szCs w:val="22"/>
                <w:lang w:eastAsia="zh-CN"/>
              </w:rPr>
              <w:t xml:space="preserve"> </w:t>
            </w:r>
            <w:r w:rsidR="00C11B9E">
              <w:rPr>
                <w:rFonts w:cs="Arial"/>
                <w:szCs w:val="22"/>
                <w:lang w:eastAsia="zh-CN"/>
              </w:rPr>
              <w:t>(NHR Act)</w:t>
            </w:r>
            <w:r w:rsidRPr="00007DBF">
              <w:rPr>
                <w:rFonts w:cs="Arial"/>
                <w:szCs w:val="22"/>
                <w:lang w:eastAsia="zh-CN"/>
              </w:rPr>
              <w:t>.</w:t>
            </w:r>
          </w:p>
        </w:tc>
      </w:tr>
      <w:tr w:rsidR="00A90224" w:rsidRPr="00007DBF" w14:paraId="0E6A4273" w14:textId="77777777" w:rsidTr="005843FC">
        <w:tc>
          <w:tcPr>
            <w:tcW w:w="2127" w:type="dxa"/>
          </w:tcPr>
          <w:p w14:paraId="0F19874D" w14:textId="77777777" w:rsidR="001F6F10" w:rsidRPr="00007DBF" w:rsidRDefault="001F6F10" w:rsidP="00C11B9E">
            <w:pPr>
              <w:adjustRightInd w:val="0"/>
              <w:snapToGrid w:val="0"/>
              <w:spacing w:line="240" w:lineRule="auto"/>
              <w:rPr>
                <w:rFonts w:cs="Arial"/>
                <w:b/>
                <w:szCs w:val="22"/>
                <w:lang w:eastAsia="zh-CN"/>
              </w:rPr>
            </w:pPr>
            <w:r w:rsidRPr="00007DBF">
              <w:rPr>
                <w:rFonts w:cs="Arial"/>
                <w:b/>
                <w:szCs w:val="22"/>
                <w:lang w:eastAsia="zh-CN"/>
              </w:rPr>
              <w:t xml:space="preserve">Protected </w:t>
            </w:r>
            <w:r w:rsidR="008A36AE" w:rsidRPr="00007DBF">
              <w:rPr>
                <w:rFonts w:cs="Arial"/>
                <w:b/>
                <w:szCs w:val="22"/>
                <w:lang w:eastAsia="zh-CN"/>
              </w:rPr>
              <w:t>d</w:t>
            </w:r>
            <w:r w:rsidRPr="00007DBF">
              <w:rPr>
                <w:rFonts w:cs="Arial"/>
                <w:b/>
                <w:szCs w:val="22"/>
                <w:lang w:eastAsia="zh-CN"/>
              </w:rPr>
              <w:t>ata</w:t>
            </w:r>
          </w:p>
        </w:tc>
        <w:tc>
          <w:tcPr>
            <w:tcW w:w="8071" w:type="dxa"/>
          </w:tcPr>
          <w:p w14:paraId="61684587" w14:textId="688C00CB" w:rsidR="001F6F10" w:rsidRPr="00007DBF" w:rsidRDefault="001F6F10" w:rsidP="00C11B9E">
            <w:pPr>
              <w:adjustRightInd w:val="0"/>
              <w:snapToGrid w:val="0"/>
              <w:spacing w:line="240" w:lineRule="auto"/>
              <w:ind w:right="368"/>
              <w:rPr>
                <w:rFonts w:cs="Arial"/>
                <w:szCs w:val="22"/>
                <w:lang w:eastAsia="zh-CN"/>
              </w:rPr>
            </w:pPr>
            <w:r w:rsidRPr="00007DBF">
              <w:rPr>
                <w:rFonts w:cs="Arial"/>
                <w:szCs w:val="22"/>
                <w:lang w:eastAsia="zh-CN"/>
              </w:rPr>
              <w:t xml:space="preserve">Data obtained for the purpose of </w:t>
            </w:r>
            <w:r w:rsidR="009A7D09">
              <w:rPr>
                <w:rFonts w:cs="Arial"/>
                <w:szCs w:val="22"/>
                <w:lang w:eastAsia="zh-CN"/>
              </w:rPr>
              <w:t>s</w:t>
            </w:r>
            <w:r w:rsidRPr="00007DBF">
              <w:rPr>
                <w:rFonts w:cs="Arial"/>
                <w:szCs w:val="22"/>
                <w:lang w:eastAsia="zh-CN"/>
              </w:rPr>
              <w:t xml:space="preserve">ection 131 of the </w:t>
            </w:r>
            <w:r w:rsidR="00C11B9E">
              <w:rPr>
                <w:rFonts w:cs="Arial"/>
                <w:szCs w:val="22"/>
                <w:lang w:eastAsia="zh-CN"/>
              </w:rPr>
              <w:t>NHR Act</w:t>
            </w:r>
            <w:r w:rsidR="00595081">
              <w:rPr>
                <w:rFonts w:cs="Arial"/>
                <w:i/>
                <w:szCs w:val="22"/>
                <w:lang w:eastAsia="zh-CN"/>
              </w:rPr>
              <w:t xml:space="preserve"> </w:t>
            </w:r>
            <w:r w:rsidRPr="00007DBF">
              <w:rPr>
                <w:rFonts w:cs="Arial"/>
                <w:szCs w:val="22"/>
                <w:lang w:eastAsia="zh-CN"/>
              </w:rPr>
              <w:t>and clause</w:t>
            </w:r>
            <w:r w:rsidR="00C11B9E">
              <w:rPr>
                <w:rFonts w:cs="Arial"/>
                <w:szCs w:val="22"/>
                <w:lang w:eastAsia="zh-CN"/>
              </w:rPr>
              <w:t> </w:t>
            </w:r>
            <w:r w:rsidRPr="00007DBF">
              <w:rPr>
                <w:rFonts w:cs="Arial"/>
                <w:szCs w:val="22"/>
                <w:lang w:eastAsia="zh-CN"/>
              </w:rPr>
              <w:t>B3 of the National Health Reform Agreement.</w:t>
            </w:r>
          </w:p>
          <w:p w14:paraId="51B7ACBA" w14:textId="69E9D480" w:rsidR="00EC5795" w:rsidRPr="00007DBF" w:rsidRDefault="002013B0" w:rsidP="00C11B9E">
            <w:pPr>
              <w:adjustRightInd w:val="0"/>
              <w:snapToGrid w:val="0"/>
              <w:spacing w:line="240" w:lineRule="auto"/>
              <w:ind w:right="368"/>
              <w:rPr>
                <w:rFonts w:cs="Arial"/>
                <w:szCs w:val="22"/>
              </w:rPr>
            </w:pPr>
            <w:r w:rsidRPr="00007DBF">
              <w:rPr>
                <w:rFonts w:cs="Arial"/>
                <w:szCs w:val="22"/>
              </w:rPr>
              <w:t xml:space="preserve">Includes all </w:t>
            </w:r>
            <w:r w:rsidR="008A36AE" w:rsidRPr="00007DBF">
              <w:rPr>
                <w:rFonts w:cs="Arial"/>
                <w:szCs w:val="22"/>
              </w:rPr>
              <w:t>u</w:t>
            </w:r>
            <w:r w:rsidRPr="00007DBF">
              <w:rPr>
                <w:rFonts w:cs="Arial"/>
                <w:szCs w:val="22"/>
              </w:rPr>
              <w:t xml:space="preserve">nit </w:t>
            </w:r>
            <w:r w:rsidR="008A36AE" w:rsidRPr="00007DBF">
              <w:rPr>
                <w:rFonts w:cs="Arial"/>
                <w:szCs w:val="22"/>
              </w:rPr>
              <w:t>r</w:t>
            </w:r>
            <w:r w:rsidRPr="00007DBF">
              <w:rPr>
                <w:rFonts w:cs="Arial"/>
                <w:szCs w:val="22"/>
              </w:rPr>
              <w:t xml:space="preserve">ecord </w:t>
            </w:r>
            <w:r w:rsidR="008A36AE" w:rsidRPr="00007DBF">
              <w:rPr>
                <w:rFonts w:cs="Arial"/>
                <w:szCs w:val="22"/>
              </w:rPr>
              <w:t>d</w:t>
            </w:r>
            <w:r w:rsidRPr="00007DBF">
              <w:rPr>
                <w:rFonts w:cs="Arial"/>
                <w:szCs w:val="22"/>
              </w:rPr>
              <w:t xml:space="preserve">ata and </w:t>
            </w:r>
            <w:r w:rsidR="008A36AE" w:rsidRPr="00007DBF">
              <w:rPr>
                <w:rFonts w:cs="Arial"/>
                <w:szCs w:val="22"/>
              </w:rPr>
              <w:t>p</w:t>
            </w:r>
            <w:r w:rsidRPr="00007DBF">
              <w:rPr>
                <w:rFonts w:cs="Arial"/>
                <w:szCs w:val="22"/>
              </w:rPr>
              <w:t xml:space="preserve">rotected </w:t>
            </w:r>
            <w:r w:rsidR="008A36AE" w:rsidRPr="00007DBF">
              <w:rPr>
                <w:rFonts w:cs="Arial"/>
                <w:szCs w:val="22"/>
              </w:rPr>
              <w:t>a</w:t>
            </w:r>
            <w:r w:rsidRPr="00007DBF">
              <w:rPr>
                <w:rFonts w:cs="Arial"/>
                <w:szCs w:val="22"/>
              </w:rPr>
              <w:t xml:space="preserve">ggregate </w:t>
            </w:r>
            <w:r w:rsidR="008A36AE" w:rsidRPr="00007DBF">
              <w:rPr>
                <w:rFonts w:cs="Arial"/>
                <w:szCs w:val="22"/>
              </w:rPr>
              <w:t>d</w:t>
            </w:r>
            <w:r w:rsidRPr="00007DBF">
              <w:rPr>
                <w:rFonts w:cs="Arial"/>
                <w:szCs w:val="22"/>
              </w:rPr>
              <w:t>ata</w:t>
            </w:r>
            <w:r w:rsidR="00DB059D" w:rsidRPr="00007DBF">
              <w:rPr>
                <w:rFonts w:cs="Arial"/>
                <w:szCs w:val="22"/>
              </w:rPr>
              <w:t>.</w:t>
            </w:r>
          </w:p>
        </w:tc>
      </w:tr>
      <w:tr w:rsidR="00A90224" w:rsidRPr="00007DBF" w14:paraId="5B798AC6" w14:textId="77777777" w:rsidTr="005843FC">
        <w:tc>
          <w:tcPr>
            <w:tcW w:w="2127" w:type="dxa"/>
          </w:tcPr>
          <w:p w14:paraId="1D83F851" w14:textId="77777777" w:rsidR="002013B0" w:rsidRPr="00007DBF" w:rsidRDefault="002013B0" w:rsidP="00C11B9E">
            <w:pPr>
              <w:adjustRightInd w:val="0"/>
              <w:snapToGrid w:val="0"/>
              <w:spacing w:line="240" w:lineRule="auto"/>
              <w:rPr>
                <w:rFonts w:cs="Arial"/>
                <w:b/>
                <w:szCs w:val="22"/>
                <w:lang w:eastAsia="zh-CN"/>
              </w:rPr>
            </w:pPr>
            <w:r w:rsidRPr="00007DBF">
              <w:rPr>
                <w:rFonts w:cs="Arial"/>
                <w:b/>
                <w:szCs w:val="22"/>
                <w:lang w:eastAsia="zh-CN"/>
              </w:rPr>
              <w:t xml:space="preserve">Protected </w:t>
            </w:r>
            <w:r w:rsidR="008A36AE" w:rsidRPr="00007DBF">
              <w:rPr>
                <w:rFonts w:cs="Arial"/>
                <w:b/>
                <w:szCs w:val="22"/>
                <w:lang w:eastAsia="zh-CN"/>
              </w:rPr>
              <w:t>a</w:t>
            </w:r>
            <w:r w:rsidRPr="00007DBF">
              <w:rPr>
                <w:rFonts w:cs="Arial"/>
                <w:b/>
                <w:szCs w:val="22"/>
                <w:lang w:eastAsia="zh-CN"/>
              </w:rPr>
              <w:t xml:space="preserve">ggregate </w:t>
            </w:r>
            <w:r w:rsidR="008A36AE" w:rsidRPr="00007DBF">
              <w:rPr>
                <w:rFonts w:cs="Arial"/>
                <w:b/>
                <w:szCs w:val="22"/>
                <w:lang w:eastAsia="zh-CN"/>
              </w:rPr>
              <w:t>d</w:t>
            </w:r>
            <w:r w:rsidRPr="00007DBF">
              <w:rPr>
                <w:rFonts w:cs="Arial"/>
                <w:b/>
                <w:szCs w:val="22"/>
                <w:lang w:eastAsia="zh-CN"/>
              </w:rPr>
              <w:t>ata</w:t>
            </w:r>
          </w:p>
        </w:tc>
        <w:tc>
          <w:tcPr>
            <w:tcW w:w="8071" w:type="dxa"/>
          </w:tcPr>
          <w:p w14:paraId="4763D1EF" w14:textId="6616A930" w:rsidR="00EC5795" w:rsidRPr="00007DBF" w:rsidRDefault="00A90224" w:rsidP="00C11B9E">
            <w:pPr>
              <w:autoSpaceDE w:val="0"/>
              <w:autoSpaceDN w:val="0"/>
              <w:adjustRightInd w:val="0"/>
              <w:spacing w:line="240" w:lineRule="auto"/>
              <w:rPr>
                <w:rFonts w:cs="Arial"/>
                <w:szCs w:val="22"/>
              </w:rPr>
            </w:pPr>
            <w:r w:rsidRPr="00007DBF">
              <w:rPr>
                <w:rFonts w:cs="Arial"/>
                <w:szCs w:val="22"/>
              </w:rPr>
              <w:t>Aggregate data that</w:t>
            </w:r>
            <w:r w:rsidR="002013B0" w:rsidRPr="00007DBF">
              <w:rPr>
                <w:rFonts w:cs="Arial"/>
                <w:szCs w:val="22"/>
              </w:rPr>
              <w:t xml:space="preserve"> </w:t>
            </w:r>
            <w:r w:rsidRPr="00007DBF">
              <w:rPr>
                <w:rFonts w:cs="Arial"/>
                <w:szCs w:val="22"/>
              </w:rPr>
              <w:t xml:space="preserve">has been masked to prevent </w:t>
            </w:r>
            <w:r w:rsidR="002013B0" w:rsidRPr="00007DBF">
              <w:rPr>
                <w:rFonts w:cs="Arial"/>
                <w:szCs w:val="22"/>
              </w:rPr>
              <w:t>identification of an individual or organisation</w:t>
            </w:r>
            <w:r w:rsidRPr="00007DBF">
              <w:rPr>
                <w:rFonts w:cs="Arial"/>
                <w:szCs w:val="22"/>
              </w:rPr>
              <w:t>. This</w:t>
            </w:r>
            <w:r w:rsidR="002013B0" w:rsidRPr="00007DBF">
              <w:rPr>
                <w:rFonts w:cs="Arial"/>
                <w:szCs w:val="22"/>
              </w:rPr>
              <w:t xml:space="preserve"> must be made on a case-by-case basis by reviewing the data to determine what information or conclusions the reader may draw from that data.</w:t>
            </w:r>
          </w:p>
        </w:tc>
      </w:tr>
      <w:tr w:rsidR="00A90224" w:rsidRPr="00007DBF" w14:paraId="774DDD47" w14:textId="77777777" w:rsidTr="005843FC">
        <w:tc>
          <w:tcPr>
            <w:tcW w:w="2127" w:type="dxa"/>
          </w:tcPr>
          <w:p w14:paraId="60CDBCAC" w14:textId="77777777" w:rsidR="001F6F10" w:rsidRPr="00007DBF" w:rsidRDefault="001F6F10" w:rsidP="00C11B9E">
            <w:pPr>
              <w:adjustRightInd w:val="0"/>
              <w:snapToGrid w:val="0"/>
              <w:spacing w:line="240" w:lineRule="auto"/>
              <w:rPr>
                <w:rFonts w:cs="Arial"/>
                <w:b/>
                <w:szCs w:val="22"/>
                <w:lang w:eastAsia="zh-CN"/>
              </w:rPr>
            </w:pPr>
            <w:r w:rsidRPr="00007DBF">
              <w:rPr>
                <w:rFonts w:cs="Arial"/>
                <w:b/>
                <w:szCs w:val="22"/>
                <w:lang w:eastAsia="zh-CN"/>
              </w:rPr>
              <w:t>Protected Pricing Authority information</w:t>
            </w:r>
          </w:p>
        </w:tc>
        <w:tc>
          <w:tcPr>
            <w:tcW w:w="8071" w:type="dxa"/>
          </w:tcPr>
          <w:p w14:paraId="4FCBFE28" w14:textId="5E074BE1" w:rsidR="001F6F10" w:rsidRPr="00007DBF" w:rsidRDefault="001F6F10" w:rsidP="00C11B9E">
            <w:pPr>
              <w:adjustRightInd w:val="0"/>
              <w:snapToGrid w:val="0"/>
              <w:spacing w:line="240" w:lineRule="auto"/>
              <w:ind w:right="368"/>
              <w:rPr>
                <w:rFonts w:cs="Arial"/>
                <w:szCs w:val="22"/>
                <w:lang w:eastAsia="zh-CN"/>
              </w:rPr>
            </w:pPr>
            <w:r w:rsidRPr="00007DBF">
              <w:rPr>
                <w:rFonts w:cs="Arial"/>
                <w:szCs w:val="22"/>
                <w:lang w:eastAsia="zh-CN"/>
              </w:rPr>
              <w:t xml:space="preserve">As defined in </w:t>
            </w:r>
            <w:r w:rsidR="009A7D09">
              <w:rPr>
                <w:rFonts w:cs="Arial"/>
                <w:szCs w:val="22"/>
                <w:lang w:eastAsia="zh-CN"/>
              </w:rPr>
              <w:t>s</w:t>
            </w:r>
            <w:r w:rsidRPr="00007DBF">
              <w:rPr>
                <w:rFonts w:cs="Arial"/>
                <w:szCs w:val="22"/>
                <w:lang w:eastAsia="zh-CN"/>
              </w:rPr>
              <w:t xml:space="preserve">ection 5 of the </w:t>
            </w:r>
            <w:r w:rsidR="00C11B9E">
              <w:rPr>
                <w:rFonts w:cs="Arial"/>
                <w:szCs w:val="22"/>
                <w:lang w:eastAsia="zh-CN"/>
              </w:rPr>
              <w:t>NHR Act</w:t>
            </w:r>
            <w:r w:rsidR="003650BA" w:rsidRPr="00007DBF">
              <w:rPr>
                <w:rFonts w:cs="Arial"/>
                <w:szCs w:val="22"/>
                <w:lang w:eastAsia="zh-CN"/>
              </w:rPr>
              <w:t>,</w:t>
            </w:r>
            <w:r w:rsidRPr="00007DBF">
              <w:rPr>
                <w:rFonts w:cs="Arial"/>
                <w:szCs w:val="22"/>
                <w:lang w:eastAsia="zh-CN"/>
              </w:rPr>
              <w:t xml:space="preserve"> information that</w:t>
            </w:r>
            <w:r w:rsidR="00DA37CA" w:rsidRPr="00007DBF">
              <w:rPr>
                <w:rFonts w:cs="Arial"/>
                <w:szCs w:val="22"/>
                <w:lang w:eastAsia="zh-CN"/>
              </w:rPr>
              <w:t>:</w:t>
            </w:r>
            <w:r w:rsidRPr="00007DBF">
              <w:rPr>
                <w:rFonts w:cs="Arial"/>
                <w:szCs w:val="22"/>
                <w:lang w:eastAsia="zh-CN"/>
              </w:rPr>
              <w:t xml:space="preserve"> </w:t>
            </w:r>
          </w:p>
          <w:p w14:paraId="5FE21F0B" w14:textId="01D43613" w:rsidR="001F6F10" w:rsidRPr="00007DBF" w:rsidRDefault="00C11B9E" w:rsidP="00F870A0">
            <w:pPr>
              <w:pStyle w:val="ListParagraph"/>
              <w:numPr>
                <w:ilvl w:val="0"/>
                <w:numId w:val="62"/>
              </w:numPr>
              <w:rPr>
                <w:lang w:eastAsia="zh-CN"/>
              </w:rPr>
            </w:pPr>
            <w:r>
              <w:rPr>
                <w:lang w:eastAsia="zh-CN"/>
              </w:rPr>
              <w:t>w</w:t>
            </w:r>
            <w:r w:rsidR="001F6F10" w:rsidRPr="00007DBF">
              <w:rPr>
                <w:lang w:eastAsia="zh-CN"/>
              </w:rPr>
              <w:t xml:space="preserve">as obtained by a person in the person’s capacity as an official of the Pricing Authority; and </w:t>
            </w:r>
          </w:p>
          <w:p w14:paraId="7325417A" w14:textId="452B3132" w:rsidR="00EC5795" w:rsidRPr="00007DBF" w:rsidRDefault="00C11B9E" w:rsidP="00F870A0">
            <w:pPr>
              <w:pStyle w:val="ListParagraph"/>
              <w:numPr>
                <w:ilvl w:val="0"/>
                <w:numId w:val="62"/>
              </w:numPr>
              <w:rPr>
                <w:lang w:eastAsia="zh-CN"/>
              </w:rPr>
            </w:pPr>
            <w:r>
              <w:rPr>
                <w:lang w:eastAsia="zh-CN"/>
              </w:rPr>
              <w:t>r</w:t>
            </w:r>
            <w:r w:rsidR="001F6F10" w:rsidRPr="00007DBF">
              <w:rPr>
                <w:lang w:eastAsia="zh-CN"/>
              </w:rPr>
              <w:t>elates to the affairs of a person other than an official of the Pricing Authority</w:t>
            </w:r>
            <w:r w:rsidR="008A36AE" w:rsidRPr="00007DBF">
              <w:rPr>
                <w:lang w:eastAsia="zh-CN"/>
              </w:rPr>
              <w:t>.</w:t>
            </w:r>
          </w:p>
        </w:tc>
      </w:tr>
      <w:tr w:rsidR="00A90224" w:rsidRPr="00007DBF" w14:paraId="7892F5EE" w14:textId="77777777" w:rsidTr="005843FC">
        <w:tc>
          <w:tcPr>
            <w:tcW w:w="2127" w:type="dxa"/>
          </w:tcPr>
          <w:p w14:paraId="012EF132" w14:textId="77777777" w:rsidR="001F6F10" w:rsidRPr="00007DBF" w:rsidRDefault="001F6F10" w:rsidP="00C11B9E">
            <w:pPr>
              <w:adjustRightInd w:val="0"/>
              <w:snapToGrid w:val="0"/>
              <w:spacing w:line="240" w:lineRule="auto"/>
              <w:rPr>
                <w:rFonts w:cs="Arial"/>
                <w:b/>
                <w:szCs w:val="22"/>
                <w:lang w:eastAsia="zh-CN"/>
              </w:rPr>
            </w:pPr>
            <w:r w:rsidRPr="00007DBF">
              <w:rPr>
                <w:rFonts w:cs="Arial"/>
                <w:b/>
                <w:szCs w:val="22"/>
                <w:lang w:eastAsia="zh-CN"/>
              </w:rPr>
              <w:t xml:space="preserve">Unit record </w:t>
            </w:r>
            <w:r w:rsidR="00DB059D" w:rsidRPr="00007DBF">
              <w:rPr>
                <w:rFonts w:cs="Arial"/>
                <w:b/>
                <w:szCs w:val="22"/>
                <w:lang w:eastAsia="zh-CN"/>
              </w:rPr>
              <w:t>data</w:t>
            </w:r>
          </w:p>
        </w:tc>
        <w:tc>
          <w:tcPr>
            <w:tcW w:w="8071" w:type="dxa"/>
          </w:tcPr>
          <w:p w14:paraId="00E7BD25" w14:textId="77777777" w:rsidR="002013B0" w:rsidRPr="00007DBF" w:rsidRDefault="002013B0" w:rsidP="00C11B9E">
            <w:pPr>
              <w:autoSpaceDE w:val="0"/>
              <w:autoSpaceDN w:val="0"/>
              <w:adjustRightInd w:val="0"/>
              <w:spacing w:line="240" w:lineRule="auto"/>
              <w:rPr>
                <w:rFonts w:cs="Arial"/>
                <w:szCs w:val="22"/>
              </w:rPr>
            </w:pPr>
            <w:r w:rsidRPr="00007DBF">
              <w:rPr>
                <w:rFonts w:cs="Arial"/>
                <w:szCs w:val="22"/>
              </w:rPr>
              <w:t xml:space="preserve">Data held by IHPA or on IHPA’s behalf, which </w:t>
            </w:r>
            <w:r w:rsidR="00DB059D" w:rsidRPr="00007DBF">
              <w:rPr>
                <w:rFonts w:cs="Arial"/>
                <w:szCs w:val="22"/>
              </w:rPr>
              <w:t xml:space="preserve">refers </w:t>
            </w:r>
            <w:r w:rsidRPr="00007DBF">
              <w:rPr>
                <w:rFonts w:cs="Arial"/>
                <w:szCs w:val="22"/>
              </w:rPr>
              <w:t xml:space="preserve">to a single event associated with an individual or an organisation (such as an episode of care, a phase of care or a service event). </w:t>
            </w:r>
          </w:p>
          <w:p w14:paraId="76641553" w14:textId="3D40C034" w:rsidR="00DB059D" w:rsidRPr="00007DBF" w:rsidRDefault="002013B0" w:rsidP="00C11B9E">
            <w:pPr>
              <w:autoSpaceDE w:val="0"/>
              <w:autoSpaceDN w:val="0"/>
              <w:adjustRightInd w:val="0"/>
              <w:spacing w:line="240" w:lineRule="auto"/>
              <w:rPr>
                <w:rFonts w:cs="Arial"/>
                <w:szCs w:val="22"/>
              </w:rPr>
            </w:pPr>
            <w:r w:rsidRPr="00007DBF">
              <w:rPr>
                <w:rFonts w:cs="Arial"/>
                <w:szCs w:val="22"/>
              </w:rPr>
              <w:t>Unit record data may enable the identification of an individual or an organisation.</w:t>
            </w:r>
          </w:p>
        </w:tc>
      </w:tr>
    </w:tbl>
    <w:p w14:paraId="38F19124" w14:textId="04C2C52A" w:rsidR="00C5394B" w:rsidRPr="00007DBF" w:rsidRDefault="001F6F10" w:rsidP="00431793">
      <w:pPr>
        <w:pStyle w:val="Heading1"/>
      </w:pPr>
      <w:bookmarkStart w:id="16" w:name="_Toc506796529"/>
      <w:r w:rsidRPr="00007DBF">
        <w:br w:type="page"/>
      </w:r>
      <w:bookmarkStart w:id="17" w:name="_Toc36114970"/>
      <w:bookmarkStart w:id="18" w:name="_Toc94527618"/>
      <w:bookmarkEnd w:id="16"/>
      <w:r w:rsidR="003A7B44" w:rsidRPr="00007DBF">
        <w:lastRenderedPageBreak/>
        <w:t xml:space="preserve">Executive </w:t>
      </w:r>
      <w:r w:rsidR="002A20CA" w:rsidRPr="00007DBF">
        <w:t>s</w:t>
      </w:r>
      <w:r w:rsidR="003A7B44" w:rsidRPr="00007DBF">
        <w:t>ummary</w:t>
      </w:r>
      <w:bookmarkEnd w:id="17"/>
      <w:bookmarkEnd w:id="18"/>
    </w:p>
    <w:p w14:paraId="2659D84A" w14:textId="37E8196D" w:rsidR="003A7B44" w:rsidRPr="00007DBF" w:rsidRDefault="003A7B44" w:rsidP="0047660C">
      <w:pPr>
        <w:pStyle w:val="Heading2"/>
      </w:pPr>
      <w:bookmarkStart w:id="19" w:name="_Toc36114971"/>
      <w:bookmarkStart w:id="20" w:name="_Toc94527619"/>
      <w:r w:rsidRPr="00007DBF">
        <w:t>Background</w:t>
      </w:r>
      <w:bookmarkEnd w:id="19"/>
      <w:bookmarkEnd w:id="20"/>
    </w:p>
    <w:p w14:paraId="5FCB49ED" w14:textId="131E5604" w:rsidR="00C5394B" w:rsidRPr="00007DBF" w:rsidRDefault="00C5394B" w:rsidP="00424BF0">
      <w:r w:rsidRPr="00007DBF">
        <w:t xml:space="preserve">The </w:t>
      </w:r>
      <w:r w:rsidR="002F67ED" w:rsidRPr="00007DBF">
        <w:rPr>
          <w:i/>
        </w:rPr>
        <w:t>National Health Reform Act 2011</w:t>
      </w:r>
      <w:r w:rsidR="00BD6447" w:rsidRPr="00BD6447">
        <w:rPr>
          <w:szCs w:val="28"/>
        </w:rPr>
        <w:t xml:space="preserve"> (Cwlth)</w:t>
      </w:r>
      <w:r w:rsidR="002F67ED" w:rsidRPr="00007DBF">
        <w:t xml:space="preserve"> (NHR Act) and the </w:t>
      </w:r>
      <w:r w:rsidR="00CB2C53" w:rsidRPr="00007DBF">
        <w:t xml:space="preserve">Addendum to the </w:t>
      </w:r>
      <w:r w:rsidRPr="00007DBF">
        <w:t xml:space="preserve">National Health Reform Agreement </w:t>
      </w:r>
      <w:r w:rsidR="00CB2C53" w:rsidRPr="00007DBF">
        <w:t xml:space="preserve">2020–25 </w:t>
      </w:r>
      <w:r w:rsidRPr="00007DBF">
        <w:t>(</w:t>
      </w:r>
      <w:r w:rsidR="00CB2C53" w:rsidRPr="00007DBF">
        <w:t>the Addendum</w:t>
      </w:r>
      <w:r w:rsidRPr="00007DBF">
        <w:t xml:space="preserve">) require </w:t>
      </w:r>
      <w:r w:rsidR="00605CEE" w:rsidRPr="00007DBF">
        <w:t>the Independent Hospital Pricing Authority (</w:t>
      </w:r>
      <w:r w:rsidRPr="00007DBF">
        <w:t>IHPA</w:t>
      </w:r>
      <w:r w:rsidR="00605CEE" w:rsidRPr="00007DBF">
        <w:t>)</w:t>
      </w:r>
      <w:r w:rsidRPr="00007DBF">
        <w:t xml:space="preserve"> to publicly report on its activities and disclose information in certain circumstances. IHPA is also bound by other legislative requirements including the </w:t>
      </w:r>
      <w:r w:rsidRPr="00007DBF">
        <w:rPr>
          <w:i/>
        </w:rPr>
        <w:t>Freedom of Information Act 1982</w:t>
      </w:r>
      <w:r w:rsidR="00BD6447" w:rsidRPr="00BD6447">
        <w:rPr>
          <w:szCs w:val="28"/>
        </w:rPr>
        <w:t xml:space="preserve"> (Cwlth)</w:t>
      </w:r>
      <w:r w:rsidRPr="00007DBF">
        <w:t xml:space="preserve"> (FOI Act)</w:t>
      </w:r>
      <w:r w:rsidR="004F01D4" w:rsidRPr="00007DBF">
        <w:t xml:space="preserve">, the </w:t>
      </w:r>
      <w:r w:rsidR="004F01D4" w:rsidRPr="00007DBF">
        <w:rPr>
          <w:i/>
        </w:rPr>
        <w:t>Privacy Act 1988</w:t>
      </w:r>
      <w:r w:rsidR="00BD6447" w:rsidRPr="00BD6447">
        <w:rPr>
          <w:szCs w:val="28"/>
        </w:rPr>
        <w:t xml:space="preserve"> (Cwlth)</w:t>
      </w:r>
      <w:r w:rsidR="004F01D4" w:rsidRPr="00007DBF">
        <w:t xml:space="preserve"> (Privacy Act)</w:t>
      </w:r>
      <w:r w:rsidRPr="00007DBF">
        <w:t xml:space="preserve"> and the Information Publication Scheme (IPS) which provide a legislative framework for disclosure of government information to the public.</w:t>
      </w:r>
    </w:p>
    <w:p w14:paraId="14DFE809" w14:textId="77777777" w:rsidR="00C5394B" w:rsidRPr="00007DBF" w:rsidRDefault="00C5394B" w:rsidP="00F477D8">
      <w:r w:rsidRPr="00007DBF">
        <w:t xml:space="preserve">IHPA recognises that access to high quality, nationally consistent health </w:t>
      </w:r>
      <w:r w:rsidR="00EE3FBC" w:rsidRPr="00007DBF">
        <w:t xml:space="preserve">data </w:t>
      </w:r>
      <w:r w:rsidRPr="00007DBF">
        <w:t>is essential for the conduct of research and analysis and to inform the development of policies for improving health outcomes for all Australians.</w:t>
      </w:r>
      <w:r w:rsidR="00775C4B" w:rsidRPr="00007DBF">
        <w:t xml:space="preserve"> </w:t>
      </w:r>
    </w:p>
    <w:p w14:paraId="6CD55A10" w14:textId="26229581" w:rsidR="00C5394B" w:rsidRPr="00007DBF" w:rsidRDefault="007734CA" w:rsidP="002A20CA">
      <w:pPr>
        <w:spacing w:before="0" w:after="0"/>
      </w:pPr>
      <w:r>
        <w:t>P</w:t>
      </w:r>
      <w:r w:rsidRPr="007734CA">
        <w:t>ursuant to its functions outlined in the NHR Act</w:t>
      </w:r>
      <w:r>
        <w:t xml:space="preserve">, </w:t>
      </w:r>
      <w:r w:rsidR="00C5394B" w:rsidRPr="00007DBF">
        <w:t xml:space="preserve">IHPA </w:t>
      </w:r>
      <w:r w:rsidR="00BD6EDC">
        <w:t xml:space="preserve">collects </w:t>
      </w:r>
      <w:r w:rsidR="00DB2667">
        <w:t xml:space="preserve">hospital data that contains </w:t>
      </w:r>
      <w:r w:rsidRPr="007734CA">
        <w:t>demographic information, clinical information, the nature of care provided and costs</w:t>
      </w:r>
      <w:r w:rsidR="00C9714A" w:rsidRPr="00007DBF">
        <w:t>.</w:t>
      </w:r>
      <w:r>
        <w:t xml:space="preserve"> </w:t>
      </w:r>
      <w:r w:rsidR="00D520DD">
        <w:t xml:space="preserve">This </w:t>
      </w:r>
      <w:r w:rsidR="00D520DD" w:rsidRPr="00D520DD">
        <w:t xml:space="preserve">data is subject to secrecy provisions contained in the NHR Act which relate to protected Pricing Authority </w:t>
      </w:r>
      <w:r w:rsidR="00D520DD">
        <w:t>information.</w:t>
      </w:r>
    </w:p>
    <w:p w14:paraId="4FED0BE0" w14:textId="0F091561" w:rsidR="00C5394B" w:rsidRPr="00007DBF" w:rsidRDefault="00C5394B" w:rsidP="0047660C">
      <w:pPr>
        <w:pStyle w:val="Heading2"/>
      </w:pPr>
      <w:bookmarkStart w:id="21" w:name="_Toc506796530"/>
      <w:bookmarkStart w:id="22" w:name="_Toc36114972"/>
      <w:bookmarkStart w:id="23" w:name="_Toc94527620"/>
      <w:r w:rsidRPr="00007DBF">
        <w:t>Purpose</w:t>
      </w:r>
      <w:bookmarkEnd w:id="21"/>
      <w:bookmarkEnd w:id="22"/>
      <w:bookmarkEnd w:id="23"/>
    </w:p>
    <w:p w14:paraId="4AE2D9AA" w14:textId="54CFC0DE" w:rsidR="002B41E1" w:rsidRDefault="00C5394B" w:rsidP="002B41E1">
      <w:r w:rsidRPr="00007DBF">
        <w:t xml:space="preserve">The purpose of the </w:t>
      </w:r>
      <w:r w:rsidR="00351725" w:rsidRPr="00007DBF">
        <w:rPr>
          <w:i/>
        </w:rPr>
        <w:t xml:space="preserve">Data Access and </w:t>
      </w:r>
      <w:r w:rsidRPr="00007DBF">
        <w:rPr>
          <w:i/>
        </w:rPr>
        <w:t>Release Policy</w:t>
      </w:r>
      <w:r w:rsidRPr="00007DBF">
        <w:t xml:space="preserve"> (th</w:t>
      </w:r>
      <w:r w:rsidR="002B41E1">
        <w:t>is</w:t>
      </w:r>
      <w:r w:rsidRPr="00007DBF">
        <w:t xml:space="preserve"> Policy) is to outline the principles and processes adopted by IHPA in the discretionary </w:t>
      </w:r>
      <w:r w:rsidR="00200232" w:rsidRPr="00007DBF">
        <w:t xml:space="preserve">access and </w:t>
      </w:r>
      <w:r w:rsidRPr="00007DBF">
        <w:t xml:space="preserve">release of </w:t>
      </w:r>
      <w:r w:rsidR="00200232" w:rsidRPr="00007DBF">
        <w:t>data</w:t>
      </w:r>
      <w:r w:rsidR="001079C9" w:rsidRPr="00007DBF">
        <w:t xml:space="preserve"> collected under the NHR Act</w:t>
      </w:r>
      <w:r w:rsidR="002B41E1">
        <w:t xml:space="preserve"> </w:t>
      </w:r>
      <w:r w:rsidR="002B41E1" w:rsidRPr="00007DBF">
        <w:t>and Addendum</w:t>
      </w:r>
      <w:r w:rsidR="002B41E1">
        <w:t xml:space="preserve"> by:</w:t>
      </w:r>
    </w:p>
    <w:p w14:paraId="1CE267FD" w14:textId="77777777" w:rsidR="002B41E1" w:rsidRPr="00007DBF" w:rsidRDefault="002B41E1" w:rsidP="00F870A0">
      <w:pPr>
        <w:pStyle w:val="ListParagraph"/>
        <w:numPr>
          <w:ilvl w:val="0"/>
          <w:numId w:val="55"/>
        </w:numPr>
        <w:rPr>
          <w:lang w:eastAsia="ja-JP"/>
        </w:rPr>
      </w:pPr>
      <w:r w:rsidRPr="00007DBF">
        <w:rPr>
          <w:lang w:eastAsia="ja-JP"/>
        </w:rPr>
        <w:t>using a consistent approach in releasing data</w:t>
      </w:r>
    </w:p>
    <w:p w14:paraId="34BC1C9E" w14:textId="77777777" w:rsidR="002B41E1" w:rsidRPr="00007DBF" w:rsidRDefault="002B41E1" w:rsidP="00F870A0">
      <w:pPr>
        <w:pStyle w:val="ListParagraph"/>
        <w:numPr>
          <w:ilvl w:val="0"/>
          <w:numId w:val="55"/>
        </w:numPr>
        <w:rPr>
          <w:lang w:eastAsia="ja-JP"/>
        </w:rPr>
      </w:pPr>
      <w:r w:rsidRPr="00007DBF">
        <w:rPr>
          <w:lang w:eastAsia="ja-JP"/>
        </w:rPr>
        <w:t>complying with the legislative requirements, in particular Part 4.14 of the NHR Act and the Australian Privacy Principles contained within the Privacy Act (where applicable)</w:t>
      </w:r>
    </w:p>
    <w:p w14:paraId="2FA2ACB8" w14:textId="6793D3C2" w:rsidR="002B41E1" w:rsidRPr="00007DBF" w:rsidRDefault="002B41E1" w:rsidP="00F870A0">
      <w:pPr>
        <w:pStyle w:val="ListParagraph"/>
        <w:numPr>
          <w:ilvl w:val="0"/>
          <w:numId w:val="55"/>
        </w:numPr>
        <w:rPr>
          <w:lang w:eastAsia="ja-JP"/>
        </w:rPr>
      </w:pPr>
      <w:r w:rsidRPr="00007DBF">
        <w:rPr>
          <w:lang w:eastAsia="ja-JP"/>
        </w:rPr>
        <w:t xml:space="preserve">assessing risks associated with the release of data </w:t>
      </w:r>
      <w:r>
        <w:rPr>
          <w:lang w:eastAsia="ja-JP"/>
        </w:rPr>
        <w:t>based on</w:t>
      </w:r>
      <w:r w:rsidRPr="00007DBF">
        <w:rPr>
          <w:lang w:eastAsia="ja-JP"/>
        </w:rPr>
        <w:t xml:space="preserve"> a set of principles.</w:t>
      </w:r>
    </w:p>
    <w:p w14:paraId="58273999" w14:textId="398F69A9" w:rsidR="00404ACF" w:rsidRDefault="00C5394B" w:rsidP="002A20CA">
      <w:r w:rsidRPr="00007DBF">
        <w:t xml:space="preserve">IHPA is committed to transparency and open access to </w:t>
      </w:r>
      <w:r w:rsidR="006021BE" w:rsidRPr="00007DBF">
        <w:t>data</w:t>
      </w:r>
      <w:r w:rsidRPr="00007DBF">
        <w:t xml:space="preserve">, consistent with the objectives of the </w:t>
      </w:r>
      <w:r w:rsidR="00B6552A" w:rsidRPr="00007DBF">
        <w:t xml:space="preserve">NHR Act, </w:t>
      </w:r>
      <w:r w:rsidRPr="00007DBF">
        <w:t>FOI Act</w:t>
      </w:r>
      <w:r w:rsidR="004F01D4" w:rsidRPr="00007DBF">
        <w:t>, Privacy Act</w:t>
      </w:r>
      <w:r w:rsidRPr="00007DBF">
        <w:t xml:space="preserve"> and IPS</w:t>
      </w:r>
      <w:r w:rsidR="008637A2" w:rsidRPr="00007DBF">
        <w:t>.</w:t>
      </w:r>
      <w:r w:rsidRPr="00007DBF">
        <w:t xml:space="preserve"> </w:t>
      </w:r>
      <w:r w:rsidR="008637A2" w:rsidRPr="00007DBF">
        <w:t xml:space="preserve">However, this is </w:t>
      </w:r>
      <w:r w:rsidR="00B6552A" w:rsidRPr="00007DBF">
        <w:t xml:space="preserve">subject to </w:t>
      </w:r>
      <w:r w:rsidRPr="00007DBF">
        <w:t>IHPA’s obligation to respect and maintain confidential, commercially valuable and personal information.</w:t>
      </w:r>
    </w:p>
    <w:p w14:paraId="30404078" w14:textId="16609180" w:rsidR="002B41E1" w:rsidRPr="00007DBF" w:rsidRDefault="002B41E1" w:rsidP="002B41E1">
      <w:r w:rsidRPr="00007DBF">
        <w:t>Th</w:t>
      </w:r>
      <w:r w:rsidR="00431793">
        <w:t>is</w:t>
      </w:r>
      <w:r w:rsidRPr="00007DBF">
        <w:t xml:space="preserve"> Policy provides guidance as to how IHPA will determine whether to release data. Th</w:t>
      </w:r>
      <w:r>
        <w:t>is</w:t>
      </w:r>
      <w:r w:rsidRPr="00007DBF">
        <w:t xml:space="preserve"> Policy does not </w:t>
      </w:r>
      <w:r>
        <w:t>address</w:t>
      </w:r>
      <w:r w:rsidRPr="00007DBF">
        <w:t xml:space="preserve"> data requests where IHPA is required by law to release data, though it refers to the circumstances where disclosures may occur and relevant IHPA procedures.</w:t>
      </w:r>
    </w:p>
    <w:p w14:paraId="405C7EC1" w14:textId="56FD80E9" w:rsidR="00C5394B" w:rsidRPr="00007DBF" w:rsidRDefault="00C5394B" w:rsidP="001625F6">
      <w:pPr>
        <w:pStyle w:val="Heading2"/>
      </w:pPr>
      <w:bookmarkStart w:id="24" w:name="_Toc94525293"/>
      <w:bookmarkStart w:id="25" w:name="_Toc94527621"/>
      <w:bookmarkStart w:id="26" w:name="_Toc94525294"/>
      <w:bookmarkStart w:id="27" w:name="_Toc94527622"/>
      <w:bookmarkStart w:id="28" w:name="_Toc94525295"/>
      <w:bookmarkStart w:id="29" w:name="_Toc94527623"/>
      <w:bookmarkStart w:id="30" w:name="_Toc94525296"/>
      <w:bookmarkStart w:id="31" w:name="_Toc94527624"/>
      <w:bookmarkStart w:id="32" w:name="_Toc94525297"/>
      <w:bookmarkStart w:id="33" w:name="_Toc94527625"/>
      <w:bookmarkStart w:id="34" w:name="_Toc444708"/>
      <w:bookmarkStart w:id="35" w:name="_Toc944304"/>
      <w:bookmarkStart w:id="36" w:name="_Toc1985115"/>
      <w:bookmarkStart w:id="37" w:name="_Toc7531606"/>
      <w:bookmarkStart w:id="38" w:name="_Toc8998942"/>
      <w:bookmarkStart w:id="39" w:name="_Toc13143390"/>
      <w:bookmarkStart w:id="40" w:name="_Toc444709"/>
      <w:bookmarkStart w:id="41" w:name="_Toc944305"/>
      <w:bookmarkStart w:id="42" w:name="_Toc1985116"/>
      <w:bookmarkStart w:id="43" w:name="_Toc7531607"/>
      <w:bookmarkStart w:id="44" w:name="_Toc8998943"/>
      <w:bookmarkStart w:id="45" w:name="_Toc13143391"/>
      <w:bookmarkStart w:id="46" w:name="_Toc444710"/>
      <w:bookmarkStart w:id="47" w:name="_Toc944306"/>
      <w:bookmarkStart w:id="48" w:name="_Toc1985117"/>
      <w:bookmarkStart w:id="49" w:name="_Toc7531608"/>
      <w:bookmarkStart w:id="50" w:name="_Toc8998944"/>
      <w:bookmarkStart w:id="51" w:name="_Toc13143392"/>
      <w:bookmarkStart w:id="52" w:name="_Toc94518812"/>
      <w:bookmarkStart w:id="53" w:name="_Toc94525298"/>
      <w:bookmarkStart w:id="54" w:name="_Toc94527626"/>
      <w:bookmarkStart w:id="55" w:name="_Toc94518813"/>
      <w:bookmarkStart w:id="56" w:name="_Toc94525299"/>
      <w:bookmarkStart w:id="57" w:name="_Toc94527627"/>
      <w:bookmarkStart w:id="58" w:name="_Toc94518814"/>
      <w:bookmarkStart w:id="59" w:name="_Toc94525300"/>
      <w:bookmarkStart w:id="60" w:name="_Toc94527628"/>
      <w:bookmarkStart w:id="61" w:name="_Toc94518815"/>
      <w:bookmarkStart w:id="62" w:name="_Toc94525301"/>
      <w:bookmarkStart w:id="63" w:name="_Toc94527629"/>
      <w:bookmarkStart w:id="64" w:name="_Toc506796533"/>
      <w:bookmarkStart w:id="65" w:name="_Toc36114975"/>
      <w:bookmarkStart w:id="66" w:name="_Toc9452763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007DBF">
        <w:t>Review</w:t>
      </w:r>
      <w:bookmarkEnd w:id="64"/>
      <w:bookmarkEnd w:id="65"/>
      <w:bookmarkEnd w:id="66"/>
    </w:p>
    <w:p w14:paraId="59067719" w14:textId="3543CC59" w:rsidR="002B41E1" w:rsidRDefault="002B41E1" w:rsidP="002B41E1">
      <w:r>
        <w:t xml:space="preserve">The Pricing Authority and Chief Executive Officer </w:t>
      </w:r>
      <w:r w:rsidR="009A7D09">
        <w:t xml:space="preserve">(CEO) </w:t>
      </w:r>
      <w:r>
        <w:t>of IHPA will review this Policy, including associated documentation, annually or as required.</w:t>
      </w:r>
    </w:p>
    <w:p w14:paraId="2901D6FB" w14:textId="7B423843" w:rsidR="00595081" w:rsidRDefault="00471CCC" w:rsidP="00883841">
      <w:r w:rsidRPr="00007DBF">
        <w:t>Th</w:t>
      </w:r>
      <w:r w:rsidR="002B41E1">
        <w:t>is</w:t>
      </w:r>
      <w:r w:rsidRPr="00007DBF">
        <w:t xml:space="preserve"> Policy was last reviewed in </w:t>
      </w:r>
      <w:r w:rsidR="00F12E89">
        <w:t xml:space="preserve">May </w:t>
      </w:r>
      <w:r w:rsidR="00F03734">
        <w:t>2022</w:t>
      </w:r>
      <w:r w:rsidRPr="00007DBF">
        <w:t>.</w:t>
      </w:r>
    </w:p>
    <w:p w14:paraId="62E2CD95" w14:textId="77777777" w:rsidR="00595081" w:rsidRDefault="00595081">
      <w:pPr>
        <w:spacing w:before="0" w:after="0" w:line="240" w:lineRule="auto"/>
      </w:pPr>
      <w:r>
        <w:br w:type="page"/>
      </w:r>
    </w:p>
    <w:p w14:paraId="46A11AA6" w14:textId="3C3CD2B5" w:rsidR="00B61150" w:rsidRPr="00007DBF" w:rsidRDefault="00B61150" w:rsidP="00834ADB">
      <w:pPr>
        <w:pStyle w:val="Heading1"/>
      </w:pPr>
      <w:bookmarkStart w:id="67" w:name="_Toc444714"/>
      <w:bookmarkStart w:id="68" w:name="_Toc944310"/>
      <w:bookmarkStart w:id="69" w:name="_Toc1985121"/>
      <w:bookmarkStart w:id="70" w:name="_Toc7531612"/>
      <w:bookmarkStart w:id="71" w:name="_Toc8998948"/>
      <w:bookmarkStart w:id="72" w:name="_Toc13143396"/>
      <w:bookmarkStart w:id="73" w:name="_Toc506796534"/>
      <w:bookmarkStart w:id="74" w:name="_Toc36114976"/>
      <w:bookmarkStart w:id="75" w:name="_Toc94527635"/>
      <w:bookmarkEnd w:id="67"/>
      <w:bookmarkEnd w:id="68"/>
      <w:bookmarkEnd w:id="69"/>
      <w:bookmarkEnd w:id="70"/>
      <w:bookmarkEnd w:id="71"/>
      <w:bookmarkEnd w:id="72"/>
      <w:r w:rsidRPr="00007DBF">
        <w:lastRenderedPageBreak/>
        <w:t xml:space="preserve">Types of </w:t>
      </w:r>
      <w:r w:rsidR="00344C25" w:rsidRPr="00007DBF">
        <w:t xml:space="preserve">data </w:t>
      </w:r>
      <w:r w:rsidRPr="00007DBF">
        <w:t>release</w:t>
      </w:r>
      <w:bookmarkEnd w:id="73"/>
      <w:bookmarkEnd w:id="74"/>
      <w:bookmarkEnd w:id="75"/>
    </w:p>
    <w:p w14:paraId="185FC21E" w14:textId="51DEEE65" w:rsidR="001D6763" w:rsidRPr="00007DBF" w:rsidRDefault="001D6763" w:rsidP="001D6763">
      <w:pPr>
        <w:rPr>
          <w:i/>
        </w:rPr>
      </w:pPr>
      <w:r w:rsidRPr="00007DBF">
        <w:t xml:space="preserve">This Policy is concerned with </w:t>
      </w:r>
      <w:r>
        <w:t xml:space="preserve">the </w:t>
      </w:r>
      <w:r w:rsidRPr="00007DBF">
        <w:t xml:space="preserve">release of data to researchers and to certain specified bodies, agencies or persons only. As outlined in section 214 of the NHR Act, IHPA may disclose protected Pricing Authority information for purposes relating to the performance of its functions. This would typically occur where IHPA engages a contractor or consultant. Management of information releases to contractors or consultants providing services in performance of IHPA’s functions is </w:t>
      </w:r>
      <w:r w:rsidR="009A7D09">
        <w:t>outlined</w:t>
      </w:r>
      <w:r w:rsidRPr="00007DBF">
        <w:t xml:space="preserve"> in the </w:t>
      </w:r>
      <w:r w:rsidRPr="00007DBF">
        <w:rPr>
          <w:i/>
        </w:rPr>
        <w:t>Consultant Access to IHPA Protected Data Rules</w:t>
      </w:r>
      <w:r w:rsidRPr="00007DBF">
        <w:t>.</w:t>
      </w:r>
    </w:p>
    <w:p w14:paraId="2D882660" w14:textId="05B01862" w:rsidR="00B61150" w:rsidRPr="00007DBF" w:rsidRDefault="00E22EEE" w:rsidP="00B61150">
      <w:r w:rsidRPr="00007DBF">
        <w:rPr>
          <w:rStyle w:val="Hyperlink"/>
          <w:u w:val="none"/>
        </w:rPr>
        <w:t xml:space="preserve">An overview of the </w:t>
      </w:r>
      <w:r w:rsidR="00573736" w:rsidRPr="00007DBF">
        <w:rPr>
          <w:rStyle w:val="Hyperlink"/>
          <w:u w:val="none"/>
        </w:rPr>
        <w:t xml:space="preserve">types of </w:t>
      </w:r>
      <w:r w:rsidR="00EE0C3B" w:rsidRPr="00007DBF">
        <w:rPr>
          <w:rStyle w:val="Hyperlink"/>
          <w:u w:val="none"/>
        </w:rPr>
        <w:t>data</w:t>
      </w:r>
      <w:r w:rsidR="00573736" w:rsidRPr="00007DBF">
        <w:rPr>
          <w:rStyle w:val="Hyperlink"/>
          <w:u w:val="none"/>
        </w:rPr>
        <w:t xml:space="preserve"> held by IHPA </w:t>
      </w:r>
      <w:r w:rsidR="009A7D09">
        <w:rPr>
          <w:rStyle w:val="Hyperlink"/>
          <w:u w:val="none"/>
        </w:rPr>
        <w:t>is provided at</w:t>
      </w:r>
      <w:r w:rsidR="0031053A" w:rsidRPr="00614A8C">
        <w:rPr>
          <w:rStyle w:val="Hyperlink"/>
          <w:u w:val="none"/>
        </w:rPr>
        <w:t xml:space="preserve"> </w:t>
      </w:r>
      <w:r w:rsidR="00886012" w:rsidRPr="00614A8C">
        <w:rPr>
          <w:rStyle w:val="Hyperlink"/>
          <w:b/>
          <w:bCs/>
          <w:u w:val="none"/>
        </w:rPr>
        <w:t>Appendix</w:t>
      </w:r>
      <w:r w:rsidR="00B61150" w:rsidRPr="00614A8C">
        <w:rPr>
          <w:rStyle w:val="Hyperlink"/>
          <w:b/>
          <w:bCs/>
          <w:u w:val="none"/>
        </w:rPr>
        <w:t xml:space="preserve"> </w:t>
      </w:r>
      <w:r w:rsidR="001B39BF" w:rsidRPr="00614A8C">
        <w:rPr>
          <w:rStyle w:val="Hyperlink"/>
          <w:b/>
          <w:bCs/>
          <w:u w:val="none"/>
        </w:rPr>
        <w:t>A</w:t>
      </w:r>
      <w:r w:rsidR="0031053A" w:rsidRPr="001C42E1">
        <w:rPr>
          <w:rStyle w:val="Hyperlink"/>
          <w:u w:val="none"/>
        </w:rPr>
        <w:t>.</w:t>
      </w:r>
      <w:r w:rsidR="00B61150" w:rsidRPr="00007DBF">
        <w:t xml:space="preserve"> </w:t>
      </w:r>
    </w:p>
    <w:p w14:paraId="5B350312" w14:textId="4FA40C04" w:rsidR="00B61150" w:rsidRPr="00007DBF" w:rsidRDefault="00B61150" w:rsidP="00B61150">
      <w:r w:rsidRPr="00007DBF">
        <w:t>A significant amount of information held by IHPA</w:t>
      </w:r>
      <w:r w:rsidR="00CC0D78" w:rsidRPr="00007DBF">
        <w:t xml:space="preserve">, including information </w:t>
      </w:r>
      <w:r w:rsidRPr="00007DBF">
        <w:t>regarding its functions</w:t>
      </w:r>
      <w:r w:rsidR="009A7D09">
        <w:t>,</w:t>
      </w:r>
      <w:r w:rsidRPr="00007DBF">
        <w:t xml:space="preserve"> is already available to the public or is regularly released either voluntarily or due to public reporting obligations. </w:t>
      </w:r>
      <w:r w:rsidR="00886012" w:rsidRPr="00614A8C">
        <w:rPr>
          <w:rStyle w:val="Hyperlink"/>
          <w:b/>
          <w:bCs/>
          <w:u w:val="none"/>
        </w:rPr>
        <w:t>Appendix</w:t>
      </w:r>
      <w:r w:rsidRPr="00614A8C">
        <w:rPr>
          <w:rStyle w:val="Hyperlink"/>
          <w:b/>
          <w:bCs/>
          <w:u w:val="none"/>
        </w:rPr>
        <w:t xml:space="preserve"> </w:t>
      </w:r>
      <w:r w:rsidR="001B39BF" w:rsidRPr="00614A8C">
        <w:rPr>
          <w:rStyle w:val="Hyperlink"/>
          <w:b/>
          <w:bCs/>
          <w:u w:val="none"/>
        </w:rPr>
        <w:t>B</w:t>
      </w:r>
      <w:r w:rsidRPr="00007DBF">
        <w:t xml:space="preserve"> </w:t>
      </w:r>
      <w:r w:rsidR="001D6763">
        <w:t>includes a list of</w:t>
      </w:r>
      <w:r w:rsidR="001D6763" w:rsidRPr="00007DBF">
        <w:t xml:space="preserve"> </w:t>
      </w:r>
      <w:r w:rsidRPr="00007DBF">
        <w:t>IHPA publications and publicly available information</w:t>
      </w:r>
      <w:r w:rsidR="00A479CC" w:rsidRPr="00007DBF">
        <w:t>, as required by law</w:t>
      </w:r>
      <w:r w:rsidRPr="00007DBF">
        <w:t>.</w:t>
      </w:r>
    </w:p>
    <w:p w14:paraId="1BC3AD59" w14:textId="77777777" w:rsidR="00CF3F95" w:rsidRPr="00007DBF" w:rsidRDefault="00B61150" w:rsidP="00B61150">
      <w:r w:rsidRPr="00007DBF">
        <w:t xml:space="preserve">The release of </w:t>
      </w:r>
      <w:r w:rsidR="0090341F" w:rsidRPr="00007DBF">
        <w:t>data</w:t>
      </w:r>
      <w:r w:rsidRPr="00007DBF">
        <w:t xml:space="preserve"> by IHPA is subject to other IHPA policies and processes such as the </w:t>
      </w:r>
      <w:r w:rsidR="00CC0D78" w:rsidRPr="00007DBF">
        <w:t xml:space="preserve">IHPA </w:t>
      </w:r>
      <w:r w:rsidRPr="00007DBF">
        <w:rPr>
          <w:i/>
        </w:rPr>
        <w:t>Freedom of Information Policy</w:t>
      </w:r>
      <w:r w:rsidR="00A13C27" w:rsidRPr="00007DBF">
        <w:rPr>
          <w:i/>
        </w:rPr>
        <w:t>.</w:t>
      </w:r>
    </w:p>
    <w:p w14:paraId="2702747E" w14:textId="2D71AEDA" w:rsidR="00B61150" w:rsidRPr="00007DBF" w:rsidRDefault="00B61150" w:rsidP="0047660C">
      <w:pPr>
        <w:pStyle w:val="Heading2"/>
      </w:pPr>
      <w:bookmarkStart w:id="76" w:name="_Toc506796535"/>
      <w:bookmarkStart w:id="77" w:name="_Toc36114977"/>
      <w:bookmarkStart w:id="78" w:name="_Toc94527637"/>
      <w:r w:rsidRPr="00007DBF">
        <w:t xml:space="preserve">Release of </w:t>
      </w:r>
      <w:r w:rsidR="00344C25" w:rsidRPr="00007DBF">
        <w:t xml:space="preserve">data </w:t>
      </w:r>
      <w:r w:rsidRPr="00007DBF">
        <w:t>to different parties</w:t>
      </w:r>
      <w:bookmarkEnd w:id="76"/>
      <w:bookmarkEnd w:id="77"/>
      <w:bookmarkEnd w:id="78"/>
    </w:p>
    <w:p w14:paraId="243BDF77" w14:textId="18B442E5" w:rsidR="00E64DBC" w:rsidRPr="00007DBF" w:rsidRDefault="00E64DBC" w:rsidP="002A20CA">
      <w:r w:rsidRPr="00007DBF">
        <w:rPr>
          <w:lang w:eastAsia="zh-CN"/>
        </w:rPr>
        <w:t>The FOI Act</w:t>
      </w:r>
      <w:r w:rsidR="005C154F" w:rsidRPr="00007DBF">
        <w:rPr>
          <w:lang w:eastAsia="zh-CN"/>
        </w:rPr>
        <w:t>, the Australian Privacy Principles contained within the Privacy Act,</w:t>
      </w:r>
      <w:r w:rsidRPr="00007DBF">
        <w:rPr>
          <w:lang w:eastAsia="zh-CN"/>
        </w:rPr>
        <w:t xml:space="preserve"> and the IPS provide a legislative framework for disclosure of government information to the public. For information on </w:t>
      </w:r>
      <w:r w:rsidR="009A7D09">
        <w:rPr>
          <w:lang w:eastAsia="zh-CN"/>
        </w:rPr>
        <w:t>the</w:t>
      </w:r>
      <w:r w:rsidR="009A7D09" w:rsidRPr="00007DBF">
        <w:rPr>
          <w:lang w:eastAsia="zh-CN"/>
        </w:rPr>
        <w:t xml:space="preserve"> </w:t>
      </w:r>
      <w:r w:rsidRPr="00007DBF">
        <w:rPr>
          <w:lang w:eastAsia="zh-CN"/>
        </w:rPr>
        <w:t>requirements</w:t>
      </w:r>
      <w:r w:rsidR="009A7D09">
        <w:rPr>
          <w:lang w:eastAsia="zh-CN"/>
        </w:rPr>
        <w:t xml:space="preserve"> placed</w:t>
      </w:r>
      <w:r w:rsidR="00C53923" w:rsidRPr="00007DBF">
        <w:rPr>
          <w:lang w:eastAsia="zh-CN"/>
        </w:rPr>
        <w:t xml:space="preserve"> on</w:t>
      </w:r>
      <w:r w:rsidRPr="00007DBF">
        <w:rPr>
          <w:lang w:eastAsia="zh-CN"/>
        </w:rPr>
        <w:t xml:space="preserve"> agencies</w:t>
      </w:r>
      <w:r w:rsidR="009A7D09">
        <w:rPr>
          <w:lang w:eastAsia="zh-CN"/>
        </w:rPr>
        <w:t xml:space="preserve"> such as IHPA</w:t>
      </w:r>
      <w:r w:rsidRPr="00007DBF">
        <w:rPr>
          <w:lang w:eastAsia="zh-CN"/>
        </w:rPr>
        <w:t xml:space="preserve"> covered by the FOI Act, refer to the IPS.</w:t>
      </w:r>
    </w:p>
    <w:p w14:paraId="27F89BF8" w14:textId="5C8171AB" w:rsidR="00B61150" w:rsidRPr="00007DBF" w:rsidRDefault="00B61150" w:rsidP="00883841">
      <w:pPr>
        <w:pStyle w:val="Heading2"/>
      </w:pPr>
      <w:bookmarkStart w:id="79" w:name="_Toc444717"/>
      <w:bookmarkStart w:id="80" w:name="_Toc944313"/>
      <w:bookmarkStart w:id="81" w:name="_Toc1985124"/>
      <w:bookmarkStart w:id="82" w:name="_Toc444718"/>
      <w:bookmarkStart w:id="83" w:name="_Toc944314"/>
      <w:bookmarkStart w:id="84" w:name="_Toc1985125"/>
      <w:bookmarkStart w:id="85" w:name="_Toc444719"/>
      <w:bookmarkStart w:id="86" w:name="_Toc944315"/>
      <w:bookmarkStart w:id="87" w:name="_Toc1985126"/>
      <w:bookmarkStart w:id="88" w:name="_Toc444720"/>
      <w:bookmarkStart w:id="89" w:name="_Toc944316"/>
      <w:bookmarkStart w:id="90" w:name="_Toc1985127"/>
      <w:bookmarkStart w:id="91" w:name="_Toc444721"/>
      <w:bookmarkStart w:id="92" w:name="_Toc944317"/>
      <w:bookmarkStart w:id="93" w:name="_Toc1985128"/>
      <w:bookmarkStart w:id="94" w:name="_Toc444722"/>
      <w:bookmarkStart w:id="95" w:name="_Toc944318"/>
      <w:bookmarkStart w:id="96" w:name="_Toc1985129"/>
      <w:bookmarkStart w:id="97" w:name="_Toc444723"/>
      <w:bookmarkStart w:id="98" w:name="_Toc944319"/>
      <w:bookmarkStart w:id="99" w:name="_Toc1985130"/>
      <w:bookmarkStart w:id="100" w:name="_Toc444724"/>
      <w:bookmarkStart w:id="101" w:name="_Toc944320"/>
      <w:bookmarkStart w:id="102" w:name="_Toc1985131"/>
      <w:bookmarkStart w:id="103" w:name="_Toc444725"/>
      <w:bookmarkStart w:id="104" w:name="_Toc944321"/>
      <w:bookmarkStart w:id="105" w:name="_Toc1985132"/>
      <w:bookmarkStart w:id="106" w:name="_Toc444726"/>
      <w:bookmarkStart w:id="107" w:name="_Toc944322"/>
      <w:bookmarkStart w:id="108" w:name="_Toc1985133"/>
      <w:bookmarkStart w:id="109" w:name="_Toc444727"/>
      <w:bookmarkStart w:id="110" w:name="_Toc944323"/>
      <w:bookmarkStart w:id="111" w:name="_Toc1985134"/>
      <w:bookmarkStart w:id="112" w:name="_Toc444728"/>
      <w:bookmarkStart w:id="113" w:name="_Toc944324"/>
      <w:bookmarkStart w:id="114" w:name="_Toc1985135"/>
      <w:bookmarkStart w:id="115" w:name="_Toc444729"/>
      <w:bookmarkStart w:id="116" w:name="_Toc944325"/>
      <w:bookmarkStart w:id="117" w:name="_Toc1985136"/>
      <w:bookmarkStart w:id="118" w:name="_Toc506796537"/>
      <w:bookmarkStart w:id="119" w:name="_Toc36114978"/>
      <w:bookmarkStart w:id="120" w:name="_Toc9452763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07DBF">
        <w:t xml:space="preserve">Release of </w:t>
      </w:r>
      <w:r w:rsidR="00344C25" w:rsidRPr="00007DBF">
        <w:t xml:space="preserve">data </w:t>
      </w:r>
      <w:r w:rsidRPr="00007DBF">
        <w:t>to conduct research</w:t>
      </w:r>
      <w:bookmarkEnd w:id="118"/>
      <w:bookmarkEnd w:id="119"/>
      <w:bookmarkEnd w:id="120"/>
    </w:p>
    <w:p w14:paraId="0784345E" w14:textId="4600026F" w:rsidR="00B61150" w:rsidRPr="00007DBF" w:rsidRDefault="001D6763" w:rsidP="00590A6E">
      <w:r>
        <w:t>S</w:t>
      </w:r>
      <w:r w:rsidR="00D97A34" w:rsidRPr="00007DBF">
        <w:t xml:space="preserve">ection </w:t>
      </w:r>
      <w:r w:rsidR="00B61150" w:rsidRPr="00007DBF">
        <w:t xml:space="preserve">221 of the </w:t>
      </w:r>
      <w:r w:rsidR="00590A6E" w:rsidRPr="00007DBF">
        <w:t xml:space="preserve">NHR </w:t>
      </w:r>
      <w:r w:rsidR="00B61150" w:rsidRPr="00007DBF">
        <w:t>Act states that</w:t>
      </w:r>
      <w:r w:rsidR="00BA3EF9" w:rsidRPr="00007DBF">
        <w:t xml:space="preserve"> protected Pricing Authority </w:t>
      </w:r>
      <w:r>
        <w:t>information</w:t>
      </w:r>
      <w:r w:rsidRPr="00007DBF">
        <w:t xml:space="preserve"> </w:t>
      </w:r>
      <w:r w:rsidR="00BA3EF9" w:rsidRPr="00007DBF">
        <w:t xml:space="preserve">may be released to an agency, body or person if the Chair of the Pricing Authority is satisfied that this </w:t>
      </w:r>
      <w:r>
        <w:t>information</w:t>
      </w:r>
      <w:r w:rsidRPr="00007DBF">
        <w:t xml:space="preserve"> </w:t>
      </w:r>
      <w:r w:rsidR="00BA3EF9" w:rsidRPr="00007DBF">
        <w:t xml:space="preserve">will assist an agency, body or person to conduct research. </w:t>
      </w:r>
      <w:r w:rsidR="00FE3643" w:rsidRPr="00007DBF">
        <w:t xml:space="preserve">The Chair of the Pricing Authority may delegate this power to the CEO of IHPA under </w:t>
      </w:r>
      <w:r w:rsidR="006E77A2" w:rsidRPr="00007DBF">
        <w:t>section 221(2) of the NHR Act</w:t>
      </w:r>
      <w:r w:rsidR="00B61150" w:rsidRPr="00007DBF">
        <w:t>.</w:t>
      </w:r>
      <w:r w:rsidR="00590A6E" w:rsidRPr="00007DBF">
        <w:t xml:space="preserve"> </w:t>
      </w:r>
    </w:p>
    <w:p w14:paraId="75D9A142" w14:textId="55CB6751" w:rsidR="00B61150" w:rsidRDefault="00082E0E" w:rsidP="00B61150">
      <w:r w:rsidRPr="00007DBF">
        <w:t xml:space="preserve">In line with the National Health Information Agreement, IHPA understands a researcher to be a person or organisation that can demonstrate they are undertaking research to improve Australian health policy. </w:t>
      </w:r>
      <w:r w:rsidR="00902744" w:rsidRPr="00007DBF">
        <w:t xml:space="preserve">The Chair of the Pricing Authority </w:t>
      </w:r>
      <w:r w:rsidR="00FE3643" w:rsidRPr="00007DBF">
        <w:t xml:space="preserve">or CEO of IHPA </w:t>
      </w:r>
      <w:r w:rsidR="00902744" w:rsidRPr="00007DBF">
        <w:t xml:space="preserve">will also </w:t>
      </w:r>
      <w:r w:rsidR="00B61150" w:rsidRPr="00007DBF">
        <w:t>adhere to the</w:t>
      </w:r>
      <w:r w:rsidR="009A7D09">
        <w:t xml:space="preserve"> principles</w:t>
      </w:r>
      <w:r w:rsidR="00B61150" w:rsidRPr="00007DBF">
        <w:t xml:space="preserve"> detailed in Chapter 3</w:t>
      </w:r>
      <w:r w:rsidR="00281B4B" w:rsidRPr="00007DBF">
        <w:t xml:space="preserve"> of th</w:t>
      </w:r>
      <w:r w:rsidR="001D6763">
        <w:t>is</w:t>
      </w:r>
      <w:r w:rsidR="00281B4B" w:rsidRPr="00007DBF">
        <w:t xml:space="preserve"> Policy</w:t>
      </w:r>
      <w:r w:rsidR="00902744" w:rsidRPr="00007DBF">
        <w:t xml:space="preserve"> to determine if a </w:t>
      </w:r>
      <w:r w:rsidR="009A7D09">
        <w:t xml:space="preserve">data </w:t>
      </w:r>
      <w:r w:rsidR="00902744" w:rsidRPr="00007DBF">
        <w:t>release is fit for research purposes.</w:t>
      </w:r>
      <w:r w:rsidR="00B61150" w:rsidRPr="00007DBF">
        <w:t xml:space="preserve"> </w:t>
      </w:r>
    </w:p>
    <w:p w14:paraId="279F4934" w14:textId="4A77494A" w:rsidR="001D6763" w:rsidRDefault="001D6763" w:rsidP="00B61150">
      <w:r>
        <w:t xml:space="preserve">IHPA will not release data to third parties if: </w:t>
      </w:r>
    </w:p>
    <w:p w14:paraId="3718BC2D" w14:textId="0341F19E" w:rsidR="001D6763" w:rsidRDefault="001D6763" w:rsidP="00F870A0">
      <w:pPr>
        <w:pStyle w:val="ListParagraph"/>
        <w:numPr>
          <w:ilvl w:val="0"/>
          <w:numId w:val="61"/>
        </w:numPr>
      </w:pPr>
      <w:r>
        <w:t xml:space="preserve">it may </w:t>
      </w:r>
      <w:r w:rsidR="00AE6459">
        <w:t>risk</w:t>
      </w:r>
      <w:r>
        <w:t xml:space="preserve"> patient confidentiality</w:t>
      </w:r>
    </w:p>
    <w:p w14:paraId="01FE2E13" w14:textId="6D0C3961" w:rsidR="00AE6459" w:rsidRDefault="00AE6459" w:rsidP="00F870A0">
      <w:pPr>
        <w:pStyle w:val="ListParagraph"/>
        <w:numPr>
          <w:ilvl w:val="0"/>
          <w:numId w:val="61"/>
        </w:numPr>
      </w:pPr>
      <w:r w:rsidRPr="00007DBF">
        <w:t>the data is commercial-in-confidence</w:t>
      </w:r>
      <w:r>
        <w:t xml:space="preserve">; or </w:t>
      </w:r>
    </w:p>
    <w:p w14:paraId="09023621" w14:textId="51028BE1" w:rsidR="00AE6459" w:rsidRDefault="00AE6459" w:rsidP="00F870A0">
      <w:pPr>
        <w:pStyle w:val="ListParagraph"/>
        <w:numPr>
          <w:ilvl w:val="0"/>
          <w:numId w:val="61"/>
        </w:numPr>
      </w:pPr>
      <w:r w:rsidRPr="00007DBF">
        <w:t>the data may lead to</w:t>
      </w:r>
      <w:r w:rsidR="007117D0">
        <w:t xml:space="preserve"> concerns of</w:t>
      </w:r>
      <w:r w:rsidRPr="00007DBF">
        <w:t xml:space="preserve"> health care professional confidentiality</w:t>
      </w:r>
      <w:r>
        <w:t xml:space="preserve">. </w:t>
      </w:r>
    </w:p>
    <w:p w14:paraId="69BD0AA8" w14:textId="56F345F1" w:rsidR="002F721F" w:rsidRDefault="002F721F" w:rsidP="0049336A">
      <w:r>
        <w:t>IHPA will consider data release requests from researchers located outside of Australia on a case-by-case basis.</w:t>
      </w:r>
    </w:p>
    <w:p w14:paraId="29EABF9E" w14:textId="7E7742C5" w:rsidR="00B61150" w:rsidRPr="00007DBF" w:rsidRDefault="00B61150" w:rsidP="003F3F03">
      <w:pPr>
        <w:pStyle w:val="Heading2"/>
      </w:pPr>
      <w:bookmarkStart w:id="121" w:name="_Toc94518825"/>
      <w:bookmarkStart w:id="122" w:name="_Toc94525311"/>
      <w:bookmarkStart w:id="123" w:name="_Toc94527639"/>
      <w:bookmarkStart w:id="124" w:name="_Toc506796538"/>
      <w:bookmarkStart w:id="125" w:name="_Toc36114979"/>
      <w:bookmarkStart w:id="126" w:name="_Toc94527640"/>
      <w:bookmarkEnd w:id="121"/>
      <w:bookmarkEnd w:id="122"/>
      <w:bookmarkEnd w:id="123"/>
      <w:r w:rsidRPr="00007DBF">
        <w:lastRenderedPageBreak/>
        <w:t xml:space="preserve">Release of </w:t>
      </w:r>
      <w:r w:rsidR="00F27297" w:rsidRPr="00007DBF">
        <w:t xml:space="preserve">data </w:t>
      </w:r>
      <w:r w:rsidRPr="00007DBF">
        <w:t>to certain bodies, agencies or persons</w:t>
      </w:r>
      <w:bookmarkEnd w:id="124"/>
      <w:bookmarkEnd w:id="125"/>
      <w:bookmarkEnd w:id="126"/>
    </w:p>
    <w:p w14:paraId="2DC5CE24" w14:textId="7A6B4080" w:rsidR="00B61150" w:rsidRPr="00007DBF" w:rsidRDefault="00BA441B" w:rsidP="00614A8C">
      <w:pPr>
        <w:keepNext/>
        <w:keepLines/>
      </w:pPr>
      <w:r w:rsidRPr="00007DBF">
        <w:t xml:space="preserve">Sections 218 and 220 of the </w:t>
      </w:r>
      <w:r w:rsidR="00B61150" w:rsidRPr="00007DBF">
        <w:t>NHR</w:t>
      </w:r>
      <w:r w:rsidRPr="00007DBF">
        <w:t xml:space="preserve"> </w:t>
      </w:r>
      <w:r w:rsidR="00B61150" w:rsidRPr="00007DBF">
        <w:t>A</w:t>
      </w:r>
      <w:r w:rsidRPr="00007DBF">
        <w:t>ct</w:t>
      </w:r>
      <w:r w:rsidR="00B61150" w:rsidRPr="00007DBF">
        <w:t xml:space="preserve"> </w:t>
      </w:r>
      <w:r w:rsidR="006654CF" w:rsidRPr="00007DBF">
        <w:t xml:space="preserve">and clause </w:t>
      </w:r>
      <w:r w:rsidR="00CB2C53" w:rsidRPr="00007DBF">
        <w:t xml:space="preserve">B77 </w:t>
      </w:r>
      <w:r w:rsidR="006654CF" w:rsidRPr="00007DBF">
        <w:t xml:space="preserve">of the </w:t>
      </w:r>
      <w:r w:rsidR="00CB2C53" w:rsidRPr="00007DBF">
        <w:t xml:space="preserve">Addendum </w:t>
      </w:r>
      <w:r w:rsidR="00B61150" w:rsidRPr="00007DBF">
        <w:t xml:space="preserve">set out principles under which data collected by IHPA may be shared with other </w:t>
      </w:r>
      <w:r w:rsidR="00CB2C53" w:rsidRPr="00007DBF">
        <w:t xml:space="preserve">National Health Reform Agreement </w:t>
      </w:r>
      <w:r w:rsidR="00B61150" w:rsidRPr="00007DBF">
        <w:t>agencies and other Commonwealth and state and territory government departments and agencies.</w:t>
      </w:r>
    </w:p>
    <w:p w14:paraId="18820855" w14:textId="01D8A353" w:rsidR="00412819" w:rsidRPr="00007DBF" w:rsidRDefault="00412819" w:rsidP="005B25EB">
      <w:r w:rsidRPr="00007DBF">
        <w:t xml:space="preserve">Under </w:t>
      </w:r>
      <w:r w:rsidR="00D97A34" w:rsidRPr="00007DBF">
        <w:t>s</w:t>
      </w:r>
      <w:r w:rsidRPr="00007DBF">
        <w:t>ection 220 of the NHR Act</w:t>
      </w:r>
      <w:r w:rsidR="0017362E" w:rsidRPr="00007DBF">
        <w:t>,</w:t>
      </w:r>
      <w:r w:rsidRPr="00007DBF">
        <w:t xml:space="preserve"> data can be released </w:t>
      </w:r>
      <w:r w:rsidR="00D45460" w:rsidRPr="00007DBF">
        <w:t xml:space="preserve">to enable or assist </w:t>
      </w:r>
      <w:r w:rsidR="00D7639E" w:rsidRPr="00007DBF">
        <w:t>any of the following</w:t>
      </w:r>
      <w:r w:rsidRPr="00007DBF">
        <w:t xml:space="preserve"> agencies, bodies or persons</w:t>
      </w:r>
      <w:r w:rsidR="00CB2C53" w:rsidRPr="00007DBF">
        <w:t xml:space="preserve"> to perform or exercise any of the functions or powers of the agency, body or person, subject to the conditions in section 220 of the NHR Act</w:t>
      </w:r>
      <w:r w:rsidRPr="00007DBF">
        <w:t>:</w:t>
      </w:r>
    </w:p>
    <w:p w14:paraId="7187FAC0" w14:textId="7F6F97EC" w:rsidR="00412819" w:rsidRPr="00007DBF" w:rsidRDefault="00420DB1" w:rsidP="00F870A0">
      <w:pPr>
        <w:pStyle w:val="ListParagraph"/>
        <w:numPr>
          <w:ilvl w:val="0"/>
          <w:numId w:val="55"/>
        </w:numPr>
        <w:rPr>
          <w:lang w:eastAsia="ja-JP"/>
        </w:rPr>
      </w:pPr>
      <w:r>
        <w:rPr>
          <w:lang w:eastAsia="ja-JP"/>
        </w:rPr>
        <w:t xml:space="preserve">the </w:t>
      </w:r>
      <w:r w:rsidR="00412819" w:rsidRPr="00007DBF">
        <w:rPr>
          <w:lang w:eastAsia="ja-JP"/>
        </w:rPr>
        <w:t>Australian Commission on Safety and Quality in Health Care</w:t>
      </w:r>
    </w:p>
    <w:p w14:paraId="2676A91E" w14:textId="4FEE958C" w:rsidR="00122D4F" w:rsidRPr="00007DBF" w:rsidRDefault="00122D4F" w:rsidP="00F870A0">
      <w:pPr>
        <w:pStyle w:val="ListParagraph"/>
        <w:numPr>
          <w:ilvl w:val="0"/>
          <w:numId w:val="55"/>
        </w:numPr>
        <w:rPr>
          <w:lang w:eastAsia="ja-JP"/>
        </w:rPr>
      </w:pPr>
      <w:r w:rsidRPr="00007DBF">
        <w:rPr>
          <w:lang w:eastAsia="ja-JP"/>
        </w:rPr>
        <w:t>the Administrator of the National Health Funding Pool</w:t>
      </w:r>
    </w:p>
    <w:p w14:paraId="08AB9A21" w14:textId="42A14AEF" w:rsidR="00412819" w:rsidRPr="00007DBF" w:rsidRDefault="00420DB1" w:rsidP="00F870A0">
      <w:pPr>
        <w:pStyle w:val="ListParagraph"/>
        <w:numPr>
          <w:ilvl w:val="0"/>
          <w:numId w:val="55"/>
        </w:numPr>
        <w:rPr>
          <w:lang w:eastAsia="ja-JP"/>
        </w:rPr>
      </w:pPr>
      <w:r>
        <w:rPr>
          <w:lang w:eastAsia="ja-JP"/>
        </w:rPr>
        <w:t xml:space="preserve">the </w:t>
      </w:r>
      <w:r w:rsidR="00412819" w:rsidRPr="00007DBF">
        <w:rPr>
          <w:lang w:eastAsia="ja-JP"/>
        </w:rPr>
        <w:t>National Health Funding Body</w:t>
      </w:r>
    </w:p>
    <w:p w14:paraId="74C3FE47" w14:textId="20E375FA" w:rsidR="00412819" w:rsidRPr="00007DBF" w:rsidRDefault="00543C91" w:rsidP="00F870A0">
      <w:pPr>
        <w:pStyle w:val="ListParagraph"/>
        <w:numPr>
          <w:ilvl w:val="0"/>
          <w:numId w:val="55"/>
        </w:numPr>
        <w:rPr>
          <w:lang w:eastAsia="ja-JP"/>
        </w:rPr>
      </w:pPr>
      <w:r w:rsidRPr="00007DBF">
        <w:rPr>
          <w:lang w:eastAsia="ja-JP"/>
        </w:rPr>
        <w:t>the</w:t>
      </w:r>
      <w:r w:rsidR="00375C62">
        <w:rPr>
          <w:lang w:eastAsia="ja-JP"/>
        </w:rPr>
        <w:t xml:space="preserve"> Health Ministers; Meetings (HMM)</w:t>
      </w:r>
    </w:p>
    <w:p w14:paraId="345D004C" w14:textId="379770C4" w:rsidR="00F915E7" w:rsidRPr="00007DBF" w:rsidRDefault="00420DB1" w:rsidP="00F870A0">
      <w:pPr>
        <w:pStyle w:val="ListParagraph"/>
        <w:numPr>
          <w:ilvl w:val="0"/>
          <w:numId w:val="55"/>
        </w:numPr>
        <w:rPr>
          <w:lang w:eastAsia="ja-JP"/>
        </w:rPr>
      </w:pPr>
      <w:r>
        <w:rPr>
          <w:lang w:eastAsia="ja-JP"/>
        </w:rPr>
        <w:t>t</w:t>
      </w:r>
      <w:r w:rsidR="00412819" w:rsidRPr="00007DBF">
        <w:rPr>
          <w:lang w:eastAsia="ja-JP"/>
        </w:rPr>
        <w:t>he</w:t>
      </w:r>
      <w:r w:rsidR="00375C62">
        <w:rPr>
          <w:lang w:eastAsia="ja-JP"/>
        </w:rPr>
        <w:t xml:space="preserve"> Health Chief Executives Forum (HCEF)</w:t>
      </w:r>
    </w:p>
    <w:p w14:paraId="5746EEAD" w14:textId="0976E30D" w:rsidR="00412819" w:rsidRPr="00007DBF" w:rsidRDefault="00420DB1" w:rsidP="00F870A0">
      <w:pPr>
        <w:pStyle w:val="ListParagraph"/>
        <w:numPr>
          <w:ilvl w:val="0"/>
          <w:numId w:val="55"/>
        </w:numPr>
        <w:rPr>
          <w:lang w:eastAsia="ja-JP"/>
        </w:rPr>
      </w:pPr>
      <w:r>
        <w:rPr>
          <w:lang w:eastAsia="ja-JP"/>
        </w:rPr>
        <w:t>t</w:t>
      </w:r>
      <w:r w:rsidR="00412819" w:rsidRPr="00007DBF">
        <w:rPr>
          <w:lang w:eastAsia="ja-JP"/>
        </w:rPr>
        <w:t>he Australian Institute of Health and Welfare</w:t>
      </w:r>
      <w:r>
        <w:rPr>
          <w:lang w:eastAsia="ja-JP"/>
        </w:rPr>
        <w:t xml:space="preserve"> (AIHW)</w:t>
      </w:r>
      <w:r w:rsidR="007D61F9">
        <w:rPr>
          <w:rStyle w:val="FootnoteReference"/>
          <w:lang w:eastAsia="ja-JP"/>
        </w:rPr>
        <w:footnoteReference w:id="5"/>
      </w:r>
    </w:p>
    <w:p w14:paraId="573F460D" w14:textId="36A1BC9D" w:rsidR="00412819" w:rsidRPr="00007DBF" w:rsidRDefault="00420DB1" w:rsidP="00F870A0">
      <w:pPr>
        <w:pStyle w:val="ListParagraph"/>
        <w:numPr>
          <w:ilvl w:val="0"/>
          <w:numId w:val="55"/>
        </w:numPr>
        <w:rPr>
          <w:lang w:eastAsia="ja-JP"/>
        </w:rPr>
      </w:pPr>
      <w:r>
        <w:rPr>
          <w:lang w:eastAsia="ja-JP"/>
        </w:rPr>
        <w:t>t</w:t>
      </w:r>
      <w:r w:rsidR="00412819" w:rsidRPr="00007DBF">
        <w:rPr>
          <w:lang w:eastAsia="ja-JP"/>
        </w:rPr>
        <w:t>he Australian Statistician</w:t>
      </w:r>
    </w:p>
    <w:p w14:paraId="316F4D72" w14:textId="47EB2FC1" w:rsidR="00412819" w:rsidRPr="00007DBF" w:rsidRDefault="00420DB1" w:rsidP="00F870A0">
      <w:pPr>
        <w:pStyle w:val="ListParagraph"/>
        <w:numPr>
          <w:ilvl w:val="0"/>
          <w:numId w:val="55"/>
        </w:numPr>
        <w:rPr>
          <w:lang w:eastAsia="ja-JP"/>
        </w:rPr>
      </w:pPr>
      <w:r>
        <w:rPr>
          <w:lang w:eastAsia="ja-JP"/>
        </w:rPr>
        <w:t>a</w:t>
      </w:r>
      <w:r w:rsidR="00412819" w:rsidRPr="00007DBF">
        <w:rPr>
          <w:lang w:eastAsia="ja-JP"/>
        </w:rPr>
        <w:t xml:space="preserve"> state</w:t>
      </w:r>
      <w:r>
        <w:rPr>
          <w:lang w:eastAsia="ja-JP"/>
        </w:rPr>
        <w:t xml:space="preserve"> or </w:t>
      </w:r>
      <w:r w:rsidR="00412819" w:rsidRPr="00007DBF">
        <w:rPr>
          <w:lang w:eastAsia="ja-JP"/>
        </w:rPr>
        <w:t>territory government body that has functions relating to health care</w:t>
      </w:r>
    </w:p>
    <w:p w14:paraId="783F3A19" w14:textId="47CDCFDE" w:rsidR="00CB2C53" w:rsidRPr="00007DBF" w:rsidRDefault="00420DB1" w:rsidP="00F870A0">
      <w:pPr>
        <w:pStyle w:val="ListParagraph"/>
        <w:numPr>
          <w:ilvl w:val="0"/>
          <w:numId w:val="55"/>
        </w:numPr>
        <w:rPr>
          <w:lang w:eastAsia="ja-JP"/>
        </w:rPr>
      </w:pPr>
      <w:r>
        <w:rPr>
          <w:lang w:eastAsia="ja-JP"/>
        </w:rPr>
        <w:t>a</w:t>
      </w:r>
      <w:r w:rsidR="00412819" w:rsidRPr="00007DBF">
        <w:rPr>
          <w:lang w:eastAsia="ja-JP"/>
        </w:rPr>
        <w:t xml:space="preserve">n agency, body or person specified in a legislative instrument made by the Minister with the agreement of </w:t>
      </w:r>
      <w:r w:rsidR="007D61F9">
        <w:rPr>
          <w:lang w:eastAsia="ja-JP"/>
        </w:rPr>
        <w:t>National Federation Reform Council</w:t>
      </w:r>
      <w:r w:rsidR="007D61F9">
        <w:rPr>
          <w:rStyle w:val="FootnoteReference"/>
          <w:lang w:eastAsia="ja-JP"/>
        </w:rPr>
        <w:footnoteReference w:id="6"/>
      </w:r>
      <w:r w:rsidR="00D7639E" w:rsidRPr="00007DBF">
        <w:rPr>
          <w:lang w:eastAsia="ja-JP"/>
        </w:rPr>
        <w:t>.</w:t>
      </w:r>
    </w:p>
    <w:p w14:paraId="76E8D382" w14:textId="03EEC2A2" w:rsidR="00285BAD" w:rsidRDefault="00285BAD" w:rsidP="002A20CA">
      <w:r w:rsidRPr="00007DBF">
        <w:t xml:space="preserve">The Chair of the Pricing Authority may delegate any or </w:t>
      </w:r>
      <w:proofErr w:type="gramStart"/>
      <w:r w:rsidRPr="00007DBF">
        <w:t>all of</w:t>
      </w:r>
      <w:proofErr w:type="gramEnd"/>
      <w:r w:rsidRPr="00007DBF">
        <w:t xml:space="preserve"> his or her functions and powers to the CEO of IHPA (</w:t>
      </w:r>
      <w:r w:rsidR="009A7D09">
        <w:t>s</w:t>
      </w:r>
      <w:r w:rsidR="00F915E7">
        <w:t xml:space="preserve">ection </w:t>
      </w:r>
      <w:r w:rsidRPr="00007DBF">
        <w:t>224, NHR Act). Since 2013,</w:t>
      </w:r>
      <w:r w:rsidR="00FD42B0" w:rsidRPr="00007DBF">
        <w:t xml:space="preserve"> the</w:t>
      </w:r>
      <w:r w:rsidRPr="00007DBF">
        <w:t xml:space="preserve"> CEO of IHPA has power of delegation for data releases to the above specified agencies, bodies or persons. </w:t>
      </w:r>
    </w:p>
    <w:p w14:paraId="79AD81D0" w14:textId="1059F4E9" w:rsidR="00473D47" w:rsidRPr="00007DBF" w:rsidRDefault="00473D47" w:rsidP="002A20CA">
      <w:r>
        <w:t>All data releases made in accordance with this Policy are regularly reviewed by the Pricing Authority.</w:t>
      </w:r>
    </w:p>
    <w:p w14:paraId="72E0C8D0" w14:textId="77777777" w:rsidR="00B85544" w:rsidRPr="00007DBF" w:rsidRDefault="00B85544" w:rsidP="002D5814">
      <w:pPr>
        <w:pStyle w:val="TableHeading"/>
      </w:pPr>
    </w:p>
    <w:p w14:paraId="3484C71A" w14:textId="77777777" w:rsidR="0098702F" w:rsidRPr="00007DBF" w:rsidRDefault="0098702F">
      <w:pPr>
        <w:pStyle w:val="Heading3"/>
      </w:pPr>
      <w:r w:rsidRPr="00007DBF">
        <w:br w:type="page"/>
      </w:r>
    </w:p>
    <w:p w14:paraId="64D70DE1" w14:textId="0738644B" w:rsidR="00E768D9" w:rsidRPr="00007DBF" w:rsidRDefault="00674EB2" w:rsidP="00834ADB">
      <w:pPr>
        <w:pStyle w:val="Heading1"/>
        <w:rPr>
          <w:lang w:eastAsia="zh-CN"/>
        </w:rPr>
      </w:pPr>
      <w:bookmarkStart w:id="127" w:name="_Toc413755319"/>
      <w:bookmarkStart w:id="128" w:name="_Toc506796543"/>
      <w:bookmarkStart w:id="129" w:name="_Toc36114980"/>
      <w:bookmarkStart w:id="130" w:name="_Toc94527641"/>
      <w:r w:rsidRPr="00007DBF">
        <w:lastRenderedPageBreak/>
        <w:t>Principles</w:t>
      </w:r>
      <w:r w:rsidRPr="00007DBF">
        <w:rPr>
          <w:lang w:eastAsia="zh-CN"/>
        </w:rPr>
        <w:t xml:space="preserve"> for </w:t>
      </w:r>
      <w:r w:rsidR="00537875" w:rsidRPr="00007DBF">
        <w:rPr>
          <w:lang w:eastAsia="zh-CN"/>
        </w:rPr>
        <w:t>data</w:t>
      </w:r>
      <w:r w:rsidR="00D46D90" w:rsidRPr="00007DBF">
        <w:rPr>
          <w:lang w:eastAsia="zh-CN"/>
        </w:rPr>
        <w:t xml:space="preserve"> </w:t>
      </w:r>
      <w:r w:rsidR="00DF3F49" w:rsidRPr="00007DBF">
        <w:rPr>
          <w:lang w:eastAsia="zh-CN"/>
        </w:rPr>
        <w:t xml:space="preserve">access and </w:t>
      </w:r>
      <w:r w:rsidR="00DD59C1" w:rsidRPr="00007DBF">
        <w:rPr>
          <w:lang w:eastAsia="zh-CN"/>
        </w:rPr>
        <w:t>r</w:t>
      </w:r>
      <w:r w:rsidRPr="00007DBF">
        <w:rPr>
          <w:lang w:eastAsia="zh-CN"/>
        </w:rPr>
        <w:t>elease</w:t>
      </w:r>
      <w:bookmarkEnd w:id="127"/>
      <w:bookmarkEnd w:id="128"/>
      <w:bookmarkEnd w:id="129"/>
      <w:bookmarkEnd w:id="130"/>
    </w:p>
    <w:p w14:paraId="293C5DFC" w14:textId="1557AA40" w:rsidR="00696971" w:rsidRPr="00007DBF" w:rsidRDefault="00696971" w:rsidP="00696971">
      <w:pPr>
        <w:rPr>
          <w:lang w:eastAsia="zh-CN"/>
        </w:rPr>
      </w:pPr>
      <w:r w:rsidRPr="00007DBF">
        <w:rPr>
          <w:lang w:eastAsia="zh-CN"/>
        </w:rPr>
        <w:t xml:space="preserve">Where IHPA receives a request for </w:t>
      </w:r>
      <w:r w:rsidR="00537875" w:rsidRPr="00007DBF">
        <w:rPr>
          <w:lang w:eastAsia="zh-CN"/>
        </w:rPr>
        <w:t>data</w:t>
      </w:r>
      <w:r w:rsidRPr="00007DBF">
        <w:rPr>
          <w:lang w:eastAsia="zh-CN"/>
        </w:rPr>
        <w:t xml:space="preserve">, IHPA will consider the following principles in determining if the </w:t>
      </w:r>
      <w:r w:rsidR="004F143E" w:rsidRPr="00007DBF">
        <w:rPr>
          <w:lang w:eastAsia="zh-CN"/>
        </w:rPr>
        <w:t xml:space="preserve">data </w:t>
      </w:r>
      <w:r w:rsidR="00F915E7">
        <w:rPr>
          <w:lang w:eastAsia="zh-CN"/>
        </w:rPr>
        <w:t>can</w:t>
      </w:r>
      <w:r w:rsidR="00F915E7" w:rsidRPr="00007DBF">
        <w:rPr>
          <w:lang w:eastAsia="zh-CN"/>
        </w:rPr>
        <w:t xml:space="preserve"> </w:t>
      </w:r>
      <w:r w:rsidRPr="00007DBF">
        <w:rPr>
          <w:lang w:eastAsia="zh-CN"/>
        </w:rPr>
        <w:t xml:space="preserve">be released. </w:t>
      </w:r>
      <w:r w:rsidR="00F136A0" w:rsidRPr="00007DBF">
        <w:rPr>
          <w:lang w:eastAsia="zh-CN"/>
        </w:rPr>
        <w:t>A</w:t>
      </w:r>
      <w:r w:rsidRPr="00007DBF">
        <w:rPr>
          <w:lang w:eastAsia="zh-CN"/>
        </w:rPr>
        <w:t xml:space="preserve">ll principles outlined in </w:t>
      </w:r>
      <w:r w:rsidR="00AF7517" w:rsidRPr="00614A8C">
        <w:rPr>
          <w:b/>
          <w:bCs/>
          <w:lang w:eastAsia="zh-CN"/>
        </w:rPr>
        <w:t xml:space="preserve">Table </w:t>
      </w:r>
      <w:r w:rsidR="000754F7" w:rsidRPr="00614A8C">
        <w:rPr>
          <w:b/>
          <w:bCs/>
          <w:lang w:eastAsia="zh-CN"/>
        </w:rPr>
        <w:t>1</w:t>
      </w:r>
      <w:r w:rsidRPr="00007DBF">
        <w:rPr>
          <w:lang w:eastAsia="zh-CN"/>
        </w:rPr>
        <w:t xml:space="preserve"> must be satisfied </w:t>
      </w:r>
      <w:r w:rsidR="00F915E7" w:rsidRPr="00007DBF">
        <w:rPr>
          <w:lang w:eastAsia="zh-CN"/>
        </w:rPr>
        <w:t>for</w:t>
      </w:r>
      <w:r w:rsidRPr="00007DBF">
        <w:rPr>
          <w:lang w:eastAsia="zh-CN"/>
        </w:rPr>
        <w:t xml:space="preserve"> </w:t>
      </w:r>
      <w:r w:rsidR="004F143E" w:rsidRPr="00007DBF">
        <w:rPr>
          <w:lang w:eastAsia="zh-CN"/>
        </w:rPr>
        <w:t xml:space="preserve">data </w:t>
      </w:r>
      <w:r w:rsidRPr="00007DBF">
        <w:rPr>
          <w:lang w:eastAsia="zh-CN"/>
        </w:rPr>
        <w:t>to be released.</w:t>
      </w:r>
    </w:p>
    <w:p w14:paraId="0BEE5FF2" w14:textId="77777777" w:rsidR="00696971" w:rsidRPr="00007DBF" w:rsidRDefault="00AF7517" w:rsidP="002D5814">
      <w:pPr>
        <w:pStyle w:val="TableHeading"/>
      </w:pPr>
      <w:r w:rsidRPr="00007DBF">
        <w:t xml:space="preserve">Table </w:t>
      </w:r>
      <w:r w:rsidR="000754F7" w:rsidRPr="00007DBF">
        <w:t>1</w:t>
      </w:r>
      <w:r w:rsidRPr="00007DBF">
        <w:t xml:space="preserve">. </w:t>
      </w:r>
      <w:r w:rsidR="00DF3F49" w:rsidRPr="00007DBF">
        <w:t xml:space="preserve">Data access and </w:t>
      </w:r>
      <w:r w:rsidR="00DD59C1" w:rsidRPr="00007DBF">
        <w:t>r</w:t>
      </w:r>
      <w:r w:rsidR="00696971" w:rsidRPr="00007DBF">
        <w:t xml:space="preserve">elease </w:t>
      </w:r>
      <w:r w:rsidR="00FC412E" w:rsidRPr="00007DBF">
        <w:t>p</w:t>
      </w:r>
      <w:r w:rsidR="00696971" w:rsidRPr="00007DBF">
        <w:t xml:space="preserve">rinciples and </w:t>
      </w:r>
      <w:r w:rsidR="00FC412E" w:rsidRPr="00007DBF">
        <w:t>m</w:t>
      </w:r>
      <w:r w:rsidR="00696971" w:rsidRPr="00007DBF">
        <w:t>echanisms</w:t>
      </w:r>
    </w:p>
    <w:tbl>
      <w:tblPr>
        <w:tblStyle w:val="TableTheme"/>
        <w:tblW w:w="9493" w:type="dxa"/>
        <w:tblLook w:val="0420" w:firstRow="1" w:lastRow="0" w:firstColumn="0" w:lastColumn="0" w:noHBand="0" w:noVBand="1"/>
        <w:tblCaption w:val="Table 2. Information release principles and mechanisms"/>
        <w:tblDescription w:val="The table outlines all the principles that must be satisfied in order for information to be released."/>
      </w:tblPr>
      <w:tblGrid>
        <w:gridCol w:w="2104"/>
        <w:gridCol w:w="7389"/>
      </w:tblGrid>
      <w:tr w:rsidR="003A7B44" w:rsidRPr="00D57007" w14:paraId="3DC8A219" w14:textId="77777777" w:rsidTr="00C25EB0">
        <w:trPr>
          <w:trHeight w:val="454"/>
          <w:tblHeader/>
        </w:trPr>
        <w:tc>
          <w:tcPr>
            <w:tcW w:w="2104" w:type="dxa"/>
            <w:shd w:val="clear" w:color="auto" w:fill="004200" w:themeFill="accent1"/>
            <w:hideMark/>
          </w:tcPr>
          <w:p w14:paraId="52E380C2" w14:textId="77777777" w:rsidR="00EA0B91" w:rsidRPr="00D57007" w:rsidRDefault="00DF3F49" w:rsidP="002C692F">
            <w:pPr>
              <w:pStyle w:val="TableText"/>
              <w:spacing w:before="60" w:after="60"/>
              <w:rPr>
                <w:sz w:val="22"/>
                <w:szCs w:val="28"/>
              </w:rPr>
            </w:pPr>
            <w:r w:rsidRPr="00D57007">
              <w:rPr>
                <w:sz w:val="22"/>
                <w:szCs w:val="28"/>
              </w:rPr>
              <w:t>Data access and</w:t>
            </w:r>
            <w:r w:rsidR="00EA0B91" w:rsidRPr="00D57007">
              <w:rPr>
                <w:sz w:val="22"/>
                <w:szCs w:val="28"/>
              </w:rPr>
              <w:t xml:space="preserve"> </w:t>
            </w:r>
            <w:r w:rsidR="00DD59C1" w:rsidRPr="00D57007">
              <w:rPr>
                <w:sz w:val="22"/>
                <w:szCs w:val="28"/>
              </w:rPr>
              <w:t>r</w:t>
            </w:r>
            <w:r w:rsidR="00EA0B91" w:rsidRPr="00D57007">
              <w:rPr>
                <w:sz w:val="22"/>
                <w:szCs w:val="28"/>
              </w:rPr>
              <w:t xml:space="preserve">elease </w:t>
            </w:r>
            <w:r w:rsidR="00DD59C1" w:rsidRPr="00D57007">
              <w:rPr>
                <w:sz w:val="22"/>
                <w:szCs w:val="28"/>
              </w:rPr>
              <w:t>p</w:t>
            </w:r>
            <w:r w:rsidR="00EA0B91" w:rsidRPr="00D57007">
              <w:rPr>
                <w:sz w:val="22"/>
                <w:szCs w:val="28"/>
              </w:rPr>
              <w:t>rinciples</w:t>
            </w:r>
          </w:p>
        </w:tc>
        <w:tc>
          <w:tcPr>
            <w:tcW w:w="7388" w:type="dxa"/>
            <w:shd w:val="clear" w:color="auto" w:fill="004200" w:themeFill="accent1"/>
            <w:hideMark/>
          </w:tcPr>
          <w:p w14:paraId="7CCF7501" w14:textId="77777777" w:rsidR="00EA0B91" w:rsidRPr="00D57007" w:rsidRDefault="00DF3F49" w:rsidP="002C692F">
            <w:pPr>
              <w:pStyle w:val="TableText"/>
              <w:spacing w:before="60" w:after="60"/>
              <w:rPr>
                <w:sz w:val="22"/>
                <w:szCs w:val="28"/>
              </w:rPr>
            </w:pPr>
            <w:r w:rsidRPr="00D57007">
              <w:rPr>
                <w:sz w:val="22"/>
                <w:szCs w:val="28"/>
              </w:rPr>
              <w:t xml:space="preserve">Data </w:t>
            </w:r>
            <w:r w:rsidR="00DD59C1" w:rsidRPr="00D57007">
              <w:rPr>
                <w:sz w:val="22"/>
                <w:szCs w:val="28"/>
              </w:rPr>
              <w:t>r</w:t>
            </w:r>
            <w:r w:rsidR="00EA0B91" w:rsidRPr="00D57007">
              <w:rPr>
                <w:sz w:val="22"/>
                <w:szCs w:val="28"/>
              </w:rPr>
              <w:t xml:space="preserve">elease </w:t>
            </w:r>
            <w:r w:rsidR="00DD59C1" w:rsidRPr="00D57007">
              <w:rPr>
                <w:sz w:val="22"/>
                <w:szCs w:val="28"/>
              </w:rPr>
              <w:t>m</w:t>
            </w:r>
            <w:r w:rsidR="00EA0B91" w:rsidRPr="00D57007">
              <w:rPr>
                <w:sz w:val="22"/>
                <w:szCs w:val="28"/>
              </w:rPr>
              <w:t xml:space="preserve">echanism </w:t>
            </w:r>
          </w:p>
        </w:tc>
      </w:tr>
      <w:tr w:rsidR="003A7B44" w:rsidRPr="00D57007" w14:paraId="4EC7EFF1" w14:textId="77777777" w:rsidTr="00C25EB0">
        <w:trPr>
          <w:trHeight w:val="454"/>
        </w:trPr>
        <w:tc>
          <w:tcPr>
            <w:tcW w:w="2104" w:type="dxa"/>
            <w:hideMark/>
          </w:tcPr>
          <w:p w14:paraId="54FF60F0" w14:textId="77777777" w:rsidR="00EA0B91" w:rsidRPr="00D57007" w:rsidRDefault="00EA0B91" w:rsidP="002C692F">
            <w:pPr>
              <w:pStyle w:val="TableText"/>
              <w:spacing w:before="60" w:after="60"/>
              <w:rPr>
                <w:sz w:val="22"/>
                <w:szCs w:val="28"/>
              </w:rPr>
            </w:pPr>
            <w:r w:rsidRPr="00D57007">
              <w:rPr>
                <w:sz w:val="22"/>
                <w:szCs w:val="28"/>
              </w:rPr>
              <w:t>1. Fit for purpose</w:t>
            </w:r>
          </w:p>
        </w:tc>
        <w:tc>
          <w:tcPr>
            <w:tcW w:w="7388" w:type="dxa"/>
            <w:hideMark/>
          </w:tcPr>
          <w:p w14:paraId="6436B871" w14:textId="5F2B1CAF" w:rsidR="00EA0B91" w:rsidRPr="00D57007" w:rsidRDefault="003F3F03" w:rsidP="002C692F">
            <w:pPr>
              <w:pStyle w:val="TableText"/>
              <w:spacing w:before="60" w:after="60"/>
              <w:rPr>
                <w:b w:val="0"/>
                <w:sz w:val="22"/>
                <w:szCs w:val="28"/>
              </w:rPr>
            </w:pPr>
            <w:r w:rsidRPr="00D57007">
              <w:rPr>
                <w:b w:val="0"/>
                <w:sz w:val="22"/>
                <w:szCs w:val="28"/>
              </w:rPr>
              <w:t>This</w:t>
            </w:r>
            <w:r w:rsidR="00EA0B91" w:rsidRPr="00D57007">
              <w:rPr>
                <w:b w:val="0"/>
                <w:sz w:val="22"/>
                <w:szCs w:val="28"/>
              </w:rPr>
              <w:t xml:space="preserve"> refers to the closeness of correspondence between the characteristics of the </w:t>
            </w:r>
            <w:r w:rsidR="004F143E" w:rsidRPr="00D57007">
              <w:rPr>
                <w:b w:val="0"/>
                <w:sz w:val="22"/>
                <w:szCs w:val="28"/>
              </w:rPr>
              <w:t xml:space="preserve">data requested </w:t>
            </w:r>
            <w:r w:rsidR="00EA0B91" w:rsidRPr="00D57007">
              <w:rPr>
                <w:b w:val="0"/>
                <w:sz w:val="22"/>
                <w:szCs w:val="28"/>
              </w:rPr>
              <w:t xml:space="preserve">and its intended purpose. </w:t>
            </w:r>
            <w:r w:rsidR="00AB004D" w:rsidRPr="00D57007">
              <w:rPr>
                <w:b w:val="0"/>
                <w:sz w:val="22"/>
                <w:szCs w:val="28"/>
              </w:rPr>
              <w:t>A p</w:t>
            </w:r>
            <w:r w:rsidR="00EA0B91" w:rsidRPr="00D57007">
              <w:rPr>
                <w:b w:val="0"/>
                <w:sz w:val="22"/>
                <w:szCs w:val="28"/>
              </w:rPr>
              <w:t>oor fit means that the</w:t>
            </w:r>
            <w:r w:rsidR="004F143E" w:rsidRPr="00D57007">
              <w:rPr>
                <w:b w:val="0"/>
                <w:sz w:val="22"/>
                <w:szCs w:val="28"/>
              </w:rPr>
              <w:t xml:space="preserve"> data</w:t>
            </w:r>
            <w:r w:rsidR="00EA0B91" w:rsidRPr="00D57007">
              <w:rPr>
                <w:b w:val="0"/>
                <w:sz w:val="22"/>
                <w:szCs w:val="28"/>
              </w:rPr>
              <w:t xml:space="preserve"> is unlikely to </w:t>
            </w:r>
            <w:r w:rsidR="004F143E" w:rsidRPr="00D57007">
              <w:rPr>
                <w:b w:val="0"/>
                <w:sz w:val="22"/>
                <w:szCs w:val="28"/>
              </w:rPr>
              <w:t>serve the intended purpose of those</w:t>
            </w:r>
            <w:r w:rsidR="00EA0B91" w:rsidRPr="00D57007">
              <w:rPr>
                <w:b w:val="0"/>
                <w:sz w:val="22"/>
                <w:szCs w:val="28"/>
              </w:rPr>
              <w:t xml:space="preserve"> requesting the </w:t>
            </w:r>
            <w:r w:rsidR="004F143E" w:rsidRPr="00D57007">
              <w:rPr>
                <w:b w:val="0"/>
                <w:sz w:val="22"/>
                <w:szCs w:val="28"/>
              </w:rPr>
              <w:t>data</w:t>
            </w:r>
            <w:r w:rsidR="00EA0B91" w:rsidRPr="00D57007">
              <w:rPr>
                <w:b w:val="0"/>
                <w:sz w:val="22"/>
                <w:szCs w:val="28"/>
              </w:rPr>
              <w:t>.</w:t>
            </w:r>
          </w:p>
          <w:p w14:paraId="224EBE6A" w14:textId="77777777" w:rsidR="00D45C81" w:rsidRPr="00D57007" w:rsidRDefault="00D45C81" w:rsidP="002C692F">
            <w:pPr>
              <w:pStyle w:val="TableText"/>
              <w:spacing w:before="60" w:after="60"/>
              <w:rPr>
                <w:b w:val="0"/>
                <w:sz w:val="22"/>
                <w:szCs w:val="28"/>
              </w:rPr>
            </w:pPr>
            <w:r w:rsidRPr="00D57007">
              <w:rPr>
                <w:b w:val="0"/>
                <w:sz w:val="22"/>
                <w:szCs w:val="28"/>
              </w:rPr>
              <w:t xml:space="preserve">IHPA will evaluate information supplied </w:t>
            </w:r>
            <w:r w:rsidR="009E089D" w:rsidRPr="00D57007">
              <w:rPr>
                <w:b w:val="0"/>
                <w:sz w:val="22"/>
                <w:szCs w:val="28"/>
              </w:rPr>
              <w:t xml:space="preserve">by the applicant </w:t>
            </w:r>
            <w:r w:rsidRPr="00D57007">
              <w:rPr>
                <w:b w:val="0"/>
                <w:sz w:val="22"/>
                <w:szCs w:val="28"/>
              </w:rPr>
              <w:t>in the Research Data Request Form</w:t>
            </w:r>
            <w:r w:rsidR="009E089D" w:rsidRPr="00D57007">
              <w:rPr>
                <w:b w:val="0"/>
                <w:sz w:val="22"/>
                <w:szCs w:val="28"/>
              </w:rPr>
              <w:t xml:space="preserve"> at </w:t>
            </w:r>
            <w:r w:rsidR="009E089D" w:rsidRPr="00D57007">
              <w:rPr>
                <w:sz w:val="22"/>
                <w:szCs w:val="28"/>
              </w:rPr>
              <w:t>Appendix C</w:t>
            </w:r>
            <w:r w:rsidR="009E089D" w:rsidRPr="00D57007">
              <w:rPr>
                <w:b w:val="0"/>
                <w:sz w:val="22"/>
                <w:szCs w:val="28"/>
              </w:rPr>
              <w:t xml:space="preserve"> to determine if the data request aligns</w:t>
            </w:r>
            <w:r w:rsidR="00B26E0A" w:rsidRPr="00D57007">
              <w:rPr>
                <w:b w:val="0"/>
                <w:sz w:val="22"/>
                <w:szCs w:val="28"/>
              </w:rPr>
              <w:t xml:space="preserve"> with</w:t>
            </w:r>
            <w:r w:rsidR="009E089D" w:rsidRPr="00D57007">
              <w:rPr>
                <w:b w:val="0"/>
                <w:sz w:val="22"/>
                <w:szCs w:val="28"/>
              </w:rPr>
              <w:t xml:space="preserve"> the intended use of information.</w:t>
            </w:r>
          </w:p>
          <w:p w14:paraId="41EBA98C" w14:textId="77777777" w:rsidR="00EA0B91" w:rsidRPr="00D57007" w:rsidRDefault="00EA0B91" w:rsidP="002C692F">
            <w:pPr>
              <w:pStyle w:val="TableText"/>
              <w:spacing w:before="60" w:after="60"/>
              <w:rPr>
                <w:b w:val="0"/>
                <w:sz w:val="22"/>
                <w:szCs w:val="28"/>
              </w:rPr>
            </w:pPr>
            <w:r w:rsidRPr="00D57007">
              <w:rPr>
                <w:b w:val="0"/>
                <w:sz w:val="22"/>
                <w:szCs w:val="28"/>
              </w:rPr>
              <w:t xml:space="preserve">Where required, IHPA will provide appropriate caveats around </w:t>
            </w:r>
            <w:r w:rsidR="004F143E" w:rsidRPr="00D57007">
              <w:rPr>
                <w:b w:val="0"/>
                <w:sz w:val="22"/>
                <w:szCs w:val="28"/>
              </w:rPr>
              <w:t xml:space="preserve">data </w:t>
            </w:r>
            <w:r w:rsidRPr="00D57007">
              <w:rPr>
                <w:b w:val="0"/>
                <w:sz w:val="22"/>
                <w:szCs w:val="28"/>
              </w:rPr>
              <w:t xml:space="preserve">to enable users to reach an informed view about the limitations of any </w:t>
            </w:r>
            <w:r w:rsidR="004F143E" w:rsidRPr="00D57007">
              <w:rPr>
                <w:b w:val="0"/>
                <w:sz w:val="22"/>
                <w:szCs w:val="28"/>
              </w:rPr>
              <w:t xml:space="preserve">data </w:t>
            </w:r>
            <w:r w:rsidRPr="00D57007">
              <w:rPr>
                <w:b w:val="0"/>
                <w:sz w:val="22"/>
                <w:szCs w:val="28"/>
              </w:rPr>
              <w:t>provided.</w:t>
            </w:r>
          </w:p>
          <w:p w14:paraId="08D42CD0" w14:textId="0042F589" w:rsidR="00EA0B91" w:rsidRPr="00D57007" w:rsidRDefault="00EA0B91" w:rsidP="00BD6447">
            <w:pPr>
              <w:pStyle w:val="TableText"/>
              <w:spacing w:before="60" w:after="60"/>
              <w:rPr>
                <w:sz w:val="22"/>
                <w:szCs w:val="28"/>
              </w:rPr>
            </w:pPr>
            <w:r w:rsidRPr="00D57007">
              <w:rPr>
                <w:b w:val="0"/>
                <w:sz w:val="22"/>
                <w:szCs w:val="28"/>
              </w:rPr>
              <w:t>IHPA will ensure that any caveats or limitations on the data that have been identified by the data custodian</w:t>
            </w:r>
            <w:r w:rsidR="002C692F" w:rsidRPr="00D57007">
              <w:rPr>
                <w:b w:val="0"/>
                <w:sz w:val="22"/>
                <w:szCs w:val="28"/>
              </w:rPr>
              <w:t>/s</w:t>
            </w:r>
            <w:r w:rsidRPr="00D57007">
              <w:rPr>
                <w:b w:val="0"/>
                <w:sz w:val="22"/>
                <w:szCs w:val="28"/>
              </w:rPr>
              <w:t xml:space="preserve"> (</w:t>
            </w:r>
            <w:r w:rsidR="003F3F03" w:rsidRPr="00D57007">
              <w:rPr>
                <w:b w:val="0"/>
                <w:sz w:val="22"/>
                <w:szCs w:val="28"/>
              </w:rPr>
              <w:t>the</w:t>
            </w:r>
            <w:r w:rsidRPr="00D57007">
              <w:rPr>
                <w:b w:val="0"/>
                <w:sz w:val="22"/>
                <w:szCs w:val="28"/>
              </w:rPr>
              <w:t xml:space="preserve"> states and territories) will be provided together with the </w:t>
            </w:r>
            <w:r w:rsidR="004F143E" w:rsidRPr="00D57007">
              <w:rPr>
                <w:b w:val="0"/>
                <w:sz w:val="22"/>
                <w:szCs w:val="28"/>
              </w:rPr>
              <w:t>data</w:t>
            </w:r>
            <w:r w:rsidRPr="00D57007">
              <w:rPr>
                <w:b w:val="0"/>
                <w:sz w:val="22"/>
                <w:szCs w:val="28"/>
              </w:rPr>
              <w:t>.</w:t>
            </w:r>
          </w:p>
        </w:tc>
      </w:tr>
      <w:tr w:rsidR="003A7B44" w:rsidRPr="00D57007" w14:paraId="48B09997" w14:textId="77777777" w:rsidTr="00C25EB0">
        <w:trPr>
          <w:trHeight w:val="454"/>
        </w:trPr>
        <w:tc>
          <w:tcPr>
            <w:tcW w:w="2104" w:type="dxa"/>
            <w:hideMark/>
          </w:tcPr>
          <w:p w14:paraId="674CDC38" w14:textId="77777777" w:rsidR="00C20229" w:rsidRPr="00D57007" w:rsidRDefault="006154A6" w:rsidP="002C692F">
            <w:pPr>
              <w:pStyle w:val="TableText"/>
              <w:spacing w:before="60" w:after="60"/>
              <w:rPr>
                <w:sz w:val="22"/>
                <w:szCs w:val="28"/>
              </w:rPr>
            </w:pPr>
            <w:r w:rsidRPr="00D57007">
              <w:rPr>
                <w:sz w:val="22"/>
                <w:szCs w:val="28"/>
              </w:rPr>
              <w:t xml:space="preserve">2. Compliant with legislation </w:t>
            </w:r>
          </w:p>
        </w:tc>
        <w:tc>
          <w:tcPr>
            <w:tcW w:w="7388" w:type="dxa"/>
            <w:hideMark/>
          </w:tcPr>
          <w:p w14:paraId="0AA95139" w14:textId="0CF57EC8" w:rsidR="00C20229" w:rsidRPr="00D57007" w:rsidRDefault="00F915E7" w:rsidP="002C692F">
            <w:pPr>
              <w:pStyle w:val="TableText"/>
              <w:spacing w:before="60" w:after="60"/>
              <w:rPr>
                <w:b w:val="0"/>
                <w:sz w:val="22"/>
                <w:szCs w:val="28"/>
              </w:rPr>
            </w:pPr>
            <w:r w:rsidRPr="00D57007">
              <w:rPr>
                <w:b w:val="0"/>
                <w:sz w:val="22"/>
                <w:szCs w:val="28"/>
              </w:rPr>
              <w:t>The d</w:t>
            </w:r>
            <w:r w:rsidR="007E7FA9" w:rsidRPr="00D57007">
              <w:rPr>
                <w:b w:val="0"/>
                <w:sz w:val="22"/>
                <w:szCs w:val="28"/>
              </w:rPr>
              <w:t xml:space="preserve">ata </w:t>
            </w:r>
            <w:r w:rsidR="00C20229" w:rsidRPr="00D57007">
              <w:rPr>
                <w:b w:val="0"/>
                <w:sz w:val="22"/>
                <w:szCs w:val="28"/>
              </w:rPr>
              <w:t xml:space="preserve">release must comply with legislation dealing with privacy, secrecy, consent, </w:t>
            </w:r>
            <w:r w:rsidR="00F136A0" w:rsidRPr="00D57007">
              <w:rPr>
                <w:b w:val="0"/>
                <w:sz w:val="22"/>
                <w:szCs w:val="28"/>
              </w:rPr>
              <w:t>commercial-in-</w:t>
            </w:r>
            <w:r w:rsidR="00C20229" w:rsidRPr="00D57007">
              <w:rPr>
                <w:b w:val="0"/>
                <w:sz w:val="22"/>
                <w:szCs w:val="28"/>
              </w:rPr>
              <w:t xml:space="preserve">confidence </w:t>
            </w:r>
            <w:r w:rsidR="00F136A0" w:rsidRPr="00D57007">
              <w:rPr>
                <w:b w:val="0"/>
                <w:sz w:val="22"/>
                <w:szCs w:val="28"/>
              </w:rPr>
              <w:t xml:space="preserve">arrangements </w:t>
            </w:r>
            <w:r w:rsidR="00C20229" w:rsidRPr="00D57007">
              <w:rPr>
                <w:b w:val="0"/>
                <w:sz w:val="22"/>
                <w:szCs w:val="28"/>
              </w:rPr>
              <w:t>and access to freedom of information.</w:t>
            </w:r>
            <w:r w:rsidR="006C3BCE" w:rsidRPr="00D57007">
              <w:rPr>
                <w:b w:val="0"/>
                <w:sz w:val="22"/>
                <w:szCs w:val="28"/>
              </w:rPr>
              <w:t xml:space="preserve"> </w:t>
            </w:r>
            <w:r w:rsidR="00F136A0" w:rsidRPr="00D57007">
              <w:rPr>
                <w:b w:val="0"/>
                <w:sz w:val="22"/>
                <w:szCs w:val="28"/>
              </w:rPr>
              <w:t>Relevant l</w:t>
            </w:r>
            <w:r w:rsidR="00C20229" w:rsidRPr="00D57007">
              <w:rPr>
                <w:b w:val="0"/>
                <w:sz w:val="22"/>
                <w:szCs w:val="28"/>
              </w:rPr>
              <w:t>egislation includes</w:t>
            </w:r>
            <w:r w:rsidR="00F136A0" w:rsidRPr="00D57007">
              <w:rPr>
                <w:b w:val="0"/>
                <w:sz w:val="22"/>
                <w:szCs w:val="28"/>
              </w:rPr>
              <w:t>,</w:t>
            </w:r>
            <w:r w:rsidR="00C20229" w:rsidRPr="00D57007">
              <w:rPr>
                <w:b w:val="0"/>
                <w:sz w:val="22"/>
                <w:szCs w:val="28"/>
              </w:rPr>
              <w:t xml:space="preserve"> but is not limited to</w:t>
            </w:r>
            <w:r w:rsidR="00F136A0" w:rsidRPr="00D57007">
              <w:rPr>
                <w:b w:val="0"/>
                <w:sz w:val="22"/>
                <w:szCs w:val="28"/>
              </w:rPr>
              <w:t xml:space="preserve"> the</w:t>
            </w:r>
            <w:r w:rsidR="00C20229" w:rsidRPr="00D57007">
              <w:rPr>
                <w:b w:val="0"/>
                <w:sz w:val="22"/>
                <w:szCs w:val="28"/>
              </w:rPr>
              <w:t>:</w:t>
            </w:r>
          </w:p>
          <w:p w14:paraId="1C9DBB5F" w14:textId="2D643158"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Public Governance and Performance Accountability Act 2013</w:t>
            </w:r>
            <w:r w:rsidR="00BD6447" w:rsidRPr="00BD6447">
              <w:rPr>
                <w:b w:val="0"/>
                <w:sz w:val="22"/>
                <w:szCs w:val="28"/>
              </w:rPr>
              <w:t xml:space="preserve"> (Cwlth)</w:t>
            </w:r>
          </w:p>
          <w:p w14:paraId="6A29DFCF" w14:textId="0DF5E098"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National Health Reform Act 2011</w:t>
            </w:r>
            <w:r w:rsidR="00BD6447" w:rsidRPr="00BD6447">
              <w:rPr>
                <w:b w:val="0"/>
                <w:sz w:val="22"/>
                <w:szCs w:val="28"/>
              </w:rPr>
              <w:t xml:space="preserve"> (Cwlth)</w:t>
            </w:r>
          </w:p>
          <w:p w14:paraId="637C0028" w14:textId="539B628F"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Privacy Act 1988</w:t>
            </w:r>
            <w:r w:rsidR="00BD6447" w:rsidRPr="00BD6447">
              <w:rPr>
                <w:b w:val="0"/>
                <w:sz w:val="22"/>
                <w:szCs w:val="28"/>
              </w:rPr>
              <w:t xml:space="preserve"> (Cwlth)</w:t>
            </w:r>
          </w:p>
          <w:p w14:paraId="271EF751" w14:textId="3CBBB71E"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Freedom of Information Act 1982</w:t>
            </w:r>
            <w:r w:rsidR="00BD6447" w:rsidRPr="00BD6447">
              <w:rPr>
                <w:b w:val="0"/>
                <w:sz w:val="22"/>
                <w:szCs w:val="28"/>
              </w:rPr>
              <w:t xml:space="preserve"> (Cwlth)</w:t>
            </w:r>
          </w:p>
          <w:p w14:paraId="6A02B0C5" w14:textId="0ED06B9C"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Public Service Act 1999</w:t>
            </w:r>
            <w:r w:rsidR="00BD6447" w:rsidRPr="00BD6447">
              <w:rPr>
                <w:b w:val="0"/>
                <w:sz w:val="22"/>
                <w:szCs w:val="28"/>
              </w:rPr>
              <w:t xml:space="preserve"> (Cwlth)</w:t>
            </w:r>
          </w:p>
          <w:p w14:paraId="04446750" w14:textId="3558A2BE"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Archives Act 1983</w:t>
            </w:r>
            <w:r w:rsidR="00BD6447" w:rsidRPr="00BD6447">
              <w:rPr>
                <w:b w:val="0"/>
                <w:sz w:val="22"/>
                <w:szCs w:val="28"/>
              </w:rPr>
              <w:t xml:space="preserve"> (Cwlth)</w:t>
            </w:r>
          </w:p>
          <w:p w14:paraId="4F3C1133" w14:textId="5105F0A5"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 xml:space="preserve">Electronic </w:t>
            </w:r>
            <w:r w:rsidR="004B486A" w:rsidRPr="00D57007">
              <w:rPr>
                <w:b w:val="0"/>
                <w:i/>
                <w:sz w:val="22"/>
                <w:szCs w:val="28"/>
              </w:rPr>
              <w:t>T</w:t>
            </w:r>
            <w:r w:rsidRPr="00D57007">
              <w:rPr>
                <w:b w:val="0"/>
                <w:i/>
                <w:sz w:val="22"/>
                <w:szCs w:val="28"/>
              </w:rPr>
              <w:t>ransactions Act 1999</w:t>
            </w:r>
            <w:r w:rsidR="00BD6447" w:rsidRPr="00BD6447">
              <w:rPr>
                <w:b w:val="0"/>
                <w:sz w:val="22"/>
                <w:szCs w:val="28"/>
              </w:rPr>
              <w:t xml:space="preserve"> (Cwlth)</w:t>
            </w:r>
          </w:p>
          <w:p w14:paraId="4E6CA0A7" w14:textId="747DFEC5"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Evidence Act 19</w:t>
            </w:r>
            <w:r w:rsidR="00DF735E" w:rsidRPr="00D57007">
              <w:rPr>
                <w:b w:val="0"/>
                <w:i/>
                <w:sz w:val="22"/>
                <w:szCs w:val="28"/>
              </w:rPr>
              <w:t>9</w:t>
            </w:r>
            <w:r w:rsidRPr="00D57007">
              <w:rPr>
                <w:b w:val="0"/>
                <w:i/>
                <w:sz w:val="22"/>
                <w:szCs w:val="28"/>
              </w:rPr>
              <w:t>5</w:t>
            </w:r>
            <w:r w:rsidR="00BD6447" w:rsidRPr="00BD6447">
              <w:rPr>
                <w:b w:val="0"/>
                <w:sz w:val="22"/>
                <w:szCs w:val="28"/>
              </w:rPr>
              <w:t xml:space="preserve"> (Cwlth)</w:t>
            </w:r>
          </w:p>
          <w:p w14:paraId="385BF951" w14:textId="20921643" w:rsidR="00C20229" w:rsidRPr="00D57007" w:rsidRDefault="00C20229" w:rsidP="00614A8C">
            <w:pPr>
              <w:pStyle w:val="TableText"/>
              <w:numPr>
                <w:ilvl w:val="0"/>
                <w:numId w:val="63"/>
              </w:numPr>
              <w:spacing w:before="60" w:after="60"/>
              <w:rPr>
                <w:b w:val="0"/>
                <w:i/>
                <w:sz w:val="22"/>
                <w:szCs w:val="28"/>
              </w:rPr>
            </w:pPr>
            <w:r w:rsidRPr="00D57007">
              <w:rPr>
                <w:b w:val="0"/>
                <w:i/>
                <w:sz w:val="22"/>
                <w:szCs w:val="28"/>
              </w:rPr>
              <w:t>Crimes Act 1914</w:t>
            </w:r>
            <w:r w:rsidR="00BD6447" w:rsidRPr="00BD6447">
              <w:rPr>
                <w:b w:val="0"/>
                <w:sz w:val="22"/>
                <w:szCs w:val="28"/>
              </w:rPr>
              <w:t xml:space="preserve"> (Cwlth)</w:t>
            </w:r>
          </w:p>
          <w:p w14:paraId="3B785950" w14:textId="3862F7A0" w:rsidR="00AF7517" w:rsidRPr="00D57007" w:rsidRDefault="00C20229" w:rsidP="00614A8C">
            <w:pPr>
              <w:pStyle w:val="TableText"/>
              <w:numPr>
                <w:ilvl w:val="0"/>
                <w:numId w:val="63"/>
              </w:numPr>
              <w:spacing w:before="60" w:after="60"/>
              <w:rPr>
                <w:b w:val="0"/>
                <w:i/>
                <w:sz w:val="22"/>
                <w:szCs w:val="28"/>
              </w:rPr>
            </w:pPr>
            <w:r w:rsidRPr="00D57007">
              <w:rPr>
                <w:b w:val="0"/>
                <w:i/>
                <w:sz w:val="22"/>
                <w:szCs w:val="28"/>
              </w:rPr>
              <w:t xml:space="preserve">Ombudsman Act </w:t>
            </w:r>
            <w:r w:rsidR="004B486A" w:rsidRPr="00D57007">
              <w:rPr>
                <w:b w:val="0"/>
                <w:i/>
                <w:sz w:val="22"/>
                <w:szCs w:val="28"/>
              </w:rPr>
              <w:t xml:space="preserve">1976 </w:t>
            </w:r>
            <w:r w:rsidR="00BD6447" w:rsidRPr="00BD6447">
              <w:rPr>
                <w:b w:val="0"/>
                <w:sz w:val="22"/>
                <w:szCs w:val="28"/>
              </w:rPr>
              <w:t>(Cwlth)</w:t>
            </w:r>
            <w:r w:rsidR="00BD6447" w:rsidRPr="00D57007">
              <w:rPr>
                <w:b w:val="0"/>
                <w:sz w:val="22"/>
                <w:szCs w:val="28"/>
              </w:rPr>
              <w:t>.</w:t>
            </w:r>
          </w:p>
          <w:p w14:paraId="13073772" w14:textId="77777777" w:rsidR="006C3BCE" w:rsidRPr="00D57007" w:rsidRDefault="00C20229" w:rsidP="002C692F">
            <w:pPr>
              <w:pStyle w:val="TableText"/>
              <w:spacing w:before="60" w:after="60"/>
              <w:rPr>
                <w:b w:val="0"/>
                <w:sz w:val="22"/>
                <w:szCs w:val="28"/>
              </w:rPr>
            </w:pPr>
            <w:r w:rsidRPr="00D57007">
              <w:rPr>
                <w:b w:val="0"/>
                <w:sz w:val="22"/>
                <w:szCs w:val="28"/>
              </w:rPr>
              <w:t>Any information provided to IHPA under a confidentiality agreement will be treated as confidential and not released on a discretionary basis.</w:t>
            </w:r>
          </w:p>
          <w:p w14:paraId="16E6BAAD" w14:textId="77777777" w:rsidR="00C20229" w:rsidRPr="00D57007" w:rsidRDefault="006C3BCE" w:rsidP="006B4435">
            <w:pPr>
              <w:pStyle w:val="TableText"/>
              <w:keepNext/>
              <w:spacing w:before="60" w:after="60"/>
              <w:rPr>
                <w:b w:val="0"/>
                <w:sz w:val="22"/>
                <w:szCs w:val="28"/>
              </w:rPr>
            </w:pPr>
            <w:r w:rsidRPr="00D57007">
              <w:rPr>
                <w:b w:val="0"/>
                <w:sz w:val="22"/>
                <w:szCs w:val="28"/>
              </w:rPr>
              <w:lastRenderedPageBreak/>
              <w:t>I</w:t>
            </w:r>
            <w:r w:rsidR="00C20229" w:rsidRPr="00D57007">
              <w:rPr>
                <w:b w:val="0"/>
                <w:sz w:val="22"/>
                <w:szCs w:val="28"/>
              </w:rPr>
              <w:t>n general terms, IHPA is obliged to</w:t>
            </w:r>
            <w:r w:rsidR="00F136A0" w:rsidRPr="00D57007">
              <w:rPr>
                <w:b w:val="0"/>
                <w:sz w:val="22"/>
                <w:szCs w:val="28"/>
              </w:rPr>
              <w:t xml:space="preserve"> ensure the </w:t>
            </w:r>
            <w:r w:rsidR="007E7FA9" w:rsidRPr="00D57007">
              <w:rPr>
                <w:b w:val="0"/>
                <w:sz w:val="22"/>
                <w:szCs w:val="28"/>
              </w:rPr>
              <w:t>data</w:t>
            </w:r>
            <w:r w:rsidR="00F136A0" w:rsidRPr="00D57007">
              <w:rPr>
                <w:b w:val="0"/>
                <w:sz w:val="22"/>
                <w:szCs w:val="28"/>
              </w:rPr>
              <w:t xml:space="preserve"> being released is:</w:t>
            </w:r>
          </w:p>
          <w:p w14:paraId="2C944369" w14:textId="035830BB" w:rsidR="00C20229" w:rsidRPr="00D57007" w:rsidRDefault="00F136A0" w:rsidP="006B4435">
            <w:pPr>
              <w:pStyle w:val="TableText"/>
              <w:keepNext/>
              <w:numPr>
                <w:ilvl w:val="0"/>
                <w:numId w:val="49"/>
              </w:numPr>
              <w:spacing w:before="60" w:after="60"/>
              <w:rPr>
                <w:b w:val="0"/>
                <w:sz w:val="22"/>
                <w:szCs w:val="28"/>
              </w:rPr>
            </w:pPr>
            <w:r w:rsidRPr="00D57007">
              <w:rPr>
                <w:b w:val="0"/>
                <w:sz w:val="22"/>
                <w:szCs w:val="28"/>
              </w:rPr>
              <w:t>accurate</w:t>
            </w:r>
          </w:p>
          <w:p w14:paraId="78DDEB91" w14:textId="788BF9B6" w:rsidR="00A479CC" w:rsidRPr="00D57007" w:rsidRDefault="00C20229" w:rsidP="002C692F">
            <w:pPr>
              <w:pStyle w:val="TableText"/>
              <w:numPr>
                <w:ilvl w:val="0"/>
                <w:numId w:val="49"/>
              </w:numPr>
              <w:spacing w:before="60" w:after="60"/>
              <w:rPr>
                <w:b w:val="0"/>
                <w:sz w:val="22"/>
                <w:szCs w:val="28"/>
              </w:rPr>
            </w:pPr>
            <w:r w:rsidRPr="00D57007">
              <w:rPr>
                <w:b w:val="0"/>
                <w:sz w:val="22"/>
                <w:szCs w:val="28"/>
              </w:rPr>
              <w:t>used only for the purpose for which it was</w:t>
            </w:r>
            <w:r w:rsidR="006154A6" w:rsidRPr="00D57007">
              <w:rPr>
                <w:b w:val="0"/>
                <w:sz w:val="22"/>
                <w:szCs w:val="28"/>
              </w:rPr>
              <w:t xml:space="preserve"> </w:t>
            </w:r>
            <w:r w:rsidRPr="00D57007">
              <w:rPr>
                <w:b w:val="0"/>
                <w:sz w:val="22"/>
                <w:szCs w:val="28"/>
              </w:rPr>
              <w:t>collected unless provided for by law</w:t>
            </w:r>
          </w:p>
          <w:p w14:paraId="20FAA61D" w14:textId="33110046" w:rsidR="00A478FB" w:rsidRPr="00D57007" w:rsidRDefault="00C20229" w:rsidP="002C692F">
            <w:pPr>
              <w:pStyle w:val="TableText"/>
              <w:numPr>
                <w:ilvl w:val="0"/>
                <w:numId w:val="49"/>
              </w:numPr>
              <w:spacing w:before="60" w:after="60"/>
              <w:rPr>
                <w:b w:val="0"/>
                <w:sz w:val="22"/>
                <w:szCs w:val="28"/>
              </w:rPr>
            </w:pPr>
            <w:r w:rsidRPr="00D57007">
              <w:rPr>
                <w:b w:val="0"/>
                <w:sz w:val="22"/>
                <w:szCs w:val="28"/>
              </w:rPr>
              <w:t>not disclosed</w:t>
            </w:r>
            <w:r w:rsidR="006154A6" w:rsidRPr="00D57007">
              <w:rPr>
                <w:b w:val="0"/>
                <w:sz w:val="22"/>
                <w:szCs w:val="28"/>
              </w:rPr>
              <w:t xml:space="preserve"> unless provided for by law and </w:t>
            </w:r>
            <w:r w:rsidRPr="00D57007">
              <w:rPr>
                <w:b w:val="0"/>
                <w:sz w:val="22"/>
                <w:szCs w:val="28"/>
              </w:rPr>
              <w:t>meets the</w:t>
            </w:r>
            <w:r w:rsidR="002C692F" w:rsidRPr="00D57007">
              <w:rPr>
                <w:b w:val="0"/>
                <w:sz w:val="22"/>
                <w:szCs w:val="28"/>
              </w:rPr>
              <w:t xml:space="preserve"> principles outlined in this table</w:t>
            </w:r>
          </w:p>
          <w:p w14:paraId="4AC37D74" w14:textId="4F71B1A2" w:rsidR="00211C7B" w:rsidRPr="00D57007" w:rsidRDefault="00C20229" w:rsidP="002C692F">
            <w:pPr>
              <w:pStyle w:val="TableText"/>
              <w:numPr>
                <w:ilvl w:val="0"/>
                <w:numId w:val="49"/>
              </w:numPr>
              <w:spacing w:before="60" w:after="60"/>
              <w:rPr>
                <w:b w:val="0"/>
                <w:sz w:val="22"/>
                <w:szCs w:val="28"/>
              </w:rPr>
            </w:pPr>
            <w:r w:rsidRPr="00D57007">
              <w:rPr>
                <w:b w:val="0"/>
                <w:sz w:val="22"/>
                <w:szCs w:val="28"/>
              </w:rPr>
              <w:t>in accordance with legislative requirements and is done in a way that ensures privacy and protects patient confidentiality.</w:t>
            </w:r>
          </w:p>
        </w:tc>
      </w:tr>
      <w:tr w:rsidR="003A7B44" w:rsidRPr="00D57007" w14:paraId="753F3DCB" w14:textId="77777777" w:rsidTr="00C25EB0">
        <w:trPr>
          <w:trHeight w:val="454"/>
        </w:trPr>
        <w:tc>
          <w:tcPr>
            <w:tcW w:w="2104" w:type="dxa"/>
          </w:tcPr>
          <w:p w14:paraId="404C1C87" w14:textId="77777777" w:rsidR="00313C4E" w:rsidRPr="00D57007" w:rsidRDefault="00E61B62" w:rsidP="002C692F">
            <w:pPr>
              <w:pStyle w:val="TableText"/>
              <w:spacing w:before="60" w:after="60"/>
              <w:rPr>
                <w:sz w:val="22"/>
                <w:szCs w:val="28"/>
              </w:rPr>
            </w:pPr>
            <w:r w:rsidRPr="00D57007">
              <w:rPr>
                <w:sz w:val="22"/>
                <w:szCs w:val="28"/>
              </w:rPr>
              <w:lastRenderedPageBreak/>
              <w:t>3</w:t>
            </w:r>
            <w:r w:rsidR="00211C7B" w:rsidRPr="00D57007">
              <w:rPr>
                <w:sz w:val="22"/>
                <w:szCs w:val="28"/>
              </w:rPr>
              <w:t>.</w:t>
            </w:r>
            <w:r w:rsidR="00313C4E" w:rsidRPr="00D57007">
              <w:rPr>
                <w:sz w:val="22"/>
                <w:szCs w:val="28"/>
              </w:rPr>
              <w:t xml:space="preserve"> Suitable quality for use</w:t>
            </w:r>
          </w:p>
        </w:tc>
        <w:tc>
          <w:tcPr>
            <w:tcW w:w="7371" w:type="dxa"/>
          </w:tcPr>
          <w:p w14:paraId="42EF4B99" w14:textId="77777777" w:rsidR="00313C4E" w:rsidRPr="00D57007" w:rsidRDefault="00313C4E" w:rsidP="002C692F">
            <w:pPr>
              <w:pStyle w:val="TableText"/>
              <w:spacing w:before="60" w:after="60"/>
              <w:rPr>
                <w:b w:val="0"/>
                <w:sz w:val="22"/>
                <w:szCs w:val="28"/>
              </w:rPr>
            </w:pPr>
            <w:r w:rsidRPr="00D57007">
              <w:rPr>
                <w:b w:val="0"/>
                <w:sz w:val="22"/>
                <w:szCs w:val="28"/>
              </w:rPr>
              <w:t xml:space="preserve">In assessing the suitability of </w:t>
            </w:r>
            <w:r w:rsidR="00DF3F49" w:rsidRPr="00D57007">
              <w:rPr>
                <w:b w:val="0"/>
                <w:sz w:val="22"/>
                <w:szCs w:val="28"/>
              </w:rPr>
              <w:t xml:space="preserve">data </w:t>
            </w:r>
            <w:r w:rsidRPr="00D57007">
              <w:rPr>
                <w:b w:val="0"/>
                <w:sz w:val="22"/>
                <w:szCs w:val="28"/>
              </w:rPr>
              <w:t>quality for use, the following will be considered:</w:t>
            </w:r>
          </w:p>
          <w:p w14:paraId="7133FD47" w14:textId="54BF7310" w:rsidR="00313C4E" w:rsidRPr="00D57007" w:rsidRDefault="00313C4E" w:rsidP="002C692F">
            <w:pPr>
              <w:pStyle w:val="TableText"/>
              <w:numPr>
                <w:ilvl w:val="0"/>
                <w:numId w:val="50"/>
              </w:numPr>
              <w:spacing w:before="60" w:after="60"/>
              <w:rPr>
                <w:b w:val="0"/>
                <w:sz w:val="22"/>
                <w:szCs w:val="28"/>
              </w:rPr>
            </w:pPr>
            <w:r w:rsidRPr="00D57007">
              <w:rPr>
                <w:b w:val="0"/>
                <w:sz w:val="22"/>
                <w:szCs w:val="28"/>
              </w:rPr>
              <w:t>accuracy and reliability</w:t>
            </w:r>
          </w:p>
          <w:p w14:paraId="72887EAE" w14:textId="06361CB1" w:rsidR="00313C4E" w:rsidRPr="00D57007" w:rsidRDefault="00313C4E" w:rsidP="002C692F">
            <w:pPr>
              <w:pStyle w:val="TableText"/>
              <w:numPr>
                <w:ilvl w:val="0"/>
                <w:numId w:val="50"/>
              </w:numPr>
              <w:spacing w:before="60" w:after="60"/>
              <w:rPr>
                <w:b w:val="0"/>
                <w:sz w:val="22"/>
                <w:szCs w:val="28"/>
              </w:rPr>
            </w:pPr>
            <w:r w:rsidRPr="00D57007">
              <w:rPr>
                <w:b w:val="0"/>
                <w:sz w:val="22"/>
                <w:szCs w:val="28"/>
              </w:rPr>
              <w:t>agreed definitions, methodologies, measurement techniques and reporting formats</w:t>
            </w:r>
          </w:p>
          <w:p w14:paraId="7970DD02" w14:textId="7734989D" w:rsidR="00313C4E" w:rsidRPr="00D57007" w:rsidRDefault="00313C4E" w:rsidP="002C692F">
            <w:pPr>
              <w:pStyle w:val="TableText"/>
              <w:numPr>
                <w:ilvl w:val="0"/>
                <w:numId w:val="50"/>
              </w:numPr>
              <w:spacing w:before="60" w:after="60"/>
              <w:rPr>
                <w:b w:val="0"/>
                <w:sz w:val="22"/>
                <w:szCs w:val="28"/>
              </w:rPr>
            </w:pPr>
            <w:r w:rsidRPr="00D57007">
              <w:rPr>
                <w:b w:val="0"/>
                <w:sz w:val="22"/>
                <w:szCs w:val="28"/>
              </w:rPr>
              <w:t xml:space="preserve">limitations of the </w:t>
            </w:r>
            <w:r w:rsidR="006B79FD" w:rsidRPr="00D57007">
              <w:rPr>
                <w:b w:val="0"/>
                <w:sz w:val="22"/>
                <w:szCs w:val="28"/>
              </w:rPr>
              <w:t>data</w:t>
            </w:r>
            <w:r w:rsidRPr="00D57007">
              <w:rPr>
                <w:b w:val="0"/>
                <w:sz w:val="22"/>
                <w:szCs w:val="28"/>
              </w:rPr>
              <w:t>, including suitable caveats, are clarified</w:t>
            </w:r>
          </w:p>
          <w:p w14:paraId="79DB830B" w14:textId="77777777" w:rsidR="00313C4E" w:rsidRPr="00D57007" w:rsidRDefault="00313C4E" w:rsidP="002C692F">
            <w:pPr>
              <w:pStyle w:val="TableText"/>
              <w:numPr>
                <w:ilvl w:val="0"/>
                <w:numId w:val="50"/>
              </w:numPr>
              <w:spacing w:before="60" w:after="60"/>
              <w:rPr>
                <w:b w:val="0"/>
                <w:sz w:val="22"/>
                <w:szCs w:val="28"/>
              </w:rPr>
            </w:pPr>
            <w:r w:rsidRPr="00D57007">
              <w:rPr>
                <w:b w:val="0"/>
                <w:sz w:val="22"/>
                <w:szCs w:val="28"/>
              </w:rPr>
              <w:t>reports and releases are accompanied by metadata</w:t>
            </w:r>
            <w:r w:rsidR="00645C0F" w:rsidRPr="00D57007">
              <w:rPr>
                <w:b w:val="0"/>
                <w:sz w:val="22"/>
                <w:szCs w:val="28"/>
              </w:rPr>
              <w:t>.</w:t>
            </w:r>
            <w:r w:rsidRPr="00D57007">
              <w:rPr>
                <w:b w:val="0"/>
                <w:sz w:val="22"/>
                <w:szCs w:val="28"/>
              </w:rPr>
              <w:t xml:space="preserve"> </w:t>
            </w:r>
          </w:p>
        </w:tc>
      </w:tr>
      <w:tr w:rsidR="003A7B44" w:rsidRPr="00D57007" w14:paraId="5C7B5A09" w14:textId="77777777" w:rsidTr="00C25EB0">
        <w:trPr>
          <w:trHeight w:val="454"/>
        </w:trPr>
        <w:tc>
          <w:tcPr>
            <w:tcW w:w="2104" w:type="dxa"/>
          </w:tcPr>
          <w:p w14:paraId="16329E3E" w14:textId="77777777" w:rsidR="00313C4E" w:rsidRPr="00D57007" w:rsidRDefault="00E61B62" w:rsidP="002C692F">
            <w:pPr>
              <w:pStyle w:val="TableText"/>
              <w:spacing w:before="60" w:after="60"/>
              <w:rPr>
                <w:sz w:val="22"/>
                <w:szCs w:val="28"/>
              </w:rPr>
            </w:pPr>
            <w:r w:rsidRPr="00D57007">
              <w:rPr>
                <w:sz w:val="22"/>
                <w:szCs w:val="28"/>
              </w:rPr>
              <w:t>4</w:t>
            </w:r>
            <w:r w:rsidR="00313C4E" w:rsidRPr="00D57007">
              <w:rPr>
                <w:sz w:val="22"/>
                <w:szCs w:val="28"/>
              </w:rPr>
              <w:t>. Suitable for release</w:t>
            </w:r>
          </w:p>
        </w:tc>
        <w:tc>
          <w:tcPr>
            <w:tcW w:w="7371" w:type="dxa"/>
          </w:tcPr>
          <w:p w14:paraId="2EED6FFD" w14:textId="2E44474F" w:rsidR="00CB256B" w:rsidRPr="00D57007" w:rsidRDefault="00926717" w:rsidP="002C692F">
            <w:pPr>
              <w:pStyle w:val="TableText"/>
              <w:spacing w:before="60" w:after="60"/>
              <w:rPr>
                <w:b w:val="0"/>
                <w:sz w:val="22"/>
                <w:szCs w:val="28"/>
              </w:rPr>
            </w:pPr>
            <w:r w:rsidRPr="00D57007">
              <w:rPr>
                <w:b w:val="0"/>
                <w:sz w:val="22"/>
                <w:szCs w:val="28"/>
              </w:rPr>
              <w:t>Un</w:t>
            </w:r>
            <w:r w:rsidR="000754F7" w:rsidRPr="00D57007">
              <w:rPr>
                <w:b w:val="0"/>
                <w:sz w:val="22"/>
                <w:szCs w:val="28"/>
              </w:rPr>
              <w:t>d</w:t>
            </w:r>
            <w:r w:rsidRPr="00D57007">
              <w:rPr>
                <w:b w:val="0"/>
                <w:sz w:val="22"/>
                <w:szCs w:val="28"/>
              </w:rPr>
              <w:t>er th</w:t>
            </w:r>
            <w:r w:rsidR="0034157E" w:rsidRPr="00D57007">
              <w:rPr>
                <w:b w:val="0"/>
                <w:sz w:val="22"/>
                <w:szCs w:val="28"/>
              </w:rPr>
              <w:t>is</w:t>
            </w:r>
            <w:r w:rsidRPr="00D57007">
              <w:rPr>
                <w:b w:val="0"/>
                <w:sz w:val="22"/>
                <w:szCs w:val="28"/>
              </w:rPr>
              <w:t xml:space="preserve"> Policy, </w:t>
            </w:r>
            <w:r w:rsidR="006B79FD" w:rsidRPr="00D57007">
              <w:rPr>
                <w:b w:val="0"/>
                <w:sz w:val="22"/>
                <w:szCs w:val="28"/>
              </w:rPr>
              <w:t>data</w:t>
            </w:r>
            <w:r w:rsidR="00CB256B" w:rsidRPr="00D57007">
              <w:rPr>
                <w:b w:val="0"/>
                <w:sz w:val="22"/>
                <w:szCs w:val="28"/>
              </w:rPr>
              <w:t xml:space="preserve"> </w:t>
            </w:r>
            <w:r w:rsidR="00EF1FE7" w:rsidRPr="00D57007">
              <w:rPr>
                <w:b w:val="0"/>
                <w:sz w:val="22"/>
                <w:szCs w:val="28"/>
              </w:rPr>
              <w:t xml:space="preserve">will </w:t>
            </w:r>
            <w:r w:rsidR="00CB256B" w:rsidRPr="00D57007">
              <w:rPr>
                <w:b w:val="0"/>
                <w:sz w:val="22"/>
                <w:szCs w:val="28"/>
              </w:rPr>
              <w:t xml:space="preserve">be withheld from release in </w:t>
            </w:r>
            <w:r w:rsidR="00424F25" w:rsidRPr="00D57007">
              <w:rPr>
                <w:b w:val="0"/>
                <w:sz w:val="22"/>
                <w:szCs w:val="28"/>
              </w:rPr>
              <w:t xml:space="preserve">additional </w:t>
            </w:r>
            <w:r w:rsidR="00CB256B" w:rsidRPr="00D57007">
              <w:rPr>
                <w:b w:val="0"/>
                <w:sz w:val="22"/>
                <w:szCs w:val="28"/>
              </w:rPr>
              <w:t>circumstances, including:</w:t>
            </w:r>
          </w:p>
          <w:p w14:paraId="65EE10FA" w14:textId="184A4172" w:rsidR="00CB256B" w:rsidRPr="00D57007" w:rsidRDefault="002C692F" w:rsidP="002C692F">
            <w:pPr>
              <w:pStyle w:val="TableText"/>
              <w:numPr>
                <w:ilvl w:val="0"/>
                <w:numId w:val="51"/>
              </w:numPr>
              <w:spacing w:before="60" w:after="60"/>
              <w:rPr>
                <w:b w:val="0"/>
                <w:sz w:val="22"/>
                <w:szCs w:val="28"/>
              </w:rPr>
            </w:pPr>
            <w:r w:rsidRPr="00D57007">
              <w:rPr>
                <w:b w:val="0"/>
                <w:sz w:val="22"/>
                <w:szCs w:val="28"/>
              </w:rPr>
              <w:t>c</w:t>
            </w:r>
            <w:r w:rsidR="00CB256B" w:rsidRPr="00D57007">
              <w:rPr>
                <w:b w:val="0"/>
                <w:sz w:val="22"/>
                <w:szCs w:val="28"/>
              </w:rPr>
              <w:t>ommercial</w:t>
            </w:r>
            <w:r w:rsidR="00530743" w:rsidRPr="00D57007">
              <w:rPr>
                <w:b w:val="0"/>
                <w:sz w:val="22"/>
                <w:szCs w:val="28"/>
              </w:rPr>
              <w:t>-</w:t>
            </w:r>
            <w:r w:rsidR="00CB256B" w:rsidRPr="00D57007">
              <w:rPr>
                <w:b w:val="0"/>
                <w:sz w:val="22"/>
                <w:szCs w:val="28"/>
              </w:rPr>
              <w:t>in</w:t>
            </w:r>
            <w:r w:rsidR="00530743" w:rsidRPr="00D57007">
              <w:rPr>
                <w:b w:val="0"/>
                <w:sz w:val="22"/>
                <w:szCs w:val="28"/>
              </w:rPr>
              <w:t>-</w:t>
            </w:r>
            <w:r w:rsidR="00CB256B" w:rsidRPr="00D57007">
              <w:rPr>
                <w:b w:val="0"/>
                <w:sz w:val="22"/>
                <w:szCs w:val="28"/>
              </w:rPr>
              <w:t>confidence – contains information that is commercial</w:t>
            </w:r>
            <w:r w:rsidRPr="00D57007">
              <w:rPr>
                <w:b w:val="0"/>
                <w:sz w:val="22"/>
                <w:szCs w:val="28"/>
              </w:rPr>
              <w:noBreakHyphen/>
            </w:r>
            <w:r w:rsidR="00CB256B" w:rsidRPr="00D57007">
              <w:rPr>
                <w:b w:val="0"/>
                <w:sz w:val="22"/>
                <w:szCs w:val="28"/>
              </w:rPr>
              <w:t>in</w:t>
            </w:r>
            <w:r w:rsidRPr="00D57007">
              <w:rPr>
                <w:b w:val="0"/>
                <w:sz w:val="22"/>
                <w:szCs w:val="28"/>
              </w:rPr>
              <w:noBreakHyphen/>
            </w:r>
            <w:r w:rsidR="00CB256B" w:rsidRPr="00D57007">
              <w:rPr>
                <w:b w:val="0"/>
                <w:sz w:val="22"/>
                <w:szCs w:val="28"/>
              </w:rPr>
              <w:t>confidence or otherwise commercially sensitive</w:t>
            </w:r>
          </w:p>
          <w:p w14:paraId="790E3F60" w14:textId="0E8025C6" w:rsidR="00CB256B" w:rsidRPr="00D57007" w:rsidRDefault="002C692F" w:rsidP="002C692F">
            <w:pPr>
              <w:pStyle w:val="TableText"/>
              <w:numPr>
                <w:ilvl w:val="0"/>
                <w:numId w:val="51"/>
              </w:numPr>
              <w:spacing w:before="60" w:after="60"/>
              <w:rPr>
                <w:b w:val="0"/>
                <w:sz w:val="22"/>
                <w:szCs w:val="28"/>
              </w:rPr>
            </w:pPr>
            <w:r w:rsidRPr="00D57007">
              <w:rPr>
                <w:b w:val="0"/>
                <w:sz w:val="22"/>
                <w:szCs w:val="28"/>
              </w:rPr>
              <w:t>p</w:t>
            </w:r>
            <w:r w:rsidR="00CB256B" w:rsidRPr="00D57007">
              <w:rPr>
                <w:b w:val="0"/>
                <w:sz w:val="22"/>
                <w:szCs w:val="28"/>
              </w:rPr>
              <w:t xml:space="preserve">atient confidentiality concerns – </w:t>
            </w:r>
            <w:r w:rsidR="00530743" w:rsidRPr="00D57007">
              <w:rPr>
                <w:b w:val="0"/>
                <w:sz w:val="22"/>
                <w:szCs w:val="28"/>
              </w:rPr>
              <w:t xml:space="preserve">data </w:t>
            </w:r>
            <w:r w:rsidR="00CB256B" w:rsidRPr="00D57007">
              <w:rPr>
                <w:b w:val="0"/>
                <w:sz w:val="22"/>
                <w:szCs w:val="28"/>
              </w:rPr>
              <w:t xml:space="preserve">that, if released, may be in breach of patient confidentiality. Section 279(2) of the </w:t>
            </w:r>
            <w:r w:rsidR="00530743" w:rsidRPr="00D57007">
              <w:rPr>
                <w:b w:val="0"/>
                <w:sz w:val="22"/>
                <w:szCs w:val="28"/>
              </w:rPr>
              <w:t xml:space="preserve">NHR </w:t>
            </w:r>
            <w:r w:rsidR="00CB256B" w:rsidRPr="00D57007">
              <w:rPr>
                <w:b w:val="0"/>
                <w:sz w:val="22"/>
                <w:szCs w:val="28"/>
              </w:rPr>
              <w:t>Act states that IHPA must not publish or disseminate information that is likely to enable the identification of a particular patient</w:t>
            </w:r>
          </w:p>
          <w:p w14:paraId="32A2500B" w14:textId="6535E53C" w:rsidR="00821528" w:rsidRPr="00D57007" w:rsidRDefault="002C692F" w:rsidP="002C692F">
            <w:pPr>
              <w:pStyle w:val="TableText"/>
              <w:numPr>
                <w:ilvl w:val="0"/>
                <w:numId w:val="51"/>
              </w:numPr>
              <w:spacing w:before="60" w:after="60"/>
              <w:rPr>
                <w:b w:val="0"/>
                <w:sz w:val="22"/>
                <w:szCs w:val="28"/>
              </w:rPr>
            </w:pPr>
            <w:r w:rsidRPr="00D57007">
              <w:rPr>
                <w:b w:val="0"/>
                <w:sz w:val="22"/>
                <w:szCs w:val="28"/>
              </w:rPr>
              <w:t>h</w:t>
            </w:r>
            <w:r w:rsidR="00CB256B" w:rsidRPr="00D57007">
              <w:rPr>
                <w:b w:val="0"/>
                <w:sz w:val="22"/>
                <w:szCs w:val="28"/>
              </w:rPr>
              <w:t xml:space="preserve">ealth care professional confidentiality concerns – </w:t>
            </w:r>
            <w:r w:rsidR="00064E27" w:rsidRPr="00D57007">
              <w:rPr>
                <w:b w:val="0"/>
                <w:sz w:val="22"/>
                <w:szCs w:val="28"/>
              </w:rPr>
              <w:t xml:space="preserve">data </w:t>
            </w:r>
            <w:r w:rsidR="00CB256B" w:rsidRPr="00D57007">
              <w:rPr>
                <w:b w:val="0"/>
                <w:sz w:val="22"/>
                <w:szCs w:val="28"/>
              </w:rPr>
              <w:t>that, if released, may impact on confidential issues related to health care professionals</w:t>
            </w:r>
          </w:p>
          <w:p w14:paraId="17E58DBD" w14:textId="5FA81380" w:rsidR="006B79FD" w:rsidRPr="00D57007" w:rsidRDefault="002C692F" w:rsidP="002C692F">
            <w:pPr>
              <w:pStyle w:val="TableText"/>
              <w:numPr>
                <w:ilvl w:val="0"/>
                <w:numId w:val="51"/>
              </w:numPr>
              <w:spacing w:before="60" w:after="60"/>
              <w:rPr>
                <w:b w:val="0"/>
                <w:sz w:val="22"/>
                <w:szCs w:val="28"/>
              </w:rPr>
            </w:pPr>
            <w:r w:rsidRPr="00D57007">
              <w:rPr>
                <w:b w:val="0"/>
                <w:sz w:val="22"/>
                <w:szCs w:val="28"/>
              </w:rPr>
              <w:t>a</w:t>
            </w:r>
            <w:r w:rsidR="00821528" w:rsidRPr="00D57007">
              <w:rPr>
                <w:b w:val="0"/>
                <w:sz w:val="22"/>
                <w:szCs w:val="28"/>
              </w:rPr>
              <w:t>ccess outside of Australia – in accordance with the NHR Act, IHPA will not release data to third parties based outside Australia.</w:t>
            </w:r>
          </w:p>
        </w:tc>
      </w:tr>
      <w:tr w:rsidR="003A7B44" w:rsidRPr="00D57007" w14:paraId="62268923" w14:textId="77777777" w:rsidTr="00C25EB0">
        <w:trPr>
          <w:trHeight w:val="454"/>
        </w:trPr>
        <w:tc>
          <w:tcPr>
            <w:tcW w:w="2104" w:type="dxa"/>
          </w:tcPr>
          <w:p w14:paraId="0339E4F6" w14:textId="77777777" w:rsidR="0045591E" w:rsidRPr="00D57007" w:rsidRDefault="00E61B62" w:rsidP="002C692F">
            <w:pPr>
              <w:pStyle w:val="TableText"/>
              <w:spacing w:before="60" w:after="60"/>
              <w:rPr>
                <w:sz w:val="22"/>
                <w:szCs w:val="28"/>
              </w:rPr>
            </w:pPr>
            <w:r w:rsidRPr="00D57007">
              <w:rPr>
                <w:sz w:val="22"/>
                <w:szCs w:val="28"/>
              </w:rPr>
              <w:t>5</w:t>
            </w:r>
            <w:r w:rsidR="0045591E" w:rsidRPr="00D57007">
              <w:rPr>
                <w:sz w:val="22"/>
                <w:szCs w:val="28"/>
              </w:rPr>
              <w:t>. Resource availability</w:t>
            </w:r>
            <w:r w:rsidR="006C3BCE" w:rsidRPr="00D57007">
              <w:rPr>
                <w:sz w:val="22"/>
                <w:szCs w:val="28"/>
              </w:rPr>
              <w:t xml:space="preserve"> </w:t>
            </w:r>
          </w:p>
        </w:tc>
        <w:tc>
          <w:tcPr>
            <w:tcW w:w="7371" w:type="dxa"/>
          </w:tcPr>
          <w:p w14:paraId="5F11751A" w14:textId="5FF1D7DD" w:rsidR="004545D8" w:rsidRPr="00D57007" w:rsidRDefault="00645C0F" w:rsidP="002C692F">
            <w:pPr>
              <w:pStyle w:val="TableText"/>
              <w:spacing w:before="60" w:after="60"/>
              <w:rPr>
                <w:b w:val="0"/>
                <w:sz w:val="22"/>
                <w:szCs w:val="28"/>
              </w:rPr>
            </w:pPr>
            <w:r w:rsidRPr="00D57007">
              <w:rPr>
                <w:b w:val="0"/>
                <w:sz w:val="22"/>
                <w:szCs w:val="28"/>
              </w:rPr>
              <w:t xml:space="preserve">The </w:t>
            </w:r>
            <w:r w:rsidR="00926717" w:rsidRPr="00D57007">
              <w:rPr>
                <w:b w:val="0"/>
                <w:i/>
                <w:sz w:val="22"/>
                <w:szCs w:val="28"/>
              </w:rPr>
              <w:t>Public Governance and Performance Act 2013</w:t>
            </w:r>
            <w:r w:rsidR="00BD6447" w:rsidRPr="00BD6447">
              <w:rPr>
                <w:b w:val="0"/>
                <w:sz w:val="22"/>
                <w:szCs w:val="28"/>
              </w:rPr>
              <w:t xml:space="preserve"> (Cwlth)</w:t>
            </w:r>
            <w:r w:rsidR="00926717" w:rsidRPr="00D57007">
              <w:rPr>
                <w:b w:val="0"/>
                <w:i/>
                <w:sz w:val="22"/>
                <w:szCs w:val="28"/>
              </w:rPr>
              <w:t xml:space="preserve"> </w:t>
            </w:r>
            <w:r w:rsidR="0045591E" w:rsidRPr="00D57007">
              <w:rPr>
                <w:b w:val="0"/>
                <w:sz w:val="22"/>
                <w:szCs w:val="28"/>
              </w:rPr>
              <w:t>requires IHPA</w:t>
            </w:r>
            <w:r w:rsidR="00445C8B" w:rsidRPr="00D57007">
              <w:rPr>
                <w:b w:val="0"/>
                <w:sz w:val="22"/>
                <w:szCs w:val="28"/>
              </w:rPr>
              <w:t xml:space="preserve"> be</w:t>
            </w:r>
            <w:r w:rsidR="0045591E" w:rsidRPr="00D57007">
              <w:rPr>
                <w:b w:val="0"/>
                <w:sz w:val="22"/>
                <w:szCs w:val="28"/>
              </w:rPr>
              <w:t xml:space="preserve"> governed in a way that promotes the proper use of public resources</w:t>
            </w:r>
            <w:r w:rsidR="00445C8B" w:rsidRPr="00D57007">
              <w:rPr>
                <w:b w:val="0"/>
                <w:sz w:val="22"/>
                <w:szCs w:val="28"/>
              </w:rPr>
              <w:t xml:space="preserve"> and</w:t>
            </w:r>
            <w:r w:rsidR="0045591E" w:rsidRPr="00D57007">
              <w:rPr>
                <w:b w:val="0"/>
                <w:sz w:val="22"/>
                <w:szCs w:val="28"/>
              </w:rPr>
              <w:t xml:space="preserve"> achievement of IHPA’s functions</w:t>
            </w:r>
            <w:r w:rsidR="00690E20" w:rsidRPr="00D57007">
              <w:rPr>
                <w:b w:val="0"/>
                <w:sz w:val="22"/>
                <w:szCs w:val="28"/>
              </w:rPr>
              <w:t>.</w:t>
            </w:r>
          </w:p>
          <w:p w14:paraId="3BC64814" w14:textId="77777777" w:rsidR="0045591E" w:rsidRPr="00D57007" w:rsidRDefault="0045591E" w:rsidP="002C692F">
            <w:pPr>
              <w:pStyle w:val="TableText"/>
              <w:spacing w:before="60" w:after="60"/>
              <w:rPr>
                <w:b w:val="0"/>
                <w:sz w:val="22"/>
                <w:szCs w:val="28"/>
              </w:rPr>
            </w:pPr>
            <w:r w:rsidRPr="00D57007">
              <w:rPr>
                <w:b w:val="0"/>
                <w:sz w:val="22"/>
                <w:szCs w:val="28"/>
              </w:rPr>
              <w:t>There are various tests that will be applied to guide decisions on whether to commit resources.</w:t>
            </w:r>
            <w:r w:rsidR="006C3BCE" w:rsidRPr="00D57007">
              <w:rPr>
                <w:b w:val="0"/>
                <w:sz w:val="22"/>
                <w:szCs w:val="28"/>
              </w:rPr>
              <w:t xml:space="preserve"> </w:t>
            </w:r>
            <w:r w:rsidRPr="00D57007">
              <w:rPr>
                <w:b w:val="0"/>
                <w:sz w:val="22"/>
                <w:szCs w:val="28"/>
              </w:rPr>
              <w:t>These may include assessment of the following:</w:t>
            </w:r>
          </w:p>
          <w:p w14:paraId="40C80BBF" w14:textId="3946694C" w:rsidR="0045591E" w:rsidRPr="00D57007" w:rsidRDefault="0045591E" w:rsidP="002C692F">
            <w:pPr>
              <w:pStyle w:val="TableText"/>
              <w:numPr>
                <w:ilvl w:val="0"/>
                <w:numId w:val="52"/>
              </w:numPr>
              <w:spacing w:before="60" w:after="60"/>
              <w:rPr>
                <w:b w:val="0"/>
                <w:sz w:val="22"/>
                <w:szCs w:val="28"/>
              </w:rPr>
            </w:pPr>
            <w:r w:rsidRPr="00D57007">
              <w:rPr>
                <w:b w:val="0"/>
                <w:sz w:val="22"/>
                <w:szCs w:val="28"/>
              </w:rPr>
              <w:t>public benefits exceed IHPA resource costs</w:t>
            </w:r>
          </w:p>
          <w:p w14:paraId="5577681D" w14:textId="007A8793" w:rsidR="0045591E" w:rsidRPr="00D57007" w:rsidRDefault="0045591E" w:rsidP="002C692F">
            <w:pPr>
              <w:pStyle w:val="TableText"/>
              <w:numPr>
                <w:ilvl w:val="0"/>
                <w:numId w:val="52"/>
              </w:numPr>
              <w:spacing w:before="60" w:after="60"/>
              <w:rPr>
                <w:b w:val="0"/>
                <w:sz w:val="22"/>
                <w:szCs w:val="28"/>
              </w:rPr>
            </w:pPr>
            <w:r w:rsidRPr="00D57007">
              <w:rPr>
                <w:b w:val="0"/>
                <w:sz w:val="22"/>
                <w:szCs w:val="28"/>
              </w:rPr>
              <w:t>ability to meet the request in the timeframes stated</w:t>
            </w:r>
          </w:p>
          <w:p w14:paraId="60E2168C" w14:textId="705F5E3F" w:rsidR="0045591E" w:rsidRPr="00D57007" w:rsidRDefault="0045591E" w:rsidP="002C692F">
            <w:pPr>
              <w:pStyle w:val="TableText"/>
              <w:numPr>
                <w:ilvl w:val="0"/>
                <w:numId w:val="52"/>
              </w:numPr>
              <w:spacing w:before="60" w:after="60"/>
              <w:rPr>
                <w:b w:val="0"/>
                <w:sz w:val="22"/>
                <w:szCs w:val="28"/>
              </w:rPr>
            </w:pPr>
            <w:r w:rsidRPr="00D57007">
              <w:rPr>
                <w:b w:val="0"/>
                <w:sz w:val="22"/>
                <w:szCs w:val="28"/>
              </w:rPr>
              <w:t>reasonableness of the requests on IHPA resources given other priorities</w:t>
            </w:r>
          </w:p>
          <w:p w14:paraId="5C87D5EB" w14:textId="77777777" w:rsidR="0045591E" w:rsidRPr="00D57007" w:rsidRDefault="0045591E" w:rsidP="002C692F">
            <w:pPr>
              <w:pStyle w:val="TableText"/>
              <w:numPr>
                <w:ilvl w:val="0"/>
                <w:numId w:val="52"/>
              </w:numPr>
              <w:spacing w:before="60" w:after="60"/>
              <w:rPr>
                <w:b w:val="0"/>
                <w:sz w:val="22"/>
                <w:szCs w:val="28"/>
              </w:rPr>
            </w:pPr>
            <w:r w:rsidRPr="00D57007">
              <w:rPr>
                <w:b w:val="0"/>
                <w:sz w:val="22"/>
                <w:szCs w:val="28"/>
              </w:rPr>
              <w:t xml:space="preserve">consequences of not providing the </w:t>
            </w:r>
            <w:r w:rsidR="00D96A62" w:rsidRPr="00D57007">
              <w:rPr>
                <w:b w:val="0"/>
                <w:sz w:val="22"/>
                <w:szCs w:val="28"/>
              </w:rPr>
              <w:t>data</w:t>
            </w:r>
            <w:r w:rsidRPr="00D57007">
              <w:rPr>
                <w:b w:val="0"/>
                <w:sz w:val="22"/>
                <w:szCs w:val="28"/>
              </w:rPr>
              <w:t>.</w:t>
            </w:r>
          </w:p>
        </w:tc>
      </w:tr>
    </w:tbl>
    <w:p w14:paraId="7B67EBB6" w14:textId="12846A35" w:rsidR="00CB256B" w:rsidRPr="00007DBF" w:rsidRDefault="001F6F10" w:rsidP="001C42E1">
      <w:pPr>
        <w:pStyle w:val="Heading1"/>
      </w:pPr>
      <w:bookmarkStart w:id="131" w:name="_Toc506796544"/>
      <w:r w:rsidRPr="00007DBF">
        <w:br w:type="page"/>
      </w:r>
      <w:bookmarkStart w:id="132" w:name="_Toc36114981"/>
      <w:bookmarkStart w:id="133" w:name="_Toc94527642"/>
      <w:r w:rsidR="00C93EB3" w:rsidRPr="00007DBF">
        <w:lastRenderedPageBreak/>
        <w:t xml:space="preserve">Data access and </w:t>
      </w:r>
      <w:r w:rsidR="00B10E49" w:rsidRPr="00007DBF">
        <w:t>r</w:t>
      </w:r>
      <w:r w:rsidR="00F445AF" w:rsidRPr="00007DBF">
        <w:t>elease</w:t>
      </w:r>
      <w:r w:rsidR="006D2382" w:rsidRPr="00007DBF">
        <w:t xml:space="preserve"> </w:t>
      </w:r>
      <w:r w:rsidR="00B10E49" w:rsidRPr="00007DBF">
        <w:t>p</w:t>
      </w:r>
      <w:r w:rsidR="00F445AF" w:rsidRPr="00007DBF">
        <w:t>rocess</w:t>
      </w:r>
      <w:bookmarkEnd w:id="131"/>
      <w:bookmarkEnd w:id="132"/>
      <w:bookmarkEnd w:id="133"/>
    </w:p>
    <w:p w14:paraId="5CCAA9D0" w14:textId="1C0B2534" w:rsidR="00F445AF" w:rsidRPr="00007DBF" w:rsidRDefault="00C93EB3" w:rsidP="00EF1FE7">
      <w:r w:rsidRPr="00007DBF">
        <w:t>IHPA has a systematic process to manage</w:t>
      </w:r>
      <w:r w:rsidR="00907A2B" w:rsidRPr="00007DBF">
        <w:t xml:space="preserve"> access and</w:t>
      </w:r>
      <w:r w:rsidRPr="00007DBF">
        <w:t xml:space="preserve"> release of data. </w:t>
      </w:r>
      <w:r w:rsidR="00F445AF" w:rsidRPr="00007DBF">
        <w:t>The following section</w:t>
      </w:r>
      <w:r w:rsidR="00EF1FE7">
        <w:t>s</w:t>
      </w:r>
      <w:r w:rsidR="00F445AF" w:rsidRPr="00007DBF">
        <w:t xml:space="preserve"> outline the process</w:t>
      </w:r>
      <w:r w:rsidR="00C1161D" w:rsidRPr="00007DBF">
        <w:t>es</w:t>
      </w:r>
      <w:r w:rsidR="001026EC" w:rsidRPr="00007DBF">
        <w:t xml:space="preserve"> and procedures</w:t>
      </w:r>
      <w:r w:rsidR="00F445AF" w:rsidRPr="00007DBF">
        <w:t xml:space="preserve"> for requesting </w:t>
      </w:r>
      <w:r w:rsidR="00907A2B" w:rsidRPr="00007DBF">
        <w:t>data</w:t>
      </w:r>
      <w:r w:rsidR="00C1161D" w:rsidRPr="00007DBF">
        <w:t>, considering</w:t>
      </w:r>
      <w:r w:rsidR="00F445AF" w:rsidRPr="00007DBF">
        <w:t xml:space="preserve"> requests and </w:t>
      </w:r>
      <w:r w:rsidR="003650BA" w:rsidRPr="00007DBF">
        <w:t>releasing data</w:t>
      </w:r>
      <w:r w:rsidR="00F445AF" w:rsidRPr="00007DBF">
        <w:t>.</w:t>
      </w:r>
      <w:r w:rsidR="006C3BCE" w:rsidRPr="00007DBF">
        <w:t xml:space="preserve"> </w:t>
      </w:r>
    </w:p>
    <w:p w14:paraId="65E184C6" w14:textId="0D111CC3" w:rsidR="00F445AF" w:rsidRPr="00007DBF" w:rsidRDefault="00037B66" w:rsidP="0047660C">
      <w:pPr>
        <w:pStyle w:val="Heading2"/>
      </w:pPr>
      <w:bookmarkStart w:id="134" w:name="_Toc506796545"/>
      <w:bookmarkStart w:id="135" w:name="_Toc36114982"/>
      <w:bookmarkStart w:id="136" w:name="_Toc94527643"/>
      <w:r w:rsidRPr="00007DBF">
        <w:t>Submitting a</w:t>
      </w:r>
      <w:r w:rsidR="00F445AF" w:rsidRPr="00007DBF">
        <w:t xml:space="preserve"> </w:t>
      </w:r>
      <w:bookmarkEnd w:id="134"/>
      <w:bookmarkEnd w:id="135"/>
      <w:r w:rsidR="00306949">
        <w:t>data request</w:t>
      </w:r>
      <w:bookmarkEnd w:id="136"/>
    </w:p>
    <w:p w14:paraId="17AF9592" w14:textId="4D4BA279" w:rsidR="00366052" w:rsidRPr="00007DBF" w:rsidRDefault="00037B66" w:rsidP="00366052">
      <w:r w:rsidRPr="00007DBF">
        <w:t>R</w:t>
      </w:r>
      <w:r w:rsidR="00F445AF" w:rsidRPr="00007DBF">
        <w:t xml:space="preserve">equests for </w:t>
      </w:r>
      <w:r w:rsidR="00366052" w:rsidRPr="00007DBF">
        <w:t xml:space="preserve">data access and release </w:t>
      </w:r>
      <w:r w:rsidR="00F445AF" w:rsidRPr="00007DBF">
        <w:t xml:space="preserve">should be </w:t>
      </w:r>
      <w:r w:rsidR="00366052" w:rsidRPr="00007DBF">
        <w:t xml:space="preserve">addressed </w:t>
      </w:r>
      <w:r w:rsidR="00F445AF" w:rsidRPr="00007DBF">
        <w:t>in writing to the CEO</w:t>
      </w:r>
      <w:r w:rsidR="00266DE3" w:rsidRPr="00007DBF">
        <w:t xml:space="preserve"> of IHPA</w:t>
      </w:r>
      <w:r w:rsidR="00EE269A" w:rsidRPr="00007DBF">
        <w:t xml:space="preserve"> using</w:t>
      </w:r>
      <w:r w:rsidR="00381774" w:rsidRPr="00007DBF">
        <w:t xml:space="preserve"> the ‘</w:t>
      </w:r>
      <w:r w:rsidR="00C077FD" w:rsidRPr="00007DBF">
        <w:t>R</w:t>
      </w:r>
      <w:r w:rsidR="00381774" w:rsidRPr="00007DBF">
        <w:t xml:space="preserve">esearch </w:t>
      </w:r>
      <w:r w:rsidR="00C077FD" w:rsidRPr="00007DBF">
        <w:t>D</w:t>
      </w:r>
      <w:r w:rsidR="00381774" w:rsidRPr="00007DBF">
        <w:t xml:space="preserve">ata </w:t>
      </w:r>
      <w:r w:rsidR="00C077FD" w:rsidRPr="00007DBF">
        <w:t>R</w:t>
      </w:r>
      <w:r w:rsidR="00381774" w:rsidRPr="00007DBF">
        <w:t xml:space="preserve">equest </w:t>
      </w:r>
      <w:r w:rsidR="00C077FD" w:rsidRPr="00007DBF">
        <w:t>F</w:t>
      </w:r>
      <w:r w:rsidR="00366052" w:rsidRPr="00007DBF">
        <w:t>orm</w:t>
      </w:r>
      <w:r w:rsidR="00381774" w:rsidRPr="00007DBF">
        <w:t>’</w:t>
      </w:r>
      <w:r w:rsidR="00366052" w:rsidRPr="00007DBF">
        <w:t xml:space="preserve"> </w:t>
      </w:r>
      <w:r w:rsidR="00EF1FE7">
        <w:t xml:space="preserve">at </w:t>
      </w:r>
      <w:r w:rsidR="00366052" w:rsidRPr="00614A8C">
        <w:rPr>
          <w:rStyle w:val="Hyperlink"/>
          <w:b/>
          <w:bCs/>
          <w:u w:val="none"/>
        </w:rPr>
        <w:t>Appendix C</w:t>
      </w:r>
      <w:r w:rsidR="00366052" w:rsidRPr="00007DBF">
        <w:t>.</w:t>
      </w:r>
    </w:p>
    <w:p w14:paraId="4609BC42" w14:textId="77777777" w:rsidR="00F445AF" w:rsidRPr="00007DBF" w:rsidRDefault="00266DE3" w:rsidP="00CB256B">
      <w:proofErr w:type="gramStart"/>
      <w:r w:rsidRPr="00007DBF">
        <w:t xml:space="preserve">As a guide, the </w:t>
      </w:r>
      <w:r w:rsidR="00F445AF" w:rsidRPr="00007DBF">
        <w:t xml:space="preserve">following </w:t>
      </w:r>
      <w:r w:rsidRPr="00007DBF">
        <w:t>matters</w:t>
      </w:r>
      <w:proofErr w:type="gramEnd"/>
      <w:r w:rsidRPr="00007DBF">
        <w:t xml:space="preserve"> </w:t>
      </w:r>
      <w:r w:rsidR="00366052" w:rsidRPr="00007DBF">
        <w:t xml:space="preserve">need to be </w:t>
      </w:r>
      <w:r w:rsidRPr="00007DBF">
        <w:t>included</w:t>
      </w:r>
      <w:r w:rsidR="00F445AF" w:rsidRPr="00007DBF">
        <w:t xml:space="preserve"> in the written request:</w:t>
      </w:r>
    </w:p>
    <w:p w14:paraId="7E880EFB" w14:textId="144DC44F" w:rsidR="00F445AF" w:rsidRPr="00007DBF" w:rsidRDefault="00EE269A" w:rsidP="00F870A0">
      <w:pPr>
        <w:pStyle w:val="ListParagraph"/>
        <w:numPr>
          <w:ilvl w:val="0"/>
          <w:numId w:val="55"/>
        </w:numPr>
        <w:rPr>
          <w:lang w:eastAsia="ja-JP"/>
        </w:rPr>
      </w:pPr>
      <w:r w:rsidRPr="00007DBF">
        <w:rPr>
          <w:lang w:eastAsia="ja-JP"/>
        </w:rPr>
        <w:t>a</w:t>
      </w:r>
      <w:r w:rsidR="00F445AF" w:rsidRPr="00007DBF">
        <w:rPr>
          <w:lang w:eastAsia="ja-JP"/>
        </w:rPr>
        <w:t>im</w:t>
      </w:r>
      <w:r w:rsidR="002C692F">
        <w:rPr>
          <w:lang w:eastAsia="ja-JP"/>
        </w:rPr>
        <w:t>/s</w:t>
      </w:r>
    </w:p>
    <w:p w14:paraId="44B3BFAD" w14:textId="76E1A79F" w:rsidR="00F445AF" w:rsidRPr="00007DBF" w:rsidRDefault="00EE269A" w:rsidP="00F870A0">
      <w:pPr>
        <w:pStyle w:val="ListParagraph"/>
        <w:numPr>
          <w:ilvl w:val="0"/>
          <w:numId w:val="55"/>
        </w:numPr>
        <w:rPr>
          <w:lang w:eastAsia="ja-JP"/>
        </w:rPr>
      </w:pPr>
      <w:r w:rsidRPr="00007DBF">
        <w:rPr>
          <w:lang w:eastAsia="ja-JP"/>
        </w:rPr>
        <w:t>c</w:t>
      </w:r>
      <w:r w:rsidR="00F445AF" w:rsidRPr="00007DBF">
        <w:rPr>
          <w:lang w:eastAsia="ja-JP"/>
        </w:rPr>
        <w:t>ritical dates</w:t>
      </w:r>
      <w:r w:rsidR="00424F25" w:rsidRPr="00007DBF">
        <w:rPr>
          <w:lang w:eastAsia="ja-JP"/>
        </w:rPr>
        <w:t>, including for data analysis and publication of any planned deliverables</w:t>
      </w:r>
    </w:p>
    <w:p w14:paraId="3ECD1981" w14:textId="0670C140" w:rsidR="00F445AF" w:rsidRPr="00007DBF" w:rsidRDefault="00EE269A" w:rsidP="00F870A0">
      <w:pPr>
        <w:pStyle w:val="ListParagraph"/>
        <w:numPr>
          <w:ilvl w:val="0"/>
          <w:numId w:val="55"/>
        </w:numPr>
        <w:rPr>
          <w:lang w:eastAsia="ja-JP"/>
        </w:rPr>
      </w:pPr>
      <w:r w:rsidRPr="00007DBF">
        <w:rPr>
          <w:lang w:eastAsia="ja-JP"/>
        </w:rPr>
        <w:t>d</w:t>
      </w:r>
      <w:r w:rsidR="00F445AF" w:rsidRPr="00007DBF">
        <w:rPr>
          <w:lang w:eastAsia="ja-JP"/>
        </w:rPr>
        <w:t>ata services sought (</w:t>
      </w:r>
      <w:r w:rsidR="00EF1FE7">
        <w:rPr>
          <w:lang w:eastAsia="ja-JP"/>
        </w:rPr>
        <w:t>for example</w:t>
      </w:r>
      <w:r w:rsidR="00306949">
        <w:rPr>
          <w:lang w:eastAsia="ja-JP"/>
        </w:rPr>
        <w:t>,</w:t>
      </w:r>
      <w:r w:rsidR="00F445AF" w:rsidRPr="00007DBF">
        <w:rPr>
          <w:lang w:eastAsia="ja-JP"/>
        </w:rPr>
        <w:t xml:space="preserve"> data extraction)</w:t>
      </w:r>
    </w:p>
    <w:p w14:paraId="5D58328B" w14:textId="233CD377" w:rsidR="00F445AF" w:rsidRPr="00007DBF" w:rsidRDefault="00EE269A" w:rsidP="00F870A0">
      <w:pPr>
        <w:pStyle w:val="ListParagraph"/>
        <w:numPr>
          <w:ilvl w:val="0"/>
          <w:numId w:val="55"/>
        </w:numPr>
        <w:rPr>
          <w:lang w:eastAsia="ja-JP"/>
        </w:rPr>
      </w:pPr>
      <w:r w:rsidRPr="00007DBF">
        <w:rPr>
          <w:lang w:eastAsia="ja-JP"/>
        </w:rPr>
        <w:t>d</w:t>
      </w:r>
      <w:r w:rsidR="00F445AF" w:rsidRPr="00007DBF">
        <w:rPr>
          <w:lang w:eastAsia="ja-JP"/>
        </w:rPr>
        <w:t>ata variables of interest</w:t>
      </w:r>
    </w:p>
    <w:p w14:paraId="1B97DFAE" w14:textId="2EB270B8" w:rsidR="00F445AF" w:rsidRPr="00007DBF" w:rsidRDefault="00EE269A" w:rsidP="00F870A0">
      <w:pPr>
        <w:pStyle w:val="ListParagraph"/>
        <w:numPr>
          <w:ilvl w:val="0"/>
          <w:numId w:val="55"/>
        </w:numPr>
        <w:rPr>
          <w:lang w:eastAsia="ja-JP"/>
        </w:rPr>
      </w:pPr>
      <w:r w:rsidRPr="00007DBF">
        <w:rPr>
          <w:lang w:eastAsia="ja-JP"/>
        </w:rPr>
        <w:t>d</w:t>
      </w:r>
      <w:r w:rsidR="00F445AF" w:rsidRPr="00007DBF">
        <w:rPr>
          <w:lang w:eastAsia="ja-JP"/>
        </w:rPr>
        <w:t>ata collection involved (</w:t>
      </w:r>
      <w:r w:rsidR="00EF1FE7">
        <w:rPr>
          <w:lang w:eastAsia="ja-JP"/>
        </w:rPr>
        <w:t>for example</w:t>
      </w:r>
      <w:r w:rsidR="00306949">
        <w:rPr>
          <w:lang w:eastAsia="ja-JP"/>
        </w:rPr>
        <w:t>,</w:t>
      </w:r>
      <w:r w:rsidR="00F445AF" w:rsidRPr="00007DBF">
        <w:rPr>
          <w:lang w:eastAsia="ja-JP"/>
        </w:rPr>
        <w:t xml:space="preserve"> costing data, activity data)</w:t>
      </w:r>
    </w:p>
    <w:p w14:paraId="2C6CE03E" w14:textId="02DDF5B8" w:rsidR="00F445AF" w:rsidRPr="00007DBF" w:rsidRDefault="00EE269A" w:rsidP="00F870A0">
      <w:pPr>
        <w:pStyle w:val="ListParagraph"/>
        <w:numPr>
          <w:ilvl w:val="0"/>
          <w:numId w:val="55"/>
        </w:numPr>
        <w:rPr>
          <w:lang w:eastAsia="ja-JP"/>
        </w:rPr>
      </w:pPr>
      <w:r w:rsidRPr="00007DBF">
        <w:rPr>
          <w:lang w:eastAsia="ja-JP"/>
        </w:rPr>
        <w:t>t</w:t>
      </w:r>
      <w:r w:rsidR="00F445AF" w:rsidRPr="00007DBF">
        <w:rPr>
          <w:lang w:eastAsia="ja-JP"/>
        </w:rPr>
        <w:t>ime periods of interest</w:t>
      </w:r>
    </w:p>
    <w:p w14:paraId="67E36FAE" w14:textId="68FC8CA5" w:rsidR="00266DE3" w:rsidRPr="00007DBF" w:rsidRDefault="00EE269A" w:rsidP="00F870A0">
      <w:pPr>
        <w:pStyle w:val="ListParagraph"/>
        <w:numPr>
          <w:ilvl w:val="0"/>
          <w:numId w:val="55"/>
        </w:numPr>
        <w:rPr>
          <w:lang w:eastAsia="ja-JP"/>
        </w:rPr>
      </w:pPr>
      <w:proofErr w:type="gramStart"/>
      <w:r w:rsidRPr="00007DBF">
        <w:rPr>
          <w:lang w:eastAsia="ja-JP"/>
        </w:rPr>
        <w:t>r</w:t>
      </w:r>
      <w:r w:rsidR="00F445AF" w:rsidRPr="00007DBF">
        <w:rPr>
          <w:lang w:eastAsia="ja-JP"/>
        </w:rPr>
        <w:t>equestor</w:t>
      </w:r>
      <w:proofErr w:type="gramEnd"/>
      <w:r w:rsidR="00F445AF" w:rsidRPr="00007DBF">
        <w:rPr>
          <w:lang w:eastAsia="ja-JP"/>
        </w:rPr>
        <w:t xml:space="preserve"> contact details</w:t>
      </w:r>
    </w:p>
    <w:p w14:paraId="3BAC7912" w14:textId="01AE5CF3" w:rsidR="00424F25" w:rsidRPr="00007DBF" w:rsidRDefault="00424F25" w:rsidP="00F870A0">
      <w:pPr>
        <w:pStyle w:val="ListParagraph"/>
        <w:numPr>
          <w:ilvl w:val="0"/>
          <w:numId w:val="55"/>
        </w:numPr>
        <w:rPr>
          <w:lang w:eastAsia="ja-JP"/>
        </w:rPr>
      </w:pPr>
      <w:r w:rsidRPr="00007DBF">
        <w:rPr>
          <w:lang w:eastAsia="ja-JP"/>
        </w:rPr>
        <w:t>details of all parties who are requesting access to the data</w:t>
      </w:r>
    </w:p>
    <w:p w14:paraId="1CBC2235" w14:textId="71DED978" w:rsidR="00424F25" w:rsidRPr="00007DBF" w:rsidRDefault="00EE269A" w:rsidP="00F870A0">
      <w:pPr>
        <w:pStyle w:val="ListParagraph"/>
        <w:numPr>
          <w:ilvl w:val="0"/>
          <w:numId w:val="55"/>
        </w:numPr>
        <w:rPr>
          <w:lang w:eastAsia="ja-JP"/>
        </w:rPr>
      </w:pPr>
      <w:r w:rsidRPr="00007DBF">
        <w:rPr>
          <w:lang w:eastAsia="ja-JP"/>
        </w:rPr>
        <w:t>a</w:t>
      </w:r>
      <w:r w:rsidR="00266DE3" w:rsidRPr="00007DBF">
        <w:rPr>
          <w:lang w:eastAsia="ja-JP"/>
        </w:rPr>
        <w:t>ny other information th</w:t>
      </w:r>
      <w:r w:rsidR="00EF1FE7">
        <w:rPr>
          <w:lang w:eastAsia="ja-JP"/>
        </w:rPr>
        <w:t xml:space="preserve">at may support </w:t>
      </w:r>
      <w:r w:rsidR="00266DE3" w:rsidRPr="00007DBF">
        <w:rPr>
          <w:lang w:eastAsia="ja-JP"/>
        </w:rPr>
        <w:t>the application</w:t>
      </w:r>
      <w:r w:rsidR="00A875D6" w:rsidRPr="00007DBF">
        <w:rPr>
          <w:lang w:eastAsia="ja-JP"/>
        </w:rPr>
        <w:t>.</w:t>
      </w:r>
    </w:p>
    <w:p w14:paraId="0EA8F913" w14:textId="2302F57C" w:rsidR="00F445AF" w:rsidRPr="00007DBF" w:rsidRDefault="00F445AF" w:rsidP="0047660C">
      <w:pPr>
        <w:pStyle w:val="Heading2"/>
        <w:contextualSpacing w:val="0"/>
      </w:pPr>
      <w:bookmarkStart w:id="137" w:name="_Toc534876839"/>
      <w:bookmarkStart w:id="138" w:name="_Toc534976437"/>
      <w:bookmarkStart w:id="139" w:name="_Toc534986428"/>
      <w:bookmarkStart w:id="140" w:name="_Toc444735"/>
      <w:bookmarkStart w:id="141" w:name="_Toc944331"/>
      <w:bookmarkStart w:id="142" w:name="_Toc1985142"/>
      <w:bookmarkStart w:id="143" w:name="_Toc7531620"/>
      <w:bookmarkStart w:id="144" w:name="_Toc8998956"/>
      <w:bookmarkStart w:id="145" w:name="_Toc13143404"/>
      <w:bookmarkStart w:id="146" w:name="_Toc506796546"/>
      <w:bookmarkStart w:id="147" w:name="_Toc36114983"/>
      <w:bookmarkStart w:id="148" w:name="_Toc94527644"/>
      <w:bookmarkEnd w:id="137"/>
      <w:bookmarkEnd w:id="138"/>
      <w:bookmarkEnd w:id="139"/>
      <w:bookmarkEnd w:id="140"/>
      <w:bookmarkEnd w:id="141"/>
      <w:bookmarkEnd w:id="142"/>
      <w:bookmarkEnd w:id="143"/>
      <w:bookmarkEnd w:id="144"/>
      <w:bookmarkEnd w:id="145"/>
      <w:r w:rsidRPr="00007DBF">
        <w:t xml:space="preserve">Consideration of </w:t>
      </w:r>
      <w:r w:rsidR="00306949">
        <w:t xml:space="preserve">data </w:t>
      </w:r>
      <w:r w:rsidRPr="00007DBF">
        <w:t>requests</w:t>
      </w:r>
      <w:bookmarkEnd w:id="146"/>
      <w:bookmarkEnd w:id="147"/>
      <w:bookmarkEnd w:id="148"/>
    </w:p>
    <w:p w14:paraId="03680175" w14:textId="51A5A8A2" w:rsidR="008D6ECD" w:rsidRPr="00007DBF" w:rsidRDefault="00BE1E04" w:rsidP="002A20CA">
      <w:bookmarkStart w:id="149" w:name="_Toc534986430"/>
      <w:r w:rsidRPr="00007DBF">
        <w:t>IHPA will consider the</w:t>
      </w:r>
      <w:r w:rsidR="00306949">
        <w:t xml:space="preserve"> principles</w:t>
      </w:r>
      <w:r w:rsidRPr="00007DBF">
        <w:t xml:space="preserve"> </w:t>
      </w:r>
      <w:r w:rsidR="004C72B3" w:rsidRPr="00007DBF">
        <w:t>outlined in Chapter 3 of th</w:t>
      </w:r>
      <w:r w:rsidR="00EF1FE7">
        <w:t>is</w:t>
      </w:r>
      <w:r w:rsidR="004C72B3" w:rsidRPr="00007DBF">
        <w:t xml:space="preserve"> Policy</w:t>
      </w:r>
      <w:r w:rsidRPr="00007DBF">
        <w:t xml:space="preserve"> </w:t>
      </w:r>
      <w:r w:rsidR="004C72B3" w:rsidRPr="00007DBF">
        <w:t xml:space="preserve">when </w:t>
      </w:r>
      <w:r w:rsidRPr="00007DBF">
        <w:t>determining whether the</w:t>
      </w:r>
      <w:r w:rsidR="000B7B59" w:rsidRPr="00007DBF">
        <w:t xml:space="preserve"> data</w:t>
      </w:r>
      <w:r w:rsidRPr="00007DBF">
        <w:t xml:space="preserve"> will be released.</w:t>
      </w:r>
      <w:r w:rsidR="0003366A" w:rsidRPr="00007DBF">
        <w:t xml:space="preserve"> </w:t>
      </w:r>
    </w:p>
    <w:p w14:paraId="480C97C8" w14:textId="5B433760" w:rsidR="00037B66" w:rsidRPr="00007DBF" w:rsidRDefault="00262673" w:rsidP="002A20CA">
      <w:r w:rsidRPr="00007DBF">
        <w:t xml:space="preserve">IHPA may </w:t>
      </w:r>
      <w:r w:rsidR="0034412A">
        <w:t>request</w:t>
      </w:r>
      <w:r w:rsidRPr="00007DBF">
        <w:t xml:space="preserve"> an applicant review </w:t>
      </w:r>
      <w:r w:rsidR="00037B66" w:rsidRPr="00007DBF">
        <w:t xml:space="preserve">their request for data if it does not fully comply with the </w:t>
      </w:r>
      <w:r w:rsidR="00306949">
        <w:t>d</w:t>
      </w:r>
      <w:r w:rsidR="00037B66" w:rsidRPr="00C3684A">
        <w:t xml:space="preserve">ata </w:t>
      </w:r>
      <w:r w:rsidR="00306949">
        <w:t>a</w:t>
      </w:r>
      <w:r w:rsidR="00037B66" w:rsidRPr="00C3684A">
        <w:t xml:space="preserve">ccess and </w:t>
      </w:r>
      <w:r w:rsidR="00306949">
        <w:t>r</w:t>
      </w:r>
      <w:r w:rsidR="00037B66" w:rsidRPr="00C3684A">
        <w:t xml:space="preserve">elease </w:t>
      </w:r>
      <w:r w:rsidR="00306949">
        <w:t>p</w:t>
      </w:r>
      <w:r w:rsidR="00037B66" w:rsidRPr="00C3684A">
        <w:t>rinciples</w:t>
      </w:r>
      <w:r w:rsidR="00037B66" w:rsidRPr="00007DBF">
        <w:t>.</w:t>
      </w:r>
    </w:p>
    <w:p w14:paraId="2627A8ED" w14:textId="584AD6EE" w:rsidR="00DC0F6A" w:rsidRPr="00007DBF" w:rsidRDefault="00DC0F6A" w:rsidP="00B67EC7">
      <w:pPr>
        <w:pStyle w:val="Heading3"/>
      </w:pPr>
      <w:bookmarkStart w:id="150" w:name="_Toc944333"/>
      <w:bookmarkStart w:id="151" w:name="_Toc1985144"/>
      <w:bookmarkStart w:id="152" w:name="_Toc534876842"/>
      <w:bookmarkStart w:id="153" w:name="_Toc534976440"/>
      <w:bookmarkStart w:id="154" w:name="_Toc534986431"/>
      <w:bookmarkStart w:id="155" w:name="_Toc444738"/>
      <w:bookmarkStart w:id="156" w:name="_Toc944334"/>
      <w:bookmarkStart w:id="157" w:name="_Toc1985145"/>
      <w:bookmarkStart w:id="158" w:name="_Toc534876843"/>
      <w:bookmarkStart w:id="159" w:name="_Toc534976441"/>
      <w:bookmarkStart w:id="160" w:name="_Toc534986432"/>
      <w:bookmarkStart w:id="161" w:name="_Toc444739"/>
      <w:bookmarkStart w:id="162" w:name="_Toc944335"/>
      <w:bookmarkStart w:id="163" w:name="_Toc1985146"/>
      <w:bookmarkStart w:id="164" w:name="_Toc534876844"/>
      <w:bookmarkStart w:id="165" w:name="_Toc534976442"/>
      <w:bookmarkStart w:id="166" w:name="_Toc534986433"/>
      <w:bookmarkStart w:id="167" w:name="_Toc444740"/>
      <w:bookmarkStart w:id="168" w:name="_Toc944336"/>
      <w:bookmarkStart w:id="169" w:name="_Toc1985147"/>
      <w:bookmarkStart w:id="170" w:name="_Toc534876845"/>
      <w:bookmarkStart w:id="171" w:name="_Toc534976443"/>
      <w:bookmarkStart w:id="172" w:name="_Toc534986434"/>
      <w:bookmarkStart w:id="173" w:name="_Toc444741"/>
      <w:bookmarkStart w:id="174" w:name="_Toc944337"/>
      <w:bookmarkStart w:id="175" w:name="_Toc1985148"/>
      <w:bookmarkStart w:id="176" w:name="_Toc534876846"/>
      <w:bookmarkStart w:id="177" w:name="_Toc534976444"/>
      <w:bookmarkStart w:id="178" w:name="_Toc534986435"/>
      <w:bookmarkStart w:id="179" w:name="_Toc444742"/>
      <w:bookmarkStart w:id="180" w:name="_Toc944338"/>
      <w:bookmarkStart w:id="181" w:name="_Toc1985149"/>
      <w:bookmarkStart w:id="182" w:name="_Toc534876847"/>
      <w:bookmarkStart w:id="183" w:name="_Toc534976445"/>
      <w:bookmarkStart w:id="184" w:name="_Toc534986436"/>
      <w:bookmarkStart w:id="185" w:name="_Toc444743"/>
      <w:bookmarkStart w:id="186" w:name="_Toc944339"/>
      <w:bookmarkStart w:id="187" w:name="_Toc1985150"/>
      <w:bookmarkStart w:id="188" w:name="_Toc534876848"/>
      <w:bookmarkStart w:id="189" w:name="_Toc534976446"/>
      <w:bookmarkStart w:id="190" w:name="_Toc534986437"/>
      <w:bookmarkStart w:id="191" w:name="_Toc444744"/>
      <w:bookmarkStart w:id="192" w:name="_Toc944340"/>
      <w:bookmarkStart w:id="193" w:name="_Toc1985151"/>
      <w:bookmarkStart w:id="194" w:name="_Toc36114984"/>
      <w:bookmarkStart w:id="195" w:name="_Toc6153632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07DBF">
        <w:t xml:space="preserve">Consultation with </w:t>
      </w:r>
      <w:r w:rsidR="008D6ECD" w:rsidRPr="00007DBF">
        <w:t>jurisdictions</w:t>
      </w:r>
      <w:bookmarkEnd w:id="194"/>
      <w:bookmarkEnd w:id="195"/>
    </w:p>
    <w:p w14:paraId="5A885AB2" w14:textId="1560260C" w:rsidR="009206AB" w:rsidRPr="00007DBF" w:rsidRDefault="00DC0F6A" w:rsidP="00DC0F6A">
      <w:pPr>
        <w:pStyle w:val="TableText"/>
        <w:rPr>
          <w:b w:val="0"/>
          <w:sz w:val="22"/>
          <w:szCs w:val="22"/>
        </w:rPr>
      </w:pPr>
      <w:r w:rsidRPr="00007DBF">
        <w:rPr>
          <w:b w:val="0"/>
          <w:sz w:val="22"/>
          <w:szCs w:val="22"/>
        </w:rPr>
        <w:t xml:space="preserve">IHPA will inform jurisdictions </w:t>
      </w:r>
      <w:r w:rsidR="00196202" w:rsidRPr="00007DBF">
        <w:rPr>
          <w:b w:val="0"/>
          <w:sz w:val="22"/>
          <w:szCs w:val="22"/>
        </w:rPr>
        <w:t xml:space="preserve">in writing </w:t>
      </w:r>
      <w:r w:rsidR="00D24650" w:rsidRPr="00007DBF">
        <w:rPr>
          <w:b w:val="0"/>
          <w:sz w:val="22"/>
          <w:szCs w:val="22"/>
        </w:rPr>
        <w:t xml:space="preserve">of a request for data access and release </w:t>
      </w:r>
      <w:r w:rsidR="00E714B8" w:rsidRPr="00007DBF">
        <w:rPr>
          <w:b w:val="0"/>
          <w:sz w:val="22"/>
          <w:szCs w:val="22"/>
        </w:rPr>
        <w:t xml:space="preserve">via </w:t>
      </w:r>
      <w:r w:rsidR="00D24650" w:rsidRPr="00007DBF">
        <w:rPr>
          <w:b w:val="0"/>
          <w:sz w:val="22"/>
          <w:szCs w:val="22"/>
        </w:rPr>
        <w:t xml:space="preserve">its </w:t>
      </w:r>
      <w:r w:rsidR="00E714B8" w:rsidRPr="00007DBF">
        <w:rPr>
          <w:b w:val="0"/>
          <w:sz w:val="22"/>
          <w:szCs w:val="22"/>
        </w:rPr>
        <w:t xml:space="preserve">Jurisdictional Advisory </w:t>
      </w:r>
      <w:proofErr w:type="gramStart"/>
      <w:r w:rsidR="00196202" w:rsidRPr="00007DBF">
        <w:rPr>
          <w:b w:val="0"/>
          <w:sz w:val="22"/>
          <w:szCs w:val="22"/>
        </w:rPr>
        <w:t>Committee</w:t>
      </w:r>
      <w:r w:rsidR="00D24650" w:rsidRPr="00007DBF">
        <w:rPr>
          <w:b w:val="0"/>
          <w:sz w:val="22"/>
          <w:szCs w:val="22"/>
        </w:rPr>
        <w:t xml:space="preserve">, </w:t>
      </w:r>
      <w:r w:rsidRPr="00007DBF">
        <w:rPr>
          <w:b w:val="0"/>
          <w:sz w:val="22"/>
          <w:szCs w:val="22"/>
        </w:rPr>
        <w:t>and</w:t>
      </w:r>
      <w:proofErr w:type="gramEnd"/>
      <w:r w:rsidRPr="00007DBF">
        <w:rPr>
          <w:b w:val="0"/>
          <w:sz w:val="22"/>
          <w:szCs w:val="22"/>
        </w:rPr>
        <w:t xml:space="preserve"> provide a </w:t>
      </w:r>
      <w:r w:rsidR="00AB004D" w:rsidRPr="00007DBF">
        <w:rPr>
          <w:b w:val="0"/>
          <w:sz w:val="22"/>
          <w:szCs w:val="22"/>
        </w:rPr>
        <w:t>14-day</w:t>
      </w:r>
      <w:r w:rsidRPr="00007DBF">
        <w:rPr>
          <w:b w:val="0"/>
          <w:sz w:val="22"/>
          <w:szCs w:val="22"/>
        </w:rPr>
        <w:t xml:space="preserve"> consultation period for jurisdictions to comment on a proposed</w:t>
      </w:r>
      <w:r w:rsidR="0034412A">
        <w:rPr>
          <w:b w:val="0"/>
          <w:sz w:val="22"/>
          <w:szCs w:val="22"/>
        </w:rPr>
        <w:t xml:space="preserve"> data</w:t>
      </w:r>
      <w:r w:rsidRPr="00007DBF">
        <w:rPr>
          <w:b w:val="0"/>
          <w:sz w:val="22"/>
          <w:szCs w:val="22"/>
        </w:rPr>
        <w:t xml:space="preserve"> release. </w:t>
      </w:r>
    </w:p>
    <w:p w14:paraId="3C0C4D42" w14:textId="371B824B" w:rsidR="00DC0F6A" w:rsidRPr="00007DBF" w:rsidRDefault="009206AB" w:rsidP="00DC0F6A">
      <w:pPr>
        <w:pStyle w:val="TableText"/>
        <w:rPr>
          <w:b w:val="0"/>
          <w:sz w:val="22"/>
          <w:szCs w:val="22"/>
        </w:rPr>
      </w:pPr>
      <w:r w:rsidRPr="00007DBF">
        <w:rPr>
          <w:b w:val="0"/>
          <w:sz w:val="22"/>
          <w:szCs w:val="22"/>
        </w:rPr>
        <w:t>As part of the consultation, IHPA will advise jurisdiction</w:t>
      </w:r>
      <w:r w:rsidR="00B9188B" w:rsidRPr="00007DBF">
        <w:rPr>
          <w:b w:val="0"/>
          <w:sz w:val="22"/>
          <w:szCs w:val="22"/>
        </w:rPr>
        <w:t>s</w:t>
      </w:r>
      <w:r w:rsidRPr="00007DBF">
        <w:rPr>
          <w:b w:val="0"/>
          <w:sz w:val="22"/>
          <w:szCs w:val="22"/>
        </w:rPr>
        <w:t xml:space="preserve"> of the </w:t>
      </w:r>
      <w:r w:rsidR="00DE0D86" w:rsidRPr="00007DBF">
        <w:rPr>
          <w:b w:val="0"/>
          <w:sz w:val="22"/>
          <w:szCs w:val="22"/>
        </w:rPr>
        <w:t xml:space="preserve">requested </w:t>
      </w:r>
      <w:r w:rsidRPr="00007DBF">
        <w:rPr>
          <w:b w:val="0"/>
          <w:sz w:val="22"/>
          <w:szCs w:val="22"/>
        </w:rPr>
        <w:t>data specification</w:t>
      </w:r>
      <w:r w:rsidR="00DE0D86" w:rsidRPr="00007DBF">
        <w:rPr>
          <w:b w:val="0"/>
          <w:sz w:val="22"/>
          <w:szCs w:val="22"/>
        </w:rPr>
        <w:t>s</w:t>
      </w:r>
      <w:r w:rsidRPr="00007DBF">
        <w:rPr>
          <w:b w:val="0"/>
          <w:sz w:val="22"/>
          <w:szCs w:val="22"/>
        </w:rPr>
        <w:t xml:space="preserve">, the source of the data request, </w:t>
      </w:r>
      <w:r w:rsidR="00A479CC" w:rsidRPr="00007DBF">
        <w:rPr>
          <w:b w:val="0"/>
          <w:sz w:val="22"/>
          <w:szCs w:val="22"/>
        </w:rPr>
        <w:t xml:space="preserve">relevant </w:t>
      </w:r>
      <w:r w:rsidRPr="00007DBF">
        <w:rPr>
          <w:b w:val="0"/>
          <w:sz w:val="22"/>
          <w:szCs w:val="22"/>
        </w:rPr>
        <w:t>parties wh</w:t>
      </w:r>
      <w:r w:rsidR="000A4FFD" w:rsidRPr="00007DBF">
        <w:rPr>
          <w:b w:val="0"/>
          <w:sz w:val="22"/>
          <w:szCs w:val="22"/>
        </w:rPr>
        <w:t>o will have access to the data and the type of ethical approval obtained (if applicable).</w:t>
      </w:r>
      <w:r w:rsidR="00B9188B" w:rsidRPr="00007DBF">
        <w:rPr>
          <w:b w:val="0"/>
          <w:sz w:val="22"/>
          <w:szCs w:val="22"/>
        </w:rPr>
        <w:t xml:space="preserve"> </w:t>
      </w:r>
      <w:r w:rsidR="00064B0B" w:rsidRPr="00007DBF">
        <w:rPr>
          <w:b w:val="0"/>
          <w:sz w:val="22"/>
          <w:szCs w:val="22"/>
        </w:rPr>
        <w:t xml:space="preserve">This information will be accompanied by a </w:t>
      </w:r>
      <w:r w:rsidR="00B9188B" w:rsidRPr="00007DBF">
        <w:rPr>
          <w:b w:val="0"/>
          <w:sz w:val="22"/>
          <w:szCs w:val="22"/>
        </w:rPr>
        <w:t>c</w:t>
      </w:r>
      <w:r w:rsidR="00064B0B" w:rsidRPr="00007DBF">
        <w:rPr>
          <w:b w:val="0"/>
          <w:sz w:val="22"/>
          <w:szCs w:val="22"/>
        </w:rPr>
        <w:t>opy</w:t>
      </w:r>
      <w:r w:rsidR="00B9188B" w:rsidRPr="00007DBF">
        <w:rPr>
          <w:b w:val="0"/>
          <w:sz w:val="22"/>
          <w:szCs w:val="22"/>
        </w:rPr>
        <w:t xml:space="preserve"> of </w:t>
      </w:r>
      <w:r w:rsidR="00064B0B" w:rsidRPr="00007DBF">
        <w:rPr>
          <w:b w:val="0"/>
          <w:sz w:val="22"/>
          <w:szCs w:val="22"/>
        </w:rPr>
        <w:t xml:space="preserve">the </w:t>
      </w:r>
      <w:r w:rsidR="00B9188B" w:rsidRPr="00007DBF">
        <w:rPr>
          <w:b w:val="0"/>
          <w:sz w:val="22"/>
          <w:szCs w:val="22"/>
        </w:rPr>
        <w:t xml:space="preserve">completed </w:t>
      </w:r>
      <w:r w:rsidR="00306949">
        <w:rPr>
          <w:b w:val="0"/>
          <w:sz w:val="22"/>
          <w:szCs w:val="22"/>
        </w:rPr>
        <w:t>‘</w:t>
      </w:r>
      <w:r w:rsidR="00B9188B" w:rsidRPr="00007DBF">
        <w:rPr>
          <w:b w:val="0"/>
          <w:sz w:val="22"/>
          <w:szCs w:val="22"/>
        </w:rPr>
        <w:t>Research Data Request Form</w:t>
      </w:r>
      <w:r w:rsidR="00306949">
        <w:rPr>
          <w:b w:val="0"/>
          <w:sz w:val="22"/>
          <w:szCs w:val="22"/>
        </w:rPr>
        <w:t>’</w:t>
      </w:r>
      <w:r w:rsidR="00064B0B" w:rsidRPr="00007DBF">
        <w:rPr>
          <w:b w:val="0"/>
          <w:sz w:val="22"/>
          <w:szCs w:val="22"/>
        </w:rPr>
        <w:t>.</w:t>
      </w:r>
      <w:r w:rsidR="004D6F97" w:rsidRPr="00007DBF">
        <w:rPr>
          <w:b w:val="0"/>
          <w:sz w:val="22"/>
          <w:szCs w:val="22"/>
        </w:rPr>
        <w:t xml:space="preserve"> </w:t>
      </w:r>
      <w:r w:rsidR="00DC0F6A" w:rsidRPr="00007DBF">
        <w:rPr>
          <w:b w:val="0"/>
          <w:sz w:val="22"/>
          <w:szCs w:val="22"/>
        </w:rPr>
        <w:t xml:space="preserve">Jurisdictions will </w:t>
      </w:r>
      <w:r w:rsidR="004D6F97" w:rsidRPr="00007DBF">
        <w:rPr>
          <w:b w:val="0"/>
          <w:sz w:val="22"/>
          <w:szCs w:val="22"/>
        </w:rPr>
        <w:t xml:space="preserve">also </w:t>
      </w:r>
      <w:r w:rsidR="00DC0F6A" w:rsidRPr="00007DBF">
        <w:rPr>
          <w:b w:val="0"/>
          <w:sz w:val="22"/>
          <w:szCs w:val="22"/>
        </w:rPr>
        <w:t>be advised of any data manipulation IHPA has undertaken or plans to undertake prior t</w:t>
      </w:r>
      <w:r w:rsidR="001026EC" w:rsidRPr="00007DBF">
        <w:rPr>
          <w:b w:val="0"/>
          <w:sz w:val="22"/>
          <w:szCs w:val="22"/>
        </w:rPr>
        <w:t>o release (</w:t>
      </w:r>
      <w:r w:rsidR="00306949">
        <w:rPr>
          <w:b w:val="0"/>
          <w:sz w:val="22"/>
          <w:szCs w:val="22"/>
        </w:rPr>
        <w:t>for example, masking of small cell areas</w:t>
      </w:r>
      <w:r w:rsidR="00DC0F6A" w:rsidRPr="00007DBF">
        <w:rPr>
          <w:b w:val="0"/>
          <w:sz w:val="22"/>
          <w:szCs w:val="22"/>
        </w:rPr>
        <w:t xml:space="preserve">). </w:t>
      </w:r>
    </w:p>
    <w:p w14:paraId="3EFCBAB6" w14:textId="13B739BE" w:rsidR="00314B0B" w:rsidRPr="00007DBF" w:rsidRDefault="00142D4C" w:rsidP="00DC0F6A">
      <w:pPr>
        <w:pStyle w:val="TableText"/>
        <w:rPr>
          <w:b w:val="0"/>
          <w:sz w:val="22"/>
          <w:szCs w:val="22"/>
        </w:rPr>
      </w:pPr>
      <w:r w:rsidRPr="00007DBF">
        <w:rPr>
          <w:b w:val="0"/>
          <w:sz w:val="22"/>
          <w:szCs w:val="22"/>
        </w:rPr>
        <w:lastRenderedPageBreak/>
        <w:t xml:space="preserve">IHPA will liaise with </w:t>
      </w:r>
      <w:r w:rsidR="006401BE" w:rsidRPr="00007DBF">
        <w:rPr>
          <w:b w:val="0"/>
          <w:sz w:val="22"/>
          <w:szCs w:val="22"/>
        </w:rPr>
        <w:t xml:space="preserve">jurisdictions and the applicant should any issues be raised during the consultation process. </w:t>
      </w:r>
      <w:r w:rsidR="00280FC9" w:rsidRPr="00007DBF">
        <w:rPr>
          <w:b w:val="0"/>
          <w:sz w:val="22"/>
          <w:szCs w:val="22"/>
        </w:rPr>
        <w:t>Following c</w:t>
      </w:r>
      <w:r w:rsidR="006401BE" w:rsidRPr="00007DBF">
        <w:rPr>
          <w:b w:val="0"/>
          <w:sz w:val="22"/>
          <w:szCs w:val="22"/>
        </w:rPr>
        <w:t>onsultation</w:t>
      </w:r>
      <w:r w:rsidR="00280FC9" w:rsidRPr="00007DBF">
        <w:rPr>
          <w:b w:val="0"/>
          <w:sz w:val="22"/>
          <w:szCs w:val="22"/>
        </w:rPr>
        <w:t>,</w:t>
      </w:r>
      <w:r w:rsidR="006401BE" w:rsidRPr="00007DBF">
        <w:rPr>
          <w:b w:val="0"/>
          <w:sz w:val="22"/>
          <w:szCs w:val="22"/>
        </w:rPr>
        <w:t xml:space="preserve"> IHPA </w:t>
      </w:r>
      <w:r w:rsidR="00280FC9" w:rsidRPr="00007DBF">
        <w:rPr>
          <w:b w:val="0"/>
          <w:sz w:val="22"/>
          <w:szCs w:val="22"/>
        </w:rPr>
        <w:t>may</w:t>
      </w:r>
      <w:r w:rsidR="006401BE" w:rsidRPr="00007DBF">
        <w:rPr>
          <w:b w:val="0"/>
          <w:sz w:val="22"/>
          <w:szCs w:val="22"/>
        </w:rPr>
        <w:t xml:space="preserve"> seek additional information from </w:t>
      </w:r>
      <w:r w:rsidR="00C077FD" w:rsidRPr="00007DBF">
        <w:rPr>
          <w:b w:val="0"/>
          <w:sz w:val="22"/>
          <w:szCs w:val="22"/>
        </w:rPr>
        <w:t xml:space="preserve">the </w:t>
      </w:r>
      <w:r w:rsidR="006401BE" w:rsidRPr="00007DBF">
        <w:rPr>
          <w:b w:val="0"/>
          <w:sz w:val="22"/>
          <w:szCs w:val="22"/>
        </w:rPr>
        <w:t xml:space="preserve">applicant, </w:t>
      </w:r>
      <w:r w:rsidR="00306949">
        <w:rPr>
          <w:b w:val="0"/>
          <w:sz w:val="22"/>
          <w:szCs w:val="22"/>
        </w:rPr>
        <w:t>establish</w:t>
      </w:r>
      <w:r w:rsidR="00306949" w:rsidRPr="00007DBF">
        <w:rPr>
          <w:b w:val="0"/>
          <w:sz w:val="22"/>
          <w:szCs w:val="22"/>
        </w:rPr>
        <w:t xml:space="preserve"> </w:t>
      </w:r>
      <w:r w:rsidR="006401BE" w:rsidRPr="00007DBF">
        <w:rPr>
          <w:b w:val="0"/>
          <w:sz w:val="22"/>
          <w:szCs w:val="22"/>
        </w:rPr>
        <w:t>further access requirements or prevent data access.</w:t>
      </w:r>
    </w:p>
    <w:p w14:paraId="0093BAE0" w14:textId="5D11F739" w:rsidR="00DC0F6A" w:rsidRPr="00007DBF" w:rsidRDefault="00DC0F6A" w:rsidP="002A20CA">
      <w:r w:rsidRPr="00007DBF">
        <w:t xml:space="preserve">All jurisdictions will be advised of IHPA’s decision </w:t>
      </w:r>
      <w:r w:rsidR="001026EC" w:rsidRPr="00007DBF">
        <w:t xml:space="preserve">via updates </w:t>
      </w:r>
      <w:r w:rsidR="00306949">
        <w:t>through</w:t>
      </w:r>
      <w:r w:rsidR="00306949" w:rsidRPr="00007DBF">
        <w:t xml:space="preserve"> </w:t>
      </w:r>
      <w:r w:rsidRPr="00007DBF">
        <w:t>Jurisdictional Advisory Committee</w:t>
      </w:r>
      <w:r w:rsidR="001026EC" w:rsidRPr="00007DBF">
        <w:t xml:space="preserve"> meetings</w:t>
      </w:r>
      <w:r w:rsidRPr="00007DBF">
        <w:t>.</w:t>
      </w:r>
      <w:r w:rsidR="001026EC" w:rsidRPr="00007DBF">
        <w:t xml:space="preserve"> Some occasions may warrant IHPA outlining the decision directly to a jurisdiction in writing.</w:t>
      </w:r>
    </w:p>
    <w:p w14:paraId="3E74E649" w14:textId="6B3B9B2B" w:rsidR="00F8406C" w:rsidRPr="00007DBF" w:rsidRDefault="00F8406C" w:rsidP="0047660C">
      <w:pPr>
        <w:pStyle w:val="Heading2"/>
      </w:pPr>
      <w:bookmarkStart w:id="196" w:name="_Toc36114985"/>
      <w:bookmarkStart w:id="197" w:name="_Toc94527645"/>
      <w:bookmarkStart w:id="198" w:name="_Toc506796547"/>
      <w:r w:rsidRPr="00007DBF">
        <w:t xml:space="preserve">Amending </w:t>
      </w:r>
      <w:bookmarkEnd w:id="196"/>
      <w:r w:rsidR="00306949">
        <w:t>a data request</w:t>
      </w:r>
      <w:bookmarkEnd w:id="197"/>
    </w:p>
    <w:p w14:paraId="25B3603B" w14:textId="775B2ED7" w:rsidR="0066124D" w:rsidRPr="00007DBF" w:rsidRDefault="0066124D" w:rsidP="002A20CA">
      <w:r w:rsidRPr="00007DBF">
        <w:t xml:space="preserve">IHPA may make changes to an original request for data </w:t>
      </w:r>
      <w:proofErr w:type="gramStart"/>
      <w:r w:rsidRPr="00007DBF">
        <w:t>in an effort to</w:t>
      </w:r>
      <w:proofErr w:type="gramEnd"/>
      <w:r w:rsidRPr="00007DBF">
        <w:t xml:space="preserve"> protect patient confidentiality. Changes may include de-identification of data and masking of small c</w:t>
      </w:r>
      <w:r w:rsidR="00262673" w:rsidRPr="00007DBF">
        <w:t xml:space="preserve">ell areas. IHPA will advise </w:t>
      </w:r>
      <w:r w:rsidRPr="00007DBF">
        <w:t>applicant</w:t>
      </w:r>
      <w:r w:rsidR="00262673" w:rsidRPr="00007DBF">
        <w:t>s of any changes to</w:t>
      </w:r>
      <w:r w:rsidRPr="00007DBF">
        <w:t xml:space="preserve"> original request</w:t>
      </w:r>
      <w:r w:rsidR="00262673" w:rsidRPr="00007DBF">
        <w:t>s</w:t>
      </w:r>
      <w:r w:rsidRPr="00007DBF">
        <w:t xml:space="preserve">.  </w:t>
      </w:r>
    </w:p>
    <w:p w14:paraId="6D7F70FA" w14:textId="7A3B702B" w:rsidR="00BE1E04" w:rsidRPr="00007DBF" w:rsidRDefault="00BE1E04" w:rsidP="00B67EC7">
      <w:pPr>
        <w:pStyle w:val="Heading3"/>
      </w:pPr>
      <w:bookmarkStart w:id="199" w:name="_Toc61186158"/>
      <w:bookmarkStart w:id="200" w:name="_Toc36114986"/>
      <w:bookmarkStart w:id="201" w:name="_Toc61536322"/>
      <w:r w:rsidRPr="00007DBF">
        <w:t>De-identification of data</w:t>
      </w:r>
      <w:bookmarkEnd w:id="198"/>
      <w:bookmarkEnd w:id="199"/>
      <w:bookmarkEnd w:id="200"/>
      <w:bookmarkEnd w:id="201"/>
    </w:p>
    <w:p w14:paraId="4D1E13D7" w14:textId="4C0F2AB4" w:rsidR="00BE1E04" w:rsidRPr="00007DBF" w:rsidRDefault="00BE1E04" w:rsidP="00BE1E04">
      <w:r w:rsidRPr="00007DBF">
        <w:t>IHPA will amend certain fields to minimise the risk of re</w:t>
      </w:r>
      <w:r w:rsidR="0081661F" w:rsidRPr="00007DBF">
        <w:t>-</w:t>
      </w:r>
      <w:r w:rsidRPr="00007DBF">
        <w:t xml:space="preserve">identification of patients, including but not limited </w:t>
      </w:r>
      <w:r w:rsidR="001346EA" w:rsidRPr="00007DBF">
        <w:t>to</w:t>
      </w:r>
      <w:r w:rsidRPr="00007DBF">
        <w:t xml:space="preserve"> replacing date of birth with age a</w:t>
      </w:r>
      <w:r w:rsidR="00126B26" w:rsidRPr="00007DBF">
        <w:t>t</w:t>
      </w:r>
      <w:r w:rsidRPr="00007DBF">
        <w:t xml:space="preserve"> date of admission; replacing date of separation with month of separation; and substituting postcode with the Australian Statistical Geography Standard region unless requestors demonstrate a strong requirement for the inclusion of these fields. IHPA will amend additional fields where the requested data</w:t>
      </w:r>
      <w:r w:rsidR="00C11B9E">
        <w:t xml:space="preserve"> </w:t>
      </w:r>
      <w:r w:rsidRPr="00007DBF">
        <w:t xml:space="preserve">set has </w:t>
      </w:r>
      <w:proofErr w:type="gramStart"/>
      <w:r w:rsidRPr="00007DBF">
        <w:t>a large number of</w:t>
      </w:r>
      <w:proofErr w:type="gramEnd"/>
      <w:r w:rsidRPr="00007DBF">
        <w:t xml:space="preserve"> variables that in combination may re-identify patients.</w:t>
      </w:r>
    </w:p>
    <w:p w14:paraId="15EC0409" w14:textId="77777777" w:rsidR="00BE1E04" w:rsidRPr="00007DBF" w:rsidRDefault="00BE1E04" w:rsidP="00B67EC7">
      <w:pPr>
        <w:pStyle w:val="Heading3"/>
      </w:pPr>
      <w:bookmarkStart w:id="202" w:name="_Toc506796548"/>
      <w:bookmarkStart w:id="203" w:name="_Toc61186159"/>
      <w:bookmarkStart w:id="204" w:name="_Toc36114987"/>
      <w:bookmarkStart w:id="205" w:name="_Toc61536323"/>
      <w:r w:rsidRPr="00007DBF">
        <w:t>Small cell area</w:t>
      </w:r>
      <w:bookmarkEnd w:id="202"/>
      <w:bookmarkEnd w:id="203"/>
      <w:bookmarkEnd w:id="204"/>
      <w:bookmarkEnd w:id="205"/>
      <w:r w:rsidRPr="00007DBF">
        <w:t xml:space="preserve"> </w:t>
      </w:r>
    </w:p>
    <w:p w14:paraId="1A639A73" w14:textId="6CBC6AF7" w:rsidR="00BE1E04" w:rsidRPr="00007DBF" w:rsidRDefault="00BE1E04" w:rsidP="00BE1E04">
      <w:r w:rsidRPr="00007DBF">
        <w:t xml:space="preserve">Data </w:t>
      </w:r>
      <w:r w:rsidR="001346EA">
        <w:t>will</w:t>
      </w:r>
      <w:r w:rsidR="001346EA" w:rsidRPr="00007DBF">
        <w:t xml:space="preserve"> </w:t>
      </w:r>
      <w:r w:rsidRPr="00007DBF">
        <w:t>not be released if there is a threat to privacy and confidentiality or if the data is of doubtful quality.</w:t>
      </w:r>
    </w:p>
    <w:p w14:paraId="7A28E4B2" w14:textId="20A4174D" w:rsidR="00BE1E04" w:rsidRPr="00007DBF" w:rsidRDefault="00BE1E04" w:rsidP="00BE1E04">
      <w:r w:rsidRPr="00007DBF">
        <w:t>It is impracticable to have a fixed rule as minimum cell size is a function of the sensitivity and quality of data.</w:t>
      </w:r>
      <w:r w:rsidR="00C851B4" w:rsidRPr="00007DBF">
        <w:t xml:space="preserve"> However, IHPA will </w:t>
      </w:r>
      <w:r w:rsidR="00A8512B" w:rsidRPr="00007DBF">
        <w:t>refer to</w:t>
      </w:r>
      <w:r w:rsidR="00C851B4" w:rsidRPr="00007DBF">
        <w:t xml:space="preserve"> the AIHW policies </w:t>
      </w:r>
      <w:proofErr w:type="gramStart"/>
      <w:r w:rsidR="00A8512B" w:rsidRPr="00007DBF">
        <w:t xml:space="preserve">in </w:t>
      </w:r>
      <w:r w:rsidR="00C851B4" w:rsidRPr="00007DBF">
        <w:t>regards to</w:t>
      </w:r>
      <w:proofErr w:type="gramEnd"/>
      <w:r w:rsidR="00C851B4" w:rsidRPr="00007DBF">
        <w:t xml:space="preserve"> minimum cell size. </w:t>
      </w:r>
      <w:r w:rsidRPr="00007DBF">
        <w:t>A range of methods may be used to assist in determining minimum cell size to ensure the lowest pos</w:t>
      </w:r>
      <w:r w:rsidR="009E5293" w:rsidRPr="00007DBF">
        <w:t>sible disclosure risk</w:t>
      </w:r>
      <w:r w:rsidR="00306949">
        <w:t>,</w:t>
      </w:r>
      <w:r w:rsidR="009E5293" w:rsidRPr="00007DBF">
        <w:t xml:space="preserve"> including</w:t>
      </w:r>
      <w:r w:rsidR="00FB4F8E" w:rsidRPr="00007DBF">
        <w:rPr>
          <w:rStyle w:val="FootnoteReference"/>
        </w:rPr>
        <w:footnoteReference w:id="7"/>
      </w:r>
      <w:r w:rsidRPr="00007DBF">
        <w:t xml:space="preserve">: </w:t>
      </w:r>
    </w:p>
    <w:p w14:paraId="0DDA8657" w14:textId="4EDCBB74" w:rsidR="00BE1E04" w:rsidRPr="00007DBF" w:rsidRDefault="00BE1E04" w:rsidP="00F870A0">
      <w:pPr>
        <w:pStyle w:val="ListParagraph"/>
        <w:numPr>
          <w:ilvl w:val="0"/>
          <w:numId w:val="55"/>
        </w:numPr>
        <w:rPr>
          <w:lang w:eastAsia="ja-JP"/>
        </w:rPr>
      </w:pPr>
      <w:r w:rsidRPr="00007DBF">
        <w:rPr>
          <w:lang w:eastAsia="ja-JP"/>
        </w:rPr>
        <w:t>cell zeroing</w:t>
      </w:r>
    </w:p>
    <w:p w14:paraId="13606CE2" w14:textId="233DD5ED" w:rsidR="00BE1E04" w:rsidRPr="00007DBF" w:rsidRDefault="00BE1E04" w:rsidP="00F870A0">
      <w:pPr>
        <w:pStyle w:val="ListParagraph"/>
        <w:numPr>
          <w:ilvl w:val="0"/>
          <w:numId w:val="55"/>
        </w:numPr>
        <w:rPr>
          <w:lang w:eastAsia="ja-JP"/>
        </w:rPr>
      </w:pPr>
      <w:r w:rsidRPr="00007DBF">
        <w:rPr>
          <w:lang w:eastAsia="ja-JP"/>
        </w:rPr>
        <w:t>cell suppression</w:t>
      </w:r>
    </w:p>
    <w:p w14:paraId="753DD332" w14:textId="52F465D1" w:rsidR="00BE1E04" w:rsidRPr="00007DBF" w:rsidRDefault="00BE1E04" w:rsidP="00F870A0">
      <w:pPr>
        <w:pStyle w:val="ListParagraph"/>
        <w:numPr>
          <w:ilvl w:val="0"/>
          <w:numId w:val="55"/>
        </w:numPr>
        <w:rPr>
          <w:lang w:eastAsia="ja-JP"/>
        </w:rPr>
      </w:pPr>
      <w:r w:rsidRPr="00007DBF">
        <w:rPr>
          <w:lang w:eastAsia="ja-JP"/>
        </w:rPr>
        <w:t>collapsing cells</w:t>
      </w:r>
    </w:p>
    <w:p w14:paraId="5FDC0EBD" w14:textId="2F7825B6" w:rsidR="00BE1E04" w:rsidRPr="00007DBF" w:rsidRDefault="00BE1E04" w:rsidP="00F870A0">
      <w:pPr>
        <w:pStyle w:val="ListParagraph"/>
        <w:numPr>
          <w:ilvl w:val="0"/>
          <w:numId w:val="55"/>
        </w:numPr>
        <w:rPr>
          <w:lang w:eastAsia="ja-JP"/>
        </w:rPr>
      </w:pPr>
      <w:r w:rsidRPr="00007DBF">
        <w:rPr>
          <w:lang w:eastAsia="ja-JP"/>
        </w:rPr>
        <w:t>recoding variables</w:t>
      </w:r>
    </w:p>
    <w:p w14:paraId="182E3FF4" w14:textId="1D3A3BD2" w:rsidR="00BE1E04" w:rsidRPr="00007DBF" w:rsidRDefault="00BE1E04" w:rsidP="00F870A0">
      <w:pPr>
        <w:pStyle w:val="ListParagraph"/>
        <w:numPr>
          <w:ilvl w:val="0"/>
          <w:numId w:val="55"/>
        </w:numPr>
        <w:rPr>
          <w:lang w:eastAsia="ja-JP"/>
        </w:rPr>
      </w:pPr>
      <w:r w:rsidRPr="00007DBF">
        <w:rPr>
          <w:lang w:eastAsia="ja-JP"/>
        </w:rPr>
        <w:t>rounding</w:t>
      </w:r>
    </w:p>
    <w:p w14:paraId="41583E92" w14:textId="7A396C1B" w:rsidR="00BE1E04" w:rsidRPr="00007DBF" w:rsidRDefault="00BE1E04" w:rsidP="00F870A0">
      <w:pPr>
        <w:pStyle w:val="ListParagraph"/>
        <w:numPr>
          <w:ilvl w:val="0"/>
          <w:numId w:val="55"/>
        </w:numPr>
        <w:rPr>
          <w:lang w:eastAsia="ja-JP"/>
        </w:rPr>
      </w:pPr>
      <w:r w:rsidRPr="00007DBF">
        <w:rPr>
          <w:lang w:eastAsia="ja-JP"/>
        </w:rPr>
        <w:t>data swapping</w:t>
      </w:r>
    </w:p>
    <w:p w14:paraId="71653317" w14:textId="77777777" w:rsidR="00BE1E04" w:rsidRPr="00007DBF" w:rsidRDefault="00BE1E04" w:rsidP="00F870A0">
      <w:pPr>
        <w:pStyle w:val="ListParagraph"/>
        <w:numPr>
          <w:ilvl w:val="0"/>
          <w:numId w:val="55"/>
        </w:numPr>
        <w:rPr>
          <w:lang w:eastAsia="ja-JP"/>
        </w:rPr>
      </w:pPr>
      <w:r w:rsidRPr="00007DBF">
        <w:rPr>
          <w:lang w:eastAsia="ja-JP"/>
        </w:rPr>
        <w:t xml:space="preserve">controlled tabular adjustment. </w:t>
      </w:r>
    </w:p>
    <w:p w14:paraId="5265E135" w14:textId="13606977" w:rsidR="00BE1E04" w:rsidRPr="00007DBF" w:rsidRDefault="00BE1E04" w:rsidP="0047660C">
      <w:r w:rsidRPr="00007DBF">
        <w:t xml:space="preserve">It should be noted that all jurisdictions are bound by their own </w:t>
      </w:r>
      <w:r w:rsidR="006D27E4" w:rsidRPr="00007DBF">
        <w:t xml:space="preserve">data </w:t>
      </w:r>
      <w:r w:rsidRPr="00007DBF">
        <w:t>release policies and privacy legislation</w:t>
      </w:r>
      <w:r w:rsidR="006D27E4" w:rsidRPr="00007DBF">
        <w:t xml:space="preserve">, which may place additional requirements on small cell identification. </w:t>
      </w:r>
    </w:p>
    <w:p w14:paraId="297D7ECE" w14:textId="5844B5A6" w:rsidR="00BE1E04" w:rsidRPr="00007DBF" w:rsidRDefault="00626372" w:rsidP="0047660C">
      <w:pPr>
        <w:pStyle w:val="Heading2"/>
        <w:contextualSpacing w:val="0"/>
      </w:pPr>
      <w:bookmarkStart w:id="206" w:name="_Toc444749"/>
      <w:bookmarkStart w:id="207" w:name="_Toc944345"/>
      <w:bookmarkStart w:id="208" w:name="_Toc1985156"/>
      <w:bookmarkStart w:id="209" w:name="_Toc7531626"/>
      <w:bookmarkStart w:id="210" w:name="_Toc8998962"/>
      <w:bookmarkStart w:id="211" w:name="_Toc13143410"/>
      <w:bookmarkStart w:id="212" w:name="_Toc444750"/>
      <w:bookmarkStart w:id="213" w:name="_Toc944346"/>
      <w:bookmarkStart w:id="214" w:name="_Toc1985157"/>
      <w:bookmarkStart w:id="215" w:name="_Toc7531627"/>
      <w:bookmarkStart w:id="216" w:name="_Toc8998963"/>
      <w:bookmarkStart w:id="217" w:name="_Toc13143411"/>
      <w:bookmarkStart w:id="218" w:name="_Toc506796550"/>
      <w:bookmarkStart w:id="219" w:name="_Toc36114988"/>
      <w:bookmarkStart w:id="220" w:name="_Toc94527646"/>
      <w:bookmarkEnd w:id="206"/>
      <w:bookmarkEnd w:id="207"/>
      <w:bookmarkEnd w:id="208"/>
      <w:bookmarkEnd w:id="209"/>
      <w:bookmarkEnd w:id="210"/>
      <w:bookmarkEnd w:id="211"/>
      <w:bookmarkEnd w:id="212"/>
      <w:bookmarkEnd w:id="213"/>
      <w:bookmarkEnd w:id="214"/>
      <w:bookmarkEnd w:id="215"/>
      <w:bookmarkEnd w:id="216"/>
      <w:bookmarkEnd w:id="217"/>
      <w:r w:rsidRPr="00007DBF">
        <w:t xml:space="preserve">Ethics approvals for </w:t>
      </w:r>
      <w:r w:rsidR="00F54316" w:rsidRPr="00007DBF">
        <w:t xml:space="preserve">data </w:t>
      </w:r>
      <w:r w:rsidR="00BE1E04" w:rsidRPr="00007DBF">
        <w:t>requests</w:t>
      </w:r>
      <w:bookmarkEnd w:id="218"/>
      <w:bookmarkEnd w:id="219"/>
      <w:bookmarkEnd w:id="220"/>
    </w:p>
    <w:p w14:paraId="4E76626D" w14:textId="77777777" w:rsidR="00EA4E5B" w:rsidRPr="00007DBF" w:rsidRDefault="001C5715" w:rsidP="001C5715">
      <w:r w:rsidRPr="00007DBF">
        <w:t xml:space="preserve">It is at the discretion of IHPA to determine whether a </w:t>
      </w:r>
      <w:r w:rsidR="00EA4E5B" w:rsidRPr="00007DBF">
        <w:t xml:space="preserve">request for data should be accompanied by clearance from an approved human research ethics committee. </w:t>
      </w:r>
    </w:p>
    <w:p w14:paraId="2EAAD547" w14:textId="77777777" w:rsidR="001C5715" w:rsidRPr="00007DBF" w:rsidRDefault="00EA4E5B" w:rsidP="001C5715">
      <w:r w:rsidRPr="00007DBF">
        <w:lastRenderedPageBreak/>
        <w:t xml:space="preserve">IHPA will notify applicants without ethics approval if it will need to be obtained. This can occur any time prior to the release of data. </w:t>
      </w:r>
    </w:p>
    <w:p w14:paraId="6AC4CAEC" w14:textId="77777777" w:rsidR="00BE1E04" w:rsidRPr="00007DBF" w:rsidRDefault="00BE1E04" w:rsidP="00DF0CD2">
      <w:r w:rsidRPr="00007DBF">
        <w:t xml:space="preserve">Further details and advice about what </w:t>
      </w:r>
      <w:proofErr w:type="gramStart"/>
      <w:r w:rsidRPr="00007DBF">
        <w:t>constitutes</w:t>
      </w:r>
      <w:proofErr w:type="gramEnd"/>
      <w:r w:rsidRPr="00007DBF">
        <w:t xml:space="preserve"> research which requires ethical review is available from the National Heal</w:t>
      </w:r>
      <w:r w:rsidR="002B2EB7" w:rsidRPr="00007DBF">
        <w:t>th and Medical Research Council</w:t>
      </w:r>
      <w:r w:rsidRPr="00007DBF">
        <w:t xml:space="preserve">. </w:t>
      </w:r>
    </w:p>
    <w:p w14:paraId="1AA9C08A" w14:textId="05412405" w:rsidR="00BE1E04" w:rsidRPr="00007DBF" w:rsidRDefault="00BE1E04" w:rsidP="0047660C">
      <w:pPr>
        <w:pStyle w:val="Heading2"/>
        <w:contextualSpacing w:val="0"/>
      </w:pPr>
      <w:bookmarkStart w:id="221" w:name="_Toc944348"/>
      <w:bookmarkStart w:id="222" w:name="_Toc1985159"/>
      <w:bookmarkStart w:id="223" w:name="_Toc7531629"/>
      <w:bookmarkStart w:id="224" w:name="_Toc8998965"/>
      <w:bookmarkStart w:id="225" w:name="_Toc13143413"/>
      <w:bookmarkStart w:id="226" w:name="_Toc506796551"/>
      <w:bookmarkStart w:id="227" w:name="_Toc36114989"/>
      <w:bookmarkStart w:id="228" w:name="_Toc94527647"/>
      <w:bookmarkEnd w:id="221"/>
      <w:bookmarkEnd w:id="222"/>
      <w:bookmarkEnd w:id="223"/>
      <w:bookmarkEnd w:id="224"/>
      <w:bookmarkEnd w:id="225"/>
      <w:r w:rsidRPr="00007DBF">
        <w:t xml:space="preserve">Requirements prior to </w:t>
      </w:r>
      <w:r w:rsidR="00381774" w:rsidRPr="00007DBF">
        <w:t>data</w:t>
      </w:r>
      <w:r w:rsidRPr="00007DBF">
        <w:t xml:space="preserve"> being released to conduct research</w:t>
      </w:r>
      <w:bookmarkEnd w:id="226"/>
      <w:bookmarkEnd w:id="227"/>
      <w:bookmarkEnd w:id="228"/>
    </w:p>
    <w:p w14:paraId="7D4C2AE5" w14:textId="77777777" w:rsidR="00BE1E04" w:rsidRPr="00007DBF" w:rsidRDefault="008C224C" w:rsidP="00DF0CD2">
      <w:r w:rsidRPr="00007DBF">
        <w:t>A</w:t>
      </w:r>
      <w:r w:rsidR="00BE1E04" w:rsidRPr="00007DBF">
        <w:t xml:space="preserve">ll researchers who will have access to </w:t>
      </w:r>
      <w:r w:rsidR="009166F7" w:rsidRPr="00007DBF">
        <w:t xml:space="preserve">data </w:t>
      </w:r>
      <w:r w:rsidR="00BE1E04" w:rsidRPr="00007DBF">
        <w:t>will be required to:</w:t>
      </w:r>
    </w:p>
    <w:p w14:paraId="6E169F4E" w14:textId="5ED79DBB" w:rsidR="00205FCC" w:rsidRPr="00007DBF" w:rsidRDefault="00205FCC" w:rsidP="00D57007">
      <w:pPr>
        <w:pStyle w:val="ListParagraph"/>
        <w:numPr>
          <w:ilvl w:val="0"/>
          <w:numId w:val="65"/>
        </w:numPr>
      </w:pPr>
      <w:r w:rsidRPr="00007DBF">
        <w:t>Sign a Deed of Confidentiality agreeing to any caveats and limitations on use of any information provided for the purposes of research</w:t>
      </w:r>
      <w:r w:rsidR="00306949">
        <w:t>.</w:t>
      </w:r>
    </w:p>
    <w:p w14:paraId="74EA66F3" w14:textId="70530F0D" w:rsidR="00BE1E04" w:rsidRPr="00007DBF" w:rsidRDefault="00BE1E04" w:rsidP="00D57007">
      <w:pPr>
        <w:pStyle w:val="ListParagraph"/>
        <w:numPr>
          <w:ilvl w:val="0"/>
          <w:numId w:val="65"/>
        </w:numPr>
      </w:pPr>
      <w:r w:rsidRPr="00007DBF">
        <w:t>Acknowledge that IHPA takes no responsibility for the accuracy and completeness of the data, and the outcomes related to its use</w:t>
      </w:r>
      <w:r w:rsidR="00306949">
        <w:t>.</w:t>
      </w:r>
    </w:p>
    <w:p w14:paraId="5F7C5C9B" w14:textId="526A0D8F" w:rsidR="00BE1E04" w:rsidRPr="00007DBF" w:rsidRDefault="00BE1E04" w:rsidP="00D57007">
      <w:pPr>
        <w:pStyle w:val="ListParagraph"/>
        <w:numPr>
          <w:ilvl w:val="0"/>
          <w:numId w:val="65"/>
        </w:numPr>
      </w:pPr>
      <w:r w:rsidRPr="00007DBF">
        <w:t>Agree to use the source data and any information provided by IHPA as confidential, for the approved research use only</w:t>
      </w:r>
      <w:r w:rsidR="00306949">
        <w:t>.</w:t>
      </w:r>
      <w:r w:rsidRPr="00007DBF">
        <w:t xml:space="preserve"> </w:t>
      </w:r>
    </w:p>
    <w:p w14:paraId="40F9888A" w14:textId="374DD9F2" w:rsidR="00BE1E04" w:rsidRPr="00007DBF" w:rsidRDefault="00BE1E04" w:rsidP="00D57007">
      <w:pPr>
        <w:pStyle w:val="ListParagraph"/>
        <w:numPr>
          <w:ilvl w:val="0"/>
          <w:numId w:val="65"/>
        </w:numPr>
      </w:pPr>
      <w:r w:rsidRPr="00007DBF">
        <w:t>Must not, without the prior consent of IHPA, disclose any source data or information provided by IHPA to a third party</w:t>
      </w:r>
      <w:r w:rsidR="00CA758E">
        <w:t>, noting that before</w:t>
      </w:r>
      <w:r w:rsidRPr="00007DBF">
        <w:t xml:space="preserve"> giving such consent, IHPA will consider advice from the data custodian</w:t>
      </w:r>
      <w:r w:rsidR="00306949">
        <w:t>.</w:t>
      </w:r>
    </w:p>
    <w:p w14:paraId="3FF7F4FE" w14:textId="11F72F8C" w:rsidR="00BE1E04" w:rsidRPr="00007DBF" w:rsidRDefault="001C0B3E" w:rsidP="00D57007">
      <w:pPr>
        <w:pStyle w:val="ListParagraph"/>
        <w:numPr>
          <w:ilvl w:val="0"/>
          <w:numId w:val="65"/>
        </w:numPr>
      </w:pPr>
      <w:r>
        <w:t>O</w:t>
      </w:r>
      <w:r w:rsidR="00BE1E04" w:rsidRPr="00007DBF">
        <w:t xml:space="preserve">nly use the </w:t>
      </w:r>
      <w:r w:rsidR="009166F7" w:rsidRPr="00007DBF">
        <w:t xml:space="preserve">data </w:t>
      </w:r>
      <w:r w:rsidR="00BE1E04" w:rsidRPr="00007DBF">
        <w:t>for the purposes of research and not for any other purpose unless otherwise approved by IHPA</w:t>
      </w:r>
      <w:r w:rsidR="004F01D4" w:rsidRPr="00007DBF">
        <w:t xml:space="preserve"> and in line with the requirements of this </w:t>
      </w:r>
      <w:r w:rsidR="00CA758E">
        <w:t>P</w:t>
      </w:r>
      <w:r w:rsidR="004F01D4" w:rsidRPr="00007DBF">
        <w:t>olicy</w:t>
      </w:r>
      <w:r w:rsidR="00306949">
        <w:t>.</w:t>
      </w:r>
    </w:p>
    <w:p w14:paraId="267E8C77" w14:textId="52E7D1F8" w:rsidR="00BE1E04" w:rsidRPr="00007DBF" w:rsidRDefault="00BE1E04" w:rsidP="00D57007">
      <w:pPr>
        <w:pStyle w:val="ListParagraph"/>
        <w:numPr>
          <w:ilvl w:val="0"/>
          <w:numId w:val="65"/>
        </w:numPr>
      </w:pPr>
      <w:r w:rsidRPr="00007DBF">
        <w:t>Agree to make no attempt to link the data with any other data source/s</w:t>
      </w:r>
      <w:r w:rsidR="00817CD0" w:rsidRPr="00007DBF">
        <w:t xml:space="preserve"> that may result in patient re-identification</w:t>
      </w:r>
      <w:r w:rsidR="00306949">
        <w:t>.</w:t>
      </w:r>
    </w:p>
    <w:p w14:paraId="5FDF830D" w14:textId="41F6E27F" w:rsidR="00BE1E04" w:rsidRPr="00007DBF" w:rsidRDefault="00BE1E04" w:rsidP="00D57007">
      <w:pPr>
        <w:pStyle w:val="ListParagraph"/>
        <w:numPr>
          <w:ilvl w:val="0"/>
          <w:numId w:val="65"/>
        </w:numPr>
      </w:pPr>
      <w:r w:rsidRPr="00007DBF">
        <w:t>Comply with the conditions of use in respect of the</w:t>
      </w:r>
      <w:r w:rsidR="0003366A" w:rsidRPr="00007DBF">
        <w:t xml:space="preserve"> </w:t>
      </w:r>
      <w:r w:rsidR="009166F7" w:rsidRPr="00007DBF">
        <w:t xml:space="preserve">data </w:t>
      </w:r>
      <w:r w:rsidRPr="00007DBF">
        <w:t>provided and note that they will continue indefinitely</w:t>
      </w:r>
      <w:r w:rsidR="00306949">
        <w:t>.</w:t>
      </w:r>
      <w:r w:rsidRPr="00007DBF">
        <w:t xml:space="preserve"> </w:t>
      </w:r>
    </w:p>
    <w:p w14:paraId="1CB3710D" w14:textId="60E996F9" w:rsidR="00BE1E04" w:rsidRPr="00007DBF" w:rsidRDefault="00BE1E04" w:rsidP="00D57007">
      <w:pPr>
        <w:pStyle w:val="ListParagraph"/>
        <w:numPr>
          <w:ilvl w:val="0"/>
          <w:numId w:val="65"/>
        </w:numPr>
      </w:pPr>
      <w:r w:rsidRPr="00007DBF">
        <w:t xml:space="preserve">Provide copies of any key deliverables or work products </w:t>
      </w:r>
      <w:proofErr w:type="gramStart"/>
      <w:r w:rsidRPr="00007DBF">
        <w:t>as a result of</w:t>
      </w:r>
      <w:proofErr w:type="gramEnd"/>
      <w:r w:rsidRPr="00007DBF">
        <w:t xml:space="preserve"> the research</w:t>
      </w:r>
      <w:r w:rsidR="00424F25" w:rsidRPr="00007DBF">
        <w:t xml:space="preserve"> at least two months</w:t>
      </w:r>
      <w:r w:rsidRPr="00007DBF">
        <w:t xml:space="preserve"> prior to </w:t>
      </w:r>
      <w:r w:rsidR="00424F25" w:rsidRPr="00007DBF">
        <w:t xml:space="preserve">them </w:t>
      </w:r>
      <w:r w:rsidRPr="00007DBF">
        <w:t>being made publicly available. IHPA will advise jurisdictions of any intended publication of research that has included jurisdictional data</w:t>
      </w:r>
      <w:r w:rsidR="00306949">
        <w:t>.</w:t>
      </w:r>
      <w:r w:rsidRPr="00007DBF">
        <w:t xml:space="preserve"> </w:t>
      </w:r>
    </w:p>
    <w:p w14:paraId="2B04C5B5" w14:textId="77777777" w:rsidR="00BE1E04" w:rsidRPr="00007DBF" w:rsidRDefault="00BE1E04" w:rsidP="00D57007">
      <w:pPr>
        <w:pStyle w:val="ListParagraph"/>
        <w:numPr>
          <w:ilvl w:val="0"/>
          <w:numId w:val="65"/>
        </w:numPr>
      </w:pPr>
      <w:r w:rsidRPr="00007DBF">
        <w:t>Adhere to any other conditions which IHPA deems fit.</w:t>
      </w:r>
    </w:p>
    <w:p w14:paraId="71217D41" w14:textId="77777777" w:rsidR="00703112" w:rsidRPr="00007DBF" w:rsidRDefault="00703112" w:rsidP="002F0C7A">
      <w:bookmarkStart w:id="229" w:name="_Toc506796552"/>
      <w:r w:rsidRPr="00007DBF">
        <w:t xml:space="preserve">In most instances, IHPA will supply data through the Secure Data Management System (SDMS). </w:t>
      </w:r>
      <w:proofErr w:type="gramStart"/>
      <w:r w:rsidRPr="00007DBF">
        <w:t>In order to</w:t>
      </w:r>
      <w:proofErr w:type="gramEnd"/>
      <w:r w:rsidRPr="00007DBF">
        <w:t xml:space="preserve"> access data through the SDMS, researchers will </w:t>
      </w:r>
      <w:r w:rsidR="005C38F8" w:rsidRPr="00007DBF">
        <w:t xml:space="preserve">also </w:t>
      </w:r>
      <w:r w:rsidRPr="00007DBF">
        <w:t>be required to:</w:t>
      </w:r>
    </w:p>
    <w:p w14:paraId="2CCF11E9" w14:textId="15C1AB21" w:rsidR="00703112" w:rsidRPr="00007DBF" w:rsidRDefault="00703112" w:rsidP="00D57007">
      <w:pPr>
        <w:pStyle w:val="ListParagraph"/>
        <w:numPr>
          <w:ilvl w:val="0"/>
          <w:numId w:val="65"/>
        </w:numPr>
      </w:pPr>
      <w:r w:rsidRPr="00007DBF">
        <w:t xml:space="preserve">Provide a copy of a </w:t>
      </w:r>
      <w:r w:rsidR="00CA758E">
        <w:t>National Police C</w:t>
      </w:r>
      <w:r w:rsidRPr="00007DBF">
        <w:t>heck</w:t>
      </w:r>
      <w:r w:rsidR="00693699" w:rsidRPr="00007DBF">
        <w:t xml:space="preserve"> as per IHPA’s</w:t>
      </w:r>
      <w:r w:rsidR="00CA758E">
        <w:t xml:space="preserve"> </w:t>
      </w:r>
      <w:r w:rsidR="00CA758E" w:rsidRPr="00CA758E">
        <w:rPr>
          <w:i/>
        </w:rPr>
        <w:t>Information Security Policy</w:t>
      </w:r>
      <w:r w:rsidR="00CA758E">
        <w:t>.</w:t>
      </w:r>
    </w:p>
    <w:p w14:paraId="1EEEF5AF" w14:textId="41CEBF4B" w:rsidR="00703112" w:rsidRPr="00007DBF" w:rsidRDefault="00703112" w:rsidP="00D57007">
      <w:pPr>
        <w:pStyle w:val="ListParagraph"/>
        <w:numPr>
          <w:ilvl w:val="0"/>
          <w:numId w:val="65"/>
        </w:numPr>
      </w:pPr>
      <w:r w:rsidRPr="00007DBF">
        <w:t>Undergo IHPA Security Training</w:t>
      </w:r>
      <w:r w:rsidR="000B4B1C" w:rsidRPr="00007DBF">
        <w:t xml:space="preserve"> over the phone</w:t>
      </w:r>
      <w:r w:rsidR="00CA758E">
        <w:t>.</w:t>
      </w:r>
    </w:p>
    <w:p w14:paraId="5053EC7A" w14:textId="768E26AB" w:rsidR="00F629CF" w:rsidRPr="00007DBF" w:rsidRDefault="00424F25" w:rsidP="00D57007">
      <w:pPr>
        <w:pStyle w:val="ListParagraph"/>
        <w:numPr>
          <w:ilvl w:val="0"/>
          <w:numId w:val="65"/>
        </w:numPr>
      </w:pPr>
      <w:r w:rsidRPr="00007DBF">
        <w:t xml:space="preserve">Complete </w:t>
      </w:r>
      <w:r w:rsidR="00205FCC" w:rsidRPr="00007DBF">
        <w:t>a</w:t>
      </w:r>
      <w:r w:rsidR="00BA3EAB">
        <w:t>n</w:t>
      </w:r>
      <w:r w:rsidR="00205FCC" w:rsidRPr="00007DBF">
        <w:t xml:space="preserve"> SDMS user access form.</w:t>
      </w:r>
    </w:p>
    <w:p w14:paraId="3EA3DD1C" w14:textId="3C860651" w:rsidR="00BE1E04" w:rsidRPr="00007DBF" w:rsidRDefault="00BE1E04" w:rsidP="0047660C">
      <w:pPr>
        <w:pStyle w:val="Heading2"/>
      </w:pPr>
      <w:bookmarkStart w:id="230" w:name="_Toc36114990"/>
      <w:bookmarkStart w:id="231" w:name="_Toc94527648"/>
      <w:r w:rsidRPr="00007DBF">
        <w:t xml:space="preserve">Assessment of risks associated with release of </w:t>
      </w:r>
      <w:r w:rsidR="00703112" w:rsidRPr="00007DBF">
        <w:t xml:space="preserve">data </w:t>
      </w:r>
      <w:r w:rsidRPr="00007DBF">
        <w:t>to conduct research</w:t>
      </w:r>
      <w:bookmarkEnd w:id="229"/>
      <w:bookmarkEnd w:id="230"/>
      <w:bookmarkEnd w:id="231"/>
    </w:p>
    <w:p w14:paraId="2F665E61" w14:textId="43701B40" w:rsidR="00BE1E04" w:rsidRPr="00007DBF" w:rsidRDefault="00BE1E04" w:rsidP="006D5063">
      <w:r w:rsidRPr="00007DBF">
        <w:t>IHPA will assess the application based on the requirements of th</w:t>
      </w:r>
      <w:r w:rsidR="00F86443">
        <w:t>is</w:t>
      </w:r>
      <w:r w:rsidRPr="00007DBF">
        <w:t xml:space="preserve"> Policy, complete a risk assessment and make recommend</w:t>
      </w:r>
      <w:r w:rsidR="005E7F7C" w:rsidRPr="00007DBF">
        <w:t>ations for consideration by the CEO</w:t>
      </w:r>
      <w:r w:rsidR="00907A2B" w:rsidRPr="00007DBF">
        <w:t xml:space="preserve"> of IHPA</w:t>
      </w:r>
      <w:r w:rsidRPr="00007DBF">
        <w:t>.</w:t>
      </w:r>
    </w:p>
    <w:p w14:paraId="6E8F378F" w14:textId="22536B24" w:rsidR="00177DC8" w:rsidRPr="00007DBF" w:rsidRDefault="00177DC8">
      <w:pPr>
        <w:pStyle w:val="Heading2"/>
      </w:pPr>
      <w:bookmarkStart w:id="232" w:name="_Toc61186163"/>
      <w:bookmarkStart w:id="233" w:name="_Toc61186225"/>
      <w:bookmarkStart w:id="234" w:name="_Toc534986444"/>
      <w:bookmarkStart w:id="235" w:name="_Toc444755"/>
      <w:bookmarkStart w:id="236" w:name="_Toc944351"/>
      <w:bookmarkStart w:id="237" w:name="_Toc1985162"/>
      <w:bookmarkStart w:id="238" w:name="_Toc7531632"/>
      <w:bookmarkStart w:id="239" w:name="_Toc8998968"/>
      <w:bookmarkStart w:id="240" w:name="_Toc13143416"/>
      <w:bookmarkStart w:id="241" w:name="_Toc534986445"/>
      <w:bookmarkStart w:id="242" w:name="_Toc444756"/>
      <w:bookmarkStart w:id="243" w:name="_Toc944352"/>
      <w:bookmarkStart w:id="244" w:name="_Toc1985163"/>
      <w:bookmarkStart w:id="245" w:name="_Toc7531633"/>
      <w:bookmarkStart w:id="246" w:name="_Toc8998969"/>
      <w:bookmarkStart w:id="247" w:name="_Toc13143417"/>
      <w:bookmarkStart w:id="248" w:name="_Toc534876857"/>
      <w:bookmarkStart w:id="249" w:name="_Toc534976455"/>
      <w:bookmarkStart w:id="250" w:name="_Toc534986446"/>
      <w:bookmarkStart w:id="251" w:name="_Toc444757"/>
      <w:bookmarkStart w:id="252" w:name="_Toc944353"/>
      <w:bookmarkStart w:id="253" w:name="_Toc1985164"/>
      <w:bookmarkStart w:id="254" w:name="_Toc7531634"/>
      <w:bookmarkStart w:id="255" w:name="_Toc8998970"/>
      <w:bookmarkStart w:id="256" w:name="_Toc13143418"/>
      <w:bookmarkStart w:id="257" w:name="_Toc534876858"/>
      <w:bookmarkStart w:id="258" w:name="_Toc534976456"/>
      <w:bookmarkStart w:id="259" w:name="_Toc534986447"/>
      <w:bookmarkStart w:id="260" w:name="_Toc444758"/>
      <w:bookmarkStart w:id="261" w:name="_Toc944354"/>
      <w:bookmarkStart w:id="262" w:name="_Toc1985165"/>
      <w:bookmarkStart w:id="263" w:name="_Toc7531635"/>
      <w:bookmarkStart w:id="264" w:name="_Toc8998971"/>
      <w:bookmarkStart w:id="265" w:name="_Toc13143419"/>
      <w:bookmarkStart w:id="266" w:name="_Toc534876859"/>
      <w:bookmarkStart w:id="267" w:name="_Toc534976457"/>
      <w:bookmarkStart w:id="268" w:name="_Toc534986448"/>
      <w:bookmarkStart w:id="269" w:name="_Toc444759"/>
      <w:bookmarkStart w:id="270" w:name="_Toc944355"/>
      <w:bookmarkStart w:id="271" w:name="_Toc1985166"/>
      <w:bookmarkStart w:id="272" w:name="_Toc7531636"/>
      <w:bookmarkStart w:id="273" w:name="_Toc8998972"/>
      <w:bookmarkStart w:id="274" w:name="_Toc13143420"/>
      <w:bookmarkStart w:id="275" w:name="_Toc534876860"/>
      <w:bookmarkStart w:id="276" w:name="_Toc534976458"/>
      <w:bookmarkStart w:id="277" w:name="_Toc534986449"/>
      <w:bookmarkStart w:id="278" w:name="_Toc444760"/>
      <w:bookmarkStart w:id="279" w:name="_Toc944356"/>
      <w:bookmarkStart w:id="280" w:name="_Toc1985167"/>
      <w:bookmarkStart w:id="281" w:name="_Toc7531637"/>
      <w:bookmarkStart w:id="282" w:name="_Toc8998973"/>
      <w:bookmarkStart w:id="283" w:name="_Toc13143421"/>
      <w:bookmarkStart w:id="284" w:name="_Toc534876861"/>
      <w:bookmarkStart w:id="285" w:name="_Toc534976459"/>
      <w:bookmarkStart w:id="286" w:name="_Toc534986450"/>
      <w:bookmarkStart w:id="287" w:name="_Toc444761"/>
      <w:bookmarkStart w:id="288" w:name="_Toc944357"/>
      <w:bookmarkStart w:id="289" w:name="_Toc1985168"/>
      <w:bookmarkStart w:id="290" w:name="_Toc7531638"/>
      <w:bookmarkStart w:id="291" w:name="_Toc8998974"/>
      <w:bookmarkStart w:id="292" w:name="_Toc13143422"/>
      <w:bookmarkStart w:id="293" w:name="_Toc534876862"/>
      <w:bookmarkStart w:id="294" w:name="_Toc534976460"/>
      <w:bookmarkStart w:id="295" w:name="_Toc534986451"/>
      <w:bookmarkStart w:id="296" w:name="_Toc444762"/>
      <w:bookmarkStart w:id="297" w:name="_Toc944358"/>
      <w:bookmarkStart w:id="298" w:name="_Toc1985169"/>
      <w:bookmarkStart w:id="299" w:name="_Toc7531639"/>
      <w:bookmarkStart w:id="300" w:name="_Toc8998975"/>
      <w:bookmarkStart w:id="301" w:name="_Toc13143423"/>
      <w:bookmarkStart w:id="302" w:name="_Toc534876863"/>
      <w:bookmarkStart w:id="303" w:name="_Toc534976461"/>
      <w:bookmarkStart w:id="304" w:name="_Toc534986452"/>
      <w:bookmarkStart w:id="305" w:name="_Toc444763"/>
      <w:bookmarkStart w:id="306" w:name="_Toc944359"/>
      <w:bookmarkStart w:id="307" w:name="_Toc1985170"/>
      <w:bookmarkStart w:id="308" w:name="_Toc7531640"/>
      <w:bookmarkStart w:id="309" w:name="_Toc8998976"/>
      <w:bookmarkStart w:id="310" w:name="_Toc13143424"/>
      <w:bookmarkStart w:id="311" w:name="_Toc534876864"/>
      <w:bookmarkStart w:id="312" w:name="_Toc534976462"/>
      <w:bookmarkStart w:id="313" w:name="_Toc534986453"/>
      <w:bookmarkStart w:id="314" w:name="_Toc444764"/>
      <w:bookmarkStart w:id="315" w:name="_Toc944360"/>
      <w:bookmarkStart w:id="316" w:name="_Toc1985171"/>
      <w:bookmarkStart w:id="317" w:name="_Toc7531641"/>
      <w:bookmarkStart w:id="318" w:name="_Toc8998977"/>
      <w:bookmarkStart w:id="319" w:name="_Toc13143425"/>
      <w:bookmarkStart w:id="320" w:name="_Toc534876865"/>
      <w:bookmarkStart w:id="321" w:name="_Toc534976463"/>
      <w:bookmarkStart w:id="322" w:name="_Toc534986454"/>
      <w:bookmarkStart w:id="323" w:name="_Toc444765"/>
      <w:bookmarkStart w:id="324" w:name="_Toc944361"/>
      <w:bookmarkStart w:id="325" w:name="_Toc1985172"/>
      <w:bookmarkStart w:id="326" w:name="_Toc7531642"/>
      <w:bookmarkStart w:id="327" w:name="_Toc8998978"/>
      <w:bookmarkStart w:id="328" w:name="_Toc13143426"/>
      <w:bookmarkStart w:id="329" w:name="_Toc534876866"/>
      <w:bookmarkStart w:id="330" w:name="_Toc534976464"/>
      <w:bookmarkStart w:id="331" w:name="_Toc534986455"/>
      <w:bookmarkStart w:id="332" w:name="_Toc444766"/>
      <w:bookmarkStart w:id="333" w:name="_Toc944362"/>
      <w:bookmarkStart w:id="334" w:name="_Toc1985173"/>
      <w:bookmarkStart w:id="335" w:name="_Toc7531643"/>
      <w:bookmarkStart w:id="336" w:name="_Toc8998979"/>
      <w:bookmarkStart w:id="337" w:name="_Toc13143427"/>
      <w:bookmarkStart w:id="338" w:name="_Toc534986456"/>
      <w:bookmarkStart w:id="339" w:name="_Toc444767"/>
      <w:bookmarkStart w:id="340" w:name="_Toc944363"/>
      <w:bookmarkStart w:id="341" w:name="_Toc1985174"/>
      <w:bookmarkStart w:id="342" w:name="_Toc7531644"/>
      <w:bookmarkStart w:id="343" w:name="_Toc8998980"/>
      <w:bookmarkStart w:id="344" w:name="_Toc13143428"/>
      <w:bookmarkStart w:id="345" w:name="_Toc944364"/>
      <w:bookmarkStart w:id="346" w:name="_Toc1985175"/>
      <w:bookmarkStart w:id="347" w:name="_Toc7531645"/>
      <w:bookmarkStart w:id="348" w:name="_Toc8998981"/>
      <w:bookmarkStart w:id="349" w:name="_Toc13143429"/>
      <w:bookmarkStart w:id="350" w:name="_Toc444769"/>
      <w:bookmarkStart w:id="351" w:name="_Toc944365"/>
      <w:bookmarkStart w:id="352" w:name="_Toc1985176"/>
      <w:bookmarkStart w:id="353" w:name="_Toc7531646"/>
      <w:bookmarkStart w:id="354" w:name="_Toc8998982"/>
      <w:bookmarkStart w:id="355" w:name="_Toc13143430"/>
      <w:bookmarkStart w:id="356" w:name="_Toc444770"/>
      <w:bookmarkStart w:id="357" w:name="_Toc944366"/>
      <w:bookmarkStart w:id="358" w:name="_Toc1985177"/>
      <w:bookmarkStart w:id="359" w:name="_Toc7531647"/>
      <w:bookmarkStart w:id="360" w:name="_Toc8998983"/>
      <w:bookmarkStart w:id="361" w:name="_Toc13143431"/>
      <w:bookmarkStart w:id="362" w:name="_Toc36114991"/>
      <w:bookmarkStart w:id="363" w:name="_Toc9452764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007DBF">
        <w:t xml:space="preserve">Data </w:t>
      </w:r>
      <w:r w:rsidR="00A10B9A">
        <w:t>a</w:t>
      </w:r>
      <w:r w:rsidRPr="00007DBF">
        <w:t xml:space="preserve">ccess </w:t>
      </w:r>
      <w:r w:rsidR="00A10B9A">
        <w:t>m</w:t>
      </w:r>
      <w:r w:rsidRPr="00007DBF">
        <w:t>odel</w:t>
      </w:r>
      <w:bookmarkEnd w:id="362"/>
      <w:bookmarkEnd w:id="363"/>
    </w:p>
    <w:p w14:paraId="07536602" w14:textId="248B0D28" w:rsidR="00D44489" w:rsidRDefault="00D44489" w:rsidP="00D44489">
      <w:pPr>
        <w:rPr>
          <w:rFonts w:cs="Arial"/>
        </w:rPr>
      </w:pPr>
      <w:r w:rsidRPr="00007DBF">
        <w:rPr>
          <w:rFonts w:cs="Arial"/>
        </w:rPr>
        <w:t>IHPA facilitates access to IHPA</w:t>
      </w:r>
      <w:r w:rsidR="00866193" w:rsidRPr="00007DBF">
        <w:rPr>
          <w:rFonts w:cs="Arial"/>
        </w:rPr>
        <w:t xml:space="preserve"> d</w:t>
      </w:r>
      <w:r w:rsidRPr="00007DBF">
        <w:rPr>
          <w:rFonts w:cs="Arial"/>
        </w:rPr>
        <w:t>ata</w:t>
      </w:r>
      <w:r w:rsidR="00866193" w:rsidRPr="00007DBF">
        <w:rPr>
          <w:rFonts w:cs="Arial"/>
        </w:rPr>
        <w:t xml:space="preserve"> via </w:t>
      </w:r>
      <w:r w:rsidR="00F86443">
        <w:rPr>
          <w:rFonts w:cs="Arial"/>
        </w:rPr>
        <w:t xml:space="preserve">the </w:t>
      </w:r>
      <w:r w:rsidR="004D27AC" w:rsidRPr="00007DBF">
        <w:rPr>
          <w:rFonts w:cs="Arial"/>
        </w:rPr>
        <w:t>SDMS, a secure online platform that does not allow for the direct download of data.</w:t>
      </w:r>
      <w:r w:rsidRPr="00007DBF">
        <w:rPr>
          <w:rFonts w:cs="Arial"/>
        </w:rPr>
        <w:t xml:space="preserve"> SDMS access can be </w:t>
      </w:r>
      <w:r w:rsidR="00866193" w:rsidRPr="00007DBF">
        <w:rPr>
          <w:rFonts w:cs="Arial"/>
        </w:rPr>
        <w:t xml:space="preserve">made available </w:t>
      </w:r>
      <w:r w:rsidRPr="00007DBF">
        <w:rPr>
          <w:rFonts w:cs="Arial"/>
        </w:rPr>
        <w:t>at IHPA's office in Sydney or offsite using the third party supplier</w:t>
      </w:r>
      <w:r w:rsidR="00A10B9A">
        <w:rPr>
          <w:rFonts w:cs="Arial"/>
        </w:rPr>
        <w:t>’</w:t>
      </w:r>
      <w:r w:rsidRPr="00007DBF">
        <w:rPr>
          <w:rFonts w:cs="Arial"/>
        </w:rPr>
        <w:t xml:space="preserve">s own hardware. </w:t>
      </w:r>
      <w:r w:rsidR="00B35B43" w:rsidRPr="00007DBF">
        <w:t xml:space="preserve">The data access model displayed in </w:t>
      </w:r>
      <w:r w:rsidR="00B35B43" w:rsidRPr="00614A8C">
        <w:rPr>
          <w:b/>
          <w:bCs/>
        </w:rPr>
        <w:t>Figure</w:t>
      </w:r>
      <w:r w:rsidR="00833045" w:rsidRPr="00614A8C">
        <w:rPr>
          <w:b/>
          <w:bCs/>
        </w:rPr>
        <w:t> </w:t>
      </w:r>
      <w:r w:rsidR="00B35B43" w:rsidRPr="00614A8C">
        <w:rPr>
          <w:b/>
          <w:bCs/>
        </w:rPr>
        <w:t>1</w:t>
      </w:r>
      <w:r w:rsidR="00B35B43" w:rsidRPr="00007DBF">
        <w:t xml:space="preserve"> </w:t>
      </w:r>
      <w:r w:rsidR="00F86443">
        <w:t>outlines</w:t>
      </w:r>
      <w:r w:rsidR="00F86443" w:rsidRPr="00007DBF">
        <w:t xml:space="preserve"> </w:t>
      </w:r>
      <w:r w:rsidR="00B35B43" w:rsidRPr="00007DBF">
        <w:t>this process</w:t>
      </w:r>
      <w:r w:rsidR="008F236B" w:rsidRPr="00007DBF">
        <w:rPr>
          <w:rFonts w:cs="Arial"/>
        </w:rPr>
        <w:t>.</w:t>
      </w:r>
    </w:p>
    <w:p w14:paraId="1772CA6D" w14:textId="4ABB8829" w:rsidR="00306949" w:rsidRPr="00306949" w:rsidRDefault="00A10B9A" w:rsidP="00306949">
      <w:pPr>
        <w:pStyle w:val="FigureHeading"/>
      </w:pPr>
      <w:r>
        <w:lastRenderedPageBreak/>
        <w:t>IHPA’s protected data access model:</w:t>
      </w:r>
      <w:r w:rsidR="00306949" w:rsidRPr="00306949">
        <w:t xml:space="preserve"> </w:t>
      </w:r>
      <w:r>
        <w:t>a</w:t>
      </w:r>
      <w:r w:rsidR="00306949" w:rsidRPr="00306949">
        <w:t xml:space="preserve">ctivity </w:t>
      </w:r>
      <w:r>
        <w:t>b</w:t>
      </w:r>
      <w:r w:rsidR="00306949" w:rsidRPr="00306949">
        <w:t xml:space="preserve">ased </w:t>
      </w:r>
      <w:r>
        <w:t>f</w:t>
      </w:r>
      <w:r w:rsidR="00306949" w:rsidRPr="00306949">
        <w:t xml:space="preserve">unding </w:t>
      </w:r>
      <w:r>
        <w:t xml:space="preserve">(ABF) </w:t>
      </w:r>
      <w:r w:rsidR="00306949" w:rsidRPr="00306949">
        <w:t>data that is collected and stored by IHPA may be accessed securely via the SDMS. The IHPA</w:t>
      </w:r>
      <w:r>
        <w:t xml:space="preserve"> </w:t>
      </w:r>
      <w:proofErr w:type="spellStart"/>
      <w:r>
        <w:t>d</w:t>
      </w:r>
      <w:r w:rsidR="00306949" w:rsidRPr="00306949">
        <w:t>ropbox</w:t>
      </w:r>
      <w:proofErr w:type="spellEnd"/>
      <w:r w:rsidR="00306949" w:rsidRPr="00306949">
        <w:t xml:space="preserve"> portal allows users to securely download data from the SDMS in </w:t>
      </w:r>
      <w:proofErr w:type="gramStart"/>
      <w:r w:rsidR="00306949" w:rsidRPr="00306949">
        <w:t>a number of</w:t>
      </w:r>
      <w:proofErr w:type="gramEnd"/>
      <w:r w:rsidR="00306949" w:rsidRPr="00306949">
        <w:t xml:space="preserve"> file formats. IHPA approval is required for all </w:t>
      </w:r>
      <w:r>
        <w:t xml:space="preserve">file </w:t>
      </w:r>
      <w:r w:rsidR="00306949" w:rsidRPr="00306949">
        <w:t>downloads from the SDMS.</w:t>
      </w:r>
    </w:p>
    <w:p w14:paraId="257D1459" w14:textId="77777777" w:rsidR="00D44489" w:rsidRPr="00007DBF" w:rsidRDefault="00D44489" w:rsidP="00D44489">
      <w:pPr>
        <w:rPr>
          <w:rFonts w:cs="Arial"/>
        </w:rPr>
      </w:pPr>
      <w:r w:rsidRPr="00007DBF">
        <w:rPr>
          <w:noProof/>
          <w:lang w:val="en-US"/>
        </w:rPr>
        <w:t xml:space="preserve"> </w:t>
      </w:r>
      <w:r w:rsidRPr="00007DBF">
        <w:rPr>
          <w:noProof/>
        </w:rPr>
        <w:drawing>
          <wp:inline distT="0" distB="0" distL="0" distR="0" wp14:anchorId="77E6C921" wp14:editId="6BBEE31C">
            <wp:extent cx="5731510" cy="3877945"/>
            <wp:effectExtent l="19050" t="19050" r="21590" b="2730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tretch>
                      <a:fillRect/>
                    </a:stretch>
                  </pic:blipFill>
                  <pic:spPr>
                    <a:xfrm>
                      <a:off x="0" y="0"/>
                      <a:ext cx="5731510" cy="3877945"/>
                    </a:xfrm>
                    <a:prstGeom prst="rect">
                      <a:avLst/>
                    </a:prstGeom>
                    <a:noFill/>
                    <a:ln>
                      <a:solidFill>
                        <a:schemeClr val="accent1"/>
                      </a:solidFill>
                    </a:ln>
                  </pic:spPr>
                </pic:pic>
              </a:graphicData>
            </a:graphic>
          </wp:inline>
        </w:drawing>
      </w:r>
    </w:p>
    <w:p w14:paraId="07DB02BD" w14:textId="593AABAF" w:rsidR="00D44489" w:rsidRPr="00007DBF" w:rsidRDefault="00866193" w:rsidP="00D44489">
      <w:pPr>
        <w:rPr>
          <w:rFonts w:cs="Arial"/>
        </w:rPr>
      </w:pPr>
      <w:r w:rsidRPr="00007DBF">
        <w:rPr>
          <w:rFonts w:cs="Arial"/>
        </w:rPr>
        <w:t>A</w:t>
      </w:r>
      <w:r w:rsidR="00D44489" w:rsidRPr="00007DBF">
        <w:rPr>
          <w:rFonts w:cs="Arial"/>
        </w:rPr>
        <w:t>lternatives to this model require justification</w:t>
      </w:r>
      <w:r w:rsidRPr="00007DBF">
        <w:rPr>
          <w:rFonts w:cs="Arial"/>
        </w:rPr>
        <w:t xml:space="preserve"> </w:t>
      </w:r>
      <w:r w:rsidR="00F86443">
        <w:rPr>
          <w:rFonts w:cs="Arial"/>
        </w:rPr>
        <w:t>and</w:t>
      </w:r>
      <w:r w:rsidR="00F86443" w:rsidRPr="00007DBF">
        <w:rPr>
          <w:rFonts w:cs="Arial"/>
        </w:rPr>
        <w:t xml:space="preserve"> </w:t>
      </w:r>
      <w:r w:rsidR="00D44489" w:rsidRPr="00007DBF">
        <w:rPr>
          <w:rFonts w:cs="Arial"/>
        </w:rPr>
        <w:t xml:space="preserve">a </w:t>
      </w:r>
      <w:r w:rsidR="000D733D" w:rsidRPr="00007DBF">
        <w:rPr>
          <w:rFonts w:cs="Arial"/>
        </w:rPr>
        <w:t>risk assessment</w:t>
      </w:r>
      <w:r w:rsidR="00F86443">
        <w:rPr>
          <w:rFonts w:cs="Arial"/>
        </w:rPr>
        <w:t xml:space="preserve">. These requests </w:t>
      </w:r>
      <w:r w:rsidR="000D733D" w:rsidRPr="00007DBF">
        <w:rPr>
          <w:rFonts w:cs="Arial"/>
        </w:rPr>
        <w:t xml:space="preserve">must be </w:t>
      </w:r>
      <w:r w:rsidR="00D44489" w:rsidRPr="00007DBF">
        <w:rPr>
          <w:rFonts w:cs="Arial"/>
        </w:rPr>
        <w:t xml:space="preserve">approved by the CEO </w:t>
      </w:r>
      <w:r w:rsidR="00730753" w:rsidRPr="00007DBF">
        <w:rPr>
          <w:rFonts w:cs="Arial"/>
        </w:rPr>
        <w:t xml:space="preserve">of IHPA </w:t>
      </w:r>
      <w:r w:rsidR="00D44489" w:rsidRPr="00007DBF">
        <w:rPr>
          <w:rFonts w:cs="Arial"/>
        </w:rPr>
        <w:t xml:space="preserve">or </w:t>
      </w:r>
      <w:r w:rsidR="00A10B9A">
        <w:rPr>
          <w:rFonts w:cs="Arial"/>
        </w:rPr>
        <w:t xml:space="preserve">the </w:t>
      </w:r>
      <w:r w:rsidR="00D44489" w:rsidRPr="00007DBF">
        <w:rPr>
          <w:rFonts w:cs="Arial"/>
        </w:rPr>
        <w:t xml:space="preserve">Chair </w:t>
      </w:r>
      <w:r w:rsidR="00730753" w:rsidRPr="00007DBF">
        <w:rPr>
          <w:rFonts w:cs="Arial"/>
        </w:rPr>
        <w:t xml:space="preserve">of the Pricing Authority </w:t>
      </w:r>
      <w:r w:rsidR="00D44489" w:rsidRPr="00007DBF">
        <w:rPr>
          <w:rFonts w:cs="Arial"/>
        </w:rPr>
        <w:t xml:space="preserve">in writing. </w:t>
      </w:r>
    </w:p>
    <w:p w14:paraId="7804D33D" w14:textId="67D8E94C" w:rsidR="00177DC8" w:rsidRPr="00007DBF" w:rsidRDefault="00754521" w:rsidP="0047660C">
      <w:pPr>
        <w:pStyle w:val="Heading2"/>
      </w:pPr>
      <w:bookmarkStart w:id="364" w:name="_Toc36114992"/>
      <w:bookmarkStart w:id="365" w:name="_Toc94527650"/>
      <w:r w:rsidRPr="00007DBF">
        <w:t>Data storage and transfer r</w:t>
      </w:r>
      <w:r w:rsidR="00B24383" w:rsidRPr="00007DBF">
        <w:t>ules</w:t>
      </w:r>
      <w:bookmarkEnd w:id="364"/>
      <w:bookmarkEnd w:id="365"/>
    </w:p>
    <w:p w14:paraId="6C28CF68" w14:textId="29F32F5C" w:rsidR="00B24383" w:rsidRPr="00007DBF" w:rsidRDefault="00B24383" w:rsidP="00B24383">
      <w:r w:rsidRPr="00007DBF">
        <w:t xml:space="preserve">IHPA will grant access to </w:t>
      </w:r>
      <w:r w:rsidR="00754521" w:rsidRPr="00007DBF">
        <w:t>data</w:t>
      </w:r>
      <w:r w:rsidR="00037B66" w:rsidRPr="00007DBF">
        <w:t xml:space="preserve"> in line with the IHPA </w:t>
      </w:r>
      <w:r w:rsidR="00A10B9A">
        <w:t>p</w:t>
      </w:r>
      <w:r w:rsidR="00037B66" w:rsidRPr="00007DBF">
        <w:t xml:space="preserve">rotected </w:t>
      </w:r>
      <w:r w:rsidR="00A10B9A">
        <w:t>d</w:t>
      </w:r>
      <w:r w:rsidR="00037B66" w:rsidRPr="00007DBF">
        <w:t xml:space="preserve">ata </w:t>
      </w:r>
      <w:r w:rsidR="00A10B9A">
        <w:t>a</w:t>
      </w:r>
      <w:r w:rsidRPr="00007DBF">
        <w:t xml:space="preserve">ccess model.  The permissions and security profiles configured within the SDMS provide additional restrictions on the storage and transfer of </w:t>
      </w:r>
      <w:r w:rsidR="00754521" w:rsidRPr="00007DBF">
        <w:t>d</w:t>
      </w:r>
      <w:r w:rsidRPr="00007DBF">
        <w:t xml:space="preserve">ata, as such the transfer of any data to or from the SDMS </w:t>
      </w:r>
      <w:r w:rsidR="00A10B9A">
        <w:t>requires</w:t>
      </w:r>
      <w:r w:rsidRPr="00007DBF">
        <w:t xml:space="preserve"> approval from IHPA.</w:t>
      </w:r>
      <w:r w:rsidR="005A3F8E" w:rsidRPr="00007DBF">
        <w:t xml:space="preserve"> This approval process requires the applicant to complete an Assurance Statement on each occasion data is being transferred out </w:t>
      </w:r>
      <w:r w:rsidR="00F86443">
        <w:t xml:space="preserve">of </w:t>
      </w:r>
      <w:r w:rsidR="005A3F8E" w:rsidRPr="00007DBF">
        <w:t xml:space="preserve">the SDMS, </w:t>
      </w:r>
      <w:r w:rsidR="00A10B9A">
        <w:t>which</w:t>
      </w:r>
      <w:r w:rsidR="00A10B9A" w:rsidRPr="00007DBF">
        <w:t xml:space="preserve"> </w:t>
      </w:r>
      <w:r w:rsidR="005A3F8E" w:rsidRPr="00007DBF">
        <w:t>asserts the file does not include</w:t>
      </w:r>
      <w:r w:rsidR="00F86443">
        <w:t xml:space="preserve"> original</w:t>
      </w:r>
      <w:r w:rsidR="005A3F8E" w:rsidRPr="00007DBF">
        <w:t xml:space="preserve"> </w:t>
      </w:r>
      <w:r w:rsidR="007B290F" w:rsidRPr="00007DBF">
        <w:t>data sourced from IHPA</w:t>
      </w:r>
      <w:r w:rsidR="005A3F8E" w:rsidRPr="00007DBF">
        <w:t>.</w:t>
      </w:r>
    </w:p>
    <w:p w14:paraId="0117C885" w14:textId="64C3B93D" w:rsidR="00B24383" w:rsidRPr="00007DBF" w:rsidRDefault="00B24383" w:rsidP="0047660C">
      <w:pPr>
        <w:pStyle w:val="Heading2"/>
      </w:pPr>
      <w:bookmarkStart w:id="366" w:name="_Toc36114996"/>
      <w:bookmarkStart w:id="367" w:name="_Toc94527651"/>
      <w:r w:rsidRPr="00007DBF">
        <w:t>End of data access</w:t>
      </w:r>
      <w:bookmarkEnd w:id="366"/>
      <w:bookmarkEnd w:id="367"/>
    </w:p>
    <w:p w14:paraId="08743484" w14:textId="30A68BC8" w:rsidR="00B24383" w:rsidRPr="00007DBF" w:rsidRDefault="00B24383" w:rsidP="00B24383">
      <w:r w:rsidRPr="00007DBF">
        <w:t>IHPA will ensure</w:t>
      </w:r>
      <w:r w:rsidR="00D4232A" w:rsidRPr="00007DBF">
        <w:t xml:space="preserve"> that access to the SDMS by third parties </w:t>
      </w:r>
      <w:r w:rsidR="00754521" w:rsidRPr="00007DBF">
        <w:t>is</w:t>
      </w:r>
      <w:r w:rsidRPr="00007DBF">
        <w:t xml:space="preserve"> terminated</w:t>
      </w:r>
      <w:r w:rsidR="00754521" w:rsidRPr="00007DBF">
        <w:t xml:space="preserve"> </w:t>
      </w:r>
      <w:r w:rsidR="00A2228A" w:rsidRPr="00007DBF">
        <w:t xml:space="preserve">at the </w:t>
      </w:r>
      <w:r w:rsidR="000F602B" w:rsidRPr="00007DBF">
        <w:t>end of the access period</w:t>
      </w:r>
      <w:r w:rsidRPr="00007DBF">
        <w:t xml:space="preserve">. </w:t>
      </w:r>
    </w:p>
    <w:p w14:paraId="20992D63" w14:textId="7920459C" w:rsidR="00BD1837" w:rsidRPr="00007DBF" w:rsidRDefault="00BD1837" w:rsidP="00BD1837">
      <w:pPr>
        <w:pStyle w:val="Heading2"/>
      </w:pPr>
      <w:bookmarkStart w:id="368" w:name="_Toc61186167"/>
      <w:bookmarkStart w:id="369" w:name="_Toc61186229"/>
      <w:bookmarkStart w:id="370" w:name="_Toc36114997"/>
      <w:bookmarkStart w:id="371" w:name="_Toc94527652"/>
      <w:bookmarkEnd w:id="368"/>
      <w:bookmarkEnd w:id="369"/>
      <w:r w:rsidRPr="00007DBF">
        <w:t>Requests for extended access to data</w:t>
      </w:r>
      <w:bookmarkEnd w:id="370"/>
      <w:bookmarkEnd w:id="371"/>
    </w:p>
    <w:p w14:paraId="2F6EE3A4" w14:textId="521E965A" w:rsidR="00BD1837" w:rsidRPr="00007DBF" w:rsidRDefault="00BD1837" w:rsidP="00BD1837">
      <w:r w:rsidRPr="00007DBF">
        <w:t xml:space="preserve">Where the </w:t>
      </w:r>
      <w:r w:rsidR="00A10B9A" w:rsidRPr="00007DBF">
        <w:t xml:space="preserve">CEO of IHPA or the </w:t>
      </w:r>
      <w:r w:rsidRPr="00007DBF">
        <w:t xml:space="preserve">Chair of the Pricing Authority has approved access to data, the third party may only access this data over a period of </w:t>
      </w:r>
      <w:r w:rsidR="00521916" w:rsidRPr="00007DBF">
        <w:t xml:space="preserve">24 </w:t>
      </w:r>
      <w:r w:rsidRPr="00007DBF">
        <w:t xml:space="preserve">months. Where the third party requires access to the data for a longer period than </w:t>
      </w:r>
      <w:r w:rsidR="00521916" w:rsidRPr="00007DBF">
        <w:t xml:space="preserve">24 </w:t>
      </w:r>
      <w:r w:rsidRPr="00007DBF">
        <w:t xml:space="preserve">months, a request should be made </w:t>
      </w:r>
      <w:r w:rsidR="005A3F8E" w:rsidRPr="00007DBF">
        <w:t>to IHPA for an extension,</w:t>
      </w:r>
      <w:r w:rsidRPr="00007DBF">
        <w:t xml:space="preserve"> specify</w:t>
      </w:r>
      <w:r w:rsidR="005A3F8E" w:rsidRPr="00007DBF">
        <w:t>ing</w:t>
      </w:r>
      <w:r w:rsidRPr="00007DBF">
        <w:t xml:space="preserve"> the length of the extension and why it is required.</w:t>
      </w:r>
    </w:p>
    <w:p w14:paraId="70B1673D" w14:textId="716C9F1B" w:rsidR="00BD1837" w:rsidRPr="00007DBF" w:rsidRDefault="00BD1837" w:rsidP="00B24383">
      <w:r w:rsidRPr="00007DBF">
        <w:lastRenderedPageBreak/>
        <w:t xml:space="preserve">The CEO of IHPA will consult with all jurisdictions in writing on the request for extended access to </w:t>
      </w:r>
      <w:r w:rsidR="00F86443">
        <w:t xml:space="preserve">the </w:t>
      </w:r>
      <w:r w:rsidRPr="00007DBF">
        <w:t xml:space="preserve">data and determine whether extended access is approved. </w:t>
      </w:r>
      <w:r w:rsidR="005A3F8E" w:rsidRPr="00007DBF">
        <w:t>Extended access may be</w:t>
      </w:r>
      <w:r w:rsidR="00F86443">
        <w:t xml:space="preserve"> temporarily</w:t>
      </w:r>
      <w:r w:rsidR="005A3F8E" w:rsidRPr="00007DBF">
        <w:t xml:space="preserve"> approved by IHPA while this consultation process occurs.</w:t>
      </w:r>
    </w:p>
    <w:p w14:paraId="02F4EED1" w14:textId="3A147161" w:rsidR="00BE1E04" w:rsidRPr="00007DBF" w:rsidRDefault="00BE1E04" w:rsidP="0047660C">
      <w:pPr>
        <w:pStyle w:val="Heading2"/>
      </w:pPr>
      <w:bookmarkStart w:id="372" w:name="_Toc506796556"/>
      <w:bookmarkStart w:id="373" w:name="_Toc36114998"/>
      <w:bookmarkStart w:id="374" w:name="_Toc94527653"/>
      <w:r w:rsidRPr="00007DBF">
        <w:t>Complaint process</w:t>
      </w:r>
      <w:bookmarkEnd w:id="372"/>
      <w:bookmarkEnd w:id="373"/>
      <w:bookmarkEnd w:id="374"/>
    </w:p>
    <w:p w14:paraId="097A873E" w14:textId="77777777" w:rsidR="00BE1E04" w:rsidRPr="00007DBF" w:rsidRDefault="00BE1E04" w:rsidP="000372CE">
      <w:r w:rsidRPr="00007DBF">
        <w:t xml:space="preserve">Should a </w:t>
      </w:r>
      <w:r w:rsidR="00D4232A" w:rsidRPr="00007DBF">
        <w:t xml:space="preserve">third party </w:t>
      </w:r>
      <w:r w:rsidRPr="00007DBF">
        <w:t xml:space="preserve">want to raise a complaint about IHPA’s decision to release </w:t>
      </w:r>
      <w:r w:rsidR="00A0226E" w:rsidRPr="00007DBF">
        <w:t>data</w:t>
      </w:r>
      <w:r w:rsidRPr="00007DBF">
        <w:t>, the following process should be followed:</w:t>
      </w:r>
    </w:p>
    <w:p w14:paraId="3CA31BA9" w14:textId="5B006726" w:rsidR="00BE1E04" w:rsidRPr="00007DBF" w:rsidRDefault="00BE1E04" w:rsidP="003C32EF">
      <w:pPr>
        <w:pStyle w:val="ListParagraph"/>
        <w:numPr>
          <w:ilvl w:val="0"/>
          <w:numId w:val="66"/>
        </w:numPr>
      </w:pPr>
      <w:r w:rsidRPr="00007DBF">
        <w:t>Requesting party to raise the complaint in writing to the attention of the CEO</w:t>
      </w:r>
      <w:r w:rsidR="00730753" w:rsidRPr="00007DBF">
        <w:t xml:space="preserve"> of IHPA</w:t>
      </w:r>
      <w:r w:rsidR="00A10B9A">
        <w:t>.</w:t>
      </w:r>
      <w:r w:rsidRPr="00007DBF">
        <w:t xml:space="preserve"> </w:t>
      </w:r>
    </w:p>
    <w:p w14:paraId="5868ED76" w14:textId="21C136F9" w:rsidR="00BE1E04" w:rsidRPr="00007DBF" w:rsidRDefault="00BE1E04" w:rsidP="003C32EF">
      <w:pPr>
        <w:pStyle w:val="ListParagraph"/>
        <w:numPr>
          <w:ilvl w:val="0"/>
          <w:numId w:val="66"/>
        </w:numPr>
      </w:pPr>
      <w:r w:rsidRPr="00007DBF">
        <w:t xml:space="preserve">IHPA will acknowledge the </w:t>
      </w:r>
      <w:r w:rsidR="003C32DA" w:rsidRPr="00007DBF">
        <w:t>complaint in writing</w:t>
      </w:r>
      <w:r w:rsidR="00A10B9A">
        <w:t>.</w:t>
      </w:r>
      <w:r w:rsidRPr="00007DBF">
        <w:t xml:space="preserve"> </w:t>
      </w:r>
    </w:p>
    <w:p w14:paraId="4C6AB8EF" w14:textId="3B2707A8" w:rsidR="00BE1E04" w:rsidRPr="00007DBF" w:rsidRDefault="00BE1E04" w:rsidP="003C32EF">
      <w:pPr>
        <w:pStyle w:val="ListParagraph"/>
        <w:numPr>
          <w:ilvl w:val="0"/>
          <w:numId w:val="66"/>
        </w:numPr>
      </w:pPr>
      <w:r w:rsidRPr="00007DBF">
        <w:t>IHPA will investigate the complaint and aim to resolve factual issues and consider options for resolution</w:t>
      </w:r>
      <w:r w:rsidR="00A10B9A">
        <w:t>.</w:t>
      </w:r>
    </w:p>
    <w:p w14:paraId="35458656" w14:textId="77777777" w:rsidR="005E1CAB" w:rsidRPr="00007DBF" w:rsidRDefault="00BE1E04" w:rsidP="00F870A0">
      <w:pPr>
        <w:pStyle w:val="ListParagraph"/>
      </w:pPr>
      <w:r w:rsidRPr="00007DBF">
        <w:t xml:space="preserve">Any systemic issues that arise </w:t>
      </w:r>
      <w:proofErr w:type="gramStart"/>
      <w:r w:rsidRPr="00007DBF">
        <w:t>as a result of</w:t>
      </w:r>
      <w:proofErr w:type="gramEnd"/>
      <w:r w:rsidRPr="00007DBF">
        <w:t xml:space="preserve"> the complaint or enquiry will be considered by IHPA</w:t>
      </w:r>
      <w:r w:rsidR="000D733D" w:rsidRPr="00007DBF">
        <w:t>.</w:t>
      </w:r>
    </w:p>
    <w:p w14:paraId="473F5F18" w14:textId="77777777" w:rsidR="005E1CAB" w:rsidRPr="00007DBF" w:rsidRDefault="005E1CAB" w:rsidP="002A20CA">
      <w:pPr>
        <w:ind w:left="720"/>
      </w:pPr>
    </w:p>
    <w:p w14:paraId="2AAE5C64" w14:textId="7905CEA2" w:rsidR="00297069" w:rsidRPr="00007DBF" w:rsidRDefault="00297069">
      <w:pPr>
        <w:spacing w:before="0" w:after="0" w:line="240" w:lineRule="auto"/>
      </w:pPr>
      <w:r w:rsidRPr="00007DBF">
        <w:br w:type="page"/>
      </w:r>
    </w:p>
    <w:p w14:paraId="4FD4E5FB" w14:textId="76EA3918" w:rsidR="00B71FE9" w:rsidRPr="00007DBF" w:rsidRDefault="00B71FE9" w:rsidP="00834ADB">
      <w:pPr>
        <w:pStyle w:val="Heading1"/>
      </w:pPr>
      <w:bookmarkStart w:id="375" w:name="_Toc36114999"/>
      <w:bookmarkStart w:id="376" w:name="_Toc7531653"/>
      <w:bookmarkStart w:id="377" w:name="_Toc8998989"/>
      <w:bookmarkStart w:id="378" w:name="_Toc13143437"/>
      <w:bookmarkStart w:id="379" w:name="_Toc506796557"/>
      <w:bookmarkStart w:id="380" w:name="_Toc36115000"/>
      <w:bookmarkStart w:id="381" w:name="_Toc94527654"/>
      <w:bookmarkEnd w:id="375"/>
      <w:bookmarkEnd w:id="376"/>
      <w:bookmarkEnd w:id="377"/>
      <w:bookmarkEnd w:id="378"/>
      <w:r w:rsidRPr="00007DBF">
        <w:lastRenderedPageBreak/>
        <w:t xml:space="preserve">Inadvertent release of </w:t>
      </w:r>
      <w:bookmarkEnd w:id="379"/>
      <w:r w:rsidR="003C65C8" w:rsidRPr="00007DBF">
        <w:t>data</w:t>
      </w:r>
      <w:bookmarkEnd w:id="380"/>
      <w:bookmarkEnd w:id="381"/>
    </w:p>
    <w:p w14:paraId="6BEACDDC" w14:textId="77777777" w:rsidR="00676C71" w:rsidRDefault="00676C71" w:rsidP="00676C71">
      <w:pPr>
        <w:shd w:val="clear" w:color="auto" w:fill="FFFFFF"/>
        <w:rPr>
          <w:rFonts w:cs="Arial"/>
          <w:color w:val="333132"/>
        </w:rPr>
      </w:pPr>
      <w:bookmarkStart w:id="382" w:name="_Toc506796565"/>
      <w:r>
        <w:rPr>
          <w:rFonts w:cs="Arial"/>
          <w:color w:val="333132"/>
        </w:rPr>
        <w:t xml:space="preserve">IHPA’s </w:t>
      </w:r>
      <w:hyperlink r:id="rId14" w:history="1">
        <w:r w:rsidRPr="00BF2375">
          <w:rPr>
            <w:rStyle w:val="Hyperlink"/>
            <w:rFonts w:cs="Arial"/>
            <w:color w:val="008542" w:themeColor="accent2"/>
          </w:rPr>
          <w:t>Privacy Policy</w:t>
        </w:r>
      </w:hyperlink>
      <w:r>
        <w:rPr>
          <w:rFonts w:cs="Arial"/>
          <w:color w:val="008542" w:themeColor="accent2"/>
        </w:rPr>
        <w:t xml:space="preserve"> </w:t>
      </w:r>
      <w:r w:rsidRPr="0049336A">
        <w:rPr>
          <w:rFonts w:cs="Arial"/>
        </w:rPr>
        <w:t>which</w:t>
      </w:r>
      <w:r>
        <w:rPr>
          <w:rFonts w:cs="Arial"/>
          <w:color w:val="008542" w:themeColor="accent2"/>
        </w:rPr>
        <w:t xml:space="preserve"> </w:t>
      </w:r>
      <w:r>
        <w:rPr>
          <w:rFonts w:cs="Arial"/>
          <w:color w:val="333132"/>
        </w:rPr>
        <w:t xml:space="preserve">is underpinned by the </w:t>
      </w:r>
      <w:r w:rsidRPr="006252E7">
        <w:rPr>
          <w:rFonts w:cs="Arial"/>
          <w:i/>
          <w:iCs/>
          <w:color w:val="333132"/>
        </w:rPr>
        <w:t>Privacy Act 1988</w:t>
      </w:r>
      <w:r w:rsidRPr="006252E7">
        <w:rPr>
          <w:rFonts w:cs="Arial"/>
          <w:color w:val="333132"/>
        </w:rPr>
        <w:t xml:space="preserve"> (Privacy Act)</w:t>
      </w:r>
      <w:r>
        <w:rPr>
          <w:rFonts w:cs="Arial"/>
          <w:color w:val="333132"/>
        </w:rPr>
        <w:t xml:space="preserve"> outlines its approach for handling data breaches.</w:t>
      </w:r>
    </w:p>
    <w:p w14:paraId="29E871A6" w14:textId="77777777" w:rsidR="00676C71" w:rsidRDefault="00676C71" w:rsidP="00676C71">
      <w:pPr>
        <w:shd w:val="clear" w:color="auto" w:fill="FFFFFF"/>
        <w:rPr>
          <w:rFonts w:cs="Arial"/>
          <w:color w:val="333132"/>
          <w:szCs w:val="22"/>
        </w:rPr>
      </w:pPr>
      <w:r>
        <w:rPr>
          <w:rFonts w:cs="Arial"/>
          <w:color w:val="333132"/>
        </w:rPr>
        <w:t xml:space="preserve">In the event of an inadvertent release of protected Pricing Authority information, IHPA will adhere to the response procedures outlined in the </w:t>
      </w:r>
      <w:hyperlink r:id="rId15" w:history="1">
        <w:r w:rsidRPr="00BF2375">
          <w:rPr>
            <w:rStyle w:val="Hyperlink"/>
            <w:rFonts w:cs="Arial"/>
            <w:color w:val="008542" w:themeColor="accent2"/>
          </w:rPr>
          <w:t>Notifiable Data Breaches</w:t>
        </w:r>
      </w:hyperlink>
      <w:r>
        <w:rPr>
          <w:rFonts w:cs="Arial"/>
          <w:color w:val="333132"/>
        </w:rPr>
        <w:t xml:space="preserve"> (NDB) scheme in Part IIIC of the Privacy Act. </w:t>
      </w:r>
    </w:p>
    <w:p w14:paraId="555CC98A" w14:textId="77777777" w:rsidR="00676C71" w:rsidRPr="00753600" w:rsidRDefault="00676C71" w:rsidP="00676C71">
      <w:pPr>
        <w:shd w:val="clear" w:color="auto" w:fill="FFFFFF"/>
        <w:rPr>
          <w:rFonts w:cs="Arial"/>
          <w:color w:val="333132"/>
          <w:szCs w:val="22"/>
        </w:rPr>
      </w:pPr>
      <w:r>
        <w:t xml:space="preserve">IHPA has developed an internal Data Breach Response Plan which outlines IHPA’s procedures for managing data breaches in accordance with the NDB. Upon approval of a data request, IHPA will provide security training to the third party which includes an overview of IHPA’s Data Breach Response Plan. </w:t>
      </w:r>
    </w:p>
    <w:p w14:paraId="3587B1EA" w14:textId="5F37BA2A" w:rsidR="00552256" w:rsidRPr="00007DBF" w:rsidRDefault="00297069" w:rsidP="00BF2375">
      <w:pPr>
        <w:spacing w:before="0" w:after="0" w:line="240" w:lineRule="auto"/>
        <w:rPr>
          <w:rStyle w:val="Heading1Char"/>
          <w:color w:val="008542" w:themeColor="accent2"/>
          <w:sz w:val="44"/>
        </w:rPr>
      </w:pPr>
      <w:r w:rsidRPr="00007DBF">
        <w:br w:type="page"/>
      </w:r>
      <w:bookmarkStart w:id="383" w:name="_Toc94527655"/>
      <w:bookmarkStart w:id="384" w:name="_Toc506796567"/>
      <w:bookmarkStart w:id="385" w:name="_Toc36115001"/>
      <w:bookmarkEnd w:id="382"/>
      <w:r w:rsidR="001064F0" w:rsidRPr="00B011FC">
        <w:rPr>
          <w:rStyle w:val="Heading1Char"/>
          <w:sz w:val="44"/>
        </w:rPr>
        <w:lastRenderedPageBreak/>
        <w:t>Appendix</w:t>
      </w:r>
      <w:r w:rsidR="00D65D5F" w:rsidRPr="00B011FC">
        <w:rPr>
          <w:rStyle w:val="Heading1Char"/>
          <w:sz w:val="44"/>
        </w:rPr>
        <w:t xml:space="preserve"> </w:t>
      </w:r>
      <w:r w:rsidR="00D810C9" w:rsidRPr="00B011FC">
        <w:rPr>
          <w:rStyle w:val="Heading1Char"/>
          <w:sz w:val="44"/>
        </w:rPr>
        <w:t>A</w:t>
      </w:r>
      <w:r w:rsidR="00D65D5F" w:rsidRPr="00B011FC">
        <w:rPr>
          <w:rStyle w:val="Heading1Char"/>
          <w:sz w:val="44"/>
        </w:rPr>
        <w:t xml:space="preserve">: </w:t>
      </w:r>
      <w:r w:rsidR="00A10B9A" w:rsidRPr="00B011FC">
        <w:rPr>
          <w:rStyle w:val="Heading1Char"/>
          <w:sz w:val="44"/>
        </w:rPr>
        <w:t>Data held by IHPA</w:t>
      </w:r>
      <w:bookmarkEnd w:id="383"/>
      <w:bookmarkEnd w:id="384"/>
      <w:bookmarkEnd w:id="385"/>
    </w:p>
    <w:p w14:paraId="31C12EC8" w14:textId="77777777" w:rsidR="00747A6B" w:rsidRPr="00007DBF" w:rsidRDefault="00747A6B" w:rsidP="00747A6B">
      <w:r w:rsidRPr="00007DBF">
        <w:t xml:space="preserve">Detailed in </w:t>
      </w:r>
      <w:r w:rsidRPr="001C24CF">
        <w:rPr>
          <w:b/>
        </w:rPr>
        <w:t xml:space="preserve">Table </w:t>
      </w:r>
      <w:r w:rsidR="00CA659B" w:rsidRPr="001C24CF">
        <w:rPr>
          <w:b/>
        </w:rPr>
        <w:t>2</w:t>
      </w:r>
      <w:r w:rsidRPr="00007DBF">
        <w:t xml:space="preserve"> is </w:t>
      </w:r>
      <w:r w:rsidR="00F2747D" w:rsidRPr="00007DBF">
        <w:t>a</w:t>
      </w:r>
      <w:r w:rsidRPr="00007DBF">
        <w:t xml:space="preserve"> list of </w:t>
      </w:r>
      <w:r w:rsidR="007636FA" w:rsidRPr="00007DBF">
        <w:t>data</w:t>
      </w:r>
      <w:r w:rsidR="00F2747D" w:rsidRPr="00007DBF">
        <w:t xml:space="preserve"> collections</w:t>
      </w:r>
      <w:r w:rsidR="007636FA" w:rsidRPr="00007DBF">
        <w:t xml:space="preserve"> </w:t>
      </w:r>
      <w:r w:rsidRPr="00007DBF">
        <w:t xml:space="preserve">held by IHPA. </w:t>
      </w:r>
    </w:p>
    <w:p w14:paraId="5B2C8127" w14:textId="77777777" w:rsidR="00D65D5F" w:rsidRPr="00007DBF" w:rsidRDefault="00747A6B" w:rsidP="002D5814">
      <w:pPr>
        <w:pStyle w:val="TableHeading"/>
        <w:rPr>
          <w:lang w:eastAsia="zh-CN"/>
        </w:rPr>
      </w:pPr>
      <w:r w:rsidRPr="00007DBF">
        <w:rPr>
          <w:lang w:eastAsia="zh-CN"/>
        </w:rPr>
        <w:t xml:space="preserve">Table </w:t>
      </w:r>
      <w:r w:rsidR="00CA659B" w:rsidRPr="00007DBF">
        <w:rPr>
          <w:lang w:eastAsia="zh-CN"/>
        </w:rPr>
        <w:t>2</w:t>
      </w:r>
      <w:r w:rsidRPr="00007DBF">
        <w:rPr>
          <w:lang w:eastAsia="zh-CN"/>
        </w:rPr>
        <w:t xml:space="preserve">. </w:t>
      </w:r>
      <w:r w:rsidR="00F2747D" w:rsidRPr="00007DBF">
        <w:rPr>
          <w:lang w:eastAsia="zh-CN"/>
        </w:rPr>
        <w:t>L</w:t>
      </w:r>
      <w:r w:rsidRPr="00007DBF">
        <w:rPr>
          <w:lang w:eastAsia="zh-CN"/>
        </w:rPr>
        <w:t xml:space="preserve">ist of </w:t>
      </w:r>
      <w:r w:rsidR="007636FA" w:rsidRPr="00007DBF">
        <w:rPr>
          <w:lang w:eastAsia="zh-CN"/>
        </w:rPr>
        <w:t>data</w:t>
      </w:r>
      <w:r w:rsidR="00F2747D" w:rsidRPr="00007DBF">
        <w:rPr>
          <w:lang w:eastAsia="zh-CN"/>
        </w:rPr>
        <w:t xml:space="preserve"> collections</w:t>
      </w:r>
      <w:r w:rsidR="007636FA" w:rsidRPr="00007DBF">
        <w:rPr>
          <w:lang w:eastAsia="zh-CN"/>
        </w:rPr>
        <w:t xml:space="preserve"> </w:t>
      </w:r>
      <w:r w:rsidRPr="00007DBF">
        <w:rPr>
          <w:lang w:eastAsia="zh-CN"/>
        </w:rPr>
        <w:t>held by IHPA</w:t>
      </w:r>
    </w:p>
    <w:tbl>
      <w:tblPr>
        <w:tblW w:w="5107"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This table sets out the latest data collections held by IHPA and which were used for the National Efficient Price and National Efficient Cost Determinations for 2016-17. The first column is the data held by IHPA. The second column is the specific name of the data collection and related documents."/>
      </w:tblPr>
      <w:tblGrid>
        <w:gridCol w:w="2685"/>
        <w:gridCol w:w="6946"/>
      </w:tblGrid>
      <w:tr w:rsidR="003F7E16" w:rsidRPr="00007DBF" w14:paraId="1A256A36"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004200" w:themeFill="accent1"/>
            <w:tcMar>
              <w:top w:w="120" w:type="dxa"/>
              <w:left w:w="120" w:type="dxa"/>
              <w:bottom w:w="120" w:type="dxa"/>
              <w:right w:w="120" w:type="dxa"/>
            </w:tcMar>
            <w:hideMark/>
          </w:tcPr>
          <w:p w14:paraId="55638E7B" w14:textId="77777777" w:rsidR="003F7E16" w:rsidRPr="00007DBF" w:rsidRDefault="003F7E16" w:rsidP="005843FC">
            <w:pPr>
              <w:pStyle w:val="NormalWeb"/>
              <w:spacing w:line="240" w:lineRule="auto"/>
            </w:pPr>
            <w:r w:rsidRPr="00007DBF">
              <w:rPr>
                <w:rStyle w:val="Strong"/>
              </w:rPr>
              <w:t>Data held by IHPA</w:t>
            </w:r>
          </w:p>
        </w:tc>
        <w:tc>
          <w:tcPr>
            <w:tcW w:w="3606" w:type="pct"/>
            <w:tcBorders>
              <w:top w:val="single" w:sz="6" w:space="0" w:color="DDDDDD"/>
              <w:left w:val="single" w:sz="6" w:space="0" w:color="DDDDDD"/>
              <w:bottom w:val="single" w:sz="6" w:space="0" w:color="DDDDDD"/>
              <w:right w:val="single" w:sz="6" w:space="0" w:color="DDDDDD"/>
            </w:tcBorders>
            <w:shd w:val="clear" w:color="auto" w:fill="004200" w:themeFill="accent1"/>
            <w:tcMar>
              <w:top w:w="120" w:type="dxa"/>
              <w:left w:w="120" w:type="dxa"/>
              <w:bottom w:w="120" w:type="dxa"/>
              <w:right w:w="120" w:type="dxa"/>
            </w:tcMar>
            <w:hideMark/>
          </w:tcPr>
          <w:p w14:paraId="675DF24D" w14:textId="77777777" w:rsidR="003F7E16" w:rsidRPr="00007DBF" w:rsidRDefault="003F7E16" w:rsidP="005843FC">
            <w:pPr>
              <w:pStyle w:val="NormalWeb"/>
              <w:spacing w:line="240" w:lineRule="auto"/>
            </w:pPr>
            <w:r w:rsidRPr="00007DBF">
              <w:rPr>
                <w:rStyle w:val="Strong"/>
              </w:rPr>
              <w:t>Specifications</w:t>
            </w:r>
          </w:p>
        </w:tc>
      </w:tr>
      <w:tr w:rsidR="003F7E16" w:rsidRPr="00007DBF" w14:paraId="421CFD83" w14:textId="77777777" w:rsidTr="00593D27">
        <w:trPr>
          <w:trHeight w:val="1378"/>
        </w:trPr>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86539" w14:textId="77777777" w:rsidR="003F7E16" w:rsidRPr="00007DBF" w:rsidRDefault="003F7E16" w:rsidP="005843FC">
            <w:pPr>
              <w:pStyle w:val="NormalWeb"/>
              <w:spacing w:line="240" w:lineRule="auto"/>
            </w:pPr>
            <w:r w:rsidRPr="00007DBF">
              <w:rPr>
                <w:rStyle w:val="Strong"/>
              </w:rPr>
              <w:t>Hospital cost data</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FFF9BF" w14:textId="1BEC0857" w:rsidR="003F7E16" w:rsidRPr="00006431" w:rsidRDefault="003F7E16" w:rsidP="005843FC">
            <w:pPr>
              <w:pStyle w:val="NormalWeb"/>
              <w:spacing w:line="240" w:lineRule="auto"/>
            </w:pPr>
            <w:r w:rsidRPr="00006431">
              <w:t>The </w:t>
            </w:r>
            <w:hyperlink r:id="rId16" w:history="1">
              <w:r w:rsidRPr="00006431">
                <w:rPr>
                  <w:rStyle w:val="Hyperlink"/>
                  <w:color w:val="008542" w:themeColor="accent2"/>
                </w:rPr>
                <w:t>National Hospital Cost Data Collection</w:t>
              </w:r>
            </w:hyperlink>
            <w:r w:rsidR="00605CEE" w:rsidRPr="00006431">
              <w:rPr>
                <w:rStyle w:val="Hyperlink"/>
                <w:color w:val="008542" w:themeColor="accent2"/>
              </w:rPr>
              <w:t xml:space="preserve"> (NHCDC)</w:t>
            </w:r>
            <w:r w:rsidRPr="00006431">
              <w:t> specifications for the current round are available </w:t>
            </w:r>
            <w:hyperlink r:id="rId17" w:history="1">
              <w:r w:rsidRPr="00FA60EF">
                <w:rPr>
                  <w:rStyle w:val="Hyperlink"/>
                  <w:color w:val="008542" w:themeColor="accent2"/>
                </w:rPr>
                <w:t>here</w:t>
              </w:r>
            </w:hyperlink>
            <w:r w:rsidRPr="00006431">
              <w:t>. Applicants can also consult the </w:t>
            </w:r>
            <w:hyperlink r:id="rId18" w:history="1">
              <w:r w:rsidRPr="00006431">
                <w:rPr>
                  <w:rStyle w:val="Hyperlink"/>
                  <w:color w:val="008542" w:themeColor="accent2"/>
                </w:rPr>
                <w:t>Australian Hospital Patient Costing Standards</w:t>
              </w:r>
            </w:hyperlink>
            <w:r w:rsidRPr="00006431">
              <w:t> (which outlines how hospital products should be costed) and the </w:t>
            </w:r>
            <w:hyperlink r:id="rId19" w:history="1">
              <w:r w:rsidRPr="00006431">
                <w:rPr>
                  <w:rStyle w:val="Hyperlink"/>
                  <w:color w:val="008542" w:themeColor="accent2"/>
                </w:rPr>
                <w:t>Independent Financial Review</w:t>
              </w:r>
            </w:hyperlink>
            <w:r w:rsidRPr="00006431">
              <w:t xml:space="preserve"> (which reviews compliance with the </w:t>
            </w:r>
            <w:r w:rsidR="00DD5A21" w:rsidRPr="00006431">
              <w:t xml:space="preserve">Australian Hospital Patient Costing </w:t>
            </w:r>
            <w:r w:rsidRPr="00006431">
              <w:t>Standards).</w:t>
            </w:r>
          </w:p>
        </w:tc>
      </w:tr>
      <w:tr w:rsidR="003F7E16" w:rsidRPr="00007DBF" w14:paraId="6D791C2B"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365E5B" w14:textId="77777777" w:rsidR="003F7E16" w:rsidRPr="00007DBF" w:rsidRDefault="003F7E16" w:rsidP="005843FC">
            <w:pPr>
              <w:pStyle w:val="NormalWeb"/>
              <w:spacing w:line="240" w:lineRule="auto"/>
            </w:pPr>
            <w:r w:rsidRPr="00007DBF">
              <w:rPr>
                <w:rStyle w:val="Strong"/>
              </w:rPr>
              <w:t>Admitted patient activity</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CECC1B" w14:textId="4AF1228A" w:rsidR="003F7E16" w:rsidRPr="00290BDB" w:rsidRDefault="003F7E16" w:rsidP="005843FC">
            <w:pPr>
              <w:pStyle w:val="NormalWeb"/>
              <w:spacing w:line="240" w:lineRule="auto"/>
            </w:pPr>
            <w:r w:rsidRPr="00290BDB">
              <w:t>The </w:t>
            </w:r>
            <w:hyperlink r:id="rId20" w:history="1">
              <w:r w:rsidRPr="00290BDB">
                <w:rPr>
                  <w:rStyle w:val="Hyperlink"/>
                  <w:color w:val="008542" w:themeColor="accent2"/>
                </w:rPr>
                <w:t xml:space="preserve">Admitted </w:t>
              </w:r>
              <w:r w:rsidR="00DD5A21" w:rsidRPr="00290BDB">
                <w:rPr>
                  <w:rStyle w:val="Hyperlink"/>
                  <w:color w:val="008542" w:themeColor="accent2"/>
                </w:rPr>
                <w:t>p</w:t>
              </w:r>
              <w:r w:rsidRPr="00290BDB">
                <w:rPr>
                  <w:rStyle w:val="Hyperlink"/>
                  <w:color w:val="008542" w:themeColor="accent2"/>
                </w:rPr>
                <w:t xml:space="preserve">atient </w:t>
              </w:r>
              <w:r w:rsidR="00DD5A21" w:rsidRPr="00290BDB">
                <w:rPr>
                  <w:rStyle w:val="Hyperlink"/>
                  <w:color w:val="008542" w:themeColor="accent2"/>
                </w:rPr>
                <w:t>c</w:t>
              </w:r>
              <w:r w:rsidRPr="00290BDB">
                <w:rPr>
                  <w:rStyle w:val="Hyperlink"/>
                  <w:color w:val="008542" w:themeColor="accent2"/>
                </w:rPr>
                <w:t>are National Minimum Data Set (NMDS)</w:t>
              </w:r>
            </w:hyperlink>
            <w:r w:rsidRPr="00290BDB">
              <w:t> for acute patients and subacute patients, with additional data items in the </w:t>
            </w:r>
            <w:hyperlink r:id="rId21" w:history="1">
              <w:r w:rsidRPr="00290BDB">
                <w:rPr>
                  <w:rStyle w:val="Hyperlink"/>
                  <w:color w:val="008542" w:themeColor="accent2"/>
                </w:rPr>
                <w:t>Admitted sub-acute and non-acute hospital care National Best Endeavours Data Set (NBEDS)</w:t>
              </w:r>
            </w:hyperlink>
            <w:r w:rsidRPr="00290BDB">
              <w:t>.</w:t>
            </w:r>
          </w:p>
        </w:tc>
      </w:tr>
      <w:tr w:rsidR="003F7E16" w:rsidRPr="00007DBF" w14:paraId="362CDB9F"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3AA132" w14:textId="77777777" w:rsidR="003F7E16" w:rsidRPr="00007DBF" w:rsidRDefault="003F7E16" w:rsidP="005843FC">
            <w:pPr>
              <w:pStyle w:val="NormalWeb"/>
              <w:spacing w:line="240" w:lineRule="auto"/>
            </w:pPr>
            <w:r w:rsidRPr="00007DBF">
              <w:rPr>
                <w:rStyle w:val="Strong"/>
              </w:rPr>
              <w:t>Emergency patient activity</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46D382" w14:textId="3ABFDB56" w:rsidR="003F7E16" w:rsidRPr="00624A47" w:rsidRDefault="003F7E16" w:rsidP="005843FC">
            <w:pPr>
              <w:pStyle w:val="NormalWeb"/>
              <w:spacing w:line="240" w:lineRule="auto"/>
            </w:pPr>
            <w:r w:rsidRPr="00624A47">
              <w:t>The </w:t>
            </w:r>
            <w:hyperlink r:id="rId22" w:history="1">
              <w:r w:rsidRPr="00624A47">
                <w:rPr>
                  <w:rStyle w:val="Hyperlink"/>
                  <w:color w:val="008542" w:themeColor="accent2"/>
                </w:rPr>
                <w:t>Non-</w:t>
              </w:r>
              <w:r w:rsidR="00DD5A21" w:rsidRPr="00624A47">
                <w:rPr>
                  <w:rStyle w:val="Hyperlink"/>
                  <w:color w:val="008542" w:themeColor="accent2"/>
                </w:rPr>
                <w:t>a</w:t>
              </w:r>
              <w:r w:rsidRPr="00624A47">
                <w:rPr>
                  <w:rStyle w:val="Hyperlink"/>
                  <w:color w:val="008542" w:themeColor="accent2"/>
                </w:rPr>
                <w:t xml:space="preserve">dmitted </w:t>
              </w:r>
              <w:r w:rsidR="00DD5A21" w:rsidRPr="00624A47">
                <w:rPr>
                  <w:rStyle w:val="Hyperlink"/>
                  <w:color w:val="008542" w:themeColor="accent2"/>
                </w:rPr>
                <w:t>p</w:t>
              </w:r>
              <w:r w:rsidRPr="00624A47">
                <w:rPr>
                  <w:rStyle w:val="Hyperlink"/>
                  <w:color w:val="008542" w:themeColor="accent2"/>
                </w:rPr>
                <w:t xml:space="preserve">atient </w:t>
              </w:r>
              <w:r w:rsidR="00DD5A21" w:rsidRPr="00624A47">
                <w:rPr>
                  <w:rStyle w:val="Hyperlink"/>
                  <w:color w:val="008542" w:themeColor="accent2"/>
                </w:rPr>
                <w:t>e</w:t>
              </w:r>
              <w:r w:rsidRPr="00624A47">
                <w:rPr>
                  <w:rStyle w:val="Hyperlink"/>
                  <w:color w:val="008542" w:themeColor="accent2"/>
                </w:rPr>
                <w:t xml:space="preserve">mergency </w:t>
              </w:r>
              <w:r w:rsidR="00DD5A21" w:rsidRPr="00624A47">
                <w:rPr>
                  <w:rStyle w:val="Hyperlink"/>
                  <w:color w:val="008542" w:themeColor="accent2"/>
                </w:rPr>
                <w:t>d</w:t>
              </w:r>
              <w:r w:rsidRPr="00624A47">
                <w:rPr>
                  <w:rStyle w:val="Hyperlink"/>
                  <w:color w:val="008542" w:themeColor="accent2"/>
                </w:rPr>
                <w:t xml:space="preserve">epartment </w:t>
              </w:r>
              <w:r w:rsidR="00DD5A21" w:rsidRPr="00624A47">
                <w:rPr>
                  <w:rStyle w:val="Hyperlink"/>
                  <w:color w:val="008542" w:themeColor="accent2"/>
                </w:rPr>
                <w:t>c</w:t>
              </w:r>
              <w:r w:rsidRPr="00624A47">
                <w:rPr>
                  <w:rStyle w:val="Hyperlink"/>
                  <w:color w:val="008542" w:themeColor="accent2"/>
                </w:rPr>
                <w:t>are NMDS</w:t>
              </w:r>
            </w:hyperlink>
            <w:r w:rsidRPr="00624A47">
              <w:t> for emergency department patients and </w:t>
            </w:r>
            <w:hyperlink r:id="rId23" w:history="1">
              <w:r w:rsidR="00082679" w:rsidRPr="00624A47">
                <w:rPr>
                  <w:rStyle w:val="Hyperlink"/>
                  <w:color w:val="008542" w:themeColor="accent2"/>
                </w:rPr>
                <w:t>Emergency service care NBEDS</w:t>
              </w:r>
            </w:hyperlink>
            <w:r w:rsidRPr="00624A47">
              <w:t> for emergency service patients.</w:t>
            </w:r>
          </w:p>
        </w:tc>
      </w:tr>
      <w:tr w:rsidR="003F7E16" w:rsidRPr="00007DBF" w14:paraId="03EAC823"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F241D8" w14:textId="77777777" w:rsidR="003F7E16" w:rsidRPr="00007DBF" w:rsidRDefault="003F7E16" w:rsidP="005843FC">
            <w:pPr>
              <w:pStyle w:val="NormalWeb"/>
              <w:spacing w:line="240" w:lineRule="auto"/>
            </w:pPr>
            <w:r w:rsidRPr="00007DBF">
              <w:rPr>
                <w:rStyle w:val="Strong"/>
              </w:rPr>
              <w:t>Non-admitted patient activity</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4E890" w14:textId="08D0DCF0" w:rsidR="003F7E16" w:rsidRPr="00007DBF" w:rsidRDefault="003F7E16" w:rsidP="005843FC">
            <w:pPr>
              <w:pStyle w:val="NormalWeb"/>
              <w:spacing w:line="240" w:lineRule="auto"/>
            </w:pPr>
            <w:r w:rsidRPr="00007DBF">
              <w:t>The </w:t>
            </w:r>
            <w:hyperlink r:id="rId24" w:history="1">
              <w:r w:rsidR="00082679" w:rsidRPr="00A92D20">
                <w:rPr>
                  <w:rStyle w:val="Hyperlink"/>
                  <w:color w:val="008542" w:themeColor="accent2"/>
                </w:rPr>
                <w:t>Non-</w:t>
              </w:r>
              <w:r w:rsidR="00DD5A21" w:rsidRPr="00A92D20">
                <w:rPr>
                  <w:rStyle w:val="Hyperlink"/>
                  <w:color w:val="008542" w:themeColor="accent2"/>
                </w:rPr>
                <w:t>a</w:t>
              </w:r>
              <w:r w:rsidR="00082679" w:rsidRPr="00A92D20">
                <w:rPr>
                  <w:rStyle w:val="Hyperlink"/>
                  <w:color w:val="008542" w:themeColor="accent2"/>
                </w:rPr>
                <w:t xml:space="preserve">dmitted </w:t>
              </w:r>
              <w:r w:rsidR="00DD5A21" w:rsidRPr="00A92D20">
                <w:rPr>
                  <w:rStyle w:val="Hyperlink"/>
                  <w:color w:val="008542" w:themeColor="accent2"/>
                </w:rPr>
                <w:t>p</w:t>
              </w:r>
              <w:r w:rsidR="00082679" w:rsidRPr="00A92D20">
                <w:rPr>
                  <w:rStyle w:val="Hyperlink"/>
                  <w:color w:val="008542" w:themeColor="accent2"/>
                </w:rPr>
                <w:t>atient</w:t>
              </w:r>
              <w:r w:rsidR="004A78D9" w:rsidRPr="00A92D20">
                <w:rPr>
                  <w:rStyle w:val="Hyperlink"/>
                  <w:color w:val="008542" w:themeColor="accent2"/>
                </w:rPr>
                <w:t xml:space="preserve"> </w:t>
              </w:r>
              <w:r w:rsidR="00082679" w:rsidRPr="00A92D20">
                <w:rPr>
                  <w:rStyle w:val="Hyperlink"/>
                  <w:color w:val="008542" w:themeColor="accent2"/>
                </w:rPr>
                <w:t>NBEDS</w:t>
              </w:r>
            </w:hyperlink>
            <w:r w:rsidRPr="00007DBF">
              <w:t> for non-admitted patients and the </w:t>
            </w:r>
            <w:hyperlink r:id="rId25" w:history="1">
              <w:r w:rsidR="003C161A" w:rsidRPr="00A92D20">
                <w:rPr>
                  <w:rStyle w:val="Hyperlink"/>
                  <w:rFonts w:asciiTheme="minorHAnsi" w:hAnsiTheme="minorHAnsi" w:cstheme="minorHAnsi"/>
                  <w:color w:val="008542" w:themeColor="accent2"/>
                </w:rPr>
                <w:t>Non-</w:t>
              </w:r>
              <w:r w:rsidR="00DD5A21" w:rsidRPr="00A92D20">
                <w:rPr>
                  <w:rStyle w:val="Hyperlink"/>
                  <w:rFonts w:asciiTheme="minorHAnsi" w:hAnsiTheme="minorHAnsi" w:cstheme="minorHAnsi"/>
                  <w:color w:val="008542" w:themeColor="accent2"/>
                </w:rPr>
                <w:t>a</w:t>
              </w:r>
              <w:r w:rsidR="003C161A" w:rsidRPr="00A92D20">
                <w:rPr>
                  <w:rStyle w:val="Hyperlink"/>
                  <w:rFonts w:asciiTheme="minorHAnsi" w:hAnsiTheme="minorHAnsi" w:cstheme="minorHAnsi"/>
                  <w:color w:val="008542" w:themeColor="accent2"/>
                </w:rPr>
                <w:t xml:space="preserve">dmitted </w:t>
              </w:r>
              <w:r w:rsidR="00DD5A21" w:rsidRPr="00A92D20">
                <w:rPr>
                  <w:rStyle w:val="Hyperlink"/>
                  <w:rFonts w:asciiTheme="minorHAnsi" w:hAnsiTheme="minorHAnsi" w:cstheme="minorHAnsi"/>
                  <w:color w:val="008542" w:themeColor="accent2"/>
                </w:rPr>
                <w:t>p</w:t>
              </w:r>
              <w:r w:rsidR="003C161A" w:rsidRPr="00A92D20">
                <w:rPr>
                  <w:rStyle w:val="Hyperlink"/>
                  <w:rFonts w:asciiTheme="minorHAnsi" w:hAnsiTheme="minorHAnsi" w:cstheme="minorHAnsi"/>
                  <w:color w:val="008542" w:themeColor="accent2"/>
                </w:rPr>
                <w:t xml:space="preserve">atient </w:t>
              </w:r>
              <w:r w:rsidR="00DD5A21" w:rsidRPr="00A92D20">
                <w:rPr>
                  <w:rStyle w:val="Hyperlink"/>
                  <w:rFonts w:asciiTheme="minorHAnsi" w:hAnsiTheme="minorHAnsi" w:cstheme="minorHAnsi"/>
                  <w:color w:val="008542" w:themeColor="accent2"/>
                </w:rPr>
                <w:t>c</w:t>
              </w:r>
              <w:r w:rsidR="004A78D9" w:rsidRPr="00A92D20">
                <w:rPr>
                  <w:rStyle w:val="Hyperlink"/>
                  <w:rFonts w:asciiTheme="minorHAnsi" w:hAnsiTheme="minorHAnsi" w:cstheme="minorHAnsi"/>
                  <w:color w:val="008542" w:themeColor="accent2"/>
                </w:rPr>
                <w:t xml:space="preserve">are </w:t>
              </w:r>
              <w:r w:rsidR="00DD5A21" w:rsidRPr="00A92D20">
                <w:rPr>
                  <w:rStyle w:val="Hyperlink"/>
                  <w:rFonts w:asciiTheme="minorHAnsi" w:hAnsiTheme="minorHAnsi" w:cstheme="minorHAnsi"/>
                  <w:color w:val="008542" w:themeColor="accent2"/>
                </w:rPr>
                <w:t>a</w:t>
              </w:r>
              <w:r w:rsidR="004A78D9" w:rsidRPr="00A92D20">
                <w:rPr>
                  <w:rStyle w:val="Hyperlink"/>
                  <w:rFonts w:asciiTheme="minorHAnsi" w:hAnsiTheme="minorHAnsi" w:cstheme="minorHAnsi"/>
                  <w:color w:val="008542" w:themeColor="accent2"/>
                </w:rPr>
                <w:t xml:space="preserve">ggregate </w:t>
              </w:r>
              <w:r w:rsidR="003C161A" w:rsidRPr="00A92D20">
                <w:rPr>
                  <w:rStyle w:val="Hyperlink"/>
                  <w:rFonts w:asciiTheme="minorHAnsi" w:hAnsiTheme="minorHAnsi" w:cstheme="minorHAnsi"/>
                  <w:color w:val="008542" w:themeColor="accent2"/>
                </w:rPr>
                <w:t>NBEDS</w:t>
              </w:r>
            </w:hyperlink>
            <w:r w:rsidRPr="00007DBF">
              <w:t> for aggregate data on non-admitted services.</w:t>
            </w:r>
          </w:p>
        </w:tc>
      </w:tr>
      <w:tr w:rsidR="003F7E16" w:rsidRPr="00007DBF" w14:paraId="4407DCEB"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0CA8E0" w14:textId="4E441D18" w:rsidR="003F7E16" w:rsidRPr="00007DBF" w:rsidRDefault="003F7E16" w:rsidP="005843FC">
            <w:pPr>
              <w:pStyle w:val="NormalWeb"/>
              <w:spacing w:line="240" w:lineRule="auto"/>
            </w:pPr>
            <w:r w:rsidRPr="00007DBF">
              <w:rPr>
                <w:rStyle w:val="Strong"/>
              </w:rPr>
              <w:t xml:space="preserve">Mental health </w:t>
            </w:r>
            <w:r w:rsidR="00512AA9">
              <w:rPr>
                <w:rStyle w:val="Strong"/>
              </w:rPr>
              <w:t xml:space="preserve">care </w:t>
            </w:r>
            <w:r w:rsidRPr="00007DBF">
              <w:rPr>
                <w:rStyle w:val="Strong"/>
              </w:rPr>
              <w:t>patient activity</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78220" w14:textId="3C364993" w:rsidR="003F7E16" w:rsidRPr="00007DBF" w:rsidRDefault="003F7E16" w:rsidP="005843FC">
            <w:pPr>
              <w:pStyle w:val="NormalWeb"/>
              <w:spacing w:line="240" w:lineRule="auto"/>
            </w:pPr>
            <w:r w:rsidRPr="00007DBF">
              <w:t>The </w:t>
            </w:r>
            <w:hyperlink r:id="rId26" w:history="1">
              <w:r w:rsidR="006B4435">
                <w:rPr>
                  <w:rStyle w:val="Hyperlink"/>
                  <w:color w:val="008542" w:themeColor="accent2"/>
                </w:rPr>
                <w:t>A</w:t>
              </w:r>
              <w:r w:rsidR="00677308" w:rsidRPr="00A92D20">
                <w:rPr>
                  <w:rStyle w:val="Hyperlink"/>
                  <w:color w:val="008542" w:themeColor="accent2"/>
                </w:rPr>
                <w:t xml:space="preserve">ctivity </w:t>
              </w:r>
              <w:r w:rsidR="00DD5A21" w:rsidRPr="00A92D20">
                <w:rPr>
                  <w:rStyle w:val="Hyperlink"/>
                  <w:color w:val="008542" w:themeColor="accent2"/>
                </w:rPr>
                <w:t>b</w:t>
              </w:r>
              <w:r w:rsidR="00677308" w:rsidRPr="00A92D20">
                <w:rPr>
                  <w:rStyle w:val="Hyperlink"/>
                  <w:color w:val="008542" w:themeColor="accent2"/>
                </w:rPr>
                <w:t xml:space="preserve">ased </w:t>
              </w:r>
              <w:r w:rsidR="00DD5A21" w:rsidRPr="00A92D20">
                <w:rPr>
                  <w:rStyle w:val="Hyperlink"/>
                  <w:color w:val="008542" w:themeColor="accent2"/>
                </w:rPr>
                <w:t>f</w:t>
              </w:r>
              <w:r w:rsidR="00677308" w:rsidRPr="00A92D20">
                <w:rPr>
                  <w:rStyle w:val="Hyperlink"/>
                  <w:color w:val="008542" w:themeColor="accent2"/>
                </w:rPr>
                <w:t>unding: Mental health care NBEDS</w:t>
              </w:r>
            </w:hyperlink>
            <w:r w:rsidR="00677308" w:rsidRPr="00007DBF">
              <w:t xml:space="preserve">. </w:t>
            </w:r>
          </w:p>
        </w:tc>
      </w:tr>
      <w:tr w:rsidR="003F7E16" w:rsidRPr="00007DBF" w14:paraId="23DBEA1B"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B2EE4C" w14:textId="77777777" w:rsidR="003F7E16" w:rsidRPr="00007DBF" w:rsidRDefault="003F7E16" w:rsidP="005843FC">
            <w:pPr>
              <w:pStyle w:val="NormalWeb"/>
              <w:spacing w:line="240" w:lineRule="auto"/>
            </w:pPr>
            <w:r w:rsidRPr="00007DBF">
              <w:rPr>
                <w:rStyle w:val="Strong"/>
              </w:rPr>
              <w:t>Teaching and training activity</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6CCC06" w14:textId="3B370A18" w:rsidR="003F7E16" w:rsidRPr="00007DBF" w:rsidRDefault="003F7E16" w:rsidP="005843FC">
            <w:pPr>
              <w:pStyle w:val="NormalWeb"/>
              <w:spacing w:line="240" w:lineRule="auto"/>
            </w:pPr>
            <w:r w:rsidRPr="00007DBF">
              <w:t>The </w:t>
            </w:r>
            <w:hyperlink r:id="rId27" w:history="1">
              <w:r w:rsidRPr="00AA6EDB">
                <w:rPr>
                  <w:rStyle w:val="Hyperlink"/>
                  <w:color w:val="008542" w:themeColor="accent2"/>
                </w:rPr>
                <w:t>Hospital teaching</w:t>
              </w:r>
              <w:r w:rsidR="00B67EC7" w:rsidRPr="00AA6EDB">
                <w:rPr>
                  <w:rStyle w:val="Hyperlink"/>
                  <w:color w:val="008542" w:themeColor="accent2"/>
                </w:rPr>
                <w:t xml:space="preserve">, </w:t>
              </w:r>
              <w:r w:rsidRPr="00AA6EDB">
                <w:rPr>
                  <w:rStyle w:val="Hyperlink"/>
                  <w:color w:val="008542" w:themeColor="accent2"/>
                </w:rPr>
                <w:t xml:space="preserve">training </w:t>
              </w:r>
              <w:r w:rsidR="00B67EC7" w:rsidRPr="00AA6EDB">
                <w:rPr>
                  <w:rStyle w:val="Hyperlink"/>
                  <w:color w:val="008542" w:themeColor="accent2"/>
                </w:rPr>
                <w:t xml:space="preserve">and research </w:t>
              </w:r>
              <w:r w:rsidRPr="00AA6EDB">
                <w:rPr>
                  <w:rStyle w:val="Hyperlink"/>
                  <w:color w:val="008542" w:themeColor="accent2"/>
                </w:rPr>
                <w:t>activities NBEDS</w:t>
              </w:r>
            </w:hyperlink>
            <w:r w:rsidRPr="00007DBF">
              <w:t xml:space="preserve">. Note that research activities were added to this </w:t>
            </w:r>
            <w:r w:rsidR="00B67EC7">
              <w:t>Data Set Specification</w:t>
            </w:r>
            <w:r w:rsidR="00B67EC7" w:rsidRPr="00007DBF">
              <w:t xml:space="preserve"> </w:t>
            </w:r>
            <w:r w:rsidRPr="00007DBF">
              <w:t>in 2015</w:t>
            </w:r>
            <w:r w:rsidR="00B67EC7" w:rsidRPr="00B67EC7">
              <w:t>–</w:t>
            </w:r>
            <w:r w:rsidRPr="00007DBF">
              <w:t>16.</w:t>
            </w:r>
          </w:p>
        </w:tc>
      </w:tr>
      <w:tr w:rsidR="00471CCC" w:rsidRPr="00007DBF" w14:paraId="60816A4B"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185D5E5" w14:textId="1AA4D06D" w:rsidR="00471CCC" w:rsidRPr="00007DBF" w:rsidRDefault="00471CCC" w:rsidP="005843FC">
            <w:pPr>
              <w:pStyle w:val="NormalWeb"/>
              <w:spacing w:line="240" w:lineRule="auto"/>
              <w:rPr>
                <w:rStyle w:val="Strong"/>
                <w:rFonts w:cs="Times New Roman"/>
                <w:szCs w:val="24"/>
              </w:rPr>
            </w:pPr>
            <w:r w:rsidRPr="00007DBF">
              <w:rPr>
                <w:rStyle w:val="Strong"/>
              </w:rPr>
              <w:t xml:space="preserve">Sentinel </w:t>
            </w:r>
            <w:r w:rsidR="00512AA9">
              <w:rPr>
                <w:rStyle w:val="Strong"/>
              </w:rPr>
              <w:t>e</w:t>
            </w:r>
            <w:r w:rsidRPr="00007DBF">
              <w:rPr>
                <w:rStyle w:val="Strong"/>
              </w:rPr>
              <w:t>vents</w:t>
            </w:r>
            <w:r w:rsidR="005843FC">
              <w:rPr>
                <w:rStyle w:val="Strong"/>
              </w:rPr>
              <w:t xml:space="preserve"> data</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66B6153" w14:textId="606BDF0B" w:rsidR="00471CCC" w:rsidRPr="003E7A4A" w:rsidRDefault="00471CCC" w:rsidP="005843FC">
            <w:pPr>
              <w:pStyle w:val="NormalWeb"/>
              <w:spacing w:line="240" w:lineRule="auto"/>
            </w:pPr>
            <w:r w:rsidRPr="00381C24">
              <w:t>Data on sentinel events, fund</w:t>
            </w:r>
            <w:r w:rsidR="002E1167" w:rsidRPr="00381C24">
              <w:t xml:space="preserve">ed by states </w:t>
            </w:r>
            <w:r w:rsidRPr="00381C24">
              <w:t>and territories, that are associated with Australian public hospitals.</w:t>
            </w:r>
          </w:p>
        </w:tc>
      </w:tr>
      <w:tr w:rsidR="00471CCC" w:rsidRPr="00007DBF" w14:paraId="779C59BC"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BA16931" w14:textId="085993F6" w:rsidR="00471CCC" w:rsidRPr="00007DBF" w:rsidRDefault="00471CCC" w:rsidP="005843FC">
            <w:pPr>
              <w:pStyle w:val="NormalWeb"/>
              <w:spacing w:line="240" w:lineRule="auto"/>
              <w:rPr>
                <w:rStyle w:val="Strong"/>
                <w:rFonts w:cs="Times New Roman"/>
                <w:szCs w:val="24"/>
              </w:rPr>
            </w:pPr>
            <w:r w:rsidRPr="00007DBF">
              <w:rPr>
                <w:rStyle w:val="Strong"/>
              </w:rPr>
              <w:t>Coronavirus</w:t>
            </w:r>
            <w:r w:rsidR="00B67EC7">
              <w:rPr>
                <w:rStyle w:val="Strong"/>
              </w:rPr>
              <w:t xml:space="preserve"> disease 2019</w:t>
            </w:r>
            <w:r w:rsidRPr="00007DBF">
              <w:rPr>
                <w:rStyle w:val="Strong"/>
              </w:rPr>
              <w:t xml:space="preserve"> (COVID-19)</w:t>
            </w:r>
            <w:r w:rsidR="005843FC">
              <w:rPr>
                <w:rStyle w:val="Strong"/>
              </w:rPr>
              <w:t xml:space="preserve"> data</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A4D6EB2" w14:textId="444E3909" w:rsidR="00471CCC" w:rsidRPr="00007DBF" w:rsidRDefault="00471CCC" w:rsidP="005843FC">
            <w:pPr>
              <w:pStyle w:val="NormalWeb"/>
              <w:spacing w:line="240" w:lineRule="auto"/>
            </w:pPr>
            <w:r w:rsidRPr="00007DBF">
              <w:t>Data on activity that is attributed to the diagnosis and treatment of Medicare-eligible patients with COVID-19 or suspected of having COVID</w:t>
            </w:r>
            <w:r w:rsidR="00B67EC7">
              <w:noBreakHyphen/>
            </w:r>
            <w:r w:rsidRPr="00007DBF">
              <w:t>19.</w:t>
            </w:r>
          </w:p>
        </w:tc>
      </w:tr>
      <w:tr w:rsidR="005E6AB8" w:rsidRPr="00007DBF" w14:paraId="63372C4F" w14:textId="77777777" w:rsidTr="00593D27">
        <w:tc>
          <w:tcPr>
            <w:tcW w:w="13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F8FBBD" w14:textId="3A0B81DA" w:rsidR="005E6AB8" w:rsidRPr="00007DBF" w:rsidRDefault="005E6AB8" w:rsidP="005843FC">
            <w:pPr>
              <w:pStyle w:val="NormalWeb"/>
              <w:spacing w:line="240" w:lineRule="auto"/>
              <w:rPr>
                <w:rStyle w:val="Strong"/>
                <w:rFonts w:cs="Times New Roman"/>
                <w:szCs w:val="24"/>
              </w:rPr>
            </w:pPr>
            <w:r>
              <w:rPr>
                <w:rStyle w:val="Strong"/>
              </w:rPr>
              <w:t>Individual Healthcare Identifier data</w:t>
            </w:r>
          </w:p>
        </w:tc>
        <w:tc>
          <w:tcPr>
            <w:tcW w:w="3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0DE823D" w14:textId="5CC4FCC8" w:rsidR="005E6AB8" w:rsidRPr="00007DBF" w:rsidRDefault="005E6AB8" w:rsidP="005843FC">
            <w:pPr>
              <w:pStyle w:val="NormalWeb"/>
              <w:spacing w:line="240" w:lineRule="auto"/>
            </w:pPr>
            <w:r>
              <w:t xml:space="preserve">The </w:t>
            </w:r>
            <w:hyperlink r:id="rId28" w:history="1">
              <w:r w:rsidRPr="00593D27">
                <w:rPr>
                  <w:rStyle w:val="Hyperlink"/>
                  <w:color w:val="008542" w:themeColor="accent2"/>
                </w:rPr>
                <w:t>Individual Healthcare Identifier NBEDS</w:t>
              </w:r>
            </w:hyperlink>
            <w:r>
              <w:t>.</w:t>
            </w:r>
          </w:p>
        </w:tc>
      </w:tr>
    </w:tbl>
    <w:p w14:paraId="079A4B6B" w14:textId="77777777" w:rsidR="00D810C9" w:rsidRPr="00007DBF" w:rsidRDefault="001F6F10" w:rsidP="000F7B3B">
      <w:pPr>
        <w:pStyle w:val="AppendixH1"/>
      </w:pPr>
      <w:bookmarkStart w:id="386" w:name="_Toc418677620"/>
      <w:bookmarkStart w:id="387" w:name="_Toc506796570"/>
      <w:r w:rsidRPr="00007DBF">
        <w:rPr>
          <w:lang w:eastAsia="zh-CN"/>
        </w:rPr>
        <w:br w:type="page"/>
      </w:r>
      <w:bookmarkStart w:id="388" w:name="_Toc36115002"/>
      <w:bookmarkStart w:id="389" w:name="_Toc94527656"/>
      <w:r w:rsidR="00D810C9" w:rsidRPr="00DD5A21">
        <w:lastRenderedPageBreak/>
        <w:t>Appendix B: IHPA publications and publicly available information</w:t>
      </w:r>
      <w:bookmarkEnd w:id="388"/>
      <w:bookmarkEnd w:id="389"/>
    </w:p>
    <w:p w14:paraId="454BF4AE" w14:textId="77777777" w:rsidR="00D810C9" w:rsidRPr="00007DBF" w:rsidRDefault="00D810C9" w:rsidP="00D810C9">
      <w:r w:rsidRPr="00007DBF">
        <w:t xml:space="preserve">IHPA publications and publicly available information are outlined in </w:t>
      </w:r>
      <w:r w:rsidRPr="00614A8C">
        <w:rPr>
          <w:b/>
          <w:bCs/>
        </w:rPr>
        <w:t xml:space="preserve">Table </w:t>
      </w:r>
      <w:r w:rsidR="00CA659B" w:rsidRPr="00614A8C">
        <w:rPr>
          <w:b/>
          <w:bCs/>
        </w:rPr>
        <w:t>3</w:t>
      </w:r>
      <w:r w:rsidRPr="00007DBF">
        <w:t>.</w:t>
      </w:r>
    </w:p>
    <w:p w14:paraId="0DF68284" w14:textId="77777777" w:rsidR="00D810C9" w:rsidRPr="00007DBF" w:rsidRDefault="00D810C9" w:rsidP="002D5814">
      <w:pPr>
        <w:pStyle w:val="TableHeading"/>
      </w:pPr>
      <w:r w:rsidRPr="00007DBF">
        <w:t xml:space="preserve">Table </w:t>
      </w:r>
      <w:r w:rsidR="00CA659B" w:rsidRPr="00007DBF">
        <w:t>3</w:t>
      </w:r>
      <w:r w:rsidRPr="00007DBF">
        <w:t>. IHPA external publications and publicly available information</w:t>
      </w:r>
    </w:p>
    <w:tbl>
      <w:tblPr>
        <w:tblStyle w:val="TableGrid"/>
        <w:tblW w:w="9747" w:type="dxa"/>
        <w:tblLook w:val="04A0" w:firstRow="1" w:lastRow="0" w:firstColumn="1" w:lastColumn="0" w:noHBand="0" w:noVBand="1"/>
        <w:tblCaption w:val="List of publications"/>
        <w:tblDescription w:val="This table contains a single list of the Independant Hospital Pricing Authority's external publications"/>
      </w:tblPr>
      <w:tblGrid>
        <w:gridCol w:w="9747"/>
      </w:tblGrid>
      <w:tr w:rsidR="00D810C9" w:rsidRPr="00007DBF" w14:paraId="3DD9CA4B" w14:textId="77777777" w:rsidTr="00614A8C">
        <w:trPr>
          <w:tblHeader/>
        </w:trPr>
        <w:tc>
          <w:tcPr>
            <w:tcW w:w="9747" w:type="dxa"/>
            <w:tcBorders>
              <w:top w:val="single" w:sz="4" w:space="0" w:color="auto"/>
              <w:left w:val="single" w:sz="4" w:space="0" w:color="auto"/>
              <w:bottom w:val="single" w:sz="4" w:space="0" w:color="auto"/>
              <w:right w:val="single" w:sz="4" w:space="0" w:color="auto"/>
            </w:tcBorders>
            <w:shd w:val="clear" w:color="auto" w:fill="004200" w:themeFill="accent1"/>
            <w:hideMark/>
          </w:tcPr>
          <w:p w14:paraId="44F9CA7C" w14:textId="085E3ED3" w:rsidR="00D810C9" w:rsidRPr="00B67EC7" w:rsidRDefault="00D810C9" w:rsidP="00B67EC7">
            <w:pPr>
              <w:pStyle w:val="Heading3"/>
              <w:rPr>
                <w:rFonts w:ascii="Arial" w:hAnsi="Arial"/>
                <w:sz w:val="22"/>
                <w:szCs w:val="24"/>
              </w:rPr>
            </w:pPr>
            <w:bookmarkStart w:id="390" w:name="_Toc36115003"/>
            <w:bookmarkStart w:id="391" w:name="_Toc61536335"/>
            <w:r w:rsidRPr="00614A8C">
              <w:rPr>
                <w:color w:val="FFFFFF" w:themeColor="background1"/>
              </w:rPr>
              <w:t>Publication</w:t>
            </w:r>
            <w:bookmarkEnd w:id="390"/>
            <w:bookmarkEnd w:id="391"/>
            <w:r w:rsidR="00B67EC7" w:rsidRPr="00614A8C">
              <w:rPr>
                <w:color w:val="FFFFFF" w:themeColor="background1"/>
              </w:rPr>
              <w:t>s and publicly available information</w:t>
            </w:r>
          </w:p>
        </w:tc>
      </w:tr>
      <w:tr w:rsidR="00D810C9" w:rsidRPr="00007DBF" w14:paraId="5E45F2A3" w14:textId="77777777" w:rsidTr="0090341F">
        <w:tc>
          <w:tcPr>
            <w:tcW w:w="9747" w:type="dxa"/>
            <w:tcBorders>
              <w:top w:val="single" w:sz="4" w:space="0" w:color="auto"/>
              <w:left w:val="single" w:sz="4" w:space="0" w:color="auto"/>
              <w:bottom w:val="single" w:sz="4" w:space="0" w:color="auto"/>
              <w:right w:val="single" w:sz="4" w:space="0" w:color="auto"/>
            </w:tcBorders>
            <w:hideMark/>
          </w:tcPr>
          <w:p w14:paraId="67327184" w14:textId="77777777" w:rsidR="00D810C9" w:rsidRPr="00007DBF" w:rsidRDefault="0064579E" w:rsidP="0049336A">
            <w:pPr>
              <w:pStyle w:val="ListParagraph"/>
              <w:numPr>
                <w:ilvl w:val="0"/>
                <w:numId w:val="67"/>
              </w:numPr>
            </w:pPr>
            <w:r w:rsidRPr="00007DBF">
              <w:t>N</w:t>
            </w:r>
            <w:r w:rsidR="00B86D2F" w:rsidRPr="00007DBF">
              <w:t xml:space="preserve">ational </w:t>
            </w:r>
            <w:r w:rsidRPr="00007DBF">
              <w:t>E</w:t>
            </w:r>
            <w:r w:rsidR="00B86D2F" w:rsidRPr="00007DBF">
              <w:t xml:space="preserve">fficient </w:t>
            </w:r>
            <w:r w:rsidRPr="00007DBF">
              <w:t>P</w:t>
            </w:r>
            <w:r w:rsidR="00B86D2F" w:rsidRPr="00007DBF">
              <w:t>rice</w:t>
            </w:r>
            <w:r w:rsidR="00D810C9" w:rsidRPr="00007DBF">
              <w:t xml:space="preserve"> Determination</w:t>
            </w:r>
          </w:p>
          <w:p w14:paraId="1539BFBB" w14:textId="77777777" w:rsidR="00D810C9" w:rsidRPr="00007DBF" w:rsidRDefault="00D810C9" w:rsidP="0049336A">
            <w:pPr>
              <w:pStyle w:val="ListParagraph"/>
              <w:numPr>
                <w:ilvl w:val="0"/>
                <w:numId w:val="67"/>
              </w:numPr>
            </w:pPr>
            <w:r w:rsidRPr="00007DBF">
              <w:t>National Efficient Cost Determination</w:t>
            </w:r>
          </w:p>
          <w:p w14:paraId="637D1630" w14:textId="498B013A" w:rsidR="00D810C9" w:rsidRPr="00007DBF" w:rsidRDefault="00B67EC7" w:rsidP="0049336A">
            <w:pPr>
              <w:pStyle w:val="ListParagraph"/>
              <w:numPr>
                <w:ilvl w:val="0"/>
                <w:numId w:val="67"/>
              </w:numPr>
            </w:pPr>
            <w:r w:rsidRPr="00B67EC7">
              <w:t>National Pricing Model Technical Specifications</w:t>
            </w:r>
          </w:p>
          <w:p w14:paraId="50C9248D" w14:textId="761C84CE" w:rsidR="00D810C9" w:rsidRPr="00007DBF" w:rsidRDefault="00D810C9" w:rsidP="0049336A">
            <w:pPr>
              <w:pStyle w:val="ListParagraph"/>
              <w:numPr>
                <w:ilvl w:val="0"/>
                <w:numId w:val="67"/>
              </w:numPr>
            </w:pPr>
            <w:r w:rsidRPr="00007DBF">
              <w:t xml:space="preserve">National </w:t>
            </w:r>
            <w:r w:rsidR="00B67EC7">
              <w:t>w</w:t>
            </w:r>
            <w:r w:rsidRPr="00007DBF">
              <w:t xml:space="preserve">eighted </w:t>
            </w:r>
            <w:r w:rsidR="00B67EC7">
              <w:t>a</w:t>
            </w:r>
            <w:r w:rsidRPr="00007DBF">
              <w:t xml:space="preserve">ctivity </w:t>
            </w:r>
            <w:r w:rsidR="00B67EC7">
              <w:t>u</w:t>
            </w:r>
            <w:r w:rsidRPr="00007DBF">
              <w:t>nit calculator</w:t>
            </w:r>
            <w:r w:rsidR="00B67EC7">
              <w:t>s</w:t>
            </w:r>
          </w:p>
          <w:p w14:paraId="4F8C0B64" w14:textId="77777777" w:rsidR="00D810C9" w:rsidRPr="00007DBF" w:rsidRDefault="00D810C9" w:rsidP="0049336A">
            <w:pPr>
              <w:pStyle w:val="ListParagraph"/>
              <w:numPr>
                <w:ilvl w:val="0"/>
                <w:numId w:val="67"/>
              </w:numPr>
            </w:pPr>
            <w:r w:rsidRPr="00007DBF">
              <w:t>Pricing Framework for Australian Public Hospital Services</w:t>
            </w:r>
          </w:p>
          <w:p w14:paraId="4A9DD0D2" w14:textId="44F4BAE7" w:rsidR="00D810C9" w:rsidRPr="00007DBF" w:rsidRDefault="00D810C9" w:rsidP="0049336A">
            <w:pPr>
              <w:pStyle w:val="ListParagraph"/>
              <w:numPr>
                <w:ilvl w:val="0"/>
                <w:numId w:val="67"/>
              </w:numPr>
            </w:pPr>
            <w:r w:rsidRPr="00007DBF">
              <w:t>IHPA Work Program</w:t>
            </w:r>
            <w:r w:rsidR="0005699A">
              <w:t xml:space="preserve"> and Corporate Plan</w:t>
            </w:r>
          </w:p>
          <w:p w14:paraId="2360EBCC" w14:textId="77777777" w:rsidR="00D810C9" w:rsidRPr="00007DBF" w:rsidRDefault="00D810C9" w:rsidP="0049336A">
            <w:pPr>
              <w:pStyle w:val="ListParagraph"/>
              <w:numPr>
                <w:ilvl w:val="0"/>
                <w:numId w:val="67"/>
              </w:numPr>
            </w:pPr>
            <w:r w:rsidRPr="00007DBF">
              <w:t>IHPA Three Year Data Plan</w:t>
            </w:r>
          </w:p>
          <w:p w14:paraId="5842ACFA" w14:textId="77777777" w:rsidR="00D810C9" w:rsidRPr="00007DBF" w:rsidRDefault="00D810C9" w:rsidP="0049336A">
            <w:pPr>
              <w:pStyle w:val="ListParagraph"/>
              <w:numPr>
                <w:ilvl w:val="0"/>
                <w:numId w:val="67"/>
              </w:numPr>
            </w:pPr>
            <w:r w:rsidRPr="00007DBF">
              <w:t>Data Request Specifications</w:t>
            </w:r>
          </w:p>
          <w:p w14:paraId="10F2D1AF" w14:textId="3C700A2B" w:rsidR="00D810C9" w:rsidRPr="00007DBF" w:rsidRDefault="00D810C9" w:rsidP="0049336A">
            <w:pPr>
              <w:pStyle w:val="ListParagraph"/>
              <w:numPr>
                <w:ilvl w:val="0"/>
                <w:numId w:val="67"/>
              </w:numPr>
            </w:pPr>
            <w:r w:rsidRPr="00007DBF">
              <w:t>NHCDC Public Sector Report and cost weight tables</w:t>
            </w:r>
          </w:p>
          <w:p w14:paraId="4E62D867" w14:textId="77777777" w:rsidR="00D810C9" w:rsidRPr="00007DBF" w:rsidRDefault="00D810C9" w:rsidP="0049336A">
            <w:pPr>
              <w:pStyle w:val="ListParagraph"/>
              <w:numPr>
                <w:ilvl w:val="0"/>
                <w:numId w:val="67"/>
              </w:numPr>
            </w:pPr>
            <w:r w:rsidRPr="00007DBF">
              <w:t>NHCDC Private Sector Report and cost weight tables</w:t>
            </w:r>
          </w:p>
          <w:p w14:paraId="4114B93D" w14:textId="77777777" w:rsidR="00D810C9" w:rsidRPr="00007DBF" w:rsidRDefault="00D810C9" w:rsidP="0049336A">
            <w:pPr>
              <w:pStyle w:val="ListParagraph"/>
              <w:numPr>
                <w:ilvl w:val="0"/>
                <w:numId w:val="67"/>
              </w:numPr>
            </w:pPr>
            <w:r w:rsidRPr="00007DBF">
              <w:t>Independent Financial Review of the NHCDC</w:t>
            </w:r>
          </w:p>
          <w:p w14:paraId="5313407C" w14:textId="74BAE4FC" w:rsidR="00D810C9" w:rsidRPr="00007DBF" w:rsidRDefault="00D810C9" w:rsidP="0049336A">
            <w:pPr>
              <w:pStyle w:val="ListParagraph"/>
              <w:numPr>
                <w:ilvl w:val="0"/>
                <w:numId w:val="67"/>
              </w:numPr>
            </w:pPr>
            <w:r w:rsidRPr="00007DBF">
              <w:t>IHPA Annual Report</w:t>
            </w:r>
          </w:p>
          <w:p w14:paraId="249DC165" w14:textId="4DAA3A9A" w:rsidR="00D810C9" w:rsidRPr="00007DBF" w:rsidRDefault="00D810C9" w:rsidP="0049336A">
            <w:pPr>
              <w:pStyle w:val="ListParagraph"/>
              <w:numPr>
                <w:ilvl w:val="0"/>
                <w:numId w:val="67"/>
              </w:numPr>
            </w:pPr>
            <w:r w:rsidRPr="00007DBF">
              <w:t>Data Compliance Policy</w:t>
            </w:r>
          </w:p>
          <w:p w14:paraId="53110C31" w14:textId="77777777" w:rsidR="00D810C9" w:rsidRPr="00007DBF" w:rsidRDefault="00D810C9" w:rsidP="0049336A">
            <w:pPr>
              <w:pStyle w:val="ListParagraph"/>
              <w:numPr>
                <w:ilvl w:val="0"/>
                <w:numId w:val="67"/>
              </w:numPr>
            </w:pPr>
            <w:r w:rsidRPr="00007DBF">
              <w:t>Data Compliance Reports</w:t>
            </w:r>
          </w:p>
          <w:p w14:paraId="500D9F19" w14:textId="77777777" w:rsidR="00D810C9" w:rsidRPr="00007DBF" w:rsidRDefault="00D810C9" w:rsidP="0049336A">
            <w:pPr>
              <w:pStyle w:val="ListParagraph"/>
              <w:numPr>
                <w:ilvl w:val="0"/>
                <w:numId w:val="67"/>
              </w:numPr>
            </w:pPr>
            <w:r w:rsidRPr="00007DBF">
              <w:t>​Indexed List of Agency Files (Harradine report)</w:t>
            </w:r>
          </w:p>
          <w:p w14:paraId="359D601E" w14:textId="77777777" w:rsidR="00D810C9" w:rsidRPr="00007DBF" w:rsidRDefault="00D810C9" w:rsidP="0049336A">
            <w:pPr>
              <w:pStyle w:val="ListParagraph"/>
              <w:numPr>
                <w:ilvl w:val="0"/>
                <w:numId w:val="67"/>
              </w:numPr>
            </w:pPr>
            <w:r w:rsidRPr="00007DBF">
              <w:t xml:space="preserve">Contracts on </w:t>
            </w:r>
            <w:proofErr w:type="spellStart"/>
            <w:r w:rsidRPr="00007DBF">
              <w:t>Austender</w:t>
            </w:r>
            <w:proofErr w:type="spellEnd"/>
            <w:r w:rsidRPr="00007DBF">
              <w:t xml:space="preserve"> and published in accordance with Senate Order on Departmental and Agency Contracts (Murray Motion)</w:t>
            </w:r>
          </w:p>
          <w:p w14:paraId="717D3729" w14:textId="77777777" w:rsidR="00D810C9" w:rsidRPr="00007DBF" w:rsidRDefault="00D810C9" w:rsidP="0049336A">
            <w:pPr>
              <w:pStyle w:val="ListParagraph"/>
              <w:numPr>
                <w:ilvl w:val="0"/>
                <w:numId w:val="67"/>
              </w:numPr>
            </w:pPr>
            <w:r w:rsidRPr="00007DBF">
              <w:t>Reports on classification development and costing studies</w:t>
            </w:r>
          </w:p>
          <w:p w14:paraId="6BBA1F0C" w14:textId="40EF8C5C" w:rsidR="00D810C9" w:rsidRPr="00007DBF" w:rsidRDefault="00D810C9" w:rsidP="0049336A">
            <w:pPr>
              <w:pStyle w:val="ListParagraph"/>
              <w:numPr>
                <w:ilvl w:val="0"/>
                <w:numId w:val="67"/>
              </w:numPr>
              <w:rPr>
                <w:lang w:eastAsia="zh-CN"/>
              </w:rPr>
            </w:pPr>
            <w:r w:rsidRPr="00007DBF">
              <w:t xml:space="preserve">IHPA policies, such as </w:t>
            </w:r>
            <w:r w:rsidR="00B67EC7">
              <w:t xml:space="preserve">the </w:t>
            </w:r>
            <w:r w:rsidR="00B67EC7" w:rsidRPr="00B67EC7">
              <w:t>Confidential Data Management Policy</w:t>
            </w:r>
          </w:p>
        </w:tc>
      </w:tr>
    </w:tbl>
    <w:p w14:paraId="3C7A4AFB" w14:textId="77777777" w:rsidR="00D810C9" w:rsidRPr="00007DBF" w:rsidRDefault="00D810C9" w:rsidP="00D810C9">
      <w:pPr>
        <w:spacing w:before="0" w:after="0" w:line="240" w:lineRule="auto"/>
        <w:rPr>
          <w:rFonts w:asciiTheme="majorHAnsi" w:hAnsiTheme="majorHAnsi"/>
          <w:b/>
          <w:sz w:val="64"/>
          <w:szCs w:val="44"/>
        </w:rPr>
      </w:pPr>
      <w:r w:rsidRPr="00007DBF">
        <w:br w:type="page"/>
      </w:r>
    </w:p>
    <w:p w14:paraId="3A9B4B03" w14:textId="15C44D4F" w:rsidR="00405FC3" w:rsidRPr="00007DBF" w:rsidRDefault="001064F0" w:rsidP="000F7B3B">
      <w:pPr>
        <w:pStyle w:val="AppendixH1"/>
        <w:rPr>
          <w:lang w:eastAsia="zh-CN"/>
        </w:rPr>
      </w:pPr>
      <w:bookmarkStart w:id="392" w:name="_Toc36115004"/>
      <w:bookmarkStart w:id="393" w:name="_Toc94527657"/>
      <w:r w:rsidRPr="00007DBF">
        <w:rPr>
          <w:lang w:eastAsia="zh-CN"/>
        </w:rPr>
        <w:lastRenderedPageBreak/>
        <w:t>Appendix</w:t>
      </w:r>
      <w:r w:rsidR="00405FC3" w:rsidRPr="00007DBF">
        <w:rPr>
          <w:lang w:eastAsia="zh-CN"/>
        </w:rPr>
        <w:t xml:space="preserve"> </w:t>
      </w:r>
      <w:r w:rsidR="00424BF0" w:rsidRPr="00007DBF">
        <w:rPr>
          <w:lang w:eastAsia="zh-CN"/>
        </w:rPr>
        <w:t xml:space="preserve">C: Research </w:t>
      </w:r>
      <w:r w:rsidR="00AC01AB" w:rsidRPr="00007DBF">
        <w:rPr>
          <w:lang w:eastAsia="zh-CN"/>
        </w:rPr>
        <w:t>D</w:t>
      </w:r>
      <w:r w:rsidR="00381774" w:rsidRPr="00007DBF">
        <w:rPr>
          <w:lang w:eastAsia="zh-CN"/>
        </w:rPr>
        <w:t xml:space="preserve">ata </w:t>
      </w:r>
      <w:r w:rsidR="00AC01AB" w:rsidRPr="00007DBF">
        <w:rPr>
          <w:lang w:eastAsia="zh-CN"/>
        </w:rPr>
        <w:t>R</w:t>
      </w:r>
      <w:r w:rsidR="00424BF0" w:rsidRPr="00007DBF">
        <w:rPr>
          <w:lang w:eastAsia="zh-CN"/>
        </w:rPr>
        <w:t xml:space="preserve">equest </w:t>
      </w:r>
      <w:r w:rsidR="00AC01AB" w:rsidRPr="00007DBF">
        <w:rPr>
          <w:lang w:eastAsia="zh-CN"/>
        </w:rPr>
        <w:t>F</w:t>
      </w:r>
      <w:r w:rsidR="00405FC3" w:rsidRPr="00007DBF">
        <w:rPr>
          <w:lang w:eastAsia="zh-CN"/>
        </w:rPr>
        <w:t>orm</w:t>
      </w:r>
      <w:bookmarkEnd w:id="386"/>
      <w:bookmarkEnd w:id="387"/>
      <w:bookmarkEnd w:id="392"/>
      <w:bookmarkEnd w:id="393"/>
      <w:r w:rsidR="00405FC3" w:rsidRPr="00007DBF">
        <w:rPr>
          <w:lang w:eastAsia="zh-CN"/>
        </w:rPr>
        <w:t xml:space="preserve"> </w:t>
      </w:r>
    </w:p>
    <w:p w14:paraId="72998508" w14:textId="77777777" w:rsidR="00405FC3" w:rsidRPr="00007DBF" w:rsidRDefault="00405FC3" w:rsidP="00405FC3">
      <w:pPr>
        <w:spacing w:after="0" w:line="240" w:lineRule="auto"/>
        <w:jc w:val="center"/>
        <w:rPr>
          <w:rFonts w:cs="Arial"/>
          <w:b/>
          <w:i/>
          <w:color w:val="000000"/>
          <w:sz w:val="20"/>
          <w:szCs w:val="20"/>
          <w:lang w:eastAsia="zh-CN"/>
        </w:rPr>
      </w:pPr>
      <w:r w:rsidRPr="00007DBF">
        <w:rPr>
          <w:rFonts w:cs="Arial"/>
          <w:b/>
          <w:i/>
          <w:noProof/>
          <w:color w:val="000000"/>
          <w:sz w:val="20"/>
          <w:szCs w:val="20"/>
        </w:rPr>
        <w:drawing>
          <wp:inline distT="0" distB="0" distL="0" distR="0" wp14:anchorId="151B8736" wp14:editId="5C1ED498">
            <wp:extent cx="771525" cy="1238250"/>
            <wp:effectExtent l="0" t="0" r="0" b="0"/>
            <wp:docPr id="8" name="Picture 8" descr="IHPA Logo" title="IHPA Logo"/>
            <wp:cNvGraphicFramePr/>
            <a:graphic xmlns:a="http://schemas.openxmlformats.org/drawingml/2006/main">
              <a:graphicData uri="http://schemas.openxmlformats.org/drawingml/2006/picture">
                <pic:pic xmlns:pic="http://schemas.openxmlformats.org/drawingml/2006/picture">
                  <pic:nvPicPr>
                    <pic:cNvPr id="8" name="Picture 8" descr="IHPA Logo" title="IHPA Logo"/>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8350" cy="1243330"/>
                    </a:xfrm>
                    <a:prstGeom prst="rect">
                      <a:avLst/>
                    </a:prstGeom>
                    <a:noFill/>
                    <a:ln>
                      <a:noFill/>
                    </a:ln>
                  </pic:spPr>
                </pic:pic>
              </a:graphicData>
            </a:graphic>
          </wp:inline>
        </w:drawing>
      </w:r>
    </w:p>
    <w:p w14:paraId="06918709" w14:textId="77777777" w:rsidR="00405FC3" w:rsidRPr="00007DBF" w:rsidRDefault="00405FC3" w:rsidP="00405FC3">
      <w:pPr>
        <w:rPr>
          <w:rStyle w:val="Strong"/>
        </w:rPr>
      </w:pPr>
      <w:bookmarkStart w:id="394" w:name="_Toc337820587"/>
      <w:r w:rsidRPr="00007DBF">
        <w:rPr>
          <w:rStyle w:val="Strong"/>
        </w:rPr>
        <w:t>Overview</w:t>
      </w:r>
    </w:p>
    <w:p w14:paraId="17F612F4" w14:textId="77777777" w:rsidR="00405FC3" w:rsidRPr="00007DBF" w:rsidRDefault="00405FC3" w:rsidP="00405FC3">
      <w:pPr>
        <w:rPr>
          <w:lang w:eastAsia="zh-CN"/>
        </w:rPr>
      </w:pPr>
      <w:r w:rsidRPr="00007DBF">
        <w:rPr>
          <w:lang w:eastAsia="zh-CN"/>
        </w:rPr>
        <w:t xml:space="preserve">The Independent Hospital Pricing Authority (IHPA) recognises that access to high quality, nationally consistent, health </w:t>
      </w:r>
      <w:r w:rsidR="00702B3E" w:rsidRPr="00007DBF">
        <w:rPr>
          <w:lang w:eastAsia="zh-CN"/>
        </w:rPr>
        <w:t xml:space="preserve">data </w:t>
      </w:r>
      <w:r w:rsidRPr="00007DBF">
        <w:rPr>
          <w:lang w:eastAsia="zh-CN"/>
        </w:rPr>
        <w:t xml:space="preserve">is essential for the conduct of research and analysis and to inform the development of policies for improving health outcomes for all Australians. </w:t>
      </w:r>
    </w:p>
    <w:p w14:paraId="5641D456" w14:textId="77777777" w:rsidR="00405FC3" w:rsidRPr="00007DBF" w:rsidRDefault="00405FC3" w:rsidP="00405FC3">
      <w:pPr>
        <w:rPr>
          <w:lang w:eastAsia="zh-CN"/>
        </w:rPr>
      </w:pPr>
      <w:r w:rsidRPr="00007DBF">
        <w:rPr>
          <w:lang w:eastAsia="zh-CN"/>
        </w:rPr>
        <w:t xml:space="preserve">If you would like to request </w:t>
      </w:r>
      <w:r w:rsidR="00702B3E" w:rsidRPr="00007DBF">
        <w:rPr>
          <w:lang w:eastAsia="zh-CN"/>
        </w:rPr>
        <w:t xml:space="preserve">data </w:t>
      </w:r>
      <w:r w:rsidRPr="00007DBF">
        <w:rPr>
          <w:lang w:eastAsia="zh-CN"/>
        </w:rPr>
        <w:t>from IHPA, please complete the following form address</w:t>
      </w:r>
      <w:r w:rsidR="00183A91" w:rsidRPr="00007DBF">
        <w:rPr>
          <w:lang w:eastAsia="zh-CN"/>
        </w:rPr>
        <w:t>ed</w:t>
      </w:r>
      <w:r w:rsidRPr="00007DBF">
        <w:rPr>
          <w:lang w:eastAsia="zh-CN"/>
        </w:rPr>
        <w:t xml:space="preserve"> to:</w:t>
      </w:r>
    </w:p>
    <w:p w14:paraId="367BBBD6" w14:textId="77777777" w:rsidR="00405FC3" w:rsidRPr="00007DBF" w:rsidRDefault="00405FC3" w:rsidP="00702B3E">
      <w:pPr>
        <w:rPr>
          <w:lang w:eastAsia="zh-CN"/>
        </w:rPr>
      </w:pPr>
      <w:r w:rsidRPr="00007DBF">
        <w:rPr>
          <w:lang w:eastAsia="zh-CN"/>
        </w:rPr>
        <w:tab/>
        <w:t>Chief Executive Officer</w:t>
      </w:r>
    </w:p>
    <w:p w14:paraId="43E1DD5B" w14:textId="77777777" w:rsidR="00405FC3" w:rsidRPr="00007DBF" w:rsidRDefault="00405FC3" w:rsidP="00702B3E">
      <w:pPr>
        <w:rPr>
          <w:lang w:eastAsia="zh-CN"/>
        </w:rPr>
      </w:pPr>
      <w:r w:rsidRPr="00007DBF">
        <w:rPr>
          <w:lang w:eastAsia="zh-CN"/>
        </w:rPr>
        <w:tab/>
        <w:t>Independent Hospital Pricing Authority</w:t>
      </w:r>
    </w:p>
    <w:p w14:paraId="4AF5B304" w14:textId="77777777" w:rsidR="00405FC3" w:rsidRPr="00007DBF" w:rsidRDefault="00405FC3">
      <w:pPr>
        <w:rPr>
          <w:lang w:eastAsia="zh-CN"/>
        </w:rPr>
      </w:pPr>
      <w:r w:rsidRPr="00007DBF">
        <w:rPr>
          <w:lang w:eastAsia="zh-CN"/>
        </w:rPr>
        <w:tab/>
        <w:t>PO Box 483</w:t>
      </w:r>
    </w:p>
    <w:p w14:paraId="4EE17AD1" w14:textId="77777777" w:rsidR="00405FC3" w:rsidRPr="00007DBF" w:rsidRDefault="00405FC3">
      <w:pPr>
        <w:rPr>
          <w:lang w:eastAsia="zh-CN"/>
        </w:rPr>
      </w:pPr>
      <w:r w:rsidRPr="00007DBF">
        <w:rPr>
          <w:lang w:eastAsia="zh-CN"/>
        </w:rPr>
        <w:tab/>
        <w:t>Darlinghurst NSW 1300</w:t>
      </w:r>
    </w:p>
    <w:p w14:paraId="23B9471E" w14:textId="11792D08" w:rsidR="00A479CC" w:rsidRPr="00007DBF" w:rsidRDefault="00A479CC" w:rsidP="00405FC3">
      <w:pPr>
        <w:rPr>
          <w:lang w:eastAsia="zh-CN"/>
        </w:rPr>
      </w:pPr>
      <w:r w:rsidRPr="00007DBF">
        <w:rPr>
          <w:lang w:eastAsia="zh-CN"/>
        </w:rPr>
        <w:t xml:space="preserve">An editable PDF version of this application form is also available on the IHPA </w:t>
      </w:r>
      <w:hyperlink r:id="rId30" w:history="1">
        <w:r w:rsidRPr="00BC326F">
          <w:rPr>
            <w:rStyle w:val="Hyperlink"/>
            <w:color w:val="008542" w:themeColor="accent2"/>
            <w:lang w:eastAsia="zh-CN"/>
          </w:rPr>
          <w:t>website</w:t>
        </w:r>
      </w:hyperlink>
      <w:r w:rsidRPr="00007DBF">
        <w:rPr>
          <w:lang w:eastAsia="zh-CN"/>
        </w:rPr>
        <w:t xml:space="preserve">. </w:t>
      </w:r>
    </w:p>
    <w:p w14:paraId="3B318003" w14:textId="58824BAA" w:rsidR="00405FC3" w:rsidRDefault="00405FC3" w:rsidP="00405FC3">
      <w:pPr>
        <w:rPr>
          <w:lang w:eastAsia="zh-CN"/>
        </w:rPr>
      </w:pPr>
      <w:r w:rsidRPr="00007DBF">
        <w:rPr>
          <w:lang w:eastAsia="zh-CN"/>
        </w:rPr>
        <w:t>IHPA will assess your request and advise you if any further information is required. If you have any queries with regards to the information request process or your request, please call 02</w:t>
      </w:r>
      <w:r w:rsidR="00677308" w:rsidRPr="00007DBF">
        <w:rPr>
          <w:lang w:eastAsia="zh-CN"/>
        </w:rPr>
        <w:t> </w:t>
      </w:r>
      <w:r w:rsidRPr="00007DBF">
        <w:rPr>
          <w:lang w:eastAsia="zh-CN"/>
        </w:rPr>
        <w:t>8215</w:t>
      </w:r>
      <w:r w:rsidR="00677308" w:rsidRPr="00007DBF">
        <w:rPr>
          <w:lang w:eastAsia="zh-CN"/>
        </w:rPr>
        <w:t> </w:t>
      </w:r>
      <w:r w:rsidRPr="00007DBF">
        <w:rPr>
          <w:lang w:eastAsia="zh-CN"/>
        </w:rPr>
        <w:t>1100.</w:t>
      </w:r>
    </w:p>
    <w:p w14:paraId="199D9AD7" w14:textId="77777777" w:rsidR="00F4274F" w:rsidRPr="00007DBF" w:rsidRDefault="00F4274F" w:rsidP="00405FC3">
      <w:pPr>
        <w:rPr>
          <w:lang w:eastAsia="zh-CN"/>
        </w:rPr>
      </w:pPr>
    </w:p>
    <w:tbl>
      <w:tblPr>
        <w:tblStyle w:val="TableGrid"/>
        <w:tblW w:w="0" w:type="auto"/>
        <w:tblLook w:val="04A0" w:firstRow="1" w:lastRow="0" w:firstColumn="1" w:lastColumn="0" w:noHBand="0" w:noVBand="1"/>
      </w:tblPr>
      <w:tblGrid>
        <w:gridCol w:w="9435"/>
      </w:tblGrid>
      <w:tr w:rsidR="00F4274F" w14:paraId="2E6157EA" w14:textId="77777777" w:rsidTr="00F4274F">
        <w:tc>
          <w:tcPr>
            <w:tcW w:w="9435" w:type="dxa"/>
          </w:tcPr>
          <w:p w14:paraId="35AFA533" w14:textId="5B0146A0" w:rsidR="00F4274F" w:rsidRPr="00F4274F" w:rsidRDefault="00F4274F" w:rsidP="00405FC3">
            <w:pPr>
              <w:rPr>
                <w:b/>
              </w:rPr>
            </w:pPr>
            <w:r w:rsidRPr="00007DBF">
              <w:rPr>
                <w:b/>
              </w:rPr>
              <w:t xml:space="preserve">Your name </w:t>
            </w:r>
            <w:r w:rsidRPr="00007DBF">
              <w:t>(please print clearly)</w:t>
            </w:r>
          </w:p>
        </w:tc>
      </w:tr>
      <w:tr w:rsidR="00F4274F" w14:paraId="4897EBE7" w14:textId="77777777" w:rsidTr="00F4274F">
        <w:tc>
          <w:tcPr>
            <w:tcW w:w="9435" w:type="dxa"/>
          </w:tcPr>
          <w:p w14:paraId="72F77E57" w14:textId="77777777" w:rsidR="00F4274F" w:rsidRDefault="00F4274F" w:rsidP="00405FC3"/>
          <w:p w14:paraId="6776834C" w14:textId="5B3A9F20" w:rsidR="00F4274F" w:rsidRDefault="00F4274F" w:rsidP="00405FC3"/>
        </w:tc>
      </w:tr>
      <w:tr w:rsidR="00F4274F" w14:paraId="01C7B9F3" w14:textId="77777777" w:rsidTr="00F4274F">
        <w:tc>
          <w:tcPr>
            <w:tcW w:w="9435" w:type="dxa"/>
          </w:tcPr>
          <w:p w14:paraId="280D5CE6" w14:textId="77777777" w:rsidR="00F4274F" w:rsidRPr="00007DBF" w:rsidRDefault="00F4274F" w:rsidP="00F4274F">
            <w:pPr>
              <w:rPr>
                <w:b/>
              </w:rPr>
            </w:pPr>
            <w:r w:rsidRPr="00007DBF">
              <w:rPr>
                <w:b/>
              </w:rPr>
              <w:t>Your organisation</w:t>
            </w:r>
          </w:p>
          <w:p w14:paraId="0741C8F9" w14:textId="442430B5" w:rsidR="00F4274F" w:rsidRDefault="00F4274F" w:rsidP="00405FC3">
            <w:r w:rsidRPr="00007DBF">
              <w:t>Detail your company, agency, university, etc.</w:t>
            </w:r>
          </w:p>
        </w:tc>
      </w:tr>
      <w:tr w:rsidR="00F4274F" w14:paraId="254A5816" w14:textId="77777777" w:rsidTr="00F4274F">
        <w:tc>
          <w:tcPr>
            <w:tcW w:w="9435" w:type="dxa"/>
          </w:tcPr>
          <w:p w14:paraId="1664CBCB" w14:textId="77777777" w:rsidR="00F4274F" w:rsidRDefault="00F4274F" w:rsidP="00405FC3"/>
          <w:p w14:paraId="5AF2C9BC" w14:textId="77777777" w:rsidR="00F4274F" w:rsidRDefault="00F4274F" w:rsidP="00405FC3"/>
          <w:p w14:paraId="6635494F" w14:textId="421FD9C9" w:rsidR="00F4274F" w:rsidRDefault="00F4274F" w:rsidP="00405FC3"/>
        </w:tc>
      </w:tr>
      <w:bookmarkEnd w:id="394"/>
    </w:tbl>
    <w:p w14:paraId="169265C0" w14:textId="77777777" w:rsidR="00405FC3" w:rsidRPr="00007DBF" w:rsidRDefault="00405FC3" w:rsidP="00405FC3">
      <w:pPr>
        <w:spacing w:before="0" w:after="0" w:line="240" w:lineRule="auto"/>
      </w:pPr>
      <w:r w:rsidRPr="00007DBF">
        <w:br w:type="page"/>
      </w:r>
    </w:p>
    <w:tbl>
      <w:tblPr>
        <w:tblStyle w:val="TableGrid"/>
        <w:tblW w:w="0" w:type="auto"/>
        <w:tblLook w:val="04A0" w:firstRow="1" w:lastRow="0" w:firstColumn="1" w:lastColumn="0" w:noHBand="0" w:noVBand="1"/>
      </w:tblPr>
      <w:tblGrid>
        <w:gridCol w:w="4717"/>
        <w:gridCol w:w="4718"/>
      </w:tblGrid>
      <w:tr w:rsidR="00F4274F" w14:paraId="619F43B7" w14:textId="77777777" w:rsidTr="00F4274F">
        <w:tc>
          <w:tcPr>
            <w:tcW w:w="9435" w:type="dxa"/>
            <w:gridSpan w:val="2"/>
          </w:tcPr>
          <w:p w14:paraId="079A5490" w14:textId="77777777" w:rsidR="00F4274F" w:rsidRPr="00007DBF" w:rsidRDefault="00F4274F" w:rsidP="00F4274F">
            <w:pPr>
              <w:rPr>
                <w:b/>
              </w:rPr>
            </w:pPr>
            <w:r w:rsidRPr="00007DBF">
              <w:rPr>
                <w:b/>
              </w:rPr>
              <w:lastRenderedPageBreak/>
              <w:t>Your position</w:t>
            </w:r>
          </w:p>
          <w:p w14:paraId="00D40A64" w14:textId="4D28C019" w:rsidR="00F4274F" w:rsidRPr="00F4274F" w:rsidRDefault="00F4274F" w:rsidP="00405FC3">
            <w:r w:rsidRPr="00007DBF">
              <w:t xml:space="preserve">Detail your current position, student details and supervisor (if relevant). </w:t>
            </w:r>
          </w:p>
        </w:tc>
      </w:tr>
      <w:tr w:rsidR="00F4274F" w14:paraId="2E4D25A3" w14:textId="77777777" w:rsidTr="00F4274F">
        <w:tc>
          <w:tcPr>
            <w:tcW w:w="9435" w:type="dxa"/>
            <w:gridSpan w:val="2"/>
          </w:tcPr>
          <w:p w14:paraId="1589ECD7" w14:textId="77777777" w:rsidR="00F4274F" w:rsidRDefault="00F4274F" w:rsidP="00405FC3">
            <w:pPr>
              <w:rPr>
                <w:b/>
              </w:rPr>
            </w:pPr>
          </w:p>
          <w:p w14:paraId="6BD12DF7" w14:textId="77777777" w:rsidR="00F4274F" w:rsidRDefault="00F4274F" w:rsidP="00405FC3">
            <w:pPr>
              <w:rPr>
                <w:b/>
              </w:rPr>
            </w:pPr>
          </w:p>
          <w:p w14:paraId="00023F66" w14:textId="77777777" w:rsidR="00F4274F" w:rsidRDefault="00F4274F" w:rsidP="00405FC3">
            <w:pPr>
              <w:rPr>
                <w:b/>
              </w:rPr>
            </w:pPr>
          </w:p>
          <w:p w14:paraId="029A1202" w14:textId="77777777" w:rsidR="00F4274F" w:rsidRDefault="00F4274F" w:rsidP="00405FC3">
            <w:pPr>
              <w:rPr>
                <w:b/>
              </w:rPr>
            </w:pPr>
          </w:p>
          <w:p w14:paraId="35F5B5D3" w14:textId="19663F60" w:rsidR="00F4274F" w:rsidRDefault="00F4274F" w:rsidP="00405FC3">
            <w:pPr>
              <w:rPr>
                <w:b/>
              </w:rPr>
            </w:pPr>
          </w:p>
        </w:tc>
      </w:tr>
      <w:tr w:rsidR="00F4274F" w14:paraId="680719C7" w14:textId="77777777" w:rsidTr="00F4274F">
        <w:tc>
          <w:tcPr>
            <w:tcW w:w="9435" w:type="dxa"/>
            <w:gridSpan w:val="2"/>
          </w:tcPr>
          <w:p w14:paraId="60A9AAB7" w14:textId="74E10DE5" w:rsidR="00F4274F" w:rsidRDefault="00F4274F" w:rsidP="00405FC3">
            <w:pPr>
              <w:rPr>
                <w:b/>
              </w:rPr>
            </w:pPr>
            <w:r w:rsidRPr="00F4274F">
              <w:rPr>
                <w:b/>
              </w:rPr>
              <w:t>Your email address</w:t>
            </w:r>
          </w:p>
        </w:tc>
      </w:tr>
      <w:tr w:rsidR="00F4274F" w14:paraId="61C2FFC8" w14:textId="77777777" w:rsidTr="00F4274F">
        <w:tc>
          <w:tcPr>
            <w:tcW w:w="9435" w:type="dxa"/>
            <w:gridSpan w:val="2"/>
          </w:tcPr>
          <w:p w14:paraId="3884130E" w14:textId="77777777" w:rsidR="00F4274F" w:rsidRDefault="00F4274F" w:rsidP="00405FC3">
            <w:pPr>
              <w:rPr>
                <w:b/>
              </w:rPr>
            </w:pPr>
          </w:p>
          <w:p w14:paraId="7374C553" w14:textId="28DCC526" w:rsidR="00F4274F" w:rsidRDefault="00F4274F" w:rsidP="00405FC3">
            <w:pPr>
              <w:rPr>
                <w:b/>
              </w:rPr>
            </w:pPr>
          </w:p>
        </w:tc>
      </w:tr>
      <w:tr w:rsidR="00F4274F" w14:paraId="4E14DC5C" w14:textId="77777777" w:rsidTr="00F4274F">
        <w:tc>
          <w:tcPr>
            <w:tcW w:w="9435" w:type="dxa"/>
            <w:gridSpan w:val="2"/>
          </w:tcPr>
          <w:p w14:paraId="10DB7499" w14:textId="3E22226D" w:rsidR="00F4274F" w:rsidRDefault="00F4274F" w:rsidP="00405FC3">
            <w:pPr>
              <w:rPr>
                <w:b/>
              </w:rPr>
            </w:pPr>
            <w:r w:rsidRPr="00F4274F">
              <w:rPr>
                <w:b/>
              </w:rPr>
              <w:t>Your phone number</w:t>
            </w:r>
          </w:p>
        </w:tc>
      </w:tr>
      <w:tr w:rsidR="00F4274F" w14:paraId="425AFCA6" w14:textId="77777777" w:rsidTr="00F4274F">
        <w:tc>
          <w:tcPr>
            <w:tcW w:w="9435" w:type="dxa"/>
            <w:gridSpan w:val="2"/>
          </w:tcPr>
          <w:p w14:paraId="76CE8155" w14:textId="77777777" w:rsidR="00F4274F" w:rsidRDefault="00F4274F" w:rsidP="00405FC3">
            <w:pPr>
              <w:rPr>
                <w:b/>
              </w:rPr>
            </w:pPr>
          </w:p>
          <w:p w14:paraId="115699E7" w14:textId="725D0D27" w:rsidR="00F4274F" w:rsidRDefault="00F4274F" w:rsidP="00405FC3">
            <w:pPr>
              <w:rPr>
                <w:b/>
              </w:rPr>
            </w:pPr>
          </w:p>
        </w:tc>
      </w:tr>
      <w:tr w:rsidR="00F4274F" w14:paraId="5957DCB3" w14:textId="77777777" w:rsidTr="00F4274F">
        <w:tc>
          <w:tcPr>
            <w:tcW w:w="9435" w:type="dxa"/>
            <w:gridSpan w:val="2"/>
          </w:tcPr>
          <w:p w14:paraId="379B3BF4" w14:textId="39B99D3C" w:rsidR="00F4274F" w:rsidRDefault="00F4274F" w:rsidP="00405FC3">
            <w:pPr>
              <w:rPr>
                <w:b/>
              </w:rPr>
            </w:pPr>
            <w:r w:rsidRPr="00007DBF">
              <w:rPr>
                <w:b/>
              </w:rPr>
              <w:t xml:space="preserve">Names, positions and contact details of other people who will have access to the data within your organisation </w:t>
            </w:r>
            <w:r w:rsidRPr="00007DBF">
              <w:t>(please print clearly)</w:t>
            </w:r>
          </w:p>
        </w:tc>
      </w:tr>
      <w:tr w:rsidR="00F4274F" w14:paraId="06F6E6C0" w14:textId="77777777" w:rsidTr="00F4274F">
        <w:tc>
          <w:tcPr>
            <w:tcW w:w="9435" w:type="dxa"/>
            <w:gridSpan w:val="2"/>
          </w:tcPr>
          <w:p w14:paraId="47FD88AB" w14:textId="77777777" w:rsidR="00F4274F" w:rsidRDefault="00F4274F" w:rsidP="00405FC3">
            <w:pPr>
              <w:rPr>
                <w:b/>
              </w:rPr>
            </w:pPr>
          </w:p>
          <w:p w14:paraId="6A6AD080" w14:textId="77777777" w:rsidR="00F4274F" w:rsidRDefault="00F4274F" w:rsidP="00405FC3">
            <w:pPr>
              <w:rPr>
                <w:b/>
              </w:rPr>
            </w:pPr>
          </w:p>
          <w:p w14:paraId="70C8B094" w14:textId="77777777" w:rsidR="00F4274F" w:rsidRDefault="00F4274F" w:rsidP="00405FC3">
            <w:pPr>
              <w:rPr>
                <w:b/>
              </w:rPr>
            </w:pPr>
          </w:p>
          <w:p w14:paraId="603E780D" w14:textId="77777777" w:rsidR="00F4274F" w:rsidRDefault="00F4274F" w:rsidP="00405FC3">
            <w:pPr>
              <w:rPr>
                <w:b/>
              </w:rPr>
            </w:pPr>
          </w:p>
          <w:p w14:paraId="1ABAAFCC" w14:textId="5AFE137D" w:rsidR="00F4274F" w:rsidRDefault="00F4274F" w:rsidP="00405FC3">
            <w:pPr>
              <w:rPr>
                <w:b/>
              </w:rPr>
            </w:pPr>
          </w:p>
        </w:tc>
      </w:tr>
      <w:tr w:rsidR="00F4274F" w14:paraId="2B4303B1" w14:textId="77777777" w:rsidTr="00F4274F">
        <w:tc>
          <w:tcPr>
            <w:tcW w:w="9435" w:type="dxa"/>
            <w:gridSpan w:val="2"/>
          </w:tcPr>
          <w:p w14:paraId="1DDF2597" w14:textId="77777777" w:rsidR="00F4274F" w:rsidRPr="00F4274F" w:rsidRDefault="00F4274F" w:rsidP="00F4274F">
            <w:pPr>
              <w:rPr>
                <w:b/>
              </w:rPr>
            </w:pPr>
            <w:r w:rsidRPr="00F4274F">
              <w:rPr>
                <w:b/>
              </w:rPr>
              <w:t>Information request description</w:t>
            </w:r>
          </w:p>
          <w:p w14:paraId="6880AB93" w14:textId="59C1C5EA" w:rsidR="00F4274F" w:rsidRPr="00F4274F" w:rsidRDefault="00F4274F" w:rsidP="00F4274F">
            <w:r w:rsidRPr="00F4274F">
              <w:t>Detail the information / data</w:t>
            </w:r>
            <w:r w:rsidR="00C11B9E">
              <w:t xml:space="preserve"> </w:t>
            </w:r>
            <w:r w:rsidRPr="00F4274F">
              <w:t>set requirements, etc. Please provide as much detail as possible around the data sought, to enable IHPA to fully assess its ability to meet your request.</w:t>
            </w:r>
          </w:p>
        </w:tc>
      </w:tr>
      <w:tr w:rsidR="00F4274F" w14:paraId="052F65CD" w14:textId="77777777" w:rsidTr="00F4274F">
        <w:tc>
          <w:tcPr>
            <w:tcW w:w="9435" w:type="dxa"/>
            <w:gridSpan w:val="2"/>
          </w:tcPr>
          <w:p w14:paraId="4D1236BF" w14:textId="77777777" w:rsidR="00F4274F" w:rsidRDefault="00F4274F" w:rsidP="00405FC3">
            <w:pPr>
              <w:rPr>
                <w:b/>
              </w:rPr>
            </w:pPr>
          </w:p>
          <w:p w14:paraId="5765DF4A" w14:textId="77777777" w:rsidR="00F4274F" w:rsidRDefault="00F4274F" w:rsidP="00405FC3">
            <w:pPr>
              <w:rPr>
                <w:b/>
              </w:rPr>
            </w:pPr>
          </w:p>
          <w:p w14:paraId="79FDA735" w14:textId="77777777" w:rsidR="00F4274F" w:rsidRDefault="00F4274F" w:rsidP="00405FC3">
            <w:pPr>
              <w:rPr>
                <w:b/>
              </w:rPr>
            </w:pPr>
          </w:p>
          <w:p w14:paraId="41FCA6DE" w14:textId="77777777" w:rsidR="00F4274F" w:rsidRDefault="00F4274F" w:rsidP="00405FC3">
            <w:pPr>
              <w:rPr>
                <w:b/>
              </w:rPr>
            </w:pPr>
          </w:p>
          <w:p w14:paraId="71E9193D" w14:textId="77777777" w:rsidR="00F4274F" w:rsidRDefault="00F4274F" w:rsidP="00405FC3">
            <w:pPr>
              <w:rPr>
                <w:b/>
              </w:rPr>
            </w:pPr>
          </w:p>
          <w:p w14:paraId="11DA3952" w14:textId="77777777" w:rsidR="00F4274F" w:rsidRDefault="00F4274F" w:rsidP="00405FC3">
            <w:pPr>
              <w:rPr>
                <w:b/>
              </w:rPr>
            </w:pPr>
          </w:p>
          <w:p w14:paraId="1D454331" w14:textId="6D8491CC" w:rsidR="00F4274F" w:rsidRDefault="00F4274F" w:rsidP="00405FC3">
            <w:pPr>
              <w:rPr>
                <w:b/>
              </w:rPr>
            </w:pPr>
          </w:p>
        </w:tc>
      </w:tr>
      <w:tr w:rsidR="00F4274F" w14:paraId="4433E3BE" w14:textId="77777777" w:rsidTr="00F4274F">
        <w:tc>
          <w:tcPr>
            <w:tcW w:w="9435" w:type="dxa"/>
            <w:gridSpan w:val="2"/>
          </w:tcPr>
          <w:p w14:paraId="2ADEE640" w14:textId="05DF8126" w:rsidR="00F4274F" w:rsidRDefault="00F4274F" w:rsidP="00405FC3">
            <w:pPr>
              <w:rPr>
                <w:b/>
              </w:rPr>
            </w:pPr>
            <w:r w:rsidRPr="00F4274F">
              <w:rPr>
                <w:b/>
              </w:rPr>
              <w:t>Time period</w:t>
            </w:r>
            <w:r w:rsidR="002C692F">
              <w:rPr>
                <w:b/>
              </w:rPr>
              <w:t>/s</w:t>
            </w:r>
            <w:r w:rsidRPr="00F4274F">
              <w:rPr>
                <w:b/>
              </w:rPr>
              <w:t xml:space="preserve"> of interest</w:t>
            </w:r>
          </w:p>
        </w:tc>
      </w:tr>
      <w:tr w:rsidR="00F4274F" w14:paraId="0DB4957B" w14:textId="77777777" w:rsidTr="006C053C">
        <w:tc>
          <w:tcPr>
            <w:tcW w:w="4717" w:type="dxa"/>
          </w:tcPr>
          <w:p w14:paraId="3632AECF" w14:textId="5F142C6F" w:rsidR="00F4274F" w:rsidRDefault="00F4274F" w:rsidP="00405FC3">
            <w:pPr>
              <w:rPr>
                <w:b/>
              </w:rPr>
            </w:pPr>
            <w:r w:rsidRPr="00007DBF">
              <w:t>Start date:</w:t>
            </w:r>
          </w:p>
        </w:tc>
        <w:tc>
          <w:tcPr>
            <w:tcW w:w="4718" w:type="dxa"/>
          </w:tcPr>
          <w:p w14:paraId="75F9DD88" w14:textId="0A2CA928" w:rsidR="00F4274F" w:rsidRDefault="00F4274F" w:rsidP="00405FC3">
            <w:pPr>
              <w:rPr>
                <w:b/>
              </w:rPr>
            </w:pPr>
            <w:r w:rsidRPr="00007DBF">
              <w:t>End date:</w:t>
            </w:r>
          </w:p>
        </w:tc>
      </w:tr>
    </w:tbl>
    <w:p w14:paraId="24FAA785" w14:textId="7B80759B" w:rsidR="00405FC3" w:rsidRPr="00007DBF" w:rsidRDefault="00405FC3" w:rsidP="00405FC3">
      <w:pPr>
        <w:rPr>
          <w:b/>
        </w:rPr>
      </w:pPr>
      <w:r w:rsidRPr="00007DBF">
        <w:tab/>
      </w:r>
      <w:r w:rsidRPr="00007DBF">
        <w:tab/>
      </w:r>
      <w:r w:rsidRPr="00007DBF">
        <w:tab/>
      </w:r>
      <w:r w:rsidRPr="00007DBF">
        <w:tab/>
        <w:t xml:space="preserve"> </w:t>
      </w:r>
    </w:p>
    <w:tbl>
      <w:tblPr>
        <w:tblStyle w:val="TableGrid"/>
        <w:tblW w:w="0" w:type="auto"/>
        <w:tblLook w:val="04A0" w:firstRow="1" w:lastRow="0" w:firstColumn="1" w:lastColumn="0" w:noHBand="0" w:noVBand="1"/>
      </w:tblPr>
      <w:tblGrid>
        <w:gridCol w:w="9435"/>
      </w:tblGrid>
      <w:tr w:rsidR="00F4274F" w14:paraId="0C59D357" w14:textId="77777777" w:rsidTr="00F4274F">
        <w:tc>
          <w:tcPr>
            <w:tcW w:w="9435" w:type="dxa"/>
          </w:tcPr>
          <w:p w14:paraId="11600538" w14:textId="77777777" w:rsidR="00F4274F" w:rsidRPr="00007DBF" w:rsidRDefault="00F4274F" w:rsidP="00F4274F">
            <w:pPr>
              <w:rPr>
                <w:b/>
              </w:rPr>
            </w:pPr>
            <w:r w:rsidRPr="00007DBF">
              <w:rPr>
                <w:b/>
              </w:rPr>
              <w:lastRenderedPageBreak/>
              <w:t>Intended use of information</w:t>
            </w:r>
          </w:p>
          <w:p w14:paraId="2BB4FD47" w14:textId="77777777" w:rsidR="00F4274F" w:rsidRPr="00007DBF" w:rsidRDefault="00F4274F" w:rsidP="00F4274F">
            <w:r w:rsidRPr="00007DBF">
              <w:t xml:space="preserve">Detail the research project description including purpose, duration, potential benefits of the research, audience, etc., and where possible, please include information on intentions to publish or present data such as in academic journals and/or at conferences. </w:t>
            </w:r>
          </w:p>
          <w:p w14:paraId="5A6268C2" w14:textId="59654EA7" w:rsidR="00F4274F" w:rsidRDefault="00F4274F" w:rsidP="00F4274F">
            <w:pPr>
              <w:rPr>
                <w:b/>
              </w:rPr>
            </w:pPr>
            <w:r w:rsidRPr="00007DBF">
              <w:t xml:space="preserve">Note the advanced notice periods required prior to the publication of any deliverables, as outlined in the </w:t>
            </w:r>
            <w:r w:rsidRPr="00007DBF">
              <w:rPr>
                <w:i/>
              </w:rPr>
              <w:t>Data Access and Release Policy</w:t>
            </w:r>
            <w:r w:rsidRPr="00007DBF">
              <w:t>.</w:t>
            </w:r>
          </w:p>
        </w:tc>
      </w:tr>
      <w:tr w:rsidR="00F4274F" w14:paraId="35B12C35" w14:textId="77777777" w:rsidTr="00F4274F">
        <w:tc>
          <w:tcPr>
            <w:tcW w:w="9435" w:type="dxa"/>
          </w:tcPr>
          <w:p w14:paraId="19A9D24F" w14:textId="77777777" w:rsidR="00F4274F" w:rsidRDefault="00F4274F" w:rsidP="00405FC3">
            <w:pPr>
              <w:rPr>
                <w:b/>
              </w:rPr>
            </w:pPr>
          </w:p>
          <w:p w14:paraId="40D4CC87" w14:textId="77777777" w:rsidR="00F4274F" w:rsidRDefault="00F4274F" w:rsidP="00405FC3">
            <w:pPr>
              <w:rPr>
                <w:b/>
              </w:rPr>
            </w:pPr>
          </w:p>
          <w:p w14:paraId="5776EAA7" w14:textId="77777777" w:rsidR="00F4274F" w:rsidRDefault="00F4274F" w:rsidP="00405FC3">
            <w:pPr>
              <w:rPr>
                <w:b/>
              </w:rPr>
            </w:pPr>
          </w:p>
          <w:p w14:paraId="6D25E3DD" w14:textId="77777777" w:rsidR="00F4274F" w:rsidRDefault="00F4274F" w:rsidP="00405FC3">
            <w:pPr>
              <w:rPr>
                <w:b/>
              </w:rPr>
            </w:pPr>
          </w:p>
          <w:p w14:paraId="40C63A09" w14:textId="77777777" w:rsidR="00F4274F" w:rsidRDefault="00F4274F" w:rsidP="00405FC3">
            <w:pPr>
              <w:rPr>
                <w:b/>
              </w:rPr>
            </w:pPr>
          </w:p>
          <w:p w14:paraId="21B757AC" w14:textId="77777777" w:rsidR="00F4274F" w:rsidRDefault="00F4274F" w:rsidP="00405FC3">
            <w:pPr>
              <w:rPr>
                <w:b/>
              </w:rPr>
            </w:pPr>
          </w:p>
          <w:p w14:paraId="51CEB851" w14:textId="77777777" w:rsidR="00F4274F" w:rsidRDefault="00F4274F" w:rsidP="00405FC3">
            <w:pPr>
              <w:rPr>
                <w:b/>
              </w:rPr>
            </w:pPr>
          </w:p>
          <w:p w14:paraId="08FFA2CC" w14:textId="77777777" w:rsidR="00F4274F" w:rsidRDefault="00F4274F" w:rsidP="00405FC3">
            <w:pPr>
              <w:rPr>
                <w:b/>
              </w:rPr>
            </w:pPr>
          </w:p>
          <w:p w14:paraId="2EC4AF3F" w14:textId="158F0509" w:rsidR="00F4274F" w:rsidRDefault="00F4274F" w:rsidP="00405FC3">
            <w:pPr>
              <w:rPr>
                <w:b/>
              </w:rPr>
            </w:pPr>
          </w:p>
          <w:p w14:paraId="4D46D112" w14:textId="47D8B44C" w:rsidR="00F4274F" w:rsidRDefault="00F4274F" w:rsidP="00405FC3">
            <w:pPr>
              <w:rPr>
                <w:b/>
              </w:rPr>
            </w:pPr>
          </w:p>
          <w:p w14:paraId="6D0D638E" w14:textId="6187B8AD" w:rsidR="00F4274F" w:rsidRDefault="00F4274F" w:rsidP="00405FC3">
            <w:pPr>
              <w:rPr>
                <w:b/>
              </w:rPr>
            </w:pPr>
          </w:p>
        </w:tc>
      </w:tr>
      <w:tr w:rsidR="00F4274F" w14:paraId="4FDC4676" w14:textId="77777777" w:rsidTr="00F4274F">
        <w:tc>
          <w:tcPr>
            <w:tcW w:w="9435" w:type="dxa"/>
          </w:tcPr>
          <w:p w14:paraId="03EAFF97" w14:textId="77777777" w:rsidR="00F4274F" w:rsidRDefault="00F4274F" w:rsidP="00F4274F">
            <w:pPr>
              <w:rPr>
                <w:b/>
              </w:rPr>
            </w:pPr>
            <w:r>
              <w:rPr>
                <w:b/>
              </w:rPr>
              <w:t>Linking of data</w:t>
            </w:r>
          </w:p>
          <w:p w14:paraId="68F9BD33" w14:textId="38893CB7" w:rsidR="00F4274F" w:rsidRPr="00F4274F" w:rsidRDefault="00F4274F" w:rsidP="00F4274F">
            <w:r w:rsidRPr="00F4274F">
              <w:t>Do you intend to link the data currently being requested to any other data sources?</w:t>
            </w:r>
          </w:p>
        </w:tc>
      </w:tr>
      <w:tr w:rsidR="00F4274F" w14:paraId="0C07844F" w14:textId="77777777" w:rsidTr="00F4274F">
        <w:tc>
          <w:tcPr>
            <w:tcW w:w="9435" w:type="dxa"/>
          </w:tcPr>
          <w:p w14:paraId="7F73A452" w14:textId="77777777" w:rsidR="00F4274F" w:rsidRDefault="00F4274F" w:rsidP="00405FC3">
            <w:pPr>
              <w:rPr>
                <w:b/>
              </w:rPr>
            </w:pPr>
          </w:p>
          <w:p w14:paraId="0E218B0B" w14:textId="77777777" w:rsidR="00F4274F" w:rsidRDefault="00F4274F" w:rsidP="00405FC3">
            <w:pPr>
              <w:rPr>
                <w:b/>
              </w:rPr>
            </w:pPr>
          </w:p>
          <w:p w14:paraId="35034DB9" w14:textId="77777777" w:rsidR="00F4274F" w:rsidRDefault="00F4274F" w:rsidP="00405FC3">
            <w:pPr>
              <w:rPr>
                <w:b/>
              </w:rPr>
            </w:pPr>
          </w:p>
          <w:p w14:paraId="06594A2F" w14:textId="77777777" w:rsidR="00F4274F" w:rsidRDefault="00F4274F" w:rsidP="00405FC3">
            <w:pPr>
              <w:rPr>
                <w:b/>
              </w:rPr>
            </w:pPr>
          </w:p>
          <w:p w14:paraId="4C4FA290" w14:textId="4CCBD4EB" w:rsidR="00F4274F" w:rsidRDefault="00F4274F" w:rsidP="00405FC3">
            <w:pPr>
              <w:rPr>
                <w:b/>
              </w:rPr>
            </w:pPr>
          </w:p>
          <w:p w14:paraId="651DAD2A" w14:textId="77777777" w:rsidR="00F4274F" w:rsidRDefault="00F4274F" w:rsidP="00405FC3">
            <w:pPr>
              <w:rPr>
                <w:b/>
              </w:rPr>
            </w:pPr>
          </w:p>
          <w:p w14:paraId="56ED329D" w14:textId="77777777" w:rsidR="00F4274F" w:rsidRDefault="00F4274F" w:rsidP="00405FC3">
            <w:pPr>
              <w:rPr>
                <w:b/>
              </w:rPr>
            </w:pPr>
          </w:p>
          <w:p w14:paraId="699C140F" w14:textId="77777777" w:rsidR="00F4274F" w:rsidRDefault="00F4274F" w:rsidP="00405FC3">
            <w:pPr>
              <w:rPr>
                <w:b/>
              </w:rPr>
            </w:pPr>
          </w:p>
          <w:p w14:paraId="0EA0E9DF" w14:textId="77777777" w:rsidR="00F4274F" w:rsidRDefault="00F4274F" w:rsidP="00405FC3">
            <w:pPr>
              <w:rPr>
                <w:b/>
              </w:rPr>
            </w:pPr>
          </w:p>
          <w:p w14:paraId="35318293" w14:textId="77777777" w:rsidR="00F4274F" w:rsidRDefault="00F4274F" w:rsidP="00405FC3">
            <w:pPr>
              <w:rPr>
                <w:b/>
              </w:rPr>
            </w:pPr>
          </w:p>
          <w:p w14:paraId="5996DAD6" w14:textId="77777777" w:rsidR="00F4274F" w:rsidRDefault="00F4274F" w:rsidP="00405FC3">
            <w:pPr>
              <w:rPr>
                <w:b/>
              </w:rPr>
            </w:pPr>
          </w:p>
          <w:p w14:paraId="64E75BF4" w14:textId="77777777" w:rsidR="00F4274F" w:rsidRDefault="00F4274F" w:rsidP="00405FC3">
            <w:pPr>
              <w:rPr>
                <w:b/>
              </w:rPr>
            </w:pPr>
          </w:p>
          <w:p w14:paraId="27107685" w14:textId="77777777" w:rsidR="00F4274F" w:rsidRDefault="00F4274F" w:rsidP="00405FC3">
            <w:pPr>
              <w:rPr>
                <w:b/>
              </w:rPr>
            </w:pPr>
          </w:p>
          <w:p w14:paraId="6D32EDA8" w14:textId="1661D17A" w:rsidR="00F4274F" w:rsidRDefault="00F4274F" w:rsidP="00405FC3">
            <w:pPr>
              <w:rPr>
                <w:b/>
              </w:rPr>
            </w:pPr>
          </w:p>
          <w:p w14:paraId="41ADED38" w14:textId="77777777" w:rsidR="00F4274F" w:rsidRDefault="00F4274F" w:rsidP="00405FC3">
            <w:pPr>
              <w:rPr>
                <w:b/>
              </w:rPr>
            </w:pPr>
          </w:p>
          <w:p w14:paraId="5087FD26" w14:textId="31B03E69" w:rsidR="00F4274F" w:rsidRDefault="00F4274F" w:rsidP="00405FC3">
            <w:pPr>
              <w:rPr>
                <w:b/>
              </w:rPr>
            </w:pPr>
          </w:p>
        </w:tc>
      </w:tr>
    </w:tbl>
    <w:p w14:paraId="574CE90A" w14:textId="7B84ADD7" w:rsidR="00082E0E" w:rsidRDefault="00082E0E" w:rsidP="00F4274F">
      <w:pPr>
        <w:spacing w:before="0"/>
      </w:pPr>
    </w:p>
    <w:tbl>
      <w:tblPr>
        <w:tblStyle w:val="TableGrid"/>
        <w:tblW w:w="0" w:type="auto"/>
        <w:tblLook w:val="04A0" w:firstRow="1" w:lastRow="0" w:firstColumn="1" w:lastColumn="0" w:noHBand="0" w:noVBand="1"/>
      </w:tblPr>
      <w:tblGrid>
        <w:gridCol w:w="9435"/>
      </w:tblGrid>
      <w:tr w:rsidR="00F4274F" w14:paraId="4C7F87D3" w14:textId="77777777" w:rsidTr="00F4274F">
        <w:tc>
          <w:tcPr>
            <w:tcW w:w="9435" w:type="dxa"/>
          </w:tcPr>
          <w:p w14:paraId="75C27D91" w14:textId="77777777" w:rsidR="00F4274F" w:rsidRPr="00007DBF" w:rsidRDefault="00F4274F" w:rsidP="00F4274F">
            <w:pPr>
              <w:rPr>
                <w:b/>
              </w:rPr>
            </w:pPr>
            <w:r w:rsidRPr="00007DBF">
              <w:rPr>
                <w:b/>
              </w:rPr>
              <w:lastRenderedPageBreak/>
              <w:t>Ethics clearance</w:t>
            </w:r>
          </w:p>
          <w:p w14:paraId="2551C1AB" w14:textId="782E14B8" w:rsidR="00F4274F" w:rsidRPr="00F4274F" w:rsidRDefault="00F4274F" w:rsidP="00F4274F">
            <w:pPr>
              <w:rPr>
                <w:b/>
              </w:rPr>
            </w:pPr>
            <w:r w:rsidRPr="00007DBF">
              <w:t>Please provide evidence of ethics approval, if granted.</w:t>
            </w:r>
          </w:p>
        </w:tc>
      </w:tr>
      <w:tr w:rsidR="00F4274F" w14:paraId="0470241D" w14:textId="77777777" w:rsidTr="00F4274F">
        <w:tc>
          <w:tcPr>
            <w:tcW w:w="9435" w:type="dxa"/>
          </w:tcPr>
          <w:p w14:paraId="1FE7AA25" w14:textId="77777777" w:rsidR="00F4274F" w:rsidRDefault="00F4274F" w:rsidP="00F4274F"/>
          <w:p w14:paraId="3F41900A" w14:textId="77777777" w:rsidR="00F4274F" w:rsidRDefault="00F4274F" w:rsidP="00F4274F"/>
          <w:p w14:paraId="747F1024" w14:textId="77777777" w:rsidR="00F4274F" w:rsidRDefault="00F4274F" w:rsidP="00F4274F"/>
          <w:p w14:paraId="6A87F100" w14:textId="08E47D94" w:rsidR="00F4274F" w:rsidRDefault="00F4274F" w:rsidP="00F4274F"/>
          <w:p w14:paraId="40B25CD3" w14:textId="282858C2" w:rsidR="00F4274F" w:rsidRDefault="00F4274F" w:rsidP="00F4274F"/>
          <w:p w14:paraId="2EE1CDB1" w14:textId="77777777" w:rsidR="00F4274F" w:rsidRDefault="00F4274F" w:rsidP="00F4274F"/>
          <w:p w14:paraId="1246B03E" w14:textId="77777777" w:rsidR="00F4274F" w:rsidRDefault="00F4274F" w:rsidP="00F4274F"/>
          <w:p w14:paraId="6E3969F7" w14:textId="77777777" w:rsidR="00F4274F" w:rsidRDefault="00F4274F" w:rsidP="00F4274F"/>
          <w:p w14:paraId="59C92F18" w14:textId="4887B85F" w:rsidR="00F4274F" w:rsidRDefault="00F4274F" w:rsidP="00F4274F"/>
          <w:p w14:paraId="19B8E955" w14:textId="131F2CD0" w:rsidR="00F4274F" w:rsidRDefault="00F4274F" w:rsidP="00F4274F"/>
          <w:p w14:paraId="2E06D139" w14:textId="77777777" w:rsidR="00F4274F" w:rsidRDefault="00F4274F" w:rsidP="00F4274F"/>
          <w:p w14:paraId="5ABF7B58" w14:textId="77777777" w:rsidR="00F4274F" w:rsidRDefault="00F4274F" w:rsidP="00F4274F"/>
          <w:p w14:paraId="538A8729" w14:textId="089F1A45" w:rsidR="00F4274F" w:rsidRDefault="00F4274F" w:rsidP="00F4274F"/>
        </w:tc>
      </w:tr>
      <w:tr w:rsidR="00F4274F" w14:paraId="19119700" w14:textId="77777777" w:rsidTr="00F4274F">
        <w:tc>
          <w:tcPr>
            <w:tcW w:w="9435" w:type="dxa"/>
          </w:tcPr>
          <w:p w14:paraId="1EB167A1" w14:textId="77777777" w:rsidR="00F4274F" w:rsidRPr="00007DBF" w:rsidRDefault="00F4274F" w:rsidP="00F4274F">
            <w:pPr>
              <w:rPr>
                <w:b/>
              </w:rPr>
            </w:pPr>
            <w:r w:rsidRPr="00007DBF">
              <w:rPr>
                <w:b/>
              </w:rPr>
              <w:t>Timeline for project completion</w:t>
            </w:r>
          </w:p>
          <w:p w14:paraId="5D261572" w14:textId="7C7DECC0" w:rsidR="00F4274F" w:rsidRDefault="00F4274F" w:rsidP="00F4274F">
            <w:r w:rsidRPr="00007DBF">
              <w:t>Detail of proposed project timeline including accessing IHPA data, conducting analysis, deadlines for publication or PhD completion etc.</w:t>
            </w:r>
          </w:p>
        </w:tc>
      </w:tr>
      <w:tr w:rsidR="00F4274F" w14:paraId="265F0712" w14:textId="77777777" w:rsidTr="00F4274F">
        <w:tc>
          <w:tcPr>
            <w:tcW w:w="9435" w:type="dxa"/>
          </w:tcPr>
          <w:p w14:paraId="7EC7AB0A" w14:textId="77777777" w:rsidR="00F4274F" w:rsidRDefault="00F4274F" w:rsidP="00F4274F"/>
          <w:p w14:paraId="7F86276E" w14:textId="77777777" w:rsidR="00F4274F" w:rsidRDefault="00F4274F" w:rsidP="00F4274F"/>
          <w:p w14:paraId="4758C020" w14:textId="77777777" w:rsidR="00F4274F" w:rsidRDefault="00F4274F" w:rsidP="00F4274F"/>
          <w:p w14:paraId="39D928C3" w14:textId="77777777" w:rsidR="00F4274F" w:rsidRDefault="00F4274F" w:rsidP="00F4274F"/>
          <w:p w14:paraId="57BDB982" w14:textId="77777777" w:rsidR="00F4274F" w:rsidRDefault="00F4274F" w:rsidP="00F4274F"/>
          <w:p w14:paraId="520910B1" w14:textId="77777777" w:rsidR="00F4274F" w:rsidRDefault="00F4274F" w:rsidP="00F4274F"/>
          <w:p w14:paraId="442DB190" w14:textId="77777777" w:rsidR="00F4274F" w:rsidRDefault="00F4274F" w:rsidP="00F4274F"/>
          <w:p w14:paraId="6B9A2B1B" w14:textId="77777777" w:rsidR="00F4274F" w:rsidRDefault="00F4274F" w:rsidP="00F4274F"/>
          <w:p w14:paraId="7D4BF278" w14:textId="77777777" w:rsidR="00F4274F" w:rsidRDefault="00F4274F" w:rsidP="00F4274F"/>
          <w:p w14:paraId="7285B490" w14:textId="77777777" w:rsidR="00F4274F" w:rsidRDefault="00F4274F" w:rsidP="00F4274F"/>
          <w:p w14:paraId="24AB4E76" w14:textId="77777777" w:rsidR="00F4274F" w:rsidRDefault="00F4274F" w:rsidP="00F4274F"/>
          <w:p w14:paraId="5D349D65" w14:textId="3702FD0E" w:rsidR="00F4274F" w:rsidRDefault="00F4274F" w:rsidP="00F4274F"/>
          <w:p w14:paraId="08B2D616" w14:textId="4F33AAD8" w:rsidR="00F4274F" w:rsidRDefault="00F4274F" w:rsidP="00F4274F"/>
          <w:p w14:paraId="0C2E0866" w14:textId="663D7E52" w:rsidR="00F4274F" w:rsidRDefault="00F4274F" w:rsidP="00F4274F"/>
          <w:p w14:paraId="6023EA4D" w14:textId="738CB1B5" w:rsidR="00F4274F" w:rsidRDefault="00F4274F" w:rsidP="00F4274F"/>
          <w:p w14:paraId="52DA93A5" w14:textId="45D29B54" w:rsidR="00F4274F" w:rsidRDefault="00F4274F" w:rsidP="00F4274F"/>
        </w:tc>
      </w:tr>
    </w:tbl>
    <w:p w14:paraId="2C0E19B4" w14:textId="77777777" w:rsidR="00F4274F" w:rsidRDefault="00F4274F" w:rsidP="00F4274F">
      <w:pPr>
        <w:spacing w:before="0"/>
      </w:pPr>
    </w:p>
    <w:p w14:paraId="4720094B" w14:textId="77777777" w:rsidR="00F4274F" w:rsidRDefault="00F4274F">
      <w:pPr>
        <w:spacing w:before="0" w:after="0" w:line="240" w:lineRule="auto"/>
        <w:rPr>
          <w:b/>
        </w:rPr>
      </w:pPr>
      <w:bookmarkStart w:id="395" w:name="_Toc484507698"/>
      <w:r>
        <w:rPr>
          <w:b/>
        </w:rPr>
        <w:br w:type="page"/>
      </w:r>
    </w:p>
    <w:p w14:paraId="05677E41" w14:textId="2F756E95" w:rsidR="00405FC3" w:rsidRPr="00007DBF" w:rsidRDefault="00405FC3" w:rsidP="00E835E6">
      <w:pPr>
        <w:rPr>
          <w:b/>
        </w:rPr>
      </w:pPr>
      <w:r w:rsidRPr="00007DBF">
        <w:rPr>
          <w:b/>
        </w:rPr>
        <w:lastRenderedPageBreak/>
        <w:t>Declaration by applicant</w:t>
      </w:r>
      <w:bookmarkEnd w:id="395"/>
    </w:p>
    <w:p w14:paraId="6E632794" w14:textId="494E6AFE" w:rsidR="00405FC3" w:rsidRPr="00007DBF" w:rsidRDefault="00405FC3" w:rsidP="00E835E6">
      <w:pPr>
        <w:rPr>
          <w:lang w:eastAsia="zh-CN"/>
        </w:rPr>
      </w:pPr>
      <w:r w:rsidRPr="00007DBF">
        <w:rPr>
          <w:lang w:eastAsia="zh-CN"/>
        </w:rPr>
        <w:t xml:space="preserve">I </w:t>
      </w:r>
      <w:r w:rsidRPr="00007DBF">
        <w:t xml:space="preserve">make this </w:t>
      </w:r>
      <w:r w:rsidR="00876B43" w:rsidRPr="00007DBF">
        <w:t xml:space="preserve">data </w:t>
      </w:r>
      <w:r w:rsidRPr="00007DBF">
        <w:t>request</w:t>
      </w:r>
      <w:r w:rsidRPr="00007DBF">
        <w:rPr>
          <w:lang w:eastAsia="zh-CN"/>
        </w:rPr>
        <w:t xml:space="preserve"> on the basis that the details in this form are true and accurate.</w:t>
      </w:r>
    </w:p>
    <w:p w14:paraId="6CF239CC" w14:textId="47DB3102" w:rsidR="00405FC3" w:rsidRPr="00007DBF" w:rsidRDefault="00405FC3" w:rsidP="00E835E6">
      <w:r w:rsidRPr="00007DBF">
        <w:t xml:space="preserve">I agree to the following caveats and limitations on use of any </w:t>
      </w:r>
      <w:r w:rsidR="00876B43" w:rsidRPr="00007DBF">
        <w:t xml:space="preserve">data </w:t>
      </w:r>
      <w:r w:rsidRPr="00007DBF">
        <w:t>provided to me for the purposes of research:</w:t>
      </w:r>
    </w:p>
    <w:p w14:paraId="23A029A4" w14:textId="25C8D9D3" w:rsidR="00405FC3" w:rsidRPr="00007DBF" w:rsidRDefault="00405FC3" w:rsidP="0049336A">
      <w:pPr>
        <w:pStyle w:val="ListParagraph"/>
        <w:numPr>
          <w:ilvl w:val="0"/>
          <w:numId w:val="68"/>
        </w:numPr>
      </w:pPr>
      <w:r w:rsidRPr="00007DBF">
        <w:t>Acknowledge that IHPA takes no responsibility for the accuracy and completeness of the data, and the outcomes related to its use</w:t>
      </w:r>
    </w:p>
    <w:p w14:paraId="526A4D06" w14:textId="38616BB6" w:rsidR="00405FC3" w:rsidRPr="00007DBF" w:rsidRDefault="00405FC3" w:rsidP="0049336A">
      <w:pPr>
        <w:pStyle w:val="ListParagraph"/>
        <w:numPr>
          <w:ilvl w:val="0"/>
          <w:numId w:val="68"/>
        </w:numPr>
      </w:pPr>
      <w:r w:rsidRPr="00007DBF">
        <w:t xml:space="preserve">Agree to use the source data and any information provided by IHPA as confidential, for the approved </w:t>
      </w:r>
      <w:r w:rsidR="00876B43" w:rsidRPr="00007DBF">
        <w:t>p</w:t>
      </w:r>
      <w:r w:rsidRPr="00007DBF">
        <w:t>urpose only</w:t>
      </w:r>
    </w:p>
    <w:p w14:paraId="5319ADDB" w14:textId="28592B6A" w:rsidR="00405FC3" w:rsidRPr="00007DBF" w:rsidRDefault="00405FC3" w:rsidP="0049336A">
      <w:pPr>
        <w:pStyle w:val="ListParagraph"/>
        <w:numPr>
          <w:ilvl w:val="0"/>
          <w:numId w:val="68"/>
        </w:numPr>
      </w:pPr>
      <w:r w:rsidRPr="00007DBF">
        <w:t xml:space="preserve">Must not, without the prior consent of IHPA, disclose any </w:t>
      </w:r>
      <w:r w:rsidR="00876B43" w:rsidRPr="00007DBF">
        <w:t>c</w:t>
      </w:r>
      <w:r w:rsidRPr="00007DBF">
        <w:t xml:space="preserve">onfidential </w:t>
      </w:r>
      <w:r w:rsidR="00876B43" w:rsidRPr="00007DBF">
        <w:t>i</w:t>
      </w:r>
      <w:r w:rsidRPr="00007DBF">
        <w:t>nformation provided by IHPA to a third party or those not approved on the consent form</w:t>
      </w:r>
    </w:p>
    <w:p w14:paraId="1B2F79C3" w14:textId="359C77EF" w:rsidR="00405FC3" w:rsidRPr="00007DBF" w:rsidRDefault="00405FC3" w:rsidP="0049336A">
      <w:pPr>
        <w:pStyle w:val="ListParagraph"/>
        <w:numPr>
          <w:ilvl w:val="0"/>
          <w:numId w:val="68"/>
        </w:numPr>
      </w:pPr>
      <w:r w:rsidRPr="00007DBF">
        <w:t xml:space="preserve">Must not use the </w:t>
      </w:r>
      <w:r w:rsidR="00876B43" w:rsidRPr="00007DBF">
        <w:t>c</w:t>
      </w:r>
      <w:r w:rsidRPr="00007DBF">
        <w:t xml:space="preserve">onfidential </w:t>
      </w:r>
      <w:r w:rsidR="00D922A5" w:rsidRPr="00007DBF">
        <w:t>i</w:t>
      </w:r>
      <w:r w:rsidRPr="00007DBF">
        <w:t>nformation for commercial gain</w:t>
      </w:r>
    </w:p>
    <w:p w14:paraId="075EE118" w14:textId="56591CA8" w:rsidR="00405FC3" w:rsidRPr="00007DBF" w:rsidRDefault="0005699A" w:rsidP="0049336A">
      <w:pPr>
        <w:pStyle w:val="ListParagraph"/>
        <w:numPr>
          <w:ilvl w:val="0"/>
          <w:numId w:val="68"/>
        </w:numPr>
      </w:pPr>
      <w:r>
        <w:t>O</w:t>
      </w:r>
      <w:r w:rsidR="00405FC3" w:rsidRPr="00007DBF">
        <w:t xml:space="preserve">nly use the </w:t>
      </w:r>
      <w:r w:rsidR="00876B43" w:rsidRPr="00007DBF">
        <w:t>c</w:t>
      </w:r>
      <w:r w:rsidR="00405FC3" w:rsidRPr="00007DBF">
        <w:t xml:space="preserve">onfidential </w:t>
      </w:r>
      <w:r w:rsidR="00D922A5" w:rsidRPr="00007DBF">
        <w:t>i</w:t>
      </w:r>
      <w:r w:rsidR="00405FC3" w:rsidRPr="00007DBF">
        <w:t xml:space="preserve">nformation for the purposes of </w:t>
      </w:r>
      <w:r w:rsidR="00876B43" w:rsidRPr="00007DBF">
        <w:t>research and</w:t>
      </w:r>
      <w:r w:rsidR="00405FC3" w:rsidRPr="00007DBF">
        <w:t xml:space="preserve"> not for any other purpose unless otherwise approved by IHPA</w:t>
      </w:r>
    </w:p>
    <w:p w14:paraId="5DEE127C" w14:textId="7454B0DE" w:rsidR="00405FC3" w:rsidRPr="00007DBF" w:rsidRDefault="00405FC3" w:rsidP="0049336A">
      <w:pPr>
        <w:pStyle w:val="ListParagraph"/>
        <w:numPr>
          <w:ilvl w:val="0"/>
          <w:numId w:val="68"/>
        </w:numPr>
      </w:pPr>
      <w:r w:rsidRPr="00007DBF">
        <w:t xml:space="preserve">Comply with the conditions of use in respect of the </w:t>
      </w:r>
      <w:r w:rsidR="00876B43" w:rsidRPr="00007DBF">
        <w:t>c</w:t>
      </w:r>
      <w:r w:rsidRPr="00007DBF">
        <w:t xml:space="preserve">onfidential </w:t>
      </w:r>
      <w:r w:rsidR="00876B43" w:rsidRPr="00007DBF">
        <w:t>i</w:t>
      </w:r>
      <w:r w:rsidRPr="00007DBF">
        <w:t>nformation provided and note that they will continue indefinitely</w:t>
      </w:r>
    </w:p>
    <w:p w14:paraId="114804CD" w14:textId="41968E5B" w:rsidR="00405FC3" w:rsidRPr="00007DBF" w:rsidRDefault="00405FC3" w:rsidP="0049336A">
      <w:pPr>
        <w:pStyle w:val="ListParagraph"/>
        <w:numPr>
          <w:ilvl w:val="0"/>
          <w:numId w:val="68"/>
        </w:numPr>
      </w:pPr>
      <w:r w:rsidRPr="00007DBF">
        <w:t xml:space="preserve">Consider the IHPA </w:t>
      </w:r>
      <w:r w:rsidR="00876B43" w:rsidRPr="00007DBF">
        <w:t>d</w:t>
      </w:r>
      <w:r w:rsidRPr="00007DBF">
        <w:t xml:space="preserve">ata </w:t>
      </w:r>
      <w:r w:rsidR="00876B43" w:rsidRPr="00007DBF">
        <w:t>n</w:t>
      </w:r>
      <w:r w:rsidRPr="00007DBF">
        <w:t xml:space="preserve">otes which outline the data quality issues, costing notes and other considerations when analysing the data contained in the </w:t>
      </w:r>
      <w:r w:rsidR="00876B43" w:rsidRPr="00007DBF">
        <w:t>c</w:t>
      </w:r>
      <w:r w:rsidRPr="00007DBF">
        <w:t xml:space="preserve">onfidential </w:t>
      </w:r>
      <w:r w:rsidR="00876B43" w:rsidRPr="00007DBF">
        <w:t>i</w:t>
      </w:r>
      <w:r w:rsidRPr="00007DBF">
        <w:t xml:space="preserve">nformation </w:t>
      </w:r>
    </w:p>
    <w:p w14:paraId="12ECF994" w14:textId="3F992D47" w:rsidR="00405FC3" w:rsidRPr="00007DBF" w:rsidRDefault="00405FC3" w:rsidP="0049336A">
      <w:pPr>
        <w:pStyle w:val="ListParagraph"/>
        <w:numPr>
          <w:ilvl w:val="0"/>
          <w:numId w:val="68"/>
        </w:numPr>
      </w:pPr>
      <w:r w:rsidRPr="00007DBF">
        <w:t xml:space="preserve">Agree not to make any attempt to link the data contained in the </w:t>
      </w:r>
      <w:r w:rsidR="00876B43" w:rsidRPr="00007DBF">
        <w:t>c</w:t>
      </w:r>
      <w:r w:rsidRPr="00007DBF">
        <w:t xml:space="preserve">onfidential </w:t>
      </w:r>
      <w:r w:rsidR="00876B43" w:rsidRPr="00007DBF">
        <w:t>i</w:t>
      </w:r>
      <w:r w:rsidRPr="00007DBF">
        <w:t>nformation with any other data source/s without IHPA authorisation</w:t>
      </w:r>
    </w:p>
    <w:p w14:paraId="282F52B9" w14:textId="21C5C0EC" w:rsidR="00405FC3" w:rsidRPr="00007DBF" w:rsidRDefault="00405FC3" w:rsidP="0049336A">
      <w:pPr>
        <w:pStyle w:val="ListParagraph"/>
        <w:numPr>
          <w:ilvl w:val="0"/>
          <w:numId w:val="68"/>
        </w:numPr>
      </w:pPr>
      <w:r w:rsidRPr="00007DBF">
        <w:t xml:space="preserve">Agree not to use, publish or disseminate any </w:t>
      </w:r>
      <w:r w:rsidR="00702B3E" w:rsidRPr="00007DBF">
        <w:t>data</w:t>
      </w:r>
      <w:r w:rsidRPr="00007DBF">
        <w:t xml:space="preserve"> in a way that might enable the identity of health professionals, hospitals or Local Hospital Networks to be ascertained from the </w:t>
      </w:r>
      <w:r w:rsidR="00876B43" w:rsidRPr="00007DBF">
        <w:t>c</w:t>
      </w:r>
      <w:r w:rsidRPr="00007DBF">
        <w:t xml:space="preserve">onfidential </w:t>
      </w:r>
      <w:r w:rsidR="00876B43" w:rsidRPr="00007DBF">
        <w:t>i</w:t>
      </w:r>
      <w:r w:rsidRPr="00007DBF">
        <w:t>nformation</w:t>
      </w:r>
    </w:p>
    <w:p w14:paraId="24FF98B2" w14:textId="37DD9661" w:rsidR="00405FC3" w:rsidRPr="00007DBF" w:rsidRDefault="0066186A" w:rsidP="0049336A">
      <w:pPr>
        <w:pStyle w:val="ListParagraph"/>
        <w:numPr>
          <w:ilvl w:val="0"/>
          <w:numId w:val="68"/>
        </w:numPr>
      </w:pPr>
      <w:r w:rsidRPr="00007DBF">
        <w:t>Agree to provide IHPA with advanced copies of any deliverables resulting from the use of IHPA data at least two months prior to their publication</w:t>
      </w:r>
    </w:p>
    <w:p w14:paraId="79E51EF8" w14:textId="1A2B09BC" w:rsidR="00405FC3" w:rsidRPr="00007DBF" w:rsidRDefault="00405FC3" w:rsidP="0049336A">
      <w:pPr>
        <w:pStyle w:val="ListParagraph"/>
        <w:numPr>
          <w:ilvl w:val="0"/>
          <w:numId w:val="68"/>
        </w:numPr>
      </w:pPr>
      <w:r w:rsidRPr="00007DBF">
        <w:t>Agree to notify IHPA immediately of any breaches of this Deed or the caveats and limitations on use</w:t>
      </w:r>
    </w:p>
    <w:p w14:paraId="65E20BCC" w14:textId="77777777" w:rsidR="00405FC3" w:rsidRPr="00007DBF" w:rsidRDefault="00405FC3" w:rsidP="0049336A">
      <w:pPr>
        <w:pStyle w:val="ListParagraph"/>
        <w:numPr>
          <w:ilvl w:val="0"/>
          <w:numId w:val="68"/>
        </w:numPr>
      </w:pPr>
      <w:r w:rsidRPr="00007DBF">
        <w:t>Adhere to any other conditions which IHPA deems fit.</w:t>
      </w:r>
    </w:p>
    <w:p w14:paraId="2BEB8D1E" w14:textId="77777777" w:rsidR="00424F8B" w:rsidRPr="00007DBF" w:rsidRDefault="00424F8B" w:rsidP="0047660C">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3618"/>
      </w:tblGrid>
      <w:tr w:rsidR="00405FC3" w:rsidRPr="00007DBF" w14:paraId="30C70E1E" w14:textId="77777777" w:rsidTr="005F21BD">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069182FB" w14:textId="1BE1FEC2" w:rsidR="00405FC3" w:rsidRPr="00007DBF" w:rsidRDefault="00405FC3" w:rsidP="00405FC3">
            <w:pPr>
              <w:rPr>
                <w:b/>
              </w:rPr>
            </w:pPr>
            <w:r w:rsidRPr="00007DBF">
              <w:rPr>
                <w:b/>
              </w:rPr>
              <w:t>Signature of applicant</w:t>
            </w:r>
            <w:r w:rsidR="0066186A" w:rsidRPr="00007DBF">
              <w:rPr>
                <w:b/>
              </w:rPr>
              <w:t>/s (include signatures of all individuals seeking access to the data)</w:t>
            </w:r>
          </w:p>
          <w:p w14:paraId="175A8AD0" w14:textId="77777777" w:rsidR="00405FC3" w:rsidRPr="00007DBF" w:rsidRDefault="00405FC3" w:rsidP="00405FC3">
            <w:pPr>
              <w:rPr>
                <w:b/>
              </w:rPr>
            </w:pPr>
          </w:p>
          <w:p w14:paraId="078C06D0" w14:textId="77777777" w:rsidR="00405FC3" w:rsidRPr="00007DBF" w:rsidRDefault="00405FC3" w:rsidP="00405FC3">
            <w:pPr>
              <w:rPr>
                <w:b/>
              </w:rPr>
            </w:pPr>
          </w:p>
          <w:p w14:paraId="21EE0459" w14:textId="77777777" w:rsidR="00405FC3" w:rsidRPr="00007DBF" w:rsidRDefault="00405FC3" w:rsidP="00405FC3">
            <w:pPr>
              <w:rPr>
                <w:b/>
              </w:rPr>
            </w:pPr>
          </w:p>
        </w:tc>
        <w:tc>
          <w:tcPr>
            <w:tcW w:w="3618" w:type="dxa"/>
            <w:tcBorders>
              <w:top w:val="single" w:sz="4" w:space="0" w:color="auto"/>
              <w:left w:val="single" w:sz="4" w:space="0" w:color="auto"/>
              <w:bottom w:val="single" w:sz="4" w:space="0" w:color="auto"/>
              <w:right w:val="single" w:sz="4" w:space="0" w:color="auto"/>
            </w:tcBorders>
            <w:vAlign w:val="center"/>
          </w:tcPr>
          <w:p w14:paraId="4329994E" w14:textId="77777777" w:rsidR="00405FC3" w:rsidRPr="00007DBF" w:rsidRDefault="00405FC3" w:rsidP="00405FC3">
            <w:pPr>
              <w:rPr>
                <w:b/>
              </w:rPr>
            </w:pPr>
            <w:r w:rsidRPr="00007DBF">
              <w:rPr>
                <w:b/>
              </w:rPr>
              <w:t>Date</w:t>
            </w:r>
          </w:p>
          <w:p w14:paraId="2DEB3069" w14:textId="77777777" w:rsidR="00405FC3" w:rsidRPr="00007DBF" w:rsidRDefault="00405FC3" w:rsidP="00405FC3">
            <w:pPr>
              <w:rPr>
                <w:b/>
              </w:rPr>
            </w:pPr>
          </w:p>
          <w:p w14:paraId="32ACF547" w14:textId="77777777" w:rsidR="00405FC3" w:rsidRPr="00007DBF" w:rsidRDefault="00405FC3" w:rsidP="00405FC3">
            <w:pPr>
              <w:rPr>
                <w:b/>
              </w:rPr>
            </w:pPr>
          </w:p>
          <w:p w14:paraId="304A630F" w14:textId="77777777" w:rsidR="00405FC3" w:rsidRPr="00007DBF" w:rsidRDefault="00405FC3" w:rsidP="00405FC3">
            <w:pPr>
              <w:rPr>
                <w:b/>
              </w:rPr>
            </w:pPr>
          </w:p>
        </w:tc>
      </w:tr>
      <w:tr w:rsidR="008907D6" w:rsidRPr="00405FC3" w14:paraId="57A7CBC7" w14:textId="77777777" w:rsidTr="005F21BD">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4684C2B5" w14:textId="61075406" w:rsidR="008907D6" w:rsidRPr="003C2E96" w:rsidRDefault="008907D6" w:rsidP="00D03C57">
            <w:r w:rsidRPr="00007DBF">
              <w:t>Students, including PhD candidates, must have their rese</w:t>
            </w:r>
            <w:r w:rsidR="003C2E96">
              <w:t>arch supervisor complete below.</w:t>
            </w:r>
            <w:r w:rsidR="003C2E96">
              <w:br/>
            </w:r>
            <w:r w:rsidRPr="00007DBF">
              <w:rPr>
                <w:b/>
              </w:rPr>
              <w:t>Signature of supervisor</w:t>
            </w:r>
          </w:p>
          <w:p w14:paraId="6E2E6AD3" w14:textId="77777777" w:rsidR="008907D6" w:rsidRPr="00007DBF" w:rsidRDefault="008907D6" w:rsidP="00D03C57">
            <w:pPr>
              <w:rPr>
                <w:b/>
              </w:rPr>
            </w:pPr>
          </w:p>
          <w:p w14:paraId="05C50F07" w14:textId="114B5567" w:rsidR="008907D6" w:rsidRDefault="008907D6" w:rsidP="00D03C57">
            <w:pPr>
              <w:rPr>
                <w:b/>
              </w:rPr>
            </w:pPr>
          </w:p>
          <w:p w14:paraId="12180791" w14:textId="77777777" w:rsidR="00F4274F" w:rsidRPr="00007DBF" w:rsidRDefault="00F4274F" w:rsidP="00D03C57">
            <w:pPr>
              <w:rPr>
                <w:b/>
              </w:rPr>
            </w:pPr>
          </w:p>
          <w:p w14:paraId="73DE2215" w14:textId="77777777" w:rsidR="008907D6" w:rsidRPr="00007DBF" w:rsidRDefault="008907D6" w:rsidP="00D03C57">
            <w:pPr>
              <w:rPr>
                <w:b/>
              </w:rPr>
            </w:pPr>
          </w:p>
        </w:tc>
        <w:tc>
          <w:tcPr>
            <w:tcW w:w="3618" w:type="dxa"/>
            <w:tcBorders>
              <w:top w:val="single" w:sz="4" w:space="0" w:color="auto"/>
              <w:left w:val="single" w:sz="4" w:space="0" w:color="auto"/>
              <w:right w:val="single" w:sz="4" w:space="0" w:color="auto"/>
            </w:tcBorders>
            <w:vAlign w:val="center"/>
          </w:tcPr>
          <w:p w14:paraId="2BCE75B8" w14:textId="77777777" w:rsidR="008907D6" w:rsidRPr="00405FC3" w:rsidRDefault="008907D6" w:rsidP="00D03C57">
            <w:pPr>
              <w:rPr>
                <w:b/>
              </w:rPr>
            </w:pPr>
            <w:r w:rsidRPr="00007DBF">
              <w:rPr>
                <w:b/>
              </w:rPr>
              <w:t>Date</w:t>
            </w:r>
          </w:p>
          <w:p w14:paraId="2A86D183" w14:textId="77777777" w:rsidR="008907D6" w:rsidRPr="00405FC3" w:rsidRDefault="008907D6" w:rsidP="00D03C57">
            <w:pPr>
              <w:rPr>
                <w:b/>
              </w:rPr>
            </w:pPr>
          </w:p>
          <w:p w14:paraId="112054E0" w14:textId="77777777" w:rsidR="008907D6" w:rsidRPr="00405FC3" w:rsidRDefault="008907D6" w:rsidP="00D03C57">
            <w:pPr>
              <w:rPr>
                <w:b/>
              </w:rPr>
            </w:pPr>
          </w:p>
          <w:p w14:paraId="2064D764" w14:textId="77777777" w:rsidR="008907D6" w:rsidRPr="00405FC3" w:rsidRDefault="008907D6" w:rsidP="00D03C57">
            <w:pPr>
              <w:rPr>
                <w:b/>
              </w:rPr>
            </w:pPr>
          </w:p>
        </w:tc>
      </w:tr>
    </w:tbl>
    <w:p w14:paraId="325F95A4" w14:textId="7283FAAA" w:rsidR="00007DBF" w:rsidRDefault="00007DBF">
      <w:pPr>
        <w:spacing w:before="0" w:after="0" w:line="240" w:lineRule="auto"/>
      </w:pPr>
      <w:r>
        <w:br w:type="page"/>
      </w:r>
    </w:p>
    <w:p w14:paraId="4D17B997" w14:textId="480E05F3" w:rsidR="00007DBF" w:rsidRDefault="00007DBF" w:rsidP="00007DBF">
      <w:r w:rsidRPr="00AB7787">
        <w:rPr>
          <w:noProof/>
        </w:rPr>
        <w:lastRenderedPageBreak/>
        <w:drawing>
          <wp:anchor distT="0" distB="0" distL="114300" distR="114300" simplePos="0" relativeHeight="251677696" behindDoc="1" locked="1" layoutInCell="0" allowOverlap="1" wp14:anchorId="2237B94A" wp14:editId="4ECC00C8">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1E6C60C2" w14:textId="5D0728E5" w:rsidR="00562759" w:rsidRDefault="00B711E9" w:rsidP="002A20CA">
      <w:r w:rsidRPr="00AB7787">
        <w:rPr>
          <w:noProof/>
        </w:rPr>
        <mc:AlternateContent>
          <mc:Choice Requires="wps">
            <w:drawing>
              <wp:anchor distT="0" distB="0" distL="114300" distR="114300" simplePos="0" relativeHeight="251676672" behindDoc="0" locked="0" layoutInCell="1" allowOverlap="1" wp14:anchorId="0346DBA4" wp14:editId="1F57BC00">
                <wp:simplePos x="0" y="0"/>
                <wp:positionH relativeFrom="column">
                  <wp:posOffset>151765</wp:posOffset>
                </wp:positionH>
                <wp:positionV relativeFrom="margin">
                  <wp:posOffset>7552690</wp:posOffset>
                </wp:positionV>
                <wp:extent cx="1943100" cy="13335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943100"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7FFF8D" w14:textId="77777777" w:rsidR="00F6208F" w:rsidRPr="00996126" w:rsidRDefault="00F6208F" w:rsidP="00B711E9">
                            <w:pPr>
                              <w:pStyle w:val="Address"/>
                              <w:rPr>
                                <w:color w:val="auto"/>
                              </w:rPr>
                            </w:pPr>
                            <w:r w:rsidRPr="00996126">
                              <w:rPr>
                                <w:color w:val="auto"/>
                              </w:rPr>
                              <w:t>Independent Hospital Pricing Authority</w:t>
                            </w:r>
                          </w:p>
                          <w:p w14:paraId="717B9704" w14:textId="77777777" w:rsidR="00F6208F" w:rsidRPr="00996126" w:rsidRDefault="00F6208F" w:rsidP="00B711E9">
                            <w:pPr>
                              <w:pStyle w:val="Address"/>
                              <w:rPr>
                                <w:color w:val="auto"/>
                              </w:rPr>
                            </w:pPr>
                          </w:p>
                          <w:p w14:paraId="2D5D69A4" w14:textId="77777777" w:rsidR="00F6208F" w:rsidRPr="00996126" w:rsidRDefault="00F6208F" w:rsidP="00B711E9">
                            <w:pPr>
                              <w:pStyle w:val="Address"/>
                              <w:rPr>
                                <w:color w:val="008542" w:themeColor="accent2"/>
                              </w:rPr>
                            </w:pPr>
                            <w:r>
                              <w:rPr>
                                <w:color w:val="008542" w:themeColor="accent2"/>
                              </w:rPr>
                              <w:t xml:space="preserve">Eora Nation, </w:t>
                            </w:r>
                            <w:r w:rsidRPr="00996126">
                              <w:rPr>
                                <w:color w:val="008542" w:themeColor="accent2"/>
                              </w:rPr>
                              <w:t xml:space="preserve">Level </w:t>
                            </w:r>
                            <w:r>
                              <w:rPr>
                                <w:color w:val="008542" w:themeColor="accent2"/>
                              </w:rPr>
                              <w:t>12</w:t>
                            </w:r>
                            <w:r w:rsidRPr="00996126">
                              <w:rPr>
                                <w:color w:val="008542" w:themeColor="accent2"/>
                              </w:rPr>
                              <w:t>, 1 Oxford Street</w:t>
                            </w:r>
                          </w:p>
                          <w:p w14:paraId="73AA95B6" w14:textId="77777777" w:rsidR="00F6208F" w:rsidRPr="00996126" w:rsidRDefault="00F6208F" w:rsidP="00B711E9">
                            <w:pPr>
                              <w:pStyle w:val="Address"/>
                              <w:rPr>
                                <w:color w:val="008542" w:themeColor="accent2"/>
                              </w:rPr>
                            </w:pPr>
                            <w:r w:rsidRPr="00996126">
                              <w:rPr>
                                <w:color w:val="008542" w:themeColor="accent2"/>
                              </w:rPr>
                              <w:t>Sydney NSW 2000</w:t>
                            </w:r>
                          </w:p>
                          <w:p w14:paraId="723E5EDA" w14:textId="77777777" w:rsidR="00F6208F" w:rsidRPr="00562759" w:rsidRDefault="00F6208F" w:rsidP="00B711E9">
                            <w:pPr>
                              <w:pStyle w:val="Address"/>
                            </w:pPr>
                          </w:p>
                          <w:p w14:paraId="5DC9B539" w14:textId="77777777" w:rsidR="00F6208F" w:rsidRPr="00996126" w:rsidRDefault="00F6208F" w:rsidP="00B711E9">
                            <w:pPr>
                              <w:pStyle w:val="Address"/>
                              <w:rPr>
                                <w:color w:val="008542" w:themeColor="accent2"/>
                              </w:rPr>
                            </w:pPr>
                            <w:r w:rsidRPr="00996126">
                              <w:rPr>
                                <w:color w:val="auto"/>
                              </w:rPr>
                              <w:t xml:space="preserve">Phone </w:t>
                            </w:r>
                            <w:r w:rsidRPr="00996126">
                              <w:rPr>
                                <w:color w:val="008542" w:themeColor="accent2"/>
                              </w:rPr>
                              <w:t>02 8215 1100</w:t>
                            </w:r>
                          </w:p>
                          <w:p w14:paraId="1E3A386E" w14:textId="77777777" w:rsidR="00F6208F" w:rsidRPr="00996126" w:rsidRDefault="00F6208F" w:rsidP="00B711E9">
                            <w:pPr>
                              <w:pStyle w:val="Address"/>
                              <w:rPr>
                                <w:color w:val="008542" w:themeColor="accent2"/>
                              </w:rPr>
                            </w:pPr>
                            <w:r w:rsidRPr="00996126">
                              <w:rPr>
                                <w:color w:val="auto"/>
                              </w:rPr>
                              <w:t xml:space="preserve">Email </w:t>
                            </w:r>
                            <w:r w:rsidRPr="00996126">
                              <w:rPr>
                                <w:color w:val="008542" w:themeColor="accent2"/>
                              </w:rPr>
                              <w:t>enquiries.ihpa@ihpa.gov.au</w:t>
                            </w:r>
                          </w:p>
                          <w:p w14:paraId="3A939CF1" w14:textId="77777777" w:rsidR="00F6208F" w:rsidRPr="00996126" w:rsidRDefault="00F6208F" w:rsidP="00B711E9">
                            <w:pPr>
                              <w:pStyle w:val="Address"/>
                              <w:rPr>
                                <w:color w:val="008542" w:themeColor="accent2"/>
                              </w:rPr>
                            </w:pPr>
                            <w:r w:rsidRPr="00996126">
                              <w:rPr>
                                <w:color w:val="auto"/>
                              </w:rPr>
                              <w:t xml:space="preserve">Twitter </w:t>
                            </w:r>
                            <w:r w:rsidRPr="00996126">
                              <w:rPr>
                                <w:color w:val="008542" w:themeColor="accent2"/>
                              </w:rPr>
                              <w:t>@IHPAnews</w:t>
                            </w:r>
                          </w:p>
                          <w:p w14:paraId="4BF8A03E" w14:textId="77777777" w:rsidR="00F6208F" w:rsidRPr="00562759" w:rsidRDefault="00F6208F" w:rsidP="00B711E9">
                            <w:pPr>
                              <w:pStyle w:val="Address"/>
                            </w:pPr>
                          </w:p>
                          <w:p w14:paraId="1C284A6F" w14:textId="77777777" w:rsidR="00F6208F" w:rsidRPr="00996126" w:rsidRDefault="00F6208F" w:rsidP="00B711E9">
                            <w:pPr>
                              <w:pStyle w:val="Address"/>
                              <w:rPr>
                                <w:color w:val="auto"/>
                              </w:rPr>
                            </w:pPr>
                            <w:r w:rsidRPr="00996126">
                              <w:rPr>
                                <w:color w:val="auto"/>
                              </w:rPr>
                              <w:t>www.ihpa.gov.au</w:t>
                            </w:r>
                          </w:p>
                          <w:p w14:paraId="50BC4AFB" w14:textId="77777777" w:rsidR="00F6208F" w:rsidRPr="0098702F" w:rsidRDefault="00F6208F" w:rsidP="00B711E9">
                            <w:pPr>
                              <w:pStyle w:val="Address"/>
                            </w:pPr>
                          </w:p>
                          <w:p w14:paraId="0D9C3835" w14:textId="77777777" w:rsidR="00F6208F" w:rsidRPr="0098702F" w:rsidRDefault="00F6208F" w:rsidP="003A1EC7">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6DBA4" id="_x0000_t202" coordsize="21600,21600" o:spt="202" path="m,l,21600r21600,l21600,xe">
                <v:stroke joinstyle="miter"/>
                <v:path gradientshapeok="t" o:connecttype="rect"/>
              </v:shapetype>
              <v:shape id="Text Box 14" o:spid="_x0000_s1026" type="#_x0000_t202" style="position:absolute;margin-left:11.95pt;margin-top:594.7pt;width:153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" filled="f" stroked="f">
                <v:textbox inset="0,0,0,0">
                  <w:txbxContent>
                    <w:p w14:paraId="487FFF8D" w14:textId="77777777" w:rsidR="00F6208F" w:rsidRPr="00996126" w:rsidRDefault="00F6208F" w:rsidP="00B711E9">
                      <w:pPr>
                        <w:pStyle w:val="Address"/>
                        <w:rPr>
                          <w:color w:val="auto"/>
                        </w:rPr>
                      </w:pPr>
                      <w:r w:rsidRPr="00996126">
                        <w:rPr>
                          <w:color w:val="auto"/>
                        </w:rPr>
                        <w:t>Independent Hospital Pricing Authority</w:t>
                      </w:r>
                    </w:p>
                    <w:p w14:paraId="717B9704" w14:textId="77777777" w:rsidR="00F6208F" w:rsidRPr="00996126" w:rsidRDefault="00F6208F" w:rsidP="00B711E9">
                      <w:pPr>
                        <w:pStyle w:val="Address"/>
                        <w:rPr>
                          <w:color w:val="auto"/>
                        </w:rPr>
                      </w:pPr>
                    </w:p>
                    <w:p w14:paraId="2D5D69A4" w14:textId="77777777" w:rsidR="00F6208F" w:rsidRPr="00996126" w:rsidRDefault="00F6208F" w:rsidP="00B711E9">
                      <w:pPr>
                        <w:pStyle w:val="Address"/>
                        <w:rPr>
                          <w:color w:val="008542" w:themeColor="accent2"/>
                        </w:rPr>
                      </w:pPr>
                      <w:r>
                        <w:rPr>
                          <w:color w:val="008542" w:themeColor="accent2"/>
                        </w:rPr>
                        <w:t xml:space="preserve">Eora Nation, </w:t>
                      </w:r>
                      <w:r w:rsidRPr="00996126">
                        <w:rPr>
                          <w:color w:val="008542" w:themeColor="accent2"/>
                        </w:rPr>
                        <w:t xml:space="preserve">Level </w:t>
                      </w:r>
                      <w:r>
                        <w:rPr>
                          <w:color w:val="008542" w:themeColor="accent2"/>
                        </w:rPr>
                        <w:t>12</w:t>
                      </w:r>
                      <w:r w:rsidRPr="00996126">
                        <w:rPr>
                          <w:color w:val="008542" w:themeColor="accent2"/>
                        </w:rPr>
                        <w:t>, 1 Oxford Street</w:t>
                      </w:r>
                    </w:p>
                    <w:p w14:paraId="73AA95B6" w14:textId="77777777" w:rsidR="00F6208F" w:rsidRPr="00996126" w:rsidRDefault="00F6208F" w:rsidP="00B711E9">
                      <w:pPr>
                        <w:pStyle w:val="Address"/>
                        <w:rPr>
                          <w:color w:val="008542" w:themeColor="accent2"/>
                        </w:rPr>
                      </w:pPr>
                      <w:r w:rsidRPr="00996126">
                        <w:rPr>
                          <w:color w:val="008542" w:themeColor="accent2"/>
                        </w:rPr>
                        <w:t>Sydney NSW 2000</w:t>
                      </w:r>
                    </w:p>
                    <w:p w14:paraId="723E5EDA" w14:textId="77777777" w:rsidR="00F6208F" w:rsidRPr="00562759" w:rsidRDefault="00F6208F" w:rsidP="00B711E9">
                      <w:pPr>
                        <w:pStyle w:val="Address"/>
                      </w:pPr>
                    </w:p>
                    <w:p w14:paraId="5DC9B539" w14:textId="77777777" w:rsidR="00F6208F" w:rsidRPr="00996126" w:rsidRDefault="00F6208F" w:rsidP="00B711E9">
                      <w:pPr>
                        <w:pStyle w:val="Address"/>
                        <w:rPr>
                          <w:color w:val="008542" w:themeColor="accent2"/>
                        </w:rPr>
                      </w:pPr>
                      <w:r w:rsidRPr="00996126">
                        <w:rPr>
                          <w:color w:val="auto"/>
                        </w:rPr>
                        <w:t xml:space="preserve">Phone </w:t>
                      </w:r>
                      <w:r w:rsidRPr="00996126">
                        <w:rPr>
                          <w:color w:val="008542" w:themeColor="accent2"/>
                        </w:rPr>
                        <w:t>02 8215 1100</w:t>
                      </w:r>
                    </w:p>
                    <w:p w14:paraId="1E3A386E" w14:textId="77777777" w:rsidR="00F6208F" w:rsidRPr="00996126" w:rsidRDefault="00F6208F" w:rsidP="00B711E9">
                      <w:pPr>
                        <w:pStyle w:val="Address"/>
                        <w:rPr>
                          <w:color w:val="008542" w:themeColor="accent2"/>
                        </w:rPr>
                      </w:pPr>
                      <w:r w:rsidRPr="00996126">
                        <w:rPr>
                          <w:color w:val="auto"/>
                        </w:rPr>
                        <w:t xml:space="preserve">Email </w:t>
                      </w:r>
                      <w:r w:rsidRPr="00996126">
                        <w:rPr>
                          <w:color w:val="008542" w:themeColor="accent2"/>
                        </w:rPr>
                        <w:t>enquiries.ihpa@ihpa.gov.au</w:t>
                      </w:r>
                    </w:p>
                    <w:p w14:paraId="3A939CF1" w14:textId="77777777" w:rsidR="00F6208F" w:rsidRPr="00996126" w:rsidRDefault="00F6208F" w:rsidP="00B711E9">
                      <w:pPr>
                        <w:pStyle w:val="Address"/>
                        <w:rPr>
                          <w:color w:val="008542" w:themeColor="accent2"/>
                        </w:rPr>
                      </w:pPr>
                      <w:r w:rsidRPr="00996126">
                        <w:rPr>
                          <w:color w:val="auto"/>
                        </w:rPr>
                        <w:t xml:space="preserve">Twitter </w:t>
                      </w:r>
                      <w:r w:rsidRPr="00996126">
                        <w:rPr>
                          <w:color w:val="008542" w:themeColor="accent2"/>
                        </w:rPr>
                        <w:t>@IHPAnews</w:t>
                      </w:r>
                    </w:p>
                    <w:p w14:paraId="4BF8A03E" w14:textId="77777777" w:rsidR="00F6208F" w:rsidRPr="00562759" w:rsidRDefault="00F6208F" w:rsidP="00B711E9">
                      <w:pPr>
                        <w:pStyle w:val="Address"/>
                      </w:pPr>
                    </w:p>
                    <w:p w14:paraId="1C284A6F" w14:textId="77777777" w:rsidR="00F6208F" w:rsidRPr="00996126" w:rsidRDefault="00F6208F" w:rsidP="00B711E9">
                      <w:pPr>
                        <w:pStyle w:val="Address"/>
                        <w:rPr>
                          <w:color w:val="auto"/>
                        </w:rPr>
                      </w:pPr>
                      <w:r w:rsidRPr="00996126">
                        <w:rPr>
                          <w:color w:val="auto"/>
                        </w:rPr>
                        <w:t>www.ihpa.gov.au</w:t>
                      </w:r>
                    </w:p>
                    <w:p w14:paraId="50BC4AFB" w14:textId="77777777" w:rsidR="00F6208F" w:rsidRPr="0098702F" w:rsidRDefault="00F6208F" w:rsidP="00B711E9">
                      <w:pPr>
                        <w:pStyle w:val="Address"/>
                      </w:pPr>
                    </w:p>
                    <w:p w14:paraId="0D9C3835" w14:textId="77777777" w:rsidR="00F6208F" w:rsidRPr="0098702F" w:rsidRDefault="00F6208F" w:rsidP="003A1EC7">
                      <w:pPr>
                        <w:pStyle w:val="Address"/>
                      </w:pPr>
                    </w:p>
                  </w:txbxContent>
                </v:textbox>
                <w10:wrap type="square" anchory="margin"/>
              </v:shape>
            </w:pict>
          </mc:Fallback>
        </mc:AlternateContent>
      </w:r>
    </w:p>
    <w:sectPr w:rsidR="00562759" w:rsidSect="000D0811">
      <w:headerReference w:type="default" r:id="rId32"/>
      <w:pgSz w:w="11906" w:h="16838" w:code="9"/>
      <w:pgMar w:top="2041" w:right="1440" w:bottom="709"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00F6" w14:textId="77777777" w:rsidR="003F3523" w:rsidRDefault="003F3523">
      <w:r>
        <w:separator/>
      </w:r>
    </w:p>
  </w:endnote>
  <w:endnote w:type="continuationSeparator" w:id="0">
    <w:p w14:paraId="170570AE" w14:textId="77777777" w:rsidR="003F3523" w:rsidRDefault="003F3523">
      <w:r>
        <w:continuationSeparator/>
      </w:r>
    </w:p>
  </w:endnote>
  <w:endnote w:type="continuationNotice" w:id="1">
    <w:p w14:paraId="63D4CA3B" w14:textId="77777777" w:rsidR="003F3523" w:rsidRDefault="003F35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610D" w14:textId="77777777" w:rsidR="003F3523" w:rsidRDefault="003F3523">
      <w:r>
        <w:separator/>
      </w:r>
    </w:p>
  </w:footnote>
  <w:footnote w:type="continuationSeparator" w:id="0">
    <w:p w14:paraId="1239942B" w14:textId="77777777" w:rsidR="003F3523" w:rsidRDefault="003F3523">
      <w:r>
        <w:continuationSeparator/>
      </w:r>
    </w:p>
  </w:footnote>
  <w:footnote w:type="continuationNotice" w:id="1">
    <w:p w14:paraId="0985AD05" w14:textId="77777777" w:rsidR="003F3523" w:rsidRDefault="003F3523">
      <w:pPr>
        <w:spacing w:before="0" w:after="0" w:line="240" w:lineRule="auto"/>
      </w:pPr>
    </w:p>
  </w:footnote>
  <w:footnote w:id="2">
    <w:p w14:paraId="5968F245" w14:textId="1E3F3109" w:rsidR="00F6208F" w:rsidRDefault="00F6208F">
      <w:pPr>
        <w:pStyle w:val="FootnoteText"/>
      </w:pPr>
      <w:r>
        <w:rPr>
          <w:rStyle w:val="FootnoteReference"/>
        </w:rPr>
        <w:footnoteRef/>
      </w:r>
      <w:r>
        <w:t xml:space="preserve"> </w:t>
      </w:r>
      <w:r w:rsidRPr="007D61F9">
        <w:rPr>
          <w:lang w:eastAsia="en-US"/>
        </w:rPr>
        <w:t xml:space="preserve">The Health Chief Executives Forum has been established as the advisory and support body to the Health Ministers’ </w:t>
      </w:r>
      <w:proofErr w:type="gramStart"/>
      <w:r w:rsidRPr="007D61F9">
        <w:rPr>
          <w:lang w:eastAsia="en-US"/>
        </w:rPr>
        <w:t>Meetings</w:t>
      </w:r>
      <w:r>
        <w:rPr>
          <w:lang w:eastAsia="en-US"/>
        </w:rPr>
        <w:t>,</w:t>
      </w:r>
      <w:r w:rsidRPr="007D61F9">
        <w:rPr>
          <w:lang w:eastAsia="en-US"/>
        </w:rPr>
        <w:t xml:space="preserve"> and</w:t>
      </w:r>
      <w:proofErr w:type="gramEnd"/>
      <w:r w:rsidRPr="007D61F9">
        <w:rPr>
          <w:lang w:eastAsia="en-US"/>
        </w:rPr>
        <w:t xml:space="preserve"> serves as the replacement for the Australian Health Ministers' Advisory Council.</w:t>
      </w:r>
    </w:p>
  </w:footnote>
  <w:footnote w:id="3">
    <w:p w14:paraId="7B4F00A0" w14:textId="4E192E5B" w:rsidR="00F6208F" w:rsidRDefault="00F6208F">
      <w:pPr>
        <w:pStyle w:val="FootnoteText"/>
      </w:pPr>
      <w:r>
        <w:rPr>
          <w:rStyle w:val="FootnoteReference"/>
        </w:rPr>
        <w:footnoteRef/>
      </w:r>
      <w:r>
        <w:t xml:space="preserve"> </w:t>
      </w:r>
      <w:r w:rsidRPr="007D61F9">
        <w:rPr>
          <w:lang w:eastAsia="en-US"/>
        </w:rPr>
        <w:t>The Health Ministers’ Meetings, comprised of all Australian health ministers, has been established to consider matters previously brought to the Council of Australian Governments Health Council, including matters relating to the national bodies. The Health Ministers’ Meetings serves as the replacement for the Council of Australian Governments Health Council.</w:t>
      </w:r>
    </w:p>
  </w:footnote>
  <w:footnote w:id="4">
    <w:p w14:paraId="1368295E" w14:textId="45BB9C35" w:rsidR="00F6208F" w:rsidRPr="009452EE" w:rsidRDefault="00F6208F" w:rsidP="007F0E28">
      <w:pPr>
        <w:pStyle w:val="FootnoteText"/>
        <w:rPr>
          <w:lang w:val="en-US"/>
        </w:rPr>
      </w:pPr>
      <w:r w:rsidRPr="009452EE">
        <w:rPr>
          <w:rStyle w:val="FootnoteReference"/>
        </w:rPr>
        <w:footnoteRef/>
      </w:r>
      <w:r w:rsidRPr="009452EE">
        <w:t xml:space="preserve"> </w:t>
      </w:r>
      <w:r w:rsidRPr="004A2E5E">
        <w:t xml:space="preserve">Australian Institute of Health and Welfare. Metadata Online Registry - About metadata. Available at: </w:t>
      </w:r>
      <w:hyperlink r:id="rId1" w:history="1">
        <w:r w:rsidRPr="00614A8C">
          <w:rPr>
            <w:rStyle w:val="Hyperlink"/>
            <w:color w:val="008542" w:themeColor="accent2"/>
          </w:rPr>
          <w:t>http://meteor.aihw.gov.au/content/index.phtml/itemId/268284</w:t>
        </w:r>
      </w:hyperlink>
      <w:r w:rsidRPr="00C11B9E">
        <w:rPr>
          <w:rStyle w:val="Hyperlink"/>
        </w:rPr>
        <w:t>.</w:t>
      </w:r>
    </w:p>
  </w:footnote>
  <w:footnote w:id="5">
    <w:p w14:paraId="30F11A5A" w14:textId="37F803A9" w:rsidR="00F6208F" w:rsidRDefault="00F6208F">
      <w:pPr>
        <w:pStyle w:val="FootnoteText"/>
      </w:pPr>
      <w:r>
        <w:rPr>
          <w:rStyle w:val="FootnoteReference"/>
        </w:rPr>
        <w:footnoteRef/>
      </w:r>
      <w:r>
        <w:t xml:space="preserve"> The National Health Performance Agency has been dissolved, with its activities and functions transferred to the Australian Institute of Health and Welfare. </w:t>
      </w:r>
    </w:p>
  </w:footnote>
  <w:footnote w:id="6">
    <w:p w14:paraId="448BC03F" w14:textId="4FF75A27" w:rsidR="00F6208F" w:rsidRDefault="00F6208F">
      <w:pPr>
        <w:pStyle w:val="FootnoteText"/>
      </w:pPr>
      <w:r>
        <w:rPr>
          <w:rStyle w:val="FootnoteReference"/>
        </w:rPr>
        <w:footnoteRef/>
      </w:r>
      <w:r>
        <w:t xml:space="preserve"> </w:t>
      </w:r>
      <w:r w:rsidRPr="006C29B1">
        <w:rPr>
          <w:rFonts w:asciiTheme="minorHAnsi" w:hAnsiTheme="minorHAnsi" w:cstheme="minorHAnsi"/>
          <w:lang w:eastAsia="en-US"/>
        </w:rPr>
        <w:t xml:space="preserve">The Council of Australian Governments has been dissolved. </w:t>
      </w:r>
      <w:hyperlink r:id="rId2" w:history="1">
        <w:r w:rsidRPr="006C29B1">
          <w:rPr>
            <w:rStyle w:val="Hyperlink"/>
            <w:rFonts w:asciiTheme="minorHAnsi" w:hAnsiTheme="minorHAnsi" w:cstheme="minorHAnsi"/>
            <w:color w:val="008542" w:themeColor="accent2"/>
            <w:lang w:eastAsia="en-US"/>
          </w:rPr>
          <w:t>The National Federation Reform Council</w:t>
        </w:r>
      </w:hyperlink>
      <w:r w:rsidRPr="006C29B1">
        <w:rPr>
          <w:rFonts w:asciiTheme="minorHAnsi" w:hAnsiTheme="minorHAnsi" w:cstheme="minorHAnsi"/>
          <w:lang w:eastAsia="en-US"/>
        </w:rPr>
        <w:t>, led by National Cabinet, has been established as its replacement to consider matters previously brought to the Council of Australian Governments.</w:t>
      </w:r>
    </w:p>
  </w:footnote>
  <w:footnote w:id="7">
    <w:p w14:paraId="1E07A6FC" w14:textId="20C6CDDE" w:rsidR="00F6208F" w:rsidRPr="00E07D06" w:rsidRDefault="00F6208F" w:rsidP="007F0E28">
      <w:pPr>
        <w:pStyle w:val="FootnoteText"/>
      </w:pPr>
      <w:r>
        <w:rPr>
          <w:rStyle w:val="FootnoteReference"/>
        </w:rPr>
        <w:footnoteRef/>
      </w:r>
      <w:r>
        <w:t xml:space="preserve"> </w:t>
      </w:r>
      <w:hyperlink r:id="rId3" w:history="1">
        <w:r w:rsidRPr="004A2E5E">
          <w:t>National Health</w:t>
        </w:r>
      </w:hyperlink>
      <w:r w:rsidRPr="00BD1837">
        <w:t xml:space="preserve"> Information Standards and Statistics Committee. Guidelines for the Disclosure of Secondary Use Health Information for Statistical Reporting, Research and Analysis (2017). Available at: </w:t>
      </w:r>
      <w:hyperlink r:id="rId4" w:history="1">
        <w:r w:rsidRPr="00614A8C">
          <w:rPr>
            <w:rStyle w:val="Hyperlink"/>
            <w:color w:val="008542" w:themeColor="accent2"/>
          </w:rPr>
          <w:t>https://www.aihw.gov.au/getmedia/d15f8bf7-f29f-406a-a27d-41f483b17ff1/Guidelines-Use-and-disclosure-of-secondary-health-information-endorsed-15-June-2017.pdf.aspx</w:t>
        </w:r>
      </w:hyperlink>
      <w:r w:rsidRPr="00BD1837">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4BF5" w14:textId="572A5F3D" w:rsidR="00F6208F" w:rsidRPr="00CC2138" w:rsidRDefault="00F6208F"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4B567C8F" wp14:editId="4FF55FC7">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Data Access and Release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21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7CEF"/>
    <w:multiLevelType w:val="hybridMultilevel"/>
    <w:tmpl w:val="5E02CC6C"/>
    <w:lvl w:ilvl="0" w:tplc="E37A3A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B50F03"/>
    <w:multiLevelType w:val="hybridMultilevel"/>
    <w:tmpl w:val="7BDAF356"/>
    <w:lvl w:ilvl="0" w:tplc="0C090001">
      <w:start w:val="1"/>
      <w:numFmt w:val="bullet"/>
      <w:lvlText w:val=""/>
      <w:lvlJc w:val="left"/>
      <w:pPr>
        <w:ind w:left="720" w:hanging="360"/>
      </w:pPr>
      <w:rPr>
        <w:rFonts w:ascii="Symbol" w:hAnsi="Symbol" w:hint="default"/>
      </w:rPr>
    </w:lvl>
    <w:lvl w:ilvl="1" w:tplc="EE66804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347611"/>
    <w:multiLevelType w:val="hybridMultilevel"/>
    <w:tmpl w:val="54CCB0D8"/>
    <w:name w:val="heading 2 2222"/>
    <w:lvl w:ilvl="0" w:tplc="EB8AA3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5E7352"/>
    <w:multiLevelType w:val="multilevel"/>
    <w:tmpl w:val="95DA4E08"/>
    <w:name w:val="heading 2 "/>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18E17A4"/>
    <w:multiLevelType w:val="hybridMultilevel"/>
    <w:tmpl w:val="8A3C8FC6"/>
    <w:lvl w:ilvl="0" w:tplc="3EBC39D8">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AE1BB7"/>
    <w:multiLevelType w:val="hybridMultilevel"/>
    <w:tmpl w:val="17CE9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C64D19"/>
    <w:multiLevelType w:val="multilevel"/>
    <w:tmpl w:val="7CB238CC"/>
    <w:name w:val="Heading 3"/>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27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29A39AA"/>
    <w:multiLevelType w:val="hybridMultilevel"/>
    <w:tmpl w:val="FC40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8D75E9"/>
    <w:multiLevelType w:val="hybridMultilevel"/>
    <w:tmpl w:val="8278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F57D47"/>
    <w:multiLevelType w:val="hybridMultilevel"/>
    <w:tmpl w:val="ED80F6E0"/>
    <w:lvl w:ilvl="0" w:tplc="976CB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361AD6"/>
    <w:multiLevelType w:val="hybridMultilevel"/>
    <w:tmpl w:val="2078FFA0"/>
    <w:lvl w:ilvl="0" w:tplc="38C68C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A7891"/>
    <w:multiLevelType w:val="hybridMultilevel"/>
    <w:tmpl w:val="16EA6142"/>
    <w:lvl w:ilvl="0" w:tplc="792C1FE4">
      <w:start w:val="1"/>
      <w:numFmt w:val="decimal"/>
      <w:pStyle w:val="FigureHeading"/>
      <w:lvlText w:val="Figure %1."/>
      <w:lvlJc w:val="left"/>
      <w:pPr>
        <w:ind w:left="644" w:hanging="360"/>
      </w:pPr>
      <w:rPr>
        <w:rFonts w:ascii="Arial Bold" w:hAnsi="Arial Bold" w:hint="default"/>
        <w:b/>
        <w:i w:val="0"/>
        <w:color w:val="008542" w:themeColor="accent2"/>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441646AD"/>
    <w:multiLevelType w:val="hybridMultilevel"/>
    <w:tmpl w:val="5BDEC630"/>
    <w:lvl w:ilvl="0" w:tplc="0C090001">
      <w:start w:val="1"/>
      <w:numFmt w:val="bullet"/>
      <w:lvlText w:val=""/>
      <w:lvlJc w:val="left"/>
      <w:pPr>
        <w:ind w:left="720" w:hanging="360"/>
      </w:pPr>
      <w:rPr>
        <w:rFonts w:ascii="Symbol" w:hAnsi="Symbol" w:hint="default"/>
      </w:rPr>
    </w:lvl>
    <w:lvl w:ilvl="1" w:tplc="D410EA14">
      <w:start w:val="1"/>
      <w:numFmt w:val="bullet"/>
      <w:lvlText w:val="­"/>
      <w:lvlJc w:val="left"/>
      <w:pPr>
        <w:ind w:left="1440" w:hanging="360"/>
      </w:pPr>
      <w:rPr>
        <w:rFonts w:ascii="Courier New" w:hAnsi="Courier New" w:hint="default"/>
      </w:rPr>
    </w:lvl>
    <w:lvl w:ilvl="2" w:tplc="AD6C8D7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94F1C"/>
    <w:multiLevelType w:val="hybridMultilevel"/>
    <w:tmpl w:val="0B82DAF2"/>
    <w:lvl w:ilvl="0" w:tplc="EF36A0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AA4DD9"/>
    <w:multiLevelType w:val="hybridMultilevel"/>
    <w:tmpl w:val="C4F22244"/>
    <w:lvl w:ilvl="0" w:tplc="FA4CC2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B3AD5"/>
    <w:multiLevelType w:val="multilevel"/>
    <w:tmpl w:val="B4103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D5023A"/>
    <w:multiLevelType w:val="hybridMultilevel"/>
    <w:tmpl w:val="5642ADFE"/>
    <w:name w:val="heading 2 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893DFC"/>
    <w:multiLevelType w:val="multilevel"/>
    <w:tmpl w:val="14E85168"/>
    <w:name w:val="Heading 2 "/>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302201"/>
    <w:multiLevelType w:val="hybridMultilevel"/>
    <w:tmpl w:val="5010F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395CC3"/>
    <w:multiLevelType w:val="hybridMultilevel"/>
    <w:tmpl w:val="C7A46880"/>
    <w:lvl w:ilvl="0" w:tplc="833E7E0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D6C8D7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E0FD6"/>
    <w:multiLevelType w:val="multilevel"/>
    <w:tmpl w:val="B680E8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89018ED"/>
    <w:multiLevelType w:val="hybridMultilevel"/>
    <w:tmpl w:val="F956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02483D"/>
    <w:multiLevelType w:val="hybridMultilevel"/>
    <w:tmpl w:val="19506D9C"/>
    <w:lvl w:ilvl="0" w:tplc="0C090001">
      <w:start w:val="1"/>
      <w:numFmt w:val="bullet"/>
      <w:lvlText w:val=""/>
      <w:lvlJc w:val="left"/>
      <w:pPr>
        <w:ind w:left="720" w:hanging="360"/>
      </w:pPr>
      <w:rPr>
        <w:rFonts w:ascii="Symbol" w:hAnsi="Symbol" w:hint="default"/>
      </w:rPr>
    </w:lvl>
    <w:lvl w:ilvl="1" w:tplc="67849F76">
      <w:start w:val="1"/>
      <w:numFmt w:val="bullet"/>
      <w:lvlText w:val="­"/>
      <w:lvlJc w:val="left"/>
      <w:pPr>
        <w:ind w:left="1440" w:hanging="360"/>
      </w:pPr>
      <w:rPr>
        <w:rFonts w:ascii="Courier New" w:hAnsi="Courier New" w:hint="default"/>
      </w:rPr>
    </w:lvl>
    <w:lvl w:ilvl="2" w:tplc="AD6C8D7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E87A3A"/>
    <w:multiLevelType w:val="hybridMultilevel"/>
    <w:tmpl w:val="9864DD70"/>
    <w:name w:val="heading 2 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E0263B"/>
    <w:multiLevelType w:val="hybridMultilevel"/>
    <w:tmpl w:val="DCB4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229A4"/>
    <w:multiLevelType w:val="hybridMultilevel"/>
    <w:tmpl w:val="4F98F970"/>
    <w:lvl w:ilvl="0" w:tplc="56822D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B7B20"/>
    <w:multiLevelType w:val="multilevel"/>
    <w:tmpl w:val="987EC5F6"/>
    <w:name w:val="heading 2 2"/>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8"/>
  </w:num>
  <w:num w:numId="14">
    <w:abstractNumId w:val="11"/>
  </w:num>
  <w:num w:numId="15">
    <w:abstractNumId w:val="37"/>
  </w:num>
  <w:num w:numId="16">
    <w:abstractNumId w:val="44"/>
  </w:num>
  <w:num w:numId="17">
    <w:abstractNumId w:val="45"/>
  </w:num>
  <w:num w:numId="18">
    <w:abstractNumId w:val="22"/>
  </w:num>
  <w:num w:numId="19">
    <w:abstractNumId w:val="21"/>
  </w:num>
  <w:num w:numId="20">
    <w:abstractNumId w:val="29"/>
  </w:num>
  <w:num w:numId="21">
    <w:abstractNumId w:val="41"/>
  </w:num>
  <w:num w:numId="22">
    <w:abstractNumId w:val="28"/>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3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8">
    <w:abstractNumId w:val="33"/>
  </w:num>
  <w:num w:numId="29">
    <w:abstractNumId w:val="33"/>
  </w:num>
  <w:num w:numId="30">
    <w:abstractNumId w:val="33"/>
  </w:num>
  <w:num w:numId="31">
    <w:abstractNumId w:val="33"/>
  </w:num>
  <w:num w:numId="32">
    <w:abstractNumId w:val="13"/>
  </w:num>
  <w:num w:numId="33">
    <w:abstractNumId w:val="47"/>
  </w:num>
  <w:num w:numId="34">
    <w:abstractNumId w:val="47"/>
  </w:num>
  <w:num w:numId="35">
    <w:abstractNumId w:val="47"/>
  </w:num>
  <w:num w:numId="36">
    <w:abstractNumId w:val="43"/>
  </w:num>
  <w:num w:numId="37">
    <w:abstractNumId w:val="32"/>
  </w:num>
  <w:num w:numId="38">
    <w:abstractNumId w:val="12"/>
  </w:num>
  <w:num w:numId="39">
    <w:abstractNumId w:val="28"/>
  </w:num>
  <w:num w:numId="40">
    <w:abstractNumId w:val="28"/>
  </w:num>
  <w:num w:numId="41">
    <w:abstractNumId w:val="47"/>
  </w:num>
  <w:num w:numId="42">
    <w:abstractNumId w:val="47"/>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7"/>
  </w:num>
  <w:num w:numId="46">
    <w:abstractNumId w:val="17"/>
  </w:num>
  <w:num w:numId="47">
    <w:abstractNumId w:val="15"/>
  </w:num>
  <w:num w:numId="48">
    <w:abstractNumId w:val="34"/>
  </w:num>
  <w:num w:numId="49">
    <w:abstractNumId w:val="24"/>
  </w:num>
  <w:num w:numId="50">
    <w:abstractNumId w:val="19"/>
  </w:num>
  <w:num w:numId="51">
    <w:abstractNumId w:val="40"/>
  </w:num>
  <w:num w:numId="52">
    <w:abstractNumId w:val="46"/>
  </w:num>
  <w:num w:numId="53">
    <w:abstractNumId w:val="17"/>
  </w:num>
  <w:num w:numId="54">
    <w:abstractNumId w:val="17"/>
  </w:num>
  <w:num w:numId="55">
    <w:abstractNumId w:val="20"/>
  </w:num>
  <w:num w:numId="56">
    <w:abstractNumId w:val="17"/>
    <w:lvlOverride w:ilvl="0">
      <w:startOverride w:val="3"/>
    </w:lvlOverride>
  </w:num>
  <w:num w:numId="57">
    <w:abstractNumId w:val="17"/>
    <w:lvlOverride w:ilvl="0">
      <w:startOverride w:val="1"/>
    </w:lvlOverride>
  </w:num>
  <w:num w:numId="58">
    <w:abstractNumId w:val="14"/>
  </w:num>
  <w:num w:numId="59">
    <w:abstractNumId w:val="17"/>
  </w:num>
  <w:num w:numId="60">
    <w:abstractNumId w:val="10"/>
  </w:num>
  <w:num w:numId="61">
    <w:abstractNumId w:val="39"/>
  </w:num>
  <w:num w:numId="62">
    <w:abstractNumId w:val="35"/>
  </w:num>
  <w:num w:numId="63">
    <w:abstractNumId w:val="42"/>
  </w:num>
  <w:num w:numId="64">
    <w:abstractNumId w:val="30"/>
  </w:num>
  <w:num w:numId="65">
    <w:abstractNumId w:val="36"/>
  </w:num>
  <w:num w:numId="66">
    <w:abstractNumId w:val="23"/>
  </w:num>
  <w:num w:numId="67">
    <w:abstractNumId w:val="26"/>
  </w:num>
  <w:num w:numId="68">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81"/>
    <w:rsid w:val="00001659"/>
    <w:rsid w:val="00005785"/>
    <w:rsid w:val="00006431"/>
    <w:rsid w:val="00006876"/>
    <w:rsid w:val="000079AD"/>
    <w:rsid w:val="00007D1F"/>
    <w:rsid w:val="00007DBF"/>
    <w:rsid w:val="00010D84"/>
    <w:rsid w:val="00010F15"/>
    <w:rsid w:val="00011CE3"/>
    <w:rsid w:val="00013856"/>
    <w:rsid w:val="0001523D"/>
    <w:rsid w:val="00022E9C"/>
    <w:rsid w:val="00024EF0"/>
    <w:rsid w:val="00025631"/>
    <w:rsid w:val="0002763A"/>
    <w:rsid w:val="00027B26"/>
    <w:rsid w:val="000300F9"/>
    <w:rsid w:val="00030705"/>
    <w:rsid w:val="00032861"/>
    <w:rsid w:val="00032B77"/>
    <w:rsid w:val="000333CC"/>
    <w:rsid w:val="0003366A"/>
    <w:rsid w:val="00033F0A"/>
    <w:rsid w:val="000344C9"/>
    <w:rsid w:val="000372CE"/>
    <w:rsid w:val="00037B66"/>
    <w:rsid w:val="00042285"/>
    <w:rsid w:val="0004284F"/>
    <w:rsid w:val="00043256"/>
    <w:rsid w:val="00043CF6"/>
    <w:rsid w:val="00045A89"/>
    <w:rsid w:val="00046F8E"/>
    <w:rsid w:val="00047524"/>
    <w:rsid w:val="0005040E"/>
    <w:rsid w:val="0005087D"/>
    <w:rsid w:val="00050F9E"/>
    <w:rsid w:val="00051572"/>
    <w:rsid w:val="00053CFF"/>
    <w:rsid w:val="000547EF"/>
    <w:rsid w:val="00056004"/>
    <w:rsid w:val="0005699A"/>
    <w:rsid w:val="00057AE0"/>
    <w:rsid w:val="0006075A"/>
    <w:rsid w:val="00061C84"/>
    <w:rsid w:val="00061F0C"/>
    <w:rsid w:val="00062484"/>
    <w:rsid w:val="00063129"/>
    <w:rsid w:val="000640CE"/>
    <w:rsid w:val="00064B0B"/>
    <w:rsid w:val="00064E27"/>
    <w:rsid w:val="00064EE9"/>
    <w:rsid w:val="00065022"/>
    <w:rsid w:val="00065A5E"/>
    <w:rsid w:val="00070681"/>
    <w:rsid w:val="000743E7"/>
    <w:rsid w:val="000754F7"/>
    <w:rsid w:val="00080A09"/>
    <w:rsid w:val="00081CEB"/>
    <w:rsid w:val="00082679"/>
    <w:rsid w:val="00082E0E"/>
    <w:rsid w:val="00083082"/>
    <w:rsid w:val="00087B2C"/>
    <w:rsid w:val="00087DBD"/>
    <w:rsid w:val="00090718"/>
    <w:rsid w:val="00091B4E"/>
    <w:rsid w:val="00091CD7"/>
    <w:rsid w:val="00093876"/>
    <w:rsid w:val="00093DD5"/>
    <w:rsid w:val="00094014"/>
    <w:rsid w:val="00094788"/>
    <w:rsid w:val="0009693E"/>
    <w:rsid w:val="000A03DD"/>
    <w:rsid w:val="000A1A09"/>
    <w:rsid w:val="000A47A8"/>
    <w:rsid w:val="000A4FFD"/>
    <w:rsid w:val="000A73FB"/>
    <w:rsid w:val="000B218A"/>
    <w:rsid w:val="000B3E8D"/>
    <w:rsid w:val="000B4B1C"/>
    <w:rsid w:val="000B4E17"/>
    <w:rsid w:val="000B7B59"/>
    <w:rsid w:val="000C014D"/>
    <w:rsid w:val="000C1474"/>
    <w:rsid w:val="000C29B4"/>
    <w:rsid w:val="000C5CD8"/>
    <w:rsid w:val="000C7A69"/>
    <w:rsid w:val="000D0811"/>
    <w:rsid w:val="000D1158"/>
    <w:rsid w:val="000D4703"/>
    <w:rsid w:val="000D733D"/>
    <w:rsid w:val="000E12D4"/>
    <w:rsid w:val="000E1A66"/>
    <w:rsid w:val="000E39EF"/>
    <w:rsid w:val="000E620E"/>
    <w:rsid w:val="000E784E"/>
    <w:rsid w:val="000F0697"/>
    <w:rsid w:val="000F2063"/>
    <w:rsid w:val="000F3D28"/>
    <w:rsid w:val="000F602B"/>
    <w:rsid w:val="000F63C4"/>
    <w:rsid w:val="000F7B3B"/>
    <w:rsid w:val="00100200"/>
    <w:rsid w:val="0010263D"/>
    <w:rsid w:val="001026EC"/>
    <w:rsid w:val="00102824"/>
    <w:rsid w:val="0010300A"/>
    <w:rsid w:val="001064F0"/>
    <w:rsid w:val="001079C9"/>
    <w:rsid w:val="0011308C"/>
    <w:rsid w:val="001131F0"/>
    <w:rsid w:val="001139C7"/>
    <w:rsid w:val="00113B00"/>
    <w:rsid w:val="00114EBC"/>
    <w:rsid w:val="001204BF"/>
    <w:rsid w:val="00122D4F"/>
    <w:rsid w:val="0012427E"/>
    <w:rsid w:val="001247E0"/>
    <w:rsid w:val="00125998"/>
    <w:rsid w:val="00126750"/>
    <w:rsid w:val="00126B26"/>
    <w:rsid w:val="00126D34"/>
    <w:rsid w:val="001271A1"/>
    <w:rsid w:val="00131C0F"/>
    <w:rsid w:val="001325BF"/>
    <w:rsid w:val="001326A1"/>
    <w:rsid w:val="001327E3"/>
    <w:rsid w:val="00132F0D"/>
    <w:rsid w:val="00133713"/>
    <w:rsid w:val="001346EA"/>
    <w:rsid w:val="00135B7E"/>
    <w:rsid w:val="00140FC9"/>
    <w:rsid w:val="00141150"/>
    <w:rsid w:val="001413C5"/>
    <w:rsid w:val="0014231B"/>
    <w:rsid w:val="001424E6"/>
    <w:rsid w:val="00142956"/>
    <w:rsid w:val="00142D10"/>
    <w:rsid w:val="00142D4C"/>
    <w:rsid w:val="00144271"/>
    <w:rsid w:val="00144868"/>
    <w:rsid w:val="001452BC"/>
    <w:rsid w:val="00145C9B"/>
    <w:rsid w:val="00150D2A"/>
    <w:rsid w:val="00150E25"/>
    <w:rsid w:val="00150EA9"/>
    <w:rsid w:val="00151650"/>
    <w:rsid w:val="00152BF6"/>
    <w:rsid w:val="00155B98"/>
    <w:rsid w:val="00157001"/>
    <w:rsid w:val="00157709"/>
    <w:rsid w:val="00157876"/>
    <w:rsid w:val="00157E99"/>
    <w:rsid w:val="00160E91"/>
    <w:rsid w:val="001625F6"/>
    <w:rsid w:val="001639A9"/>
    <w:rsid w:val="00163D45"/>
    <w:rsid w:val="00165626"/>
    <w:rsid w:val="00167CF4"/>
    <w:rsid w:val="0017018F"/>
    <w:rsid w:val="00170C3A"/>
    <w:rsid w:val="0017147C"/>
    <w:rsid w:val="0017194E"/>
    <w:rsid w:val="0017249B"/>
    <w:rsid w:val="001727A4"/>
    <w:rsid w:val="0017362E"/>
    <w:rsid w:val="00174E73"/>
    <w:rsid w:val="00177DC8"/>
    <w:rsid w:val="00177EC4"/>
    <w:rsid w:val="00181533"/>
    <w:rsid w:val="001824C8"/>
    <w:rsid w:val="00182698"/>
    <w:rsid w:val="00183A91"/>
    <w:rsid w:val="001846CB"/>
    <w:rsid w:val="001864FD"/>
    <w:rsid w:val="00192079"/>
    <w:rsid w:val="00192E54"/>
    <w:rsid w:val="001943DD"/>
    <w:rsid w:val="00196202"/>
    <w:rsid w:val="00196BAC"/>
    <w:rsid w:val="001A08B9"/>
    <w:rsid w:val="001A13F6"/>
    <w:rsid w:val="001A2B67"/>
    <w:rsid w:val="001A2D78"/>
    <w:rsid w:val="001A7249"/>
    <w:rsid w:val="001A75E9"/>
    <w:rsid w:val="001B331A"/>
    <w:rsid w:val="001B385A"/>
    <w:rsid w:val="001B3904"/>
    <w:rsid w:val="001B39BF"/>
    <w:rsid w:val="001B3AEC"/>
    <w:rsid w:val="001B3E8D"/>
    <w:rsid w:val="001B47C3"/>
    <w:rsid w:val="001B5259"/>
    <w:rsid w:val="001B60D4"/>
    <w:rsid w:val="001B6F28"/>
    <w:rsid w:val="001C0B3E"/>
    <w:rsid w:val="001C1B33"/>
    <w:rsid w:val="001C24CF"/>
    <w:rsid w:val="001C2D5A"/>
    <w:rsid w:val="001C42E1"/>
    <w:rsid w:val="001C4F4F"/>
    <w:rsid w:val="001C5715"/>
    <w:rsid w:val="001C6A14"/>
    <w:rsid w:val="001C6BA1"/>
    <w:rsid w:val="001D141C"/>
    <w:rsid w:val="001D2904"/>
    <w:rsid w:val="001D333D"/>
    <w:rsid w:val="001D652D"/>
    <w:rsid w:val="001D6763"/>
    <w:rsid w:val="001D693F"/>
    <w:rsid w:val="001D6F9E"/>
    <w:rsid w:val="001E38FB"/>
    <w:rsid w:val="001E52C2"/>
    <w:rsid w:val="001F0BE1"/>
    <w:rsid w:val="001F101A"/>
    <w:rsid w:val="001F24EF"/>
    <w:rsid w:val="001F2C97"/>
    <w:rsid w:val="001F38F5"/>
    <w:rsid w:val="001F56C7"/>
    <w:rsid w:val="001F6F10"/>
    <w:rsid w:val="00200232"/>
    <w:rsid w:val="002013B0"/>
    <w:rsid w:val="00203039"/>
    <w:rsid w:val="00204B17"/>
    <w:rsid w:val="00205FCC"/>
    <w:rsid w:val="002069D2"/>
    <w:rsid w:val="00210BF8"/>
    <w:rsid w:val="00210C9C"/>
    <w:rsid w:val="00211C7B"/>
    <w:rsid w:val="00211D3A"/>
    <w:rsid w:val="00211DA2"/>
    <w:rsid w:val="0021334C"/>
    <w:rsid w:val="00213693"/>
    <w:rsid w:val="00215CCB"/>
    <w:rsid w:val="00216CF5"/>
    <w:rsid w:val="0022037B"/>
    <w:rsid w:val="00222C8D"/>
    <w:rsid w:val="002251C5"/>
    <w:rsid w:val="002256A8"/>
    <w:rsid w:val="00230E6B"/>
    <w:rsid w:val="00232B97"/>
    <w:rsid w:val="0023332E"/>
    <w:rsid w:val="00234426"/>
    <w:rsid w:val="0023523A"/>
    <w:rsid w:val="0023757C"/>
    <w:rsid w:val="00237C47"/>
    <w:rsid w:val="002402E4"/>
    <w:rsid w:val="002421A0"/>
    <w:rsid w:val="00242B98"/>
    <w:rsid w:val="002439DE"/>
    <w:rsid w:val="002445A1"/>
    <w:rsid w:val="00246FE6"/>
    <w:rsid w:val="002470E3"/>
    <w:rsid w:val="002511D6"/>
    <w:rsid w:val="0025207D"/>
    <w:rsid w:val="00253A58"/>
    <w:rsid w:val="00254DE9"/>
    <w:rsid w:val="002615D3"/>
    <w:rsid w:val="00262673"/>
    <w:rsid w:val="00262899"/>
    <w:rsid w:val="00266DE3"/>
    <w:rsid w:val="002672F1"/>
    <w:rsid w:val="002674CD"/>
    <w:rsid w:val="002677B9"/>
    <w:rsid w:val="00271414"/>
    <w:rsid w:val="00271922"/>
    <w:rsid w:val="00273412"/>
    <w:rsid w:val="0027373F"/>
    <w:rsid w:val="00274ACF"/>
    <w:rsid w:val="0027569F"/>
    <w:rsid w:val="00280FC9"/>
    <w:rsid w:val="0028159B"/>
    <w:rsid w:val="00281B4B"/>
    <w:rsid w:val="002825F1"/>
    <w:rsid w:val="00282671"/>
    <w:rsid w:val="00282861"/>
    <w:rsid w:val="002834AF"/>
    <w:rsid w:val="002843E2"/>
    <w:rsid w:val="00285BAD"/>
    <w:rsid w:val="00287BAA"/>
    <w:rsid w:val="00290BDB"/>
    <w:rsid w:val="002927CC"/>
    <w:rsid w:val="00293489"/>
    <w:rsid w:val="00294F1F"/>
    <w:rsid w:val="00295306"/>
    <w:rsid w:val="00296F5E"/>
    <w:rsid w:val="00297069"/>
    <w:rsid w:val="00297E35"/>
    <w:rsid w:val="002A16A6"/>
    <w:rsid w:val="002A20CA"/>
    <w:rsid w:val="002A22BA"/>
    <w:rsid w:val="002A2318"/>
    <w:rsid w:val="002A30F0"/>
    <w:rsid w:val="002A6DF5"/>
    <w:rsid w:val="002B1766"/>
    <w:rsid w:val="002B2EB7"/>
    <w:rsid w:val="002B41E1"/>
    <w:rsid w:val="002B6406"/>
    <w:rsid w:val="002B6809"/>
    <w:rsid w:val="002B769B"/>
    <w:rsid w:val="002B7F9D"/>
    <w:rsid w:val="002C4231"/>
    <w:rsid w:val="002C692F"/>
    <w:rsid w:val="002C7080"/>
    <w:rsid w:val="002D00B0"/>
    <w:rsid w:val="002D065B"/>
    <w:rsid w:val="002D2364"/>
    <w:rsid w:val="002D2C08"/>
    <w:rsid w:val="002D2E16"/>
    <w:rsid w:val="002D532F"/>
    <w:rsid w:val="002D5814"/>
    <w:rsid w:val="002E1167"/>
    <w:rsid w:val="002E45F0"/>
    <w:rsid w:val="002E61BC"/>
    <w:rsid w:val="002E7778"/>
    <w:rsid w:val="002F0C7A"/>
    <w:rsid w:val="002F67ED"/>
    <w:rsid w:val="002F721F"/>
    <w:rsid w:val="002F79A5"/>
    <w:rsid w:val="00303C6F"/>
    <w:rsid w:val="00304B3E"/>
    <w:rsid w:val="00304D97"/>
    <w:rsid w:val="00304F28"/>
    <w:rsid w:val="00305952"/>
    <w:rsid w:val="00306949"/>
    <w:rsid w:val="0031053A"/>
    <w:rsid w:val="00310E1D"/>
    <w:rsid w:val="00311620"/>
    <w:rsid w:val="0031180A"/>
    <w:rsid w:val="00313127"/>
    <w:rsid w:val="00313304"/>
    <w:rsid w:val="00313C4E"/>
    <w:rsid w:val="00314B0B"/>
    <w:rsid w:val="00315171"/>
    <w:rsid w:val="003155F4"/>
    <w:rsid w:val="00315AFC"/>
    <w:rsid w:val="00320309"/>
    <w:rsid w:val="00321D1E"/>
    <w:rsid w:val="0032530E"/>
    <w:rsid w:val="00325A61"/>
    <w:rsid w:val="00326976"/>
    <w:rsid w:val="003311D7"/>
    <w:rsid w:val="00332B8B"/>
    <w:rsid w:val="0033521E"/>
    <w:rsid w:val="00336233"/>
    <w:rsid w:val="00337CA2"/>
    <w:rsid w:val="003404A4"/>
    <w:rsid w:val="003406BD"/>
    <w:rsid w:val="0034102B"/>
    <w:rsid w:val="0034157E"/>
    <w:rsid w:val="003438B3"/>
    <w:rsid w:val="0034412A"/>
    <w:rsid w:val="0034453B"/>
    <w:rsid w:val="00344C25"/>
    <w:rsid w:val="00347104"/>
    <w:rsid w:val="003471A9"/>
    <w:rsid w:val="00350852"/>
    <w:rsid w:val="0035096E"/>
    <w:rsid w:val="00351725"/>
    <w:rsid w:val="00351FA3"/>
    <w:rsid w:val="0035219F"/>
    <w:rsid w:val="00353072"/>
    <w:rsid w:val="00354C4A"/>
    <w:rsid w:val="00355D01"/>
    <w:rsid w:val="00356B96"/>
    <w:rsid w:val="0035758E"/>
    <w:rsid w:val="00360B81"/>
    <w:rsid w:val="00364D4A"/>
    <w:rsid w:val="003650BA"/>
    <w:rsid w:val="00366052"/>
    <w:rsid w:val="00366283"/>
    <w:rsid w:val="0036777E"/>
    <w:rsid w:val="003701FA"/>
    <w:rsid w:val="00372A26"/>
    <w:rsid w:val="0037484C"/>
    <w:rsid w:val="003749CD"/>
    <w:rsid w:val="00374A6C"/>
    <w:rsid w:val="00375C62"/>
    <w:rsid w:val="00376E68"/>
    <w:rsid w:val="00381774"/>
    <w:rsid w:val="00381C24"/>
    <w:rsid w:val="00382718"/>
    <w:rsid w:val="00382B3B"/>
    <w:rsid w:val="00384F34"/>
    <w:rsid w:val="00385ED2"/>
    <w:rsid w:val="00390593"/>
    <w:rsid w:val="00391F86"/>
    <w:rsid w:val="0039205E"/>
    <w:rsid w:val="003923FB"/>
    <w:rsid w:val="0039273A"/>
    <w:rsid w:val="00392ABC"/>
    <w:rsid w:val="00393F00"/>
    <w:rsid w:val="003945C0"/>
    <w:rsid w:val="003A1EC7"/>
    <w:rsid w:val="003A25A7"/>
    <w:rsid w:val="003A3EFC"/>
    <w:rsid w:val="003A48E2"/>
    <w:rsid w:val="003A58E4"/>
    <w:rsid w:val="003A7B44"/>
    <w:rsid w:val="003B39F8"/>
    <w:rsid w:val="003B535C"/>
    <w:rsid w:val="003C161A"/>
    <w:rsid w:val="003C2120"/>
    <w:rsid w:val="003C2E96"/>
    <w:rsid w:val="003C32DA"/>
    <w:rsid w:val="003C32EF"/>
    <w:rsid w:val="003C65C8"/>
    <w:rsid w:val="003D030E"/>
    <w:rsid w:val="003D040D"/>
    <w:rsid w:val="003D0762"/>
    <w:rsid w:val="003D1501"/>
    <w:rsid w:val="003D1F49"/>
    <w:rsid w:val="003D2061"/>
    <w:rsid w:val="003D4628"/>
    <w:rsid w:val="003D62E2"/>
    <w:rsid w:val="003E0B67"/>
    <w:rsid w:val="003E1FE3"/>
    <w:rsid w:val="003E2AEA"/>
    <w:rsid w:val="003E32A7"/>
    <w:rsid w:val="003E43FB"/>
    <w:rsid w:val="003E7A4A"/>
    <w:rsid w:val="003F1A33"/>
    <w:rsid w:val="003F2997"/>
    <w:rsid w:val="003F3072"/>
    <w:rsid w:val="003F3523"/>
    <w:rsid w:val="003F3F03"/>
    <w:rsid w:val="003F40BA"/>
    <w:rsid w:val="003F53DA"/>
    <w:rsid w:val="003F554F"/>
    <w:rsid w:val="003F7E16"/>
    <w:rsid w:val="004024E4"/>
    <w:rsid w:val="0040437E"/>
    <w:rsid w:val="0040460D"/>
    <w:rsid w:val="00404ACF"/>
    <w:rsid w:val="00405FC3"/>
    <w:rsid w:val="00406289"/>
    <w:rsid w:val="00406578"/>
    <w:rsid w:val="004074EF"/>
    <w:rsid w:val="004102C3"/>
    <w:rsid w:val="0041151A"/>
    <w:rsid w:val="00412819"/>
    <w:rsid w:val="0041307C"/>
    <w:rsid w:val="00413699"/>
    <w:rsid w:val="00415696"/>
    <w:rsid w:val="004167B4"/>
    <w:rsid w:val="004167BC"/>
    <w:rsid w:val="004173D7"/>
    <w:rsid w:val="00417EF1"/>
    <w:rsid w:val="0042032D"/>
    <w:rsid w:val="00420DB1"/>
    <w:rsid w:val="004225DC"/>
    <w:rsid w:val="00423A41"/>
    <w:rsid w:val="00424BF0"/>
    <w:rsid w:val="00424F25"/>
    <w:rsid w:val="00424F8B"/>
    <w:rsid w:val="00425FBA"/>
    <w:rsid w:val="00430D7E"/>
    <w:rsid w:val="00431793"/>
    <w:rsid w:val="00432332"/>
    <w:rsid w:val="00432368"/>
    <w:rsid w:val="00433B04"/>
    <w:rsid w:val="0043784D"/>
    <w:rsid w:val="00440256"/>
    <w:rsid w:val="00440E22"/>
    <w:rsid w:val="0044272C"/>
    <w:rsid w:val="0044547D"/>
    <w:rsid w:val="00445B85"/>
    <w:rsid w:val="00445C8B"/>
    <w:rsid w:val="0044664E"/>
    <w:rsid w:val="00446F93"/>
    <w:rsid w:val="00450AD3"/>
    <w:rsid w:val="00451A74"/>
    <w:rsid w:val="004545D8"/>
    <w:rsid w:val="0045503D"/>
    <w:rsid w:val="004552AB"/>
    <w:rsid w:val="0045591E"/>
    <w:rsid w:val="0045622C"/>
    <w:rsid w:val="00456671"/>
    <w:rsid w:val="0046081D"/>
    <w:rsid w:val="00461A83"/>
    <w:rsid w:val="00464FB1"/>
    <w:rsid w:val="00465398"/>
    <w:rsid w:val="00467185"/>
    <w:rsid w:val="00467736"/>
    <w:rsid w:val="0047050C"/>
    <w:rsid w:val="0047088D"/>
    <w:rsid w:val="00471CCC"/>
    <w:rsid w:val="0047260E"/>
    <w:rsid w:val="00473353"/>
    <w:rsid w:val="00473A91"/>
    <w:rsid w:val="00473D47"/>
    <w:rsid w:val="004750DB"/>
    <w:rsid w:val="0047660C"/>
    <w:rsid w:val="00480F21"/>
    <w:rsid w:val="0048108E"/>
    <w:rsid w:val="004811FC"/>
    <w:rsid w:val="004815F6"/>
    <w:rsid w:val="0048537F"/>
    <w:rsid w:val="004874E5"/>
    <w:rsid w:val="00487885"/>
    <w:rsid w:val="00490A65"/>
    <w:rsid w:val="0049116C"/>
    <w:rsid w:val="00492AAB"/>
    <w:rsid w:val="004930C9"/>
    <w:rsid w:val="0049336A"/>
    <w:rsid w:val="00493F62"/>
    <w:rsid w:val="00494832"/>
    <w:rsid w:val="004957C2"/>
    <w:rsid w:val="00495AF1"/>
    <w:rsid w:val="00497A89"/>
    <w:rsid w:val="004A1AA9"/>
    <w:rsid w:val="004A2E5E"/>
    <w:rsid w:val="004A4CED"/>
    <w:rsid w:val="004A636E"/>
    <w:rsid w:val="004A6BE6"/>
    <w:rsid w:val="004A78D9"/>
    <w:rsid w:val="004B0828"/>
    <w:rsid w:val="004B3304"/>
    <w:rsid w:val="004B3DF1"/>
    <w:rsid w:val="004B4858"/>
    <w:rsid w:val="004B486A"/>
    <w:rsid w:val="004B4BC0"/>
    <w:rsid w:val="004B5555"/>
    <w:rsid w:val="004B6B4F"/>
    <w:rsid w:val="004C0484"/>
    <w:rsid w:val="004C20C6"/>
    <w:rsid w:val="004C44EA"/>
    <w:rsid w:val="004C6F41"/>
    <w:rsid w:val="004C72B3"/>
    <w:rsid w:val="004C777E"/>
    <w:rsid w:val="004D16A4"/>
    <w:rsid w:val="004D27AC"/>
    <w:rsid w:val="004D6F97"/>
    <w:rsid w:val="004E0B9F"/>
    <w:rsid w:val="004E1AAE"/>
    <w:rsid w:val="004E3C49"/>
    <w:rsid w:val="004E4642"/>
    <w:rsid w:val="004E6682"/>
    <w:rsid w:val="004E6D8A"/>
    <w:rsid w:val="004F01D4"/>
    <w:rsid w:val="004F095E"/>
    <w:rsid w:val="004F0BC0"/>
    <w:rsid w:val="004F11FA"/>
    <w:rsid w:val="004F143E"/>
    <w:rsid w:val="004F1481"/>
    <w:rsid w:val="004F15EF"/>
    <w:rsid w:val="004F22FE"/>
    <w:rsid w:val="004F774D"/>
    <w:rsid w:val="00501080"/>
    <w:rsid w:val="005013B0"/>
    <w:rsid w:val="005015E4"/>
    <w:rsid w:val="005017A6"/>
    <w:rsid w:val="0050291D"/>
    <w:rsid w:val="005042DE"/>
    <w:rsid w:val="005064CD"/>
    <w:rsid w:val="00506C00"/>
    <w:rsid w:val="00511016"/>
    <w:rsid w:val="00512AA9"/>
    <w:rsid w:val="005132C3"/>
    <w:rsid w:val="00513925"/>
    <w:rsid w:val="00514AFB"/>
    <w:rsid w:val="00515635"/>
    <w:rsid w:val="005159B3"/>
    <w:rsid w:val="00516121"/>
    <w:rsid w:val="005166A4"/>
    <w:rsid w:val="00517520"/>
    <w:rsid w:val="00520A68"/>
    <w:rsid w:val="00521493"/>
    <w:rsid w:val="00521916"/>
    <w:rsid w:val="00522C03"/>
    <w:rsid w:val="00524DA8"/>
    <w:rsid w:val="00525EA4"/>
    <w:rsid w:val="0052791F"/>
    <w:rsid w:val="00530743"/>
    <w:rsid w:val="0053133B"/>
    <w:rsid w:val="00532CFF"/>
    <w:rsid w:val="00535B09"/>
    <w:rsid w:val="00536880"/>
    <w:rsid w:val="00537875"/>
    <w:rsid w:val="00540AD0"/>
    <w:rsid w:val="005430C3"/>
    <w:rsid w:val="00543A76"/>
    <w:rsid w:val="00543C91"/>
    <w:rsid w:val="00550678"/>
    <w:rsid w:val="005517DA"/>
    <w:rsid w:val="00552256"/>
    <w:rsid w:val="005523D1"/>
    <w:rsid w:val="005541C2"/>
    <w:rsid w:val="0055532E"/>
    <w:rsid w:val="00555BC3"/>
    <w:rsid w:val="00557C8E"/>
    <w:rsid w:val="00561B2B"/>
    <w:rsid w:val="00562759"/>
    <w:rsid w:val="0056357E"/>
    <w:rsid w:val="0056454B"/>
    <w:rsid w:val="00564952"/>
    <w:rsid w:val="0056645F"/>
    <w:rsid w:val="00571AB1"/>
    <w:rsid w:val="00573223"/>
    <w:rsid w:val="00573736"/>
    <w:rsid w:val="00577E1C"/>
    <w:rsid w:val="00580DB1"/>
    <w:rsid w:val="005814AC"/>
    <w:rsid w:val="005843FC"/>
    <w:rsid w:val="00584676"/>
    <w:rsid w:val="005853C2"/>
    <w:rsid w:val="005854B7"/>
    <w:rsid w:val="00587AB1"/>
    <w:rsid w:val="0059070B"/>
    <w:rsid w:val="00590A6E"/>
    <w:rsid w:val="0059283C"/>
    <w:rsid w:val="00593926"/>
    <w:rsid w:val="00593D27"/>
    <w:rsid w:val="00595081"/>
    <w:rsid w:val="00597886"/>
    <w:rsid w:val="005A0D95"/>
    <w:rsid w:val="005A2091"/>
    <w:rsid w:val="005A224B"/>
    <w:rsid w:val="005A3F8E"/>
    <w:rsid w:val="005B1225"/>
    <w:rsid w:val="005B17D8"/>
    <w:rsid w:val="005B1D18"/>
    <w:rsid w:val="005B1D82"/>
    <w:rsid w:val="005B25EB"/>
    <w:rsid w:val="005B4077"/>
    <w:rsid w:val="005C154F"/>
    <w:rsid w:val="005C28B0"/>
    <w:rsid w:val="005C2F01"/>
    <w:rsid w:val="005C38F8"/>
    <w:rsid w:val="005C5F3C"/>
    <w:rsid w:val="005D01BE"/>
    <w:rsid w:val="005D1177"/>
    <w:rsid w:val="005D1D13"/>
    <w:rsid w:val="005D23CC"/>
    <w:rsid w:val="005D2B07"/>
    <w:rsid w:val="005D4816"/>
    <w:rsid w:val="005D5460"/>
    <w:rsid w:val="005E08CD"/>
    <w:rsid w:val="005E0926"/>
    <w:rsid w:val="005E1CAB"/>
    <w:rsid w:val="005E37E8"/>
    <w:rsid w:val="005E6AB8"/>
    <w:rsid w:val="005E74C5"/>
    <w:rsid w:val="005E7F7C"/>
    <w:rsid w:val="005F219D"/>
    <w:rsid w:val="005F21BD"/>
    <w:rsid w:val="005F2437"/>
    <w:rsid w:val="005F318A"/>
    <w:rsid w:val="005F524C"/>
    <w:rsid w:val="005F7710"/>
    <w:rsid w:val="006004F7"/>
    <w:rsid w:val="006021BE"/>
    <w:rsid w:val="00602BAD"/>
    <w:rsid w:val="00603261"/>
    <w:rsid w:val="00603BBC"/>
    <w:rsid w:val="00605CEE"/>
    <w:rsid w:val="00607597"/>
    <w:rsid w:val="00610AB5"/>
    <w:rsid w:val="00610F93"/>
    <w:rsid w:val="006127CC"/>
    <w:rsid w:val="00614A8C"/>
    <w:rsid w:val="006154A6"/>
    <w:rsid w:val="006243C6"/>
    <w:rsid w:val="00624A47"/>
    <w:rsid w:val="00626372"/>
    <w:rsid w:val="006271A0"/>
    <w:rsid w:val="006273BC"/>
    <w:rsid w:val="00631AAD"/>
    <w:rsid w:val="00632009"/>
    <w:rsid w:val="00633CF1"/>
    <w:rsid w:val="00635A6C"/>
    <w:rsid w:val="00635AF1"/>
    <w:rsid w:val="00637091"/>
    <w:rsid w:val="006401BE"/>
    <w:rsid w:val="00640BBD"/>
    <w:rsid w:val="00642282"/>
    <w:rsid w:val="00642839"/>
    <w:rsid w:val="0064579E"/>
    <w:rsid w:val="006457F8"/>
    <w:rsid w:val="00645C0F"/>
    <w:rsid w:val="00645CCB"/>
    <w:rsid w:val="0064700E"/>
    <w:rsid w:val="006478CB"/>
    <w:rsid w:val="00650B88"/>
    <w:rsid w:val="00652C58"/>
    <w:rsid w:val="006530EF"/>
    <w:rsid w:val="006554DD"/>
    <w:rsid w:val="0065763A"/>
    <w:rsid w:val="006602FE"/>
    <w:rsid w:val="00660951"/>
    <w:rsid w:val="00660B61"/>
    <w:rsid w:val="0066124D"/>
    <w:rsid w:val="0066186A"/>
    <w:rsid w:val="006636E2"/>
    <w:rsid w:val="006646F0"/>
    <w:rsid w:val="006654CF"/>
    <w:rsid w:val="00666273"/>
    <w:rsid w:val="00666675"/>
    <w:rsid w:val="00667FA9"/>
    <w:rsid w:val="0067233D"/>
    <w:rsid w:val="00672B2E"/>
    <w:rsid w:val="006745AE"/>
    <w:rsid w:val="00674EB2"/>
    <w:rsid w:val="006753F6"/>
    <w:rsid w:val="00675642"/>
    <w:rsid w:val="00676870"/>
    <w:rsid w:val="00676AF3"/>
    <w:rsid w:val="00676C71"/>
    <w:rsid w:val="00677308"/>
    <w:rsid w:val="00677895"/>
    <w:rsid w:val="00677BEF"/>
    <w:rsid w:val="006814A3"/>
    <w:rsid w:val="00682AFC"/>
    <w:rsid w:val="00683344"/>
    <w:rsid w:val="00684FC9"/>
    <w:rsid w:val="0069072B"/>
    <w:rsid w:val="00690E17"/>
    <w:rsid w:val="00690E20"/>
    <w:rsid w:val="0069174B"/>
    <w:rsid w:val="00693340"/>
    <w:rsid w:val="00693699"/>
    <w:rsid w:val="00694826"/>
    <w:rsid w:val="00696971"/>
    <w:rsid w:val="006A02EF"/>
    <w:rsid w:val="006A04C7"/>
    <w:rsid w:val="006A6A02"/>
    <w:rsid w:val="006B05E3"/>
    <w:rsid w:val="006B09BC"/>
    <w:rsid w:val="006B1673"/>
    <w:rsid w:val="006B1CF2"/>
    <w:rsid w:val="006B4435"/>
    <w:rsid w:val="006B6D5D"/>
    <w:rsid w:val="006B7009"/>
    <w:rsid w:val="006B79FD"/>
    <w:rsid w:val="006B7B5A"/>
    <w:rsid w:val="006C053C"/>
    <w:rsid w:val="006C0801"/>
    <w:rsid w:val="006C0C2C"/>
    <w:rsid w:val="006C1780"/>
    <w:rsid w:val="006C1EAA"/>
    <w:rsid w:val="006C209D"/>
    <w:rsid w:val="006C216F"/>
    <w:rsid w:val="006C29B1"/>
    <w:rsid w:val="006C3BCE"/>
    <w:rsid w:val="006C45D4"/>
    <w:rsid w:val="006C6E08"/>
    <w:rsid w:val="006D06A0"/>
    <w:rsid w:val="006D2042"/>
    <w:rsid w:val="006D2382"/>
    <w:rsid w:val="006D27E4"/>
    <w:rsid w:val="006D28AB"/>
    <w:rsid w:val="006D2C77"/>
    <w:rsid w:val="006D5063"/>
    <w:rsid w:val="006D66E3"/>
    <w:rsid w:val="006D6B8C"/>
    <w:rsid w:val="006D7855"/>
    <w:rsid w:val="006E010C"/>
    <w:rsid w:val="006E1003"/>
    <w:rsid w:val="006E16BF"/>
    <w:rsid w:val="006E18AC"/>
    <w:rsid w:val="006E18F0"/>
    <w:rsid w:val="006E38AF"/>
    <w:rsid w:val="006E4F93"/>
    <w:rsid w:val="006E77A2"/>
    <w:rsid w:val="006E7BCF"/>
    <w:rsid w:val="006F1174"/>
    <w:rsid w:val="006F30F8"/>
    <w:rsid w:val="006F41E4"/>
    <w:rsid w:val="006F5339"/>
    <w:rsid w:val="006F55CF"/>
    <w:rsid w:val="006F62F9"/>
    <w:rsid w:val="006F6FFC"/>
    <w:rsid w:val="00700135"/>
    <w:rsid w:val="00702B3E"/>
    <w:rsid w:val="00703112"/>
    <w:rsid w:val="007045B3"/>
    <w:rsid w:val="00705180"/>
    <w:rsid w:val="00711605"/>
    <w:rsid w:val="007117D0"/>
    <w:rsid w:val="00711DF6"/>
    <w:rsid w:val="00716FBC"/>
    <w:rsid w:val="00717090"/>
    <w:rsid w:val="00720482"/>
    <w:rsid w:val="00720739"/>
    <w:rsid w:val="0072253E"/>
    <w:rsid w:val="00723E1F"/>
    <w:rsid w:val="0072443D"/>
    <w:rsid w:val="007247E5"/>
    <w:rsid w:val="007248B7"/>
    <w:rsid w:val="007254CA"/>
    <w:rsid w:val="0072666C"/>
    <w:rsid w:val="00727CE7"/>
    <w:rsid w:val="00730753"/>
    <w:rsid w:val="00730CF8"/>
    <w:rsid w:val="00731A90"/>
    <w:rsid w:val="00732608"/>
    <w:rsid w:val="0073292C"/>
    <w:rsid w:val="00733251"/>
    <w:rsid w:val="007342AB"/>
    <w:rsid w:val="00736DCA"/>
    <w:rsid w:val="0073715C"/>
    <w:rsid w:val="00743D0A"/>
    <w:rsid w:val="00744E3A"/>
    <w:rsid w:val="00745C05"/>
    <w:rsid w:val="00745C47"/>
    <w:rsid w:val="00747A6B"/>
    <w:rsid w:val="0075003D"/>
    <w:rsid w:val="007501EB"/>
    <w:rsid w:val="007519C0"/>
    <w:rsid w:val="00751D97"/>
    <w:rsid w:val="00752C55"/>
    <w:rsid w:val="00754521"/>
    <w:rsid w:val="0075457C"/>
    <w:rsid w:val="007562D4"/>
    <w:rsid w:val="007573FA"/>
    <w:rsid w:val="00761DBF"/>
    <w:rsid w:val="00761FCF"/>
    <w:rsid w:val="007636FA"/>
    <w:rsid w:val="00763DE3"/>
    <w:rsid w:val="007646C0"/>
    <w:rsid w:val="007648DE"/>
    <w:rsid w:val="00765503"/>
    <w:rsid w:val="007669F3"/>
    <w:rsid w:val="00766F96"/>
    <w:rsid w:val="00767B7E"/>
    <w:rsid w:val="007713A5"/>
    <w:rsid w:val="00771B71"/>
    <w:rsid w:val="00771D7D"/>
    <w:rsid w:val="007734CA"/>
    <w:rsid w:val="007745B7"/>
    <w:rsid w:val="00774AA9"/>
    <w:rsid w:val="007750C8"/>
    <w:rsid w:val="00775C4B"/>
    <w:rsid w:val="00776538"/>
    <w:rsid w:val="007802BE"/>
    <w:rsid w:val="00780EEF"/>
    <w:rsid w:val="0078134C"/>
    <w:rsid w:val="00781C47"/>
    <w:rsid w:val="007837C7"/>
    <w:rsid w:val="0078399F"/>
    <w:rsid w:val="00784B44"/>
    <w:rsid w:val="00785142"/>
    <w:rsid w:val="00785465"/>
    <w:rsid w:val="00787595"/>
    <w:rsid w:val="00787656"/>
    <w:rsid w:val="00791767"/>
    <w:rsid w:val="0079268A"/>
    <w:rsid w:val="00793D48"/>
    <w:rsid w:val="00794151"/>
    <w:rsid w:val="00794859"/>
    <w:rsid w:val="00797C88"/>
    <w:rsid w:val="007A1013"/>
    <w:rsid w:val="007A3983"/>
    <w:rsid w:val="007A4CA9"/>
    <w:rsid w:val="007A7D19"/>
    <w:rsid w:val="007A7EC2"/>
    <w:rsid w:val="007B042D"/>
    <w:rsid w:val="007B05BB"/>
    <w:rsid w:val="007B11F7"/>
    <w:rsid w:val="007B290F"/>
    <w:rsid w:val="007B6E0A"/>
    <w:rsid w:val="007B764C"/>
    <w:rsid w:val="007C08DC"/>
    <w:rsid w:val="007C118A"/>
    <w:rsid w:val="007C636F"/>
    <w:rsid w:val="007D0128"/>
    <w:rsid w:val="007D39EB"/>
    <w:rsid w:val="007D61F9"/>
    <w:rsid w:val="007E13C7"/>
    <w:rsid w:val="007E6B65"/>
    <w:rsid w:val="007E74E1"/>
    <w:rsid w:val="007E77A8"/>
    <w:rsid w:val="007E7FA9"/>
    <w:rsid w:val="007F0E28"/>
    <w:rsid w:val="007F3420"/>
    <w:rsid w:val="007F491C"/>
    <w:rsid w:val="007F4E6B"/>
    <w:rsid w:val="007F54E0"/>
    <w:rsid w:val="00803BF8"/>
    <w:rsid w:val="008061C9"/>
    <w:rsid w:val="008066D8"/>
    <w:rsid w:val="00811A18"/>
    <w:rsid w:val="00813711"/>
    <w:rsid w:val="0081659B"/>
    <w:rsid w:val="0081661F"/>
    <w:rsid w:val="00817CD0"/>
    <w:rsid w:val="00821528"/>
    <w:rsid w:val="00821E64"/>
    <w:rsid w:val="008263C2"/>
    <w:rsid w:val="008307DB"/>
    <w:rsid w:val="00833045"/>
    <w:rsid w:val="00833398"/>
    <w:rsid w:val="0083343F"/>
    <w:rsid w:val="00834ADB"/>
    <w:rsid w:val="00835D9D"/>
    <w:rsid w:val="00835FC9"/>
    <w:rsid w:val="008368F8"/>
    <w:rsid w:val="008370E3"/>
    <w:rsid w:val="00840444"/>
    <w:rsid w:val="008418FA"/>
    <w:rsid w:val="00842924"/>
    <w:rsid w:val="00842959"/>
    <w:rsid w:val="00843390"/>
    <w:rsid w:val="008464C7"/>
    <w:rsid w:val="00846B75"/>
    <w:rsid w:val="00851930"/>
    <w:rsid w:val="0085235A"/>
    <w:rsid w:val="00853E20"/>
    <w:rsid w:val="00854138"/>
    <w:rsid w:val="00854410"/>
    <w:rsid w:val="008544DF"/>
    <w:rsid w:val="00860AAD"/>
    <w:rsid w:val="00860C1F"/>
    <w:rsid w:val="0086131B"/>
    <w:rsid w:val="00861AA6"/>
    <w:rsid w:val="008637A2"/>
    <w:rsid w:val="00865577"/>
    <w:rsid w:val="00866193"/>
    <w:rsid w:val="008708F3"/>
    <w:rsid w:val="00871354"/>
    <w:rsid w:val="00873611"/>
    <w:rsid w:val="00873C8F"/>
    <w:rsid w:val="00874FB3"/>
    <w:rsid w:val="00876B43"/>
    <w:rsid w:val="008804FF"/>
    <w:rsid w:val="00880BE3"/>
    <w:rsid w:val="00881359"/>
    <w:rsid w:val="00882093"/>
    <w:rsid w:val="00882588"/>
    <w:rsid w:val="00883841"/>
    <w:rsid w:val="0088461A"/>
    <w:rsid w:val="008848CF"/>
    <w:rsid w:val="00884ADE"/>
    <w:rsid w:val="0088549F"/>
    <w:rsid w:val="008856CF"/>
    <w:rsid w:val="00885864"/>
    <w:rsid w:val="00886012"/>
    <w:rsid w:val="008907D6"/>
    <w:rsid w:val="00890A1D"/>
    <w:rsid w:val="0089383B"/>
    <w:rsid w:val="0089534B"/>
    <w:rsid w:val="00895EA9"/>
    <w:rsid w:val="0089616F"/>
    <w:rsid w:val="008A0232"/>
    <w:rsid w:val="008A36AE"/>
    <w:rsid w:val="008A467D"/>
    <w:rsid w:val="008B0470"/>
    <w:rsid w:val="008B06C5"/>
    <w:rsid w:val="008B164E"/>
    <w:rsid w:val="008B19FF"/>
    <w:rsid w:val="008B3706"/>
    <w:rsid w:val="008B502A"/>
    <w:rsid w:val="008B57D8"/>
    <w:rsid w:val="008B69D5"/>
    <w:rsid w:val="008B767F"/>
    <w:rsid w:val="008B7A65"/>
    <w:rsid w:val="008C1219"/>
    <w:rsid w:val="008C123E"/>
    <w:rsid w:val="008C137D"/>
    <w:rsid w:val="008C2111"/>
    <w:rsid w:val="008C224C"/>
    <w:rsid w:val="008C22DD"/>
    <w:rsid w:val="008C3ED0"/>
    <w:rsid w:val="008C5E94"/>
    <w:rsid w:val="008C68D1"/>
    <w:rsid w:val="008C703D"/>
    <w:rsid w:val="008D0E4B"/>
    <w:rsid w:val="008D196A"/>
    <w:rsid w:val="008D6ECD"/>
    <w:rsid w:val="008E0667"/>
    <w:rsid w:val="008E3EF2"/>
    <w:rsid w:val="008E51C9"/>
    <w:rsid w:val="008E591B"/>
    <w:rsid w:val="008E5BEB"/>
    <w:rsid w:val="008E6306"/>
    <w:rsid w:val="008E73E0"/>
    <w:rsid w:val="008E7E08"/>
    <w:rsid w:val="008F236B"/>
    <w:rsid w:val="008F37B7"/>
    <w:rsid w:val="008F5F58"/>
    <w:rsid w:val="008F68F7"/>
    <w:rsid w:val="009005A6"/>
    <w:rsid w:val="009006CF"/>
    <w:rsid w:val="00900C71"/>
    <w:rsid w:val="00902744"/>
    <w:rsid w:val="00902A1C"/>
    <w:rsid w:val="0090341F"/>
    <w:rsid w:val="009037B6"/>
    <w:rsid w:val="00905A39"/>
    <w:rsid w:val="00906CBE"/>
    <w:rsid w:val="00907A2B"/>
    <w:rsid w:val="00910024"/>
    <w:rsid w:val="00910384"/>
    <w:rsid w:val="00915FCA"/>
    <w:rsid w:val="0091643D"/>
    <w:rsid w:val="009166F7"/>
    <w:rsid w:val="00916E33"/>
    <w:rsid w:val="009206AB"/>
    <w:rsid w:val="0092093B"/>
    <w:rsid w:val="00923088"/>
    <w:rsid w:val="00925859"/>
    <w:rsid w:val="00925FD2"/>
    <w:rsid w:val="00926717"/>
    <w:rsid w:val="00930669"/>
    <w:rsid w:val="00932C33"/>
    <w:rsid w:val="00933474"/>
    <w:rsid w:val="009427A1"/>
    <w:rsid w:val="00942FFE"/>
    <w:rsid w:val="00950D6B"/>
    <w:rsid w:val="00952278"/>
    <w:rsid w:val="009551E0"/>
    <w:rsid w:val="0095654E"/>
    <w:rsid w:val="00956F3C"/>
    <w:rsid w:val="0096162B"/>
    <w:rsid w:val="0096464C"/>
    <w:rsid w:val="00967E28"/>
    <w:rsid w:val="00971C34"/>
    <w:rsid w:val="00972488"/>
    <w:rsid w:val="009726D0"/>
    <w:rsid w:val="00973956"/>
    <w:rsid w:val="0097421D"/>
    <w:rsid w:val="00975668"/>
    <w:rsid w:val="00975AB4"/>
    <w:rsid w:val="00976117"/>
    <w:rsid w:val="00976A23"/>
    <w:rsid w:val="009800BC"/>
    <w:rsid w:val="009816F6"/>
    <w:rsid w:val="00982E02"/>
    <w:rsid w:val="0098505B"/>
    <w:rsid w:val="0098702F"/>
    <w:rsid w:val="009900F0"/>
    <w:rsid w:val="00990B9B"/>
    <w:rsid w:val="00991769"/>
    <w:rsid w:val="00991DA5"/>
    <w:rsid w:val="00993236"/>
    <w:rsid w:val="00993D8C"/>
    <w:rsid w:val="00994E3D"/>
    <w:rsid w:val="00996126"/>
    <w:rsid w:val="009A297E"/>
    <w:rsid w:val="009A53EA"/>
    <w:rsid w:val="009A6127"/>
    <w:rsid w:val="009A741F"/>
    <w:rsid w:val="009A7D09"/>
    <w:rsid w:val="009B0CC1"/>
    <w:rsid w:val="009B12B8"/>
    <w:rsid w:val="009B1634"/>
    <w:rsid w:val="009B713C"/>
    <w:rsid w:val="009C0F18"/>
    <w:rsid w:val="009C110A"/>
    <w:rsid w:val="009C12C6"/>
    <w:rsid w:val="009C2555"/>
    <w:rsid w:val="009C68BF"/>
    <w:rsid w:val="009C68F5"/>
    <w:rsid w:val="009C7778"/>
    <w:rsid w:val="009C795C"/>
    <w:rsid w:val="009D06AE"/>
    <w:rsid w:val="009D09E2"/>
    <w:rsid w:val="009D1E42"/>
    <w:rsid w:val="009D222B"/>
    <w:rsid w:val="009D3AA7"/>
    <w:rsid w:val="009D486D"/>
    <w:rsid w:val="009D7148"/>
    <w:rsid w:val="009E02FD"/>
    <w:rsid w:val="009E089D"/>
    <w:rsid w:val="009E190B"/>
    <w:rsid w:val="009E4C74"/>
    <w:rsid w:val="009E51D4"/>
    <w:rsid w:val="009E5293"/>
    <w:rsid w:val="009E62B6"/>
    <w:rsid w:val="009E6465"/>
    <w:rsid w:val="009E7898"/>
    <w:rsid w:val="009F1A07"/>
    <w:rsid w:val="009F35DA"/>
    <w:rsid w:val="009F39CD"/>
    <w:rsid w:val="009F43D0"/>
    <w:rsid w:val="00A00568"/>
    <w:rsid w:val="00A00884"/>
    <w:rsid w:val="00A0226E"/>
    <w:rsid w:val="00A02F62"/>
    <w:rsid w:val="00A02FA3"/>
    <w:rsid w:val="00A030C3"/>
    <w:rsid w:val="00A04803"/>
    <w:rsid w:val="00A06099"/>
    <w:rsid w:val="00A10147"/>
    <w:rsid w:val="00A10B9A"/>
    <w:rsid w:val="00A11331"/>
    <w:rsid w:val="00A1287A"/>
    <w:rsid w:val="00A131E6"/>
    <w:rsid w:val="00A1338F"/>
    <w:rsid w:val="00A13843"/>
    <w:rsid w:val="00A13C27"/>
    <w:rsid w:val="00A146A5"/>
    <w:rsid w:val="00A17466"/>
    <w:rsid w:val="00A17FDA"/>
    <w:rsid w:val="00A204B3"/>
    <w:rsid w:val="00A20576"/>
    <w:rsid w:val="00A21593"/>
    <w:rsid w:val="00A21F31"/>
    <w:rsid w:val="00A221F7"/>
    <w:rsid w:val="00A2228A"/>
    <w:rsid w:val="00A22C21"/>
    <w:rsid w:val="00A25B80"/>
    <w:rsid w:val="00A25DAD"/>
    <w:rsid w:val="00A2604E"/>
    <w:rsid w:val="00A27A4B"/>
    <w:rsid w:val="00A31CCE"/>
    <w:rsid w:val="00A33C95"/>
    <w:rsid w:val="00A33DDD"/>
    <w:rsid w:val="00A33DE4"/>
    <w:rsid w:val="00A34FF3"/>
    <w:rsid w:val="00A35351"/>
    <w:rsid w:val="00A361C7"/>
    <w:rsid w:val="00A36723"/>
    <w:rsid w:val="00A43F18"/>
    <w:rsid w:val="00A4517F"/>
    <w:rsid w:val="00A46DF5"/>
    <w:rsid w:val="00A478FB"/>
    <w:rsid w:val="00A479CC"/>
    <w:rsid w:val="00A5149A"/>
    <w:rsid w:val="00A53650"/>
    <w:rsid w:val="00A53E51"/>
    <w:rsid w:val="00A54B0A"/>
    <w:rsid w:val="00A566DC"/>
    <w:rsid w:val="00A57183"/>
    <w:rsid w:val="00A6019C"/>
    <w:rsid w:val="00A60693"/>
    <w:rsid w:val="00A6196D"/>
    <w:rsid w:val="00A619C0"/>
    <w:rsid w:val="00A61ADF"/>
    <w:rsid w:val="00A624CB"/>
    <w:rsid w:val="00A62581"/>
    <w:rsid w:val="00A626FB"/>
    <w:rsid w:val="00A62AC0"/>
    <w:rsid w:val="00A66460"/>
    <w:rsid w:val="00A664E6"/>
    <w:rsid w:val="00A67ADF"/>
    <w:rsid w:val="00A75D8A"/>
    <w:rsid w:val="00A76BD2"/>
    <w:rsid w:val="00A76DB5"/>
    <w:rsid w:val="00A8267D"/>
    <w:rsid w:val="00A82E14"/>
    <w:rsid w:val="00A84B0D"/>
    <w:rsid w:val="00A8512B"/>
    <w:rsid w:val="00A8688E"/>
    <w:rsid w:val="00A8722B"/>
    <w:rsid w:val="00A875D6"/>
    <w:rsid w:val="00A901E9"/>
    <w:rsid w:val="00A90224"/>
    <w:rsid w:val="00A917B6"/>
    <w:rsid w:val="00A91831"/>
    <w:rsid w:val="00A91B3B"/>
    <w:rsid w:val="00A92D20"/>
    <w:rsid w:val="00A93B4F"/>
    <w:rsid w:val="00A94F7A"/>
    <w:rsid w:val="00A95D3B"/>
    <w:rsid w:val="00A97341"/>
    <w:rsid w:val="00AA0081"/>
    <w:rsid w:val="00AA0DEE"/>
    <w:rsid w:val="00AA4B98"/>
    <w:rsid w:val="00AA4E4D"/>
    <w:rsid w:val="00AA6EDB"/>
    <w:rsid w:val="00AB004D"/>
    <w:rsid w:val="00AB09ED"/>
    <w:rsid w:val="00AB270E"/>
    <w:rsid w:val="00AB3DC0"/>
    <w:rsid w:val="00AB4CBB"/>
    <w:rsid w:val="00AC01AB"/>
    <w:rsid w:val="00AC0259"/>
    <w:rsid w:val="00AC0400"/>
    <w:rsid w:val="00AC125E"/>
    <w:rsid w:val="00AC2CAC"/>
    <w:rsid w:val="00AC45DF"/>
    <w:rsid w:val="00AC474D"/>
    <w:rsid w:val="00AC4DFD"/>
    <w:rsid w:val="00AC5663"/>
    <w:rsid w:val="00AC58FD"/>
    <w:rsid w:val="00AC6F15"/>
    <w:rsid w:val="00AD0F6D"/>
    <w:rsid w:val="00AD1166"/>
    <w:rsid w:val="00AD19D2"/>
    <w:rsid w:val="00AD1A96"/>
    <w:rsid w:val="00AD2522"/>
    <w:rsid w:val="00AD3042"/>
    <w:rsid w:val="00AD51EB"/>
    <w:rsid w:val="00AD57F5"/>
    <w:rsid w:val="00AD5B1D"/>
    <w:rsid w:val="00AD793A"/>
    <w:rsid w:val="00AE0120"/>
    <w:rsid w:val="00AE12D1"/>
    <w:rsid w:val="00AE3038"/>
    <w:rsid w:val="00AE3D4A"/>
    <w:rsid w:val="00AE5956"/>
    <w:rsid w:val="00AE619F"/>
    <w:rsid w:val="00AE6459"/>
    <w:rsid w:val="00AE7A88"/>
    <w:rsid w:val="00AF0719"/>
    <w:rsid w:val="00AF2A56"/>
    <w:rsid w:val="00AF5637"/>
    <w:rsid w:val="00AF63AB"/>
    <w:rsid w:val="00AF7517"/>
    <w:rsid w:val="00B011FC"/>
    <w:rsid w:val="00B01784"/>
    <w:rsid w:val="00B0388B"/>
    <w:rsid w:val="00B03BEE"/>
    <w:rsid w:val="00B0517E"/>
    <w:rsid w:val="00B05BEB"/>
    <w:rsid w:val="00B1089C"/>
    <w:rsid w:val="00B10E49"/>
    <w:rsid w:val="00B11314"/>
    <w:rsid w:val="00B113E3"/>
    <w:rsid w:val="00B1156A"/>
    <w:rsid w:val="00B138E3"/>
    <w:rsid w:val="00B13FB5"/>
    <w:rsid w:val="00B15ED0"/>
    <w:rsid w:val="00B16A1E"/>
    <w:rsid w:val="00B178FA"/>
    <w:rsid w:val="00B17D8E"/>
    <w:rsid w:val="00B207C3"/>
    <w:rsid w:val="00B226E3"/>
    <w:rsid w:val="00B23267"/>
    <w:rsid w:val="00B23906"/>
    <w:rsid w:val="00B24383"/>
    <w:rsid w:val="00B257BF"/>
    <w:rsid w:val="00B26E0A"/>
    <w:rsid w:val="00B26F6E"/>
    <w:rsid w:val="00B27149"/>
    <w:rsid w:val="00B309B7"/>
    <w:rsid w:val="00B339A8"/>
    <w:rsid w:val="00B33E94"/>
    <w:rsid w:val="00B344D7"/>
    <w:rsid w:val="00B35B43"/>
    <w:rsid w:val="00B35B4D"/>
    <w:rsid w:val="00B362F0"/>
    <w:rsid w:val="00B36652"/>
    <w:rsid w:val="00B425AB"/>
    <w:rsid w:val="00B42905"/>
    <w:rsid w:val="00B47090"/>
    <w:rsid w:val="00B47FA4"/>
    <w:rsid w:val="00B503FE"/>
    <w:rsid w:val="00B532D1"/>
    <w:rsid w:val="00B61150"/>
    <w:rsid w:val="00B61E3E"/>
    <w:rsid w:val="00B62E3E"/>
    <w:rsid w:val="00B6552A"/>
    <w:rsid w:val="00B679F5"/>
    <w:rsid w:val="00B67A79"/>
    <w:rsid w:val="00B67EC7"/>
    <w:rsid w:val="00B70EE3"/>
    <w:rsid w:val="00B711E9"/>
    <w:rsid w:val="00B71FE9"/>
    <w:rsid w:val="00B7267D"/>
    <w:rsid w:val="00B72D62"/>
    <w:rsid w:val="00B73A99"/>
    <w:rsid w:val="00B746A2"/>
    <w:rsid w:val="00B767AF"/>
    <w:rsid w:val="00B80511"/>
    <w:rsid w:val="00B80798"/>
    <w:rsid w:val="00B80876"/>
    <w:rsid w:val="00B82C3C"/>
    <w:rsid w:val="00B82DE6"/>
    <w:rsid w:val="00B82EF0"/>
    <w:rsid w:val="00B831CD"/>
    <w:rsid w:val="00B85329"/>
    <w:rsid w:val="00B85544"/>
    <w:rsid w:val="00B86D2F"/>
    <w:rsid w:val="00B9188B"/>
    <w:rsid w:val="00B91B9D"/>
    <w:rsid w:val="00B95B15"/>
    <w:rsid w:val="00B97B77"/>
    <w:rsid w:val="00BA3EAB"/>
    <w:rsid w:val="00BA3EF9"/>
    <w:rsid w:val="00BA441B"/>
    <w:rsid w:val="00BA5E20"/>
    <w:rsid w:val="00BA607C"/>
    <w:rsid w:val="00BA6734"/>
    <w:rsid w:val="00BB0C86"/>
    <w:rsid w:val="00BB1850"/>
    <w:rsid w:val="00BB19A0"/>
    <w:rsid w:val="00BB3E2A"/>
    <w:rsid w:val="00BB7121"/>
    <w:rsid w:val="00BC0479"/>
    <w:rsid w:val="00BC1032"/>
    <w:rsid w:val="00BC1651"/>
    <w:rsid w:val="00BC16F5"/>
    <w:rsid w:val="00BC18FF"/>
    <w:rsid w:val="00BC2443"/>
    <w:rsid w:val="00BC287D"/>
    <w:rsid w:val="00BC2A38"/>
    <w:rsid w:val="00BC326F"/>
    <w:rsid w:val="00BC46EB"/>
    <w:rsid w:val="00BC643B"/>
    <w:rsid w:val="00BC79E1"/>
    <w:rsid w:val="00BD1837"/>
    <w:rsid w:val="00BD2A27"/>
    <w:rsid w:val="00BD2F8C"/>
    <w:rsid w:val="00BD32E5"/>
    <w:rsid w:val="00BD36C4"/>
    <w:rsid w:val="00BD3AAC"/>
    <w:rsid w:val="00BD6447"/>
    <w:rsid w:val="00BD6EDC"/>
    <w:rsid w:val="00BE1095"/>
    <w:rsid w:val="00BE150A"/>
    <w:rsid w:val="00BE1E04"/>
    <w:rsid w:val="00BE6767"/>
    <w:rsid w:val="00BE78EC"/>
    <w:rsid w:val="00BF14EA"/>
    <w:rsid w:val="00BF2375"/>
    <w:rsid w:val="00BF46EE"/>
    <w:rsid w:val="00C04AC8"/>
    <w:rsid w:val="00C0613C"/>
    <w:rsid w:val="00C07159"/>
    <w:rsid w:val="00C077FD"/>
    <w:rsid w:val="00C10220"/>
    <w:rsid w:val="00C10D05"/>
    <w:rsid w:val="00C1161D"/>
    <w:rsid w:val="00C11B9E"/>
    <w:rsid w:val="00C13FD9"/>
    <w:rsid w:val="00C14FBA"/>
    <w:rsid w:val="00C15EA1"/>
    <w:rsid w:val="00C17A8E"/>
    <w:rsid w:val="00C20229"/>
    <w:rsid w:val="00C24F70"/>
    <w:rsid w:val="00C25DC2"/>
    <w:rsid w:val="00C25EB0"/>
    <w:rsid w:val="00C31C11"/>
    <w:rsid w:val="00C33479"/>
    <w:rsid w:val="00C3571C"/>
    <w:rsid w:val="00C3684A"/>
    <w:rsid w:val="00C40ED2"/>
    <w:rsid w:val="00C41F10"/>
    <w:rsid w:val="00C432DD"/>
    <w:rsid w:val="00C4423A"/>
    <w:rsid w:val="00C501FE"/>
    <w:rsid w:val="00C53923"/>
    <w:rsid w:val="00C5394B"/>
    <w:rsid w:val="00C54AC2"/>
    <w:rsid w:val="00C5784B"/>
    <w:rsid w:val="00C622DE"/>
    <w:rsid w:val="00C639FF"/>
    <w:rsid w:val="00C6442A"/>
    <w:rsid w:val="00C64D15"/>
    <w:rsid w:val="00C66088"/>
    <w:rsid w:val="00C67C4C"/>
    <w:rsid w:val="00C73A3A"/>
    <w:rsid w:val="00C74B5D"/>
    <w:rsid w:val="00C74F74"/>
    <w:rsid w:val="00C7554B"/>
    <w:rsid w:val="00C8005A"/>
    <w:rsid w:val="00C80951"/>
    <w:rsid w:val="00C8205E"/>
    <w:rsid w:val="00C826AB"/>
    <w:rsid w:val="00C82EB5"/>
    <w:rsid w:val="00C851B4"/>
    <w:rsid w:val="00C858EA"/>
    <w:rsid w:val="00C87403"/>
    <w:rsid w:val="00C87966"/>
    <w:rsid w:val="00C902DE"/>
    <w:rsid w:val="00C916AE"/>
    <w:rsid w:val="00C93AAA"/>
    <w:rsid w:val="00C93EB3"/>
    <w:rsid w:val="00C95FCD"/>
    <w:rsid w:val="00C9714A"/>
    <w:rsid w:val="00C97188"/>
    <w:rsid w:val="00CA0639"/>
    <w:rsid w:val="00CA11D0"/>
    <w:rsid w:val="00CA17C9"/>
    <w:rsid w:val="00CA2E02"/>
    <w:rsid w:val="00CA583A"/>
    <w:rsid w:val="00CA5EC6"/>
    <w:rsid w:val="00CA60C3"/>
    <w:rsid w:val="00CA659B"/>
    <w:rsid w:val="00CA758E"/>
    <w:rsid w:val="00CA79CD"/>
    <w:rsid w:val="00CB256B"/>
    <w:rsid w:val="00CB2C53"/>
    <w:rsid w:val="00CB541E"/>
    <w:rsid w:val="00CB5744"/>
    <w:rsid w:val="00CB7022"/>
    <w:rsid w:val="00CB7BC5"/>
    <w:rsid w:val="00CC0D78"/>
    <w:rsid w:val="00CC1A73"/>
    <w:rsid w:val="00CC2113"/>
    <w:rsid w:val="00CC2138"/>
    <w:rsid w:val="00CC586D"/>
    <w:rsid w:val="00CC5FE0"/>
    <w:rsid w:val="00CC7DBC"/>
    <w:rsid w:val="00CD1BA3"/>
    <w:rsid w:val="00CD1D23"/>
    <w:rsid w:val="00CD3612"/>
    <w:rsid w:val="00CD3E69"/>
    <w:rsid w:val="00CD6B7D"/>
    <w:rsid w:val="00CD7D29"/>
    <w:rsid w:val="00CE0847"/>
    <w:rsid w:val="00CE0B6C"/>
    <w:rsid w:val="00CE11D0"/>
    <w:rsid w:val="00CE4708"/>
    <w:rsid w:val="00CE4C50"/>
    <w:rsid w:val="00CE5535"/>
    <w:rsid w:val="00CE6858"/>
    <w:rsid w:val="00CE7450"/>
    <w:rsid w:val="00CE770C"/>
    <w:rsid w:val="00CF1D9B"/>
    <w:rsid w:val="00CF3F95"/>
    <w:rsid w:val="00CF50BE"/>
    <w:rsid w:val="00CF7625"/>
    <w:rsid w:val="00D02239"/>
    <w:rsid w:val="00D03895"/>
    <w:rsid w:val="00D03C57"/>
    <w:rsid w:val="00D04678"/>
    <w:rsid w:val="00D0506A"/>
    <w:rsid w:val="00D06389"/>
    <w:rsid w:val="00D1289C"/>
    <w:rsid w:val="00D14192"/>
    <w:rsid w:val="00D1666F"/>
    <w:rsid w:val="00D2071A"/>
    <w:rsid w:val="00D21A99"/>
    <w:rsid w:val="00D240FB"/>
    <w:rsid w:val="00D24650"/>
    <w:rsid w:val="00D25438"/>
    <w:rsid w:val="00D27ACC"/>
    <w:rsid w:val="00D30A76"/>
    <w:rsid w:val="00D30F73"/>
    <w:rsid w:val="00D30F97"/>
    <w:rsid w:val="00D313A0"/>
    <w:rsid w:val="00D337A0"/>
    <w:rsid w:val="00D33EA8"/>
    <w:rsid w:val="00D34BBB"/>
    <w:rsid w:val="00D36FE0"/>
    <w:rsid w:val="00D376F5"/>
    <w:rsid w:val="00D40799"/>
    <w:rsid w:val="00D41A06"/>
    <w:rsid w:val="00D4232A"/>
    <w:rsid w:val="00D42ABF"/>
    <w:rsid w:val="00D42F40"/>
    <w:rsid w:val="00D44489"/>
    <w:rsid w:val="00D45460"/>
    <w:rsid w:val="00D45A00"/>
    <w:rsid w:val="00D45B67"/>
    <w:rsid w:val="00D45C81"/>
    <w:rsid w:val="00D46D90"/>
    <w:rsid w:val="00D5034A"/>
    <w:rsid w:val="00D51F49"/>
    <w:rsid w:val="00D520DD"/>
    <w:rsid w:val="00D55EE8"/>
    <w:rsid w:val="00D562CB"/>
    <w:rsid w:val="00D569D1"/>
    <w:rsid w:val="00D56AD8"/>
    <w:rsid w:val="00D56C05"/>
    <w:rsid w:val="00D57007"/>
    <w:rsid w:val="00D5785A"/>
    <w:rsid w:val="00D60F47"/>
    <w:rsid w:val="00D636B2"/>
    <w:rsid w:val="00D6375F"/>
    <w:rsid w:val="00D648AA"/>
    <w:rsid w:val="00D64C48"/>
    <w:rsid w:val="00D65216"/>
    <w:rsid w:val="00D65D5F"/>
    <w:rsid w:val="00D6680B"/>
    <w:rsid w:val="00D72F4F"/>
    <w:rsid w:val="00D731C4"/>
    <w:rsid w:val="00D74EB4"/>
    <w:rsid w:val="00D7639E"/>
    <w:rsid w:val="00D801FC"/>
    <w:rsid w:val="00D80AFB"/>
    <w:rsid w:val="00D810C9"/>
    <w:rsid w:val="00D812FB"/>
    <w:rsid w:val="00D82235"/>
    <w:rsid w:val="00D82D81"/>
    <w:rsid w:val="00D85BE0"/>
    <w:rsid w:val="00D87FD7"/>
    <w:rsid w:val="00D91466"/>
    <w:rsid w:val="00D915ED"/>
    <w:rsid w:val="00D922A5"/>
    <w:rsid w:val="00D92300"/>
    <w:rsid w:val="00D92C52"/>
    <w:rsid w:val="00D94AFC"/>
    <w:rsid w:val="00D950E6"/>
    <w:rsid w:val="00D96A62"/>
    <w:rsid w:val="00D97047"/>
    <w:rsid w:val="00D97A34"/>
    <w:rsid w:val="00DA331A"/>
    <w:rsid w:val="00DA3619"/>
    <w:rsid w:val="00DA37CA"/>
    <w:rsid w:val="00DA54FB"/>
    <w:rsid w:val="00DB059D"/>
    <w:rsid w:val="00DB0B88"/>
    <w:rsid w:val="00DB1652"/>
    <w:rsid w:val="00DB2667"/>
    <w:rsid w:val="00DB58A6"/>
    <w:rsid w:val="00DB5EB5"/>
    <w:rsid w:val="00DB6B99"/>
    <w:rsid w:val="00DB6E79"/>
    <w:rsid w:val="00DB6F79"/>
    <w:rsid w:val="00DC001A"/>
    <w:rsid w:val="00DC0F6A"/>
    <w:rsid w:val="00DC4004"/>
    <w:rsid w:val="00DC5C89"/>
    <w:rsid w:val="00DD0223"/>
    <w:rsid w:val="00DD41CB"/>
    <w:rsid w:val="00DD4F44"/>
    <w:rsid w:val="00DD59C1"/>
    <w:rsid w:val="00DD5A21"/>
    <w:rsid w:val="00DD5CBF"/>
    <w:rsid w:val="00DD6816"/>
    <w:rsid w:val="00DD686C"/>
    <w:rsid w:val="00DD6AA4"/>
    <w:rsid w:val="00DE0D86"/>
    <w:rsid w:val="00DE1220"/>
    <w:rsid w:val="00DE24F4"/>
    <w:rsid w:val="00DE2AC3"/>
    <w:rsid w:val="00DE2E40"/>
    <w:rsid w:val="00DE3598"/>
    <w:rsid w:val="00DE3FBD"/>
    <w:rsid w:val="00DE43F5"/>
    <w:rsid w:val="00DE65FB"/>
    <w:rsid w:val="00DE6C97"/>
    <w:rsid w:val="00DF0CD2"/>
    <w:rsid w:val="00DF3F49"/>
    <w:rsid w:val="00DF420A"/>
    <w:rsid w:val="00DF735E"/>
    <w:rsid w:val="00E02237"/>
    <w:rsid w:val="00E02472"/>
    <w:rsid w:val="00E040D5"/>
    <w:rsid w:val="00E041F0"/>
    <w:rsid w:val="00E0658C"/>
    <w:rsid w:val="00E07D06"/>
    <w:rsid w:val="00E128D8"/>
    <w:rsid w:val="00E130C3"/>
    <w:rsid w:val="00E17EDF"/>
    <w:rsid w:val="00E2082D"/>
    <w:rsid w:val="00E21CD9"/>
    <w:rsid w:val="00E221E2"/>
    <w:rsid w:val="00E22EEE"/>
    <w:rsid w:val="00E2399F"/>
    <w:rsid w:val="00E24303"/>
    <w:rsid w:val="00E27A16"/>
    <w:rsid w:val="00E3170F"/>
    <w:rsid w:val="00E3375A"/>
    <w:rsid w:val="00E33BAB"/>
    <w:rsid w:val="00E40F7B"/>
    <w:rsid w:val="00E4542A"/>
    <w:rsid w:val="00E46D60"/>
    <w:rsid w:val="00E47180"/>
    <w:rsid w:val="00E47C33"/>
    <w:rsid w:val="00E47F58"/>
    <w:rsid w:val="00E54BFC"/>
    <w:rsid w:val="00E56D9D"/>
    <w:rsid w:val="00E60E2E"/>
    <w:rsid w:val="00E6190F"/>
    <w:rsid w:val="00E61B62"/>
    <w:rsid w:val="00E62F2D"/>
    <w:rsid w:val="00E64DBC"/>
    <w:rsid w:val="00E714B8"/>
    <w:rsid w:val="00E71A2D"/>
    <w:rsid w:val="00E7225D"/>
    <w:rsid w:val="00E7256D"/>
    <w:rsid w:val="00E74A73"/>
    <w:rsid w:val="00E7624C"/>
    <w:rsid w:val="00E768D9"/>
    <w:rsid w:val="00E823C1"/>
    <w:rsid w:val="00E82DB7"/>
    <w:rsid w:val="00E835E6"/>
    <w:rsid w:val="00E83772"/>
    <w:rsid w:val="00E8579C"/>
    <w:rsid w:val="00E865FE"/>
    <w:rsid w:val="00E91408"/>
    <w:rsid w:val="00E91759"/>
    <w:rsid w:val="00E91BB2"/>
    <w:rsid w:val="00E92E69"/>
    <w:rsid w:val="00E94BDE"/>
    <w:rsid w:val="00E95ED2"/>
    <w:rsid w:val="00E9654B"/>
    <w:rsid w:val="00E97D8D"/>
    <w:rsid w:val="00EA0B91"/>
    <w:rsid w:val="00EA18DB"/>
    <w:rsid w:val="00EA1F9A"/>
    <w:rsid w:val="00EA2FBA"/>
    <w:rsid w:val="00EA4DC5"/>
    <w:rsid w:val="00EA4E5B"/>
    <w:rsid w:val="00EA4F47"/>
    <w:rsid w:val="00EA66DF"/>
    <w:rsid w:val="00EA6ADC"/>
    <w:rsid w:val="00EA77A3"/>
    <w:rsid w:val="00EB13A7"/>
    <w:rsid w:val="00EB14DF"/>
    <w:rsid w:val="00EB1A4D"/>
    <w:rsid w:val="00EB258C"/>
    <w:rsid w:val="00EB2A4B"/>
    <w:rsid w:val="00EB3A07"/>
    <w:rsid w:val="00EB5539"/>
    <w:rsid w:val="00EC3712"/>
    <w:rsid w:val="00EC3F31"/>
    <w:rsid w:val="00EC52E7"/>
    <w:rsid w:val="00EC5795"/>
    <w:rsid w:val="00ED0924"/>
    <w:rsid w:val="00ED3698"/>
    <w:rsid w:val="00ED4794"/>
    <w:rsid w:val="00ED669D"/>
    <w:rsid w:val="00ED72E2"/>
    <w:rsid w:val="00ED7EBD"/>
    <w:rsid w:val="00EE0C3B"/>
    <w:rsid w:val="00EE265C"/>
    <w:rsid w:val="00EE269A"/>
    <w:rsid w:val="00EE3FBC"/>
    <w:rsid w:val="00EE5B6A"/>
    <w:rsid w:val="00EE5C63"/>
    <w:rsid w:val="00EF15CD"/>
    <w:rsid w:val="00EF1FE7"/>
    <w:rsid w:val="00EF5CDE"/>
    <w:rsid w:val="00EF77F4"/>
    <w:rsid w:val="00F0095C"/>
    <w:rsid w:val="00F01129"/>
    <w:rsid w:val="00F01CCA"/>
    <w:rsid w:val="00F01F2C"/>
    <w:rsid w:val="00F02104"/>
    <w:rsid w:val="00F03734"/>
    <w:rsid w:val="00F04455"/>
    <w:rsid w:val="00F06C17"/>
    <w:rsid w:val="00F10983"/>
    <w:rsid w:val="00F12006"/>
    <w:rsid w:val="00F12E89"/>
    <w:rsid w:val="00F1356E"/>
    <w:rsid w:val="00F136A0"/>
    <w:rsid w:val="00F1632B"/>
    <w:rsid w:val="00F27297"/>
    <w:rsid w:val="00F2747D"/>
    <w:rsid w:val="00F308BD"/>
    <w:rsid w:val="00F3303D"/>
    <w:rsid w:val="00F334CB"/>
    <w:rsid w:val="00F3495A"/>
    <w:rsid w:val="00F34E2C"/>
    <w:rsid w:val="00F370BC"/>
    <w:rsid w:val="00F37143"/>
    <w:rsid w:val="00F4274F"/>
    <w:rsid w:val="00F42FA0"/>
    <w:rsid w:val="00F445AF"/>
    <w:rsid w:val="00F45F0E"/>
    <w:rsid w:val="00F46A05"/>
    <w:rsid w:val="00F477D8"/>
    <w:rsid w:val="00F47979"/>
    <w:rsid w:val="00F50562"/>
    <w:rsid w:val="00F50A92"/>
    <w:rsid w:val="00F50D01"/>
    <w:rsid w:val="00F53CCE"/>
    <w:rsid w:val="00F54316"/>
    <w:rsid w:val="00F553E7"/>
    <w:rsid w:val="00F56BC1"/>
    <w:rsid w:val="00F618C1"/>
    <w:rsid w:val="00F618C4"/>
    <w:rsid w:val="00F6208F"/>
    <w:rsid w:val="00F629CF"/>
    <w:rsid w:val="00F65774"/>
    <w:rsid w:val="00F658B1"/>
    <w:rsid w:val="00F659BF"/>
    <w:rsid w:val="00F65A34"/>
    <w:rsid w:val="00F65F4C"/>
    <w:rsid w:val="00F71A60"/>
    <w:rsid w:val="00F71E16"/>
    <w:rsid w:val="00F725DA"/>
    <w:rsid w:val="00F7536E"/>
    <w:rsid w:val="00F75652"/>
    <w:rsid w:val="00F8168B"/>
    <w:rsid w:val="00F81CF2"/>
    <w:rsid w:val="00F81F93"/>
    <w:rsid w:val="00F8201F"/>
    <w:rsid w:val="00F824B5"/>
    <w:rsid w:val="00F8406C"/>
    <w:rsid w:val="00F857D1"/>
    <w:rsid w:val="00F86443"/>
    <w:rsid w:val="00F870A0"/>
    <w:rsid w:val="00F915E7"/>
    <w:rsid w:val="00F91DCC"/>
    <w:rsid w:val="00F9323F"/>
    <w:rsid w:val="00F943FE"/>
    <w:rsid w:val="00F94FBF"/>
    <w:rsid w:val="00F95814"/>
    <w:rsid w:val="00F95CE9"/>
    <w:rsid w:val="00F97100"/>
    <w:rsid w:val="00FA01D9"/>
    <w:rsid w:val="00FA1B90"/>
    <w:rsid w:val="00FA4B78"/>
    <w:rsid w:val="00FA5F3F"/>
    <w:rsid w:val="00FA60EF"/>
    <w:rsid w:val="00FA69F4"/>
    <w:rsid w:val="00FA7144"/>
    <w:rsid w:val="00FA7194"/>
    <w:rsid w:val="00FA7CBE"/>
    <w:rsid w:val="00FB0401"/>
    <w:rsid w:val="00FB275C"/>
    <w:rsid w:val="00FB2AF6"/>
    <w:rsid w:val="00FB4F8E"/>
    <w:rsid w:val="00FC1DFB"/>
    <w:rsid w:val="00FC1EF2"/>
    <w:rsid w:val="00FC3343"/>
    <w:rsid w:val="00FC33BA"/>
    <w:rsid w:val="00FC35AB"/>
    <w:rsid w:val="00FC412E"/>
    <w:rsid w:val="00FC6134"/>
    <w:rsid w:val="00FC654D"/>
    <w:rsid w:val="00FC7863"/>
    <w:rsid w:val="00FD0555"/>
    <w:rsid w:val="00FD15FE"/>
    <w:rsid w:val="00FD204A"/>
    <w:rsid w:val="00FD42B0"/>
    <w:rsid w:val="00FD5961"/>
    <w:rsid w:val="00FE056F"/>
    <w:rsid w:val="00FE3643"/>
    <w:rsid w:val="00FE3EFA"/>
    <w:rsid w:val="00FE5C56"/>
    <w:rsid w:val="00FE5E20"/>
    <w:rsid w:val="00FE7AAC"/>
    <w:rsid w:val="00FE7B06"/>
    <w:rsid w:val="00FE7E98"/>
    <w:rsid w:val="00FF005C"/>
    <w:rsid w:val="00FF0256"/>
    <w:rsid w:val="00FF06BC"/>
    <w:rsid w:val="00FF0ECF"/>
    <w:rsid w:val="00FF20AC"/>
    <w:rsid w:val="00FF3801"/>
    <w:rsid w:val="00FF3A27"/>
    <w:rsid w:val="00FF3B27"/>
    <w:rsid w:val="00FF5CFA"/>
    <w:rsid w:val="00FF7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1758"/>
  <w15:docId w15:val="{8EB27B5E-99D1-464A-989F-B65D70F5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2"/>
    <w:qFormat/>
    <w:rsid w:val="00834ADB"/>
    <w:pPr>
      <w:keepNext/>
      <w:keepLines/>
      <w:numPr>
        <w:numId w:val="45"/>
      </w:numPr>
      <w:spacing w:before="0" w:after="1080" w:line="240" w:lineRule="auto"/>
      <w:ind w:left="709" w:hanging="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8E73E0"/>
    <w:pPr>
      <w:keepNext/>
      <w:keepLines/>
      <w:numPr>
        <w:ilvl w:val="1"/>
        <w:numId w:val="45"/>
      </w:numPr>
      <w:spacing w:before="360"/>
      <w:ind w:left="851" w:hanging="851"/>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2"/>
    <w:qFormat/>
    <w:rsid w:val="00B67EC7"/>
    <w:pPr>
      <w:keepNext/>
      <w:keepLines/>
      <w:spacing w:line="240" w:lineRule="auto"/>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numPr>
        <w:ilvl w:val="3"/>
        <w:numId w:val="25"/>
      </w:numPr>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numPr>
        <w:ilvl w:val="4"/>
        <w:numId w:val="25"/>
      </w:numPr>
      <w:spacing w:before="240"/>
      <w:contextualSpacing/>
      <w:outlineLvl w:val="4"/>
    </w:pPr>
    <w:rPr>
      <w:b/>
      <w:szCs w:val="22"/>
    </w:rPr>
  </w:style>
  <w:style w:type="paragraph" w:styleId="Heading6">
    <w:name w:val="heading 6"/>
    <w:basedOn w:val="Normal"/>
    <w:next w:val="Normal"/>
    <w:link w:val="Heading6Char"/>
    <w:autoRedefine/>
    <w:semiHidden/>
    <w:rsid w:val="002672F1"/>
    <w:pPr>
      <w:keepNext/>
      <w:numPr>
        <w:ilvl w:val="5"/>
        <w:numId w:val="25"/>
      </w:numPr>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2B2EB7"/>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F0E28"/>
    <w:pPr>
      <w:spacing w:line="264" w:lineRule="auto"/>
      <w:ind w:left="142" w:hanging="142"/>
    </w:pPr>
    <w:rPr>
      <w:rFonts w:cs="Arial"/>
      <w:sz w:val="18"/>
      <w:szCs w:val="18"/>
    </w:rPr>
  </w:style>
  <w:style w:type="character" w:customStyle="1" w:styleId="FootnoteTextChar">
    <w:name w:val="Footnote Text Char"/>
    <w:basedOn w:val="DefaultParagraphFont"/>
    <w:link w:val="FootnoteText"/>
    <w:rsid w:val="007F0E28"/>
    <w:rPr>
      <w:rFonts w:ascii="Arial" w:hAnsi="Arial" w:cs="Arial"/>
      <w:sz w:val="18"/>
      <w:szCs w:val="18"/>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F870A0"/>
    <w:pPr>
      <w:spacing w:line="240" w:lineRule="auto"/>
    </w:pPr>
  </w:style>
  <w:style w:type="character" w:customStyle="1" w:styleId="Heading2Char">
    <w:name w:val="Heading 2 Char"/>
    <w:basedOn w:val="DefaultParagraphFont"/>
    <w:link w:val="Heading2"/>
    <w:uiPriority w:val="2"/>
    <w:rsid w:val="008E73E0"/>
    <w:rPr>
      <w:rFonts w:asciiTheme="majorHAnsi" w:hAnsiTheme="majorHAnsi"/>
      <w:b/>
      <w:sz w:val="28"/>
      <w:szCs w:val="44"/>
    </w:rPr>
  </w:style>
  <w:style w:type="paragraph" w:styleId="TOC1">
    <w:name w:val="toc 1"/>
    <w:basedOn w:val="Normal"/>
    <w:next w:val="Normal"/>
    <w:autoRedefine/>
    <w:uiPriority w:val="39"/>
    <w:rsid w:val="007B11F7"/>
    <w:pPr>
      <w:tabs>
        <w:tab w:val="right" w:leader="dot" w:pos="9435"/>
      </w:tabs>
      <w:spacing w:before="240" w:after="60" w:line="240" w:lineRule="auto"/>
      <w:ind w:right="567"/>
    </w:pPr>
    <w:rPr>
      <w:b/>
      <w:noProof/>
    </w:rPr>
  </w:style>
  <w:style w:type="paragraph" w:styleId="TOC2">
    <w:name w:val="toc 2"/>
    <w:basedOn w:val="Normal"/>
    <w:next w:val="Normal"/>
    <w:autoRedefine/>
    <w:uiPriority w:val="39"/>
    <w:rsid w:val="0096162B"/>
    <w:pPr>
      <w:spacing w:before="60" w:after="60" w:line="240" w:lineRule="auto"/>
      <w:ind w:right="567"/>
    </w:pPr>
    <w:rPr>
      <w:noProof/>
    </w:rPr>
  </w:style>
  <w:style w:type="paragraph" w:customStyle="1" w:styleId="TableText">
    <w:name w:val="Table Text"/>
    <w:basedOn w:val="Normal"/>
    <w:autoRedefine/>
    <w:uiPriority w:val="99"/>
    <w:qFormat/>
    <w:rsid w:val="00FA7144"/>
    <w:pPr>
      <w:spacing w:before="80" w:after="80" w:line="240" w:lineRule="atLeast"/>
    </w:pPr>
    <w:rPr>
      <w:b/>
      <w:sz w:val="20"/>
      <w:lang w:eastAsia="zh-CN"/>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B2EB7"/>
    <w:pPr>
      <w:outlineLvl w:val="9"/>
    </w:pPr>
    <w:rPr>
      <w:rFonts w:eastAsiaTheme="majorEastAsia" w:cstheme="majorBidi"/>
      <w:bCs/>
      <w:noProof/>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2D5814"/>
    <w:pPr>
      <w:keepNext/>
      <w:keepLines/>
      <w:spacing w:before="240"/>
      <w:contextualSpacing/>
    </w:pPr>
    <w:rPr>
      <w:b/>
      <w:szCs w:val="20"/>
    </w:rPr>
  </w:style>
  <w:style w:type="paragraph" w:customStyle="1" w:styleId="FigureHeading">
    <w:name w:val="Figure Heading"/>
    <w:basedOn w:val="Normal"/>
    <w:next w:val="Normal"/>
    <w:autoRedefine/>
    <w:uiPriority w:val="99"/>
    <w:qFormat/>
    <w:rsid w:val="00306949"/>
    <w:pPr>
      <w:keepNext/>
      <w:keepLines/>
      <w:numPr>
        <w:numId w:val="11"/>
      </w:numPr>
      <w:tabs>
        <w:tab w:val="left" w:pos="907"/>
      </w:tabs>
      <w:ind w:left="907" w:hanging="907"/>
      <w:contextualSpacing/>
    </w:pPr>
    <w:rPr>
      <w:sz w:val="18"/>
      <w:szCs w:val="18"/>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val="0"/>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val="0"/>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0F7B3B"/>
    <w:pPr>
      <w:numPr>
        <w:numId w:val="0"/>
      </w:numPr>
    </w:pPr>
    <w:rPr>
      <w:color w:val="auto"/>
    </w:rPr>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3A1EC7"/>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B70EE3"/>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5430C3"/>
    <w:pPr>
      <w:numPr>
        <w:ilvl w:val="0"/>
      </w:numPr>
    </w:pPr>
    <w:rPr>
      <w:rFonts w:cstheme="majorHAnsi"/>
      <w:bCs/>
      <w:color w:val="008542" w:themeColor="accent2"/>
      <w:sz w:val="28"/>
      <w:szCs w:val="28"/>
      <w:lang w:eastAsia="zh-CN"/>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3A48E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8D0E4B"/>
    <w:pPr>
      <w:spacing w:line="240" w:lineRule="auto"/>
    </w:pPr>
    <w:rPr>
      <w:sz w:val="20"/>
      <w:szCs w:val="20"/>
    </w:rPr>
  </w:style>
  <w:style w:type="character" w:customStyle="1" w:styleId="CommentTextChar">
    <w:name w:val="Comment Text Char"/>
    <w:basedOn w:val="DefaultParagraphFont"/>
    <w:link w:val="CommentText"/>
    <w:rsid w:val="008D0E4B"/>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5E6AB8"/>
    <w:rPr>
      <w:rFonts w:cs="Arial"/>
      <w:szCs w:val="22"/>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3Char">
    <w:name w:val="Heading 3 Char"/>
    <w:basedOn w:val="DefaultParagraphFont"/>
    <w:link w:val="Heading3"/>
    <w:uiPriority w:val="2"/>
    <w:rsid w:val="00B67EC7"/>
    <w:rPr>
      <w:rFonts w:asciiTheme="majorHAnsi" w:hAnsiTheme="majorHAnsi"/>
      <w:b/>
      <w:color w:val="004200" w:themeColor="accent1"/>
      <w:sz w:val="24"/>
      <w:szCs w:val="28"/>
    </w:rPr>
  </w:style>
  <w:style w:type="character" w:customStyle="1" w:styleId="Heading1Char">
    <w:name w:val="Heading 1 Char"/>
    <w:basedOn w:val="DefaultParagraphFont"/>
    <w:link w:val="Heading1"/>
    <w:uiPriority w:val="2"/>
    <w:rsid w:val="00834ADB"/>
    <w:rPr>
      <w:rFonts w:asciiTheme="majorHAnsi" w:hAnsiTheme="majorHAnsi"/>
      <w:b/>
      <w:sz w:val="64"/>
      <w:szCs w:val="44"/>
    </w:rPr>
  </w:style>
  <w:style w:type="table" w:styleId="TableTheme">
    <w:name w:val="Table Theme"/>
    <w:basedOn w:val="TableNormal"/>
    <w:rsid w:val="003A7B44"/>
    <w:pPr>
      <w:spacing w:before="120" w:after="12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C53"/>
    <w:rPr>
      <w:rFonts w:ascii="Arial" w:hAnsi="Arial"/>
      <w:sz w:val="22"/>
      <w:szCs w:val="24"/>
    </w:rPr>
  </w:style>
  <w:style w:type="character" w:customStyle="1" w:styleId="ListParagraphChar">
    <w:name w:val="List Paragraph Char"/>
    <w:link w:val="ListParagraph"/>
    <w:uiPriority w:val="34"/>
    <w:locked/>
    <w:rsid w:val="00F870A0"/>
    <w:rPr>
      <w:rFonts w:ascii="Arial" w:hAnsi="Arial"/>
      <w:sz w:val="22"/>
      <w:szCs w:val="24"/>
    </w:rPr>
  </w:style>
  <w:style w:type="character" w:customStyle="1" w:styleId="UnresolvedMention1">
    <w:name w:val="Unresolved Mention1"/>
    <w:basedOn w:val="DefaultParagraphFont"/>
    <w:uiPriority w:val="99"/>
    <w:semiHidden/>
    <w:unhideWhenUsed/>
    <w:rsid w:val="00B97B77"/>
    <w:rPr>
      <w:color w:val="605E5C"/>
      <w:shd w:val="clear" w:color="auto" w:fill="E1DFDD"/>
    </w:rPr>
  </w:style>
  <w:style w:type="character" w:styleId="UnresolvedMention">
    <w:name w:val="Unresolved Mention"/>
    <w:basedOn w:val="DefaultParagraphFont"/>
    <w:uiPriority w:val="99"/>
    <w:semiHidden/>
    <w:unhideWhenUsed/>
    <w:rsid w:val="005E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7973">
      <w:bodyDiv w:val="1"/>
      <w:marLeft w:val="0"/>
      <w:marRight w:val="0"/>
      <w:marTop w:val="0"/>
      <w:marBottom w:val="0"/>
      <w:divBdr>
        <w:top w:val="none" w:sz="0" w:space="0" w:color="auto"/>
        <w:left w:val="none" w:sz="0" w:space="0" w:color="auto"/>
        <w:bottom w:val="none" w:sz="0" w:space="0" w:color="auto"/>
        <w:right w:val="none" w:sz="0" w:space="0" w:color="auto"/>
      </w:divBdr>
    </w:div>
    <w:div w:id="211581536">
      <w:bodyDiv w:val="1"/>
      <w:marLeft w:val="0"/>
      <w:marRight w:val="0"/>
      <w:marTop w:val="0"/>
      <w:marBottom w:val="0"/>
      <w:divBdr>
        <w:top w:val="none" w:sz="0" w:space="0" w:color="auto"/>
        <w:left w:val="none" w:sz="0" w:space="0" w:color="auto"/>
        <w:bottom w:val="none" w:sz="0" w:space="0" w:color="auto"/>
        <w:right w:val="none" w:sz="0" w:space="0" w:color="auto"/>
      </w:divBdr>
    </w:div>
    <w:div w:id="312300005">
      <w:bodyDiv w:val="1"/>
      <w:marLeft w:val="0"/>
      <w:marRight w:val="0"/>
      <w:marTop w:val="0"/>
      <w:marBottom w:val="0"/>
      <w:divBdr>
        <w:top w:val="none" w:sz="0" w:space="0" w:color="auto"/>
        <w:left w:val="none" w:sz="0" w:space="0" w:color="auto"/>
        <w:bottom w:val="none" w:sz="0" w:space="0" w:color="auto"/>
        <w:right w:val="none" w:sz="0" w:space="0" w:color="auto"/>
      </w:divBdr>
    </w:div>
    <w:div w:id="326130626">
      <w:bodyDiv w:val="1"/>
      <w:marLeft w:val="0"/>
      <w:marRight w:val="0"/>
      <w:marTop w:val="0"/>
      <w:marBottom w:val="0"/>
      <w:divBdr>
        <w:top w:val="none" w:sz="0" w:space="0" w:color="auto"/>
        <w:left w:val="none" w:sz="0" w:space="0" w:color="auto"/>
        <w:bottom w:val="none" w:sz="0" w:space="0" w:color="auto"/>
        <w:right w:val="none" w:sz="0" w:space="0" w:color="auto"/>
      </w:divBdr>
    </w:div>
    <w:div w:id="43833683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00536776">
      <w:bodyDiv w:val="1"/>
      <w:marLeft w:val="0"/>
      <w:marRight w:val="0"/>
      <w:marTop w:val="0"/>
      <w:marBottom w:val="0"/>
      <w:divBdr>
        <w:top w:val="none" w:sz="0" w:space="0" w:color="auto"/>
        <w:left w:val="none" w:sz="0" w:space="0" w:color="auto"/>
        <w:bottom w:val="none" w:sz="0" w:space="0" w:color="auto"/>
        <w:right w:val="none" w:sz="0" w:space="0" w:color="auto"/>
      </w:divBdr>
      <w:divsChild>
        <w:div w:id="964971281">
          <w:marLeft w:val="274"/>
          <w:marRight w:val="0"/>
          <w:marTop w:val="0"/>
          <w:marBottom w:val="0"/>
          <w:divBdr>
            <w:top w:val="none" w:sz="0" w:space="0" w:color="auto"/>
            <w:left w:val="none" w:sz="0" w:space="0" w:color="auto"/>
            <w:bottom w:val="none" w:sz="0" w:space="0" w:color="auto"/>
            <w:right w:val="none" w:sz="0" w:space="0" w:color="auto"/>
          </w:divBdr>
        </w:div>
        <w:div w:id="1637637728">
          <w:marLeft w:val="274"/>
          <w:marRight w:val="0"/>
          <w:marTop w:val="0"/>
          <w:marBottom w:val="0"/>
          <w:divBdr>
            <w:top w:val="none" w:sz="0" w:space="0" w:color="auto"/>
            <w:left w:val="none" w:sz="0" w:space="0" w:color="auto"/>
            <w:bottom w:val="none" w:sz="0" w:space="0" w:color="auto"/>
            <w:right w:val="none" w:sz="0" w:space="0" w:color="auto"/>
          </w:divBdr>
        </w:div>
        <w:div w:id="1214655636">
          <w:marLeft w:val="274"/>
          <w:marRight w:val="0"/>
          <w:marTop w:val="0"/>
          <w:marBottom w:val="0"/>
          <w:divBdr>
            <w:top w:val="none" w:sz="0" w:space="0" w:color="auto"/>
            <w:left w:val="none" w:sz="0" w:space="0" w:color="auto"/>
            <w:bottom w:val="none" w:sz="0" w:space="0" w:color="auto"/>
            <w:right w:val="none" w:sz="0" w:space="0" w:color="auto"/>
          </w:divBdr>
        </w:div>
        <w:div w:id="1779258228">
          <w:marLeft w:val="274"/>
          <w:marRight w:val="0"/>
          <w:marTop w:val="0"/>
          <w:marBottom w:val="0"/>
          <w:divBdr>
            <w:top w:val="none" w:sz="0" w:space="0" w:color="auto"/>
            <w:left w:val="none" w:sz="0" w:space="0" w:color="auto"/>
            <w:bottom w:val="none" w:sz="0" w:space="0" w:color="auto"/>
            <w:right w:val="none" w:sz="0" w:space="0" w:color="auto"/>
          </w:divBdr>
        </w:div>
        <w:div w:id="90443787">
          <w:marLeft w:val="274"/>
          <w:marRight w:val="0"/>
          <w:marTop w:val="0"/>
          <w:marBottom w:val="0"/>
          <w:divBdr>
            <w:top w:val="none" w:sz="0" w:space="0" w:color="auto"/>
            <w:left w:val="none" w:sz="0" w:space="0" w:color="auto"/>
            <w:bottom w:val="none" w:sz="0" w:space="0" w:color="auto"/>
            <w:right w:val="none" w:sz="0" w:space="0" w:color="auto"/>
          </w:divBdr>
        </w:div>
        <w:div w:id="1823038553">
          <w:marLeft w:val="274"/>
          <w:marRight w:val="0"/>
          <w:marTop w:val="0"/>
          <w:marBottom w:val="0"/>
          <w:divBdr>
            <w:top w:val="none" w:sz="0" w:space="0" w:color="auto"/>
            <w:left w:val="none" w:sz="0" w:space="0" w:color="auto"/>
            <w:bottom w:val="none" w:sz="0" w:space="0" w:color="auto"/>
            <w:right w:val="none" w:sz="0" w:space="0" w:color="auto"/>
          </w:divBdr>
        </w:div>
        <w:div w:id="909851219">
          <w:marLeft w:val="274"/>
          <w:marRight w:val="0"/>
          <w:marTop w:val="0"/>
          <w:marBottom w:val="0"/>
          <w:divBdr>
            <w:top w:val="none" w:sz="0" w:space="0" w:color="auto"/>
            <w:left w:val="none" w:sz="0" w:space="0" w:color="auto"/>
            <w:bottom w:val="none" w:sz="0" w:space="0" w:color="auto"/>
            <w:right w:val="none" w:sz="0" w:space="0" w:color="auto"/>
          </w:divBdr>
        </w:div>
        <w:div w:id="1814372372">
          <w:marLeft w:val="274"/>
          <w:marRight w:val="0"/>
          <w:marTop w:val="0"/>
          <w:marBottom w:val="0"/>
          <w:divBdr>
            <w:top w:val="none" w:sz="0" w:space="0" w:color="auto"/>
            <w:left w:val="none" w:sz="0" w:space="0" w:color="auto"/>
            <w:bottom w:val="none" w:sz="0" w:space="0" w:color="auto"/>
            <w:right w:val="none" w:sz="0" w:space="0" w:color="auto"/>
          </w:divBdr>
        </w:div>
        <w:div w:id="1085348346">
          <w:marLeft w:val="274"/>
          <w:marRight w:val="0"/>
          <w:marTop w:val="0"/>
          <w:marBottom w:val="0"/>
          <w:divBdr>
            <w:top w:val="none" w:sz="0" w:space="0" w:color="auto"/>
            <w:left w:val="none" w:sz="0" w:space="0" w:color="auto"/>
            <w:bottom w:val="none" w:sz="0" w:space="0" w:color="auto"/>
            <w:right w:val="none" w:sz="0" w:space="0" w:color="auto"/>
          </w:divBdr>
        </w:div>
        <w:div w:id="1753428829">
          <w:marLeft w:val="274"/>
          <w:marRight w:val="0"/>
          <w:marTop w:val="0"/>
          <w:marBottom w:val="0"/>
          <w:divBdr>
            <w:top w:val="none" w:sz="0" w:space="0" w:color="auto"/>
            <w:left w:val="none" w:sz="0" w:space="0" w:color="auto"/>
            <w:bottom w:val="none" w:sz="0" w:space="0" w:color="auto"/>
            <w:right w:val="none" w:sz="0" w:space="0" w:color="auto"/>
          </w:divBdr>
        </w:div>
        <w:div w:id="1704287222">
          <w:marLeft w:val="274"/>
          <w:marRight w:val="0"/>
          <w:marTop w:val="0"/>
          <w:marBottom w:val="0"/>
          <w:divBdr>
            <w:top w:val="none" w:sz="0" w:space="0" w:color="auto"/>
            <w:left w:val="none" w:sz="0" w:space="0" w:color="auto"/>
            <w:bottom w:val="none" w:sz="0" w:space="0" w:color="auto"/>
            <w:right w:val="none" w:sz="0" w:space="0" w:color="auto"/>
          </w:divBdr>
        </w:div>
        <w:div w:id="2088843542">
          <w:marLeft w:val="274"/>
          <w:marRight w:val="0"/>
          <w:marTop w:val="0"/>
          <w:marBottom w:val="0"/>
          <w:divBdr>
            <w:top w:val="none" w:sz="0" w:space="0" w:color="auto"/>
            <w:left w:val="none" w:sz="0" w:space="0" w:color="auto"/>
            <w:bottom w:val="none" w:sz="0" w:space="0" w:color="auto"/>
            <w:right w:val="none" w:sz="0" w:space="0" w:color="auto"/>
          </w:divBdr>
        </w:div>
        <w:div w:id="321812482">
          <w:marLeft w:val="274"/>
          <w:marRight w:val="0"/>
          <w:marTop w:val="0"/>
          <w:marBottom w:val="0"/>
          <w:divBdr>
            <w:top w:val="none" w:sz="0" w:space="0" w:color="auto"/>
            <w:left w:val="none" w:sz="0" w:space="0" w:color="auto"/>
            <w:bottom w:val="none" w:sz="0" w:space="0" w:color="auto"/>
            <w:right w:val="none" w:sz="0" w:space="0" w:color="auto"/>
          </w:divBdr>
        </w:div>
        <w:div w:id="894705390">
          <w:marLeft w:val="274"/>
          <w:marRight w:val="0"/>
          <w:marTop w:val="0"/>
          <w:marBottom w:val="0"/>
          <w:divBdr>
            <w:top w:val="none" w:sz="0" w:space="0" w:color="auto"/>
            <w:left w:val="none" w:sz="0" w:space="0" w:color="auto"/>
            <w:bottom w:val="none" w:sz="0" w:space="0" w:color="auto"/>
            <w:right w:val="none" w:sz="0" w:space="0" w:color="auto"/>
          </w:divBdr>
        </w:div>
      </w:divsChild>
    </w:div>
    <w:div w:id="1504317355">
      <w:bodyDiv w:val="1"/>
      <w:marLeft w:val="0"/>
      <w:marRight w:val="0"/>
      <w:marTop w:val="0"/>
      <w:marBottom w:val="0"/>
      <w:divBdr>
        <w:top w:val="none" w:sz="0" w:space="0" w:color="auto"/>
        <w:left w:val="none" w:sz="0" w:space="0" w:color="auto"/>
        <w:bottom w:val="none" w:sz="0" w:space="0" w:color="auto"/>
        <w:right w:val="none" w:sz="0" w:space="0" w:color="auto"/>
      </w:divBdr>
    </w:div>
    <w:div w:id="1512181312">
      <w:bodyDiv w:val="1"/>
      <w:marLeft w:val="0"/>
      <w:marRight w:val="0"/>
      <w:marTop w:val="0"/>
      <w:marBottom w:val="0"/>
      <w:divBdr>
        <w:top w:val="none" w:sz="0" w:space="0" w:color="auto"/>
        <w:left w:val="none" w:sz="0" w:space="0" w:color="auto"/>
        <w:bottom w:val="none" w:sz="0" w:space="0" w:color="auto"/>
        <w:right w:val="none" w:sz="0" w:space="0" w:color="auto"/>
      </w:divBdr>
    </w:div>
    <w:div w:id="1661886418">
      <w:bodyDiv w:val="1"/>
      <w:marLeft w:val="0"/>
      <w:marRight w:val="0"/>
      <w:marTop w:val="0"/>
      <w:marBottom w:val="0"/>
      <w:divBdr>
        <w:top w:val="none" w:sz="0" w:space="0" w:color="auto"/>
        <w:left w:val="none" w:sz="0" w:space="0" w:color="auto"/>
        <w:bottom w:val="none" w:sz="0" w:space="0" w:color="auto"/>
        <w:right w:val="none" w:sz="0" w:space="0" w:color="auto"/>
      </w:divBdr>
    </w:div>
    <w:div w:id="1846091241">
      <w:bodyDiv w:val="1"/>
      <w:marLeft w:val="0"/>
      <w:marRight w:val="0"/>
      <w:marTop w:val="0"/>
      <w:marBottom w:val="0"/>
      <w:divBdr>
        <w:top w:val="none" w:sz="0" w:space="0" w:color="auto"/>
        <w:left w:val="none" w:sz="0" w:space="0" w:color="auto"/>
        <w:bottom w:val="none" w:sz="0" w:space="0" w:color="auto"/>
        <w:right w:val="none" w:sz="0" w:space="0" w:color="auto"/>
      </w:divBdr>
    </w:div>
    <w:div w:id="1880779689">
      <w:bodyDiv w:val="1"/>
      <w:marLeft w:val="0"/>
      <w:marRight w:val="0"/>
      <w:marTop w:val="0"/>
      <w:marBottom w:val="0"/>
      <w:divBdr>
        <w:top w:val="none" w:sz="0" w:space="0" w:color="auto"/>
        <w:left w:val="none" w:sz="0" w:space="0" w:color="auto"/>
        <w:bottom w:val="none" w:sz="0" w:space="0" w:color="auto"/>
        <w:right w:val="none" w:sz="0" w:space="0" w:color="auto"/>
      </w:divBdr>
    </w:div>
    <w:div w:id="1928266030">
      <w:bodyDiv w:val="1"/>
      <w:marLeft w:val="0"/>
      <w:marRight w:val="0"/>
      <w:marTop w:val="0"/>
      <w:marBottom w:val="0"/>
      <w:divBdr>
        <w:top w:val="none" w:sz="0" w:space="0" w:color="auto"/>
        <w:left w:val="none" w:sz="0" w:space="0" w:color="auto"/>
        <w:bottom w:val="none" w:sz="0" w:space="0" w:color="auto"/>
        <w:right w:val="none" w:sz="0" w:space="0" w:color="auto"/>
      </w:divBdr>
    </w:div>
    <w:div w:id="1938099003">
      <w:bodyDiv w:val="1"/>
      <w:marLeft w:val="0"/>
      <w:marRight w:val="0"/>
      <w:marTop w:val="0"/>
      <w:marBottom w:val="0"/>
      <w:divBdr>
        <w:top w:val="none" w:sz="0" w:space="0" w:color="auto"/>
        <w:left w:val="none" w:sz="0" w:space="0" w:color="auto"/>
        <w:bottom w:val="none" w:sz="0" w:space="0" w:color="auto"/>
        <w:right w:val="none" w:sz="0" w:space="0" w:color="auto"/>
      </w:divBdr>
    </w:div>
    <w:div w:id="1942642476">
      <w:bodyDiv w:val="1"/>
      <w:marLeft w:val="0"/>
      <w:marRight w:val="0"/>
      <w:marTop w:val="0"/>
      <w:marBottom w:val="0"/>
      <w:divBdr>
        <w:top w:val="none" w:sz="0" w:space="0" w:color="auto"/>
        <w:left w:val="none" w:sz="0" w:space="0" w:color="auto"/>
        <w:bottom w:val="none" w:sz="0" w:space="0" w:color="auto"/>
        <w:right w:val="none" w:sz="0" w:space="0" w:color="auto"/>
      </w:divBdr>
    </w:div>
    <w:div w:id="194525997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4791584">
      <w:bodyDiv w:val="1"/>
      <w:marLeft w:val="0"/>
      <w:marRight w:val="0"/>
      <w:marTop w:val="0"/>
      <w:marBottom w:val="0"/>
      <w:divBdr>
        <w:top w:val="none" w:sz="0" w:space="0" w:color="auto"/>
        <w:left w:val="none" w:sz="0" w:space="0" w:color="auto"/>
        <w:bottom w:val="none" w:sz="0" w:space="0" w:color="auto"/>
        <w:right w:val="none" w:sz="0" w:space="0" w:color="auto"/>
      </w:divBdr>
    </w:div>
    <w:div w:id="21219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hpa.gov.au/publications/australian-hospital-patient-costing-standards-version-41" TargetMode="External"/><Relationship Id="rId26" Type="http://schemas.openxmlformats.org/officeDocument/2006/relationships/hyperlink" Target="https://meteor.aihw.gov.au/content/index.phtml/itemId/742188" TargetMode="External"/><Relationship Id="rId3" Type="http://schemas.openxmlformats.org/officeDocument/2006/relationships/styles" Target="styles.xml"/><Relationship Id="rId21" Type="http://schemas.openxmlformats.org/officeDocument/2006/relationships/hyperlink" Target="https://meteor.aihw.gov.au/content/index.phtml/itemId/74217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https://www.ihpa.gov.au/what-we-do/nhcdc" TargetMode="External"/><Relationship Id="rId25" Type="http://schemas.openxmlformats.org/officeDocument/2006/relationships/hyperlink" Target="https://meteor.aihw.gov.au/content/index.phtml/itemId/7420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hpa.gov.au/what-we-do/costing" TargetMode="External"/><Relationship Id="rId20" Type="http://schemas.openxmlformats.org/officeDocument/2006/relationships/hyperlink" Target="https://meteor.aihw.gov.au/content/index.phtml/itemId/742173"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meteor.aihw.gov.au/content/index.phtml/itemId/74218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aic.gov.au/privacy/notifiable-data-breaches" TargetMode="External"/><Relationship Id="rId23" Type="http://schemas.openxmlformats.org/officeDocument/2006/relationships/hyperlink" Target="https://meteor.aihw.gov.au/content/index.phtml/itemId/742180" TargetMode="External"/><Relationship Id="rId28" Type="http://schemas.openxmlformats.org/officeDocument/2006/relationships/hyperlink" Target="https://meteor.aihw.gov.au/content/index.phtml/itemId/746470" TargetMode="External"/><Relationship Id="rId10" Type="http://schemas.openxmlformats.org/officeDocument/2006/relationships/hyperlink" Target="http://creativecommons.org/licenses/by/3.0/au/legalcode" TargetMode="External"/><Relationship Id="rId19" Type="http://schemas.openxmlformats.org/officeDocument/2006/relationships/hyperlink" Target="https://www.ihpa.gov.au/what-we-do/nhcdc/public-sector"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https://www.ihpa.gov.au/who-we-are/policies/privacy-policy" TargetMode="External"/><Relationship Id="rId22" Type="http://schemas.openxmlformats.org/officeDocument/2006/relationships/hyperlink" Target="https://meteor.aihw.gov.au/content/index.phtml/itemId/742184" TargetMode="External"/><Relationship Id="rId27" Type="http://schemas.openxmlformats.org/officeDocument/2006/relationships/hyperlink" Target="https://meteor.aihw.gov.au/content/index.phtml/itemId/742182" TargetMode="External"/><Relationship Id="rId30" Type="http://schemas.openxmlformats.org/officeDocument/2006/relationships/hyperlink" Target="https://www.ihpa.gov.au/sites/default/files/research_data_request_form.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ss.gov.au/nss/home.nsf/pages/Confidentiality+-+Managing+the+risk+of+disclosure+in+the+release+of+microdata" TargetMode="External"/><Relationship Id="rId2" Type="http://schemas.openxmlformats.org/officeDocument/2006/relationships/hyperlink" Target="https://federation.gov.au/nfrc" TargetMode="External"/><Relationship Id="rId1" Type="http://schemas.openxmlformats.org/officeDocument/2006/relationships/hyperlink" Target="http://meteor.aihw.gov.au/content/index.phtml/itemId/268284" TargetMode="External"/><Relationship Id="rId4" Type="http://schemas.openxmlformats.org/officeDocument/2006/relationships/hyperlink" Target="https://www.aihw.gov.au/getmedia/d15f8bf7-f29f-406a-a27d-41f483b17ff1/Guidelines-Use-and-disclosure-of-secondary-health-information-endorsed-15-June-2017.pd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4737-CC4C-4835-932B-E80B98B8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5139</Words>
  <Characters>29297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Epstein, Alexandra</dc:creator>
  <cp:lastModifiedBy>BOLITHO, Sarah</cp:lastModifiedBy>
  <cp:revision>5</cp:revision>
  <cp:lastPrinted>2022-04-07T07:17:00Z</cp:lastPrinted>
  <dcterms:created xsi:type="dcterms:W3CDTF">2022-05-23T05:19:00Z</dcterms:created>
  <dcterms:modified xsi:type="dcterms:W3CDTF">2022-05-25T00:33:00Z</dcterms:modified>
</cp:coreProperties>
</file>