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EF621" w14:textId="77777777" w:rsidR="00CC586D" w:rsidRPr="00BD6BC6" w:rsidRDefault="00CC586D" w:rsidP="00CA15F5">
      <w:pPr>
        <w:pStyle w:val="Organisation"/>
      </w:pPr>
      <w:r w:rsidRPr="00BD6BC6">
        <w:t>Independent Hospital Pricing Authority</w:t>
      </w:r>
    </w:p>
    <w:p w14:paraId="56D536CA" w14:textId="291E235B" w:rsidR="007D0637" w:rsidRPr="00BD6BC6" w:rsidRDefault="00AA422B" w:rsidP="00A37800">
      <w:pPr>
        <w:pStyle w:val="Title"/>
        <w:ind w:right="-144"/>
        <w:rPr>
          <w:iCs/>
        </w:rPr>
      </w:pPr>
      <w:r w:rsidRPr="00BD6BC6">
        <w:t>Cost-Shifting and Cross-</w:t>
      </w:r>
      <w:r w:rsidR="007D0637" w:rsidRPr="00BD6BC6">
        <w:t>Border Dispute Resolution</w:t>
      </w:r>
      <w:r w:rsidR="0080016E">
        <w:t xml:space="preserve"> Policy</w:t>
      </w:r>
      <w:r w:rsidR="007D0637" w:rsidRPr="00BD6BC6">
        <w:t xml:space="preserve"> </w:t>
      </w:r>
    </w:p>
    <w:p w14:paraId="4CA3C550" w14:textId="07779313" w:rsidR="00BC1032" w:rsidRPr="00BD6BC6" w:rsidRDefault="0062460C" w:rsidP="0037401F">
      <w:pPr>
        <w:pStyle w:val="Versionanddate"/>
      </w:pPr>
      <w:r>
        <w:t>May</w:t>
      </w:r>
      <w:r w:rsidR="00A06FC2" w:rsidRPr="00BD6BC6">
        <w:t xml:space="preserve"> </w:t>
      </w:r>
      <w:r w:rsidR="00262488" w:rsidRPr="00BD6BC6">
        <w:t>20</w:t>
      </w:r>
      <w:r w:rsidR="00A06FC2" w:rsidRPr="00BD6BC6">
        <w:t>2</w:t>
      </w:r>
      <w:r w:rsidR="00C032A1">
        <w:t>2</w:t>
      </w:r>
    </w:p>
    <w:p w14:paraId="41D57769" w14:textId="77777777" w:rsidR="0035219F" w:rsidRPr="00BD6BC6" w:rsidRDefault="00043CF6" w:rsidP="0035219F">
      <w:r w:rsidRPr="00BD6BC6">
        <w:rPr>
          <w:b/>
          <w:noProof/>
          <w:color w:val="008542" w:themeColor="accent2"/>
          <w:sz w:val="16"/>
          <w:szCs w:val="16"/>
        </w:rPr>
        <w:drawing>
          <wp:anchor distT="0" distB="0" distL="114300" distR="114300" simplePos="0" relativeHeight="251674624" behindDoc="1" locked="1" layoutInCell="0" allowOverlap="1" wp14:anchorId="028896B5" wp14:editId="7B433481">
            <wp:simplePos x="0" y="0"/>
            <wp:positionH relativeFrom="page">
              <wp:align>left</wp:align>
            </wp:positionH>
            <wp:positionV relativeFrom="page">
              <wp:posOffset>5080</wp:posOffset>
            </wp:positionV>
            <wp:extent cx="7592060" cy="10738485"/>
            <wp:effectExtent l="0" t="0" r="8890" b="5715"/>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060" cy="10738485"/>
                    </a:xfrm>
                    <a:prstGeom prst="rect">
                      <a:avLst/>
                    </a:prstGeom>
                  </pic:spPr>
                </pic:pic>
              </a:graphicData>
            </a:graphic>
            <wp14:sizeRelH relativeFrom="margin">
              <wp14:pctWidth>0</wp14:pctWidth>
            </wp14:sizeRelH>
            <wp14:sizeRelV relativeFrom="margin">
              <wp14:pctHeight>0</wp14:pctHeight>
            </wp14:sizeRelV>
          </wp:anchor>
        </w:drawing>
      </w:r>
      <w:r w:rsidR="0035219F" w:rsidRPr="00BD6BC6">
        <w:br w:type="page"/>
      </w:r>
    </w:p>
    <w:p w14:paraId="3552DFD2" w14:textId="77777777" w:rsidR="008C2111" w:rsidRPr="00BD6BC6" w:rsidRDefault="008C2111">
      <w:pPr>
        <w:pStyle w:val="Versionanddate"/>
        <w:sectPr w:rsidR="008C2111" w:rsidRPr="00BD6BC6" w:rsidSect="008C2111">
          <w:headerReference w:type="default" r:id="rId9"/>
          <w:pgSz w:w="11906" w:h="16838" w:code="9"/>
          <w:pgMar w:top="2041" w:right="3232" w:bottom="1021" w:left="1021" w:header="680" w:footer="510" w:gutter="0"/>
          <w:pgNumType w:start="1"/>
          <w:cols w:space="708"/>
          <w:docGrid w:linePitch="360"/>
        </w:sectPr>
      </w:pPr>
    </w:p>
    <w:p w14:paraId="47614B9D" w14:textId="09CA8CF8" w:rsidR="00BC1032" w:rsidRPr="00BD6BC6" w:rsidRDefault="00AA422B" w:rsidP="00BE1D05">
      <w:pPr>
        <w:pStyle w:val="Report"/>
      </w:pPr>
      <w:r w:rsidRPr="00BD6BC6">
        <w:lastRenderedPageBreak/>
        <w:t>Cost-Shifting and Cross-</w:t>
      </w:r>
      <w:r w:rsidR="00A50E52" w:rsidRPr="00BD6BC6">
        <w:t>Border Dispute Resolution</w:t>
      </w:r>
      <w:r w:rsidR="00CA6E37">
        <w:t xml:space="preserve"> Policy</w:t>
      </w:r>
      <w:r w:rsidR="00A50E52" w:rsidRPr="00BD6BC6">
        <w:t xml:space="preserve"> </w:t>
      </w:r>
      <w:r w:rsidR="00BC1032" w:rsidRPr="00BD6BC6">
        <w:t>–</w:t>
      </w:r>
      <w:r w:rsidR="0032673C" w:rsidRPr="00BD6BC6">
        <w:t xml:space="preserve"> </w:t>
      </w:r>
      <w:r w:rsidR="00A50E52" w:rsidRPr="00BD6BC6">
        <w:t xml:space="preserve">Version </w:t>
      </w:r>
      <w:r w:rsidR="00C032A1">
        <w:t>5</w:t>
      </w:r>
      <w:r w:rsidR="00533E90" w:rsidRPr="00BD6BC6">
        <w:t>.0</w:t>
      </w:r>
      <w:r w:rsidR="00262488" w:rsidRPr="00BD6BC6">
        <w:t xml:space="preserve"> </w:t>
      </w:r>
      <w:r w:rsidR="0062460C">
        <w:t>May</w:t>
      </w:r>
      <w:r w:rsidR="00C032A1">
        <w:t> </w:t>
      </w:r>
      <w:r w:rsidR="00262488" w:rsidRPr="00BD6BC6">
        <w:t>20</w:t>
      </w:r>
      <w:r w:rsidR="00A06FC2" w:rsidRPr="00BD6BC6">
        <w:t>2</w:t>
      </w:r>
      <w:r w:rsidR="00C032A1">
        <w:t>2</w:t>
      </w:r>
    </w:p>
    <w:p w14:paraId="7A9E9515" w14:textId="77777777" w:rsidR="00BC1032" w:rsidRPr="00BD6BC6" w:rsidRDefault="00BC1032" w:rsidP="00BC1032"/>
    <w:p w14:paraId="30CA38AC" w14:textId="3A8EB885" w:rsidR="00BC1032" w:rsidRPr="00BD6BC6" w:rsidRDefault="00BC1032" w:rsidP="00BC1032">
      <w:r w:rsidRPr="00BD6BC6">
        <w:t xml:space="preserve">© Independent Hospital Pricing Authority </w:t>
      </w:r>
      <w:r w:rsidR="00533E90" w:rsidRPr="00BD6BC6">
        <w:t>202</w:t>
      </w:r>
      <w:r w:rsidR="00FA5E15">
        <w:t>2</w:t>
      </w:r>
    </w:p>
    <w:p w14:paraId="58ECE3A4" w14:textId="77777777" w:rsidR="00BC1032" w:rsidRPr="00BD6BC6" w:rsidRDefault="00BC1032" w:rsidP="00BC1032">
      <w:r w:rsidRPr="00BD6BC6">
        <w:t xml:space="preserve">This publication is available for your use under a </w:t>
      </w:r>
      <w:hyperlink r:id="rId10" w:history="1">
        <w:r w:rsidRPr="00BD6BC6">
          <w:t>Creative Commons BY Attribution 3.0 Australia</w:t>
        </w:r>
      </w:hyperlink>
      <w:r w:rsidRPr="00BD6BC6">
        <w:t xml:space="preserve"> licence, with the exception of the Independent Hospital Pricing Authority logo, photographs, images, signatures and where otherwise stated. The full licence terms are available from </w:t>
      </w:r>
      <w:hyperlink r:id="rId11" w:history="1">
        <w:r w:rsidRPr="00BD6BC6">
          <w:t>the Creative Commons website</w:t>
        </w:r>
      </w:hyperlink>
      <w:r w:rsidRPr="00BD6BC6">
        <w:t>.</w:t>
      </w:r>
    </w:p>
    <w:p w14:paraId="12E5FD85" w14:textId="77777777" w:rsidR="00BC1032" w:rsidRPr="00BD6BC6" w:rsidRDefault="00BC1032" w:rsidP="00BC1032">
      <w:r w:rsidRPr="00BD6BC6">
        <w:rPr>
          <w:rFonts w:cs="Calibri"/>
          <w:noProof/>
          <w:sz w:val="24"/>
        </w:rPr>
        <w:drawing>
          <wp:inline distT="0" distB="0" distL="0" distR="0" wp14:anchorId="1DC74E09" wp14:editId="0209746F">
            <wp:extent cx="804087" cy="285750"/>
            <wp:effectExtent l="0" t="0" r="0" b="0"/>
            <wp:docPr id="10" name="Picture 10" descr="Licence Mark" title="Creative Commons BY Attribution 3.0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04087" cy="285750"/>
                    </a:xfrm>
                    <a:prstGeom prst="rect">
                      <a:avLst/>
                    </a:prstGeom>
                    <a:noFill/>
                    <a:ln>
                      <a:noFill/>
                    </a:ln>
                  </pic:spPr>
                </pic:pic>
              </a:graphicData>
            </a:graphic>
          </wp:inline>
        </w:drawing>
      </w:r>
    </w:p>
    <w:p w14:paraId="1C3BA339" w14:textId="77777777" w:rsidR="00BC1032" w:rsidRPr="00BD6BC6" w:rsidRDefault="00BC1032" w:rsidP="00BC1032">
      <w:r w:rsidRPr="00BD6BC6">
        <w:t xml:space="preserve">Use of Independent Hospital Pricing Authority material under a </w:t>
      </w:r>
      <w:hyperlink r:id="rId13" w:history="1">
        <w:r w:rsidRPr="00BD6BC6">
          <w:t>Creative Commons BY Attribution 3.0 Australia</w:t>
        </w:r>
      </w:hyperlink>
      <w:r w:rsidRPr="00BD6BC6">
        <w:t xml:space="preserve"> licence requires you to attribute the work (but not in any way that suggests that the Independent Hospital Pricing Authority endorses you or your use of the work).</w:t>
      </w:r>
    </w:p>
    <w:p w14:paraId="36F17542" w14:textId="77777777" w:rsidR="00BC1032" w:rsidRPr="00BD6BC6" w:rsidRDefault="00BC1032" w:rsidP="00BC1032">
      <w:pPr>
        <w:rPr>
          <w:i/>
        </w:rPr>
      </w:pPr>
      <w:r w:rsidRPr="00BD6BC6">
        <w:rPr>
          <w:i/>
        </w:rPr>
        <w:t>Independent Hospital Pricing Authority material used 'as supplied'.</w:t>
      </w:r>
    </w:p>
    <w:p w14:paraId="682C3D9D" w14:textId="77777777" w:rsidR="00BC1032" w:rsidRPr="00BD6BC6" w:rsidRDefault="00BC1032" w:rsidP="00BC1032">
      <w:r w:rsidRPr="00BD6BC6">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0444ABAC" w14:textId="77777777" w:rsidR="00BC1032" w:rsidRPr="00BD6BC6" w:rsidRDefault="00BC1032" w:rsidP="00BC1032">
      <w:pPr>
        <w:pStyle w:val="NormalIndent"/>
        <w:rPr>
          <w:i/>
        </w:rPr>
      </w:pPr>
      <w:r w:rsidRPr="00BD6BC6">
        <w:rPr>
          <w:i/>
        </w:rPr>
        <w:t>Source: The Independent Hospital Pricing Authority</w:t>
      </w:r>
      <w:r w:rsidRPr="00BD6BC6">
        <w:rPr>
          <w:i/>
        </w:rPr>
        <w:br w:type="page"/>
      </w:r>
    </w:p>
    <w:p w14:paraId="597A8DB8" w14:textId="77777777" w:rsidR="00BE1D05" w:rsidRPr="00BD6BC6" w:rsidRDefault="00BD77E3" w:rsidP="00D2320A">
      <w:pPr>
        <w:pStyle w:val="TOCHeading"/>
      </w:pPr>
      <w:r w:rsidRPr="00BD6BC6">
        <w:lastRenderedPageBreak/>
        <w:t xml:space="preserve">Table of </w:t>
      </w:r>
      <w:r w:rsidR="00752A75" w:rsidRPr="00BD6BC6">
        <w:t>c</w:t>
      </w:r>
      <w:r w:rsidRPr="00BD6BC6">
        <w:t>ontents</w:t>
      </w:r>
      <w:bookmarkStart w:id="1" w:name="_Toc482364308"/>
    </w:p>
    <w:p w14:paraId="4809AC9E" w14:textId="77777777" w:rsidR="00FC7311" w:rsidRDefault="00FC7311">
      <w:pPr>
        <w:pStyle w:val="TOC1"/>
        <w:tabs>
          <w:tab w:val="right" w:leader="dot" w:pos="9435"/>
        </w:tabs>
        <w:rPr>
          <w:b w:val="0"/>
          <w:lang w:eastAsia="en-US"/>
        </w:rPr>
      </w:pPr>
    </w:p>
    <w:p w14:paraId="49F383D0" w14:textId="3145B20C" w:rsidR="00F056A0" w:rsidRDefault="004551DC">
      <w:pPr>
        <w:pStyle w:val="TOC1"/>
        <w:tabs>
          <w:tab w:val="right" w:leader="dot" w:pos="9435"/>
        </w:tabs>
        <w:rPr>
          <w:rFonts w:asciiTheme="minorHAnsi" w:eastAsiaTheme="minorEastAsia" w:hAnsiTheme="minorHAnsi" w:cstheme="minorBidi"/>
          <w:b w:val="0"/>
          <w:szCs w:val="22"/>
        </w:rPr>
      </w:pPr>
      <w:r w:rsidRPr="00BD6BC6">
        <w:rPr>
          <w:b w:val="0"/>
          <w:lang w:eastAsia="en-US"/>
        </w:rPr>
        <w:fldChar w:fldCharType="begin"/>
      </w:r>
      <w:r w:rsidRPr="00BD6BC6">
        <w:rPr>
          <w:b w:val="0"/>
          <w:lang w:eastAsia="en-US"/>
        </w:rPr>
        <w:instrText xml:space="preserve"> TOC \o "1-3" \h \z \u </w:instrText>
      </w:r>
      <w:r w:rsidRPr="00BD6BC6">
        <w:rPr>
          <w:b w:val="0"/>
          <w:lang w:eastAsia="en-US"/>
        </w:rPr>
        <w:fldChar w:fldCharType="separate"/>
      </w:r>
      <w:hyperlink w:anchor="_Toc91157710" w:history="1">
        <w:r w:rsidR="00F056A0" w:rsidRPr="00261AB4">
          <w:rPr>
            <w:rStyle w:val="Hyperlink"/>
          </w:rPr>
          <w:t>Acronyms and abbreviations</w:t>
        </w:r>
        <w:r w:rsidR="00F056A0">
          <w:rPr>
            <w:webHidden/>
          </w:rPr>
          <w:tab/>
        </w:r>
        <w:r w:rsidR="00F056A0">
          <w:rPr>
            <w:webHidden/>
          </w:rPr>
          <w:fldChar w:fldCharType="begin"/>
        </w:r>
        <w:r w:rsidR="00F056A0">
          <w:rPr>
            <w:webHidden/>
          </w:rPr>
          <w:instrText xml:space="preserve"> PAGEREF _Toc91157710 \h </w:instrText>
        </w:r>
        <w:r w:rsidR="00F056A0">
          <w:rPr>
            <w:webHidden/>
          </w:rPr>
        </w:r>
        <w:r w:rsidR="00F056A0">
          <w:rPr>
            <w:webHidden/>
          </w:rPr>
          <w:fldChar w:fldCharType="separate"/>
        </w:r>
        <w:r w:rsidR="00265C0B">
          <w:rPr>
            <w:webHidden/>
          </w:rPr>
          <w:t>3</w:t>
        </w:r>
        <w:r w:rsidR="00F056A0">
          <w:rPr>
            <w:webHidden/>
          </w:rPr>
          <w:fldChar w:fldCharType="end"/>
        </w:r>
      </w:hyperlink>
    </w:p>
    <w:p w14:paraId="1E149848" w14:textId="04FE118E" w:rsidR="00F056A0" w:rsidRDefault="00E961F3">
      <w:pPr>
        <w:pStyle w:val="TOC1"/>
        <w:tabs>
          <w:tab w:val="right" w:leader="dot" w:pos="9435"/>
        </w:tabs>
        <w:rPr>
          <w:rFonts w:asciiTheme="minorHAnsi" w:eastAsiaTheme="minorEastAsia" w:hAnsiTheme="minorHAnsi" w:cstheme="minorBidi"/>
          <w:b w:val="0"/>
          <w:szCs w:val="22"/>
        </w:rPr>
      </w:pPr>
      <w:hyperlink w:anchor="_Toc91157711" w:history="1">
        <w:r w:rsidR="00F056A0" w:rsidRPr="00261AB4">
          <w:rPr>
            <w:rStyle w:val="Hyperlink"/>
          </w:rPr>
          <w:t>Definitions</w:t>
        </w:r>
        <w:r w:rsidR="00F056A0">
          <w:rPr>
            <w:webHidden/>
          </w:rPr>
          <w:tab/>
        </w:r>
        <w:r w:rsidR="00F056A0">
          <w:rPr>
            <w:webHidden/>
          </w:rPr>
          <w:fldChar w:fldCharType="begin"/>
        </w:r>
        <w:r w:rsidR="00F056A0">
          <w:rPr>
            <w:webHidden/>
          </w:rPr>
          <w:instrText xml:space="preserve"> PAGEREF _Toc91157711 \h </w:instrText>
        </w:r>
        <w:r w:rsidR="00F056A0">
          <w:rPr>
            <w:webHidden/>
          </w:rPr>
        </w:r>
        <w:r w:rsidR="00F056A0">
          <w:rPr>
            <w:webHidden/>
          </w:rPr>
          <w:fldChar w:fldCharType="separate"/>
        </w:r>
        <w:r w:rsidR="00265C0B">
          <w:rPr>
            <w:webHidden/>
          </w:rPr>
          <w:t>4</w:t>
        </w:r>
        <w:r w:rsidR="00F056A0">
          <w:rPr>
            <w:webHidden/>
          </w:rPr>
          <w:fldChar w:fldCharType="end"/>
        </w:r>
      </w:hyperlink>
    </w:p>
    <w:p w14:paraId="1722D435" w14:textId="2EFC7C20" w:rsidR="00F056A0" w:rsidRDefault="00E961F3">
      <w:pPr>
        <w:pStyle w:val="TOC1"/>
        <w:tabs>
          <w:tab w:val="left" w:pos="660"/>
          <w:tab w:val="right" w:leader="dot" w:pos="9435"/>
        </w:tabs>
        <w:rPr>
          <w:rFonts w:asciiTheme="minorHAnsi" w:eastAsiaTheme="minorEastAsia" w:hAnsiTheme="minorHAnsi" w:cstheme="minorBidi"/>
          <w:b w:val="0"/>
          <w:szCs w:val="22"/>
        </w:rPr>
      </w:pPr>
      <w:hyperlink w:anchor="_Toc91157712" w:history="1">
        <w:r w:rsidR="00F056A0" w:rsidRPr="00261AB4">
          <w:rPr>
            <w:rStyle w:val="Hyperlink"/>
          </w:rPr>
          <w:t xml:space="preserve">1. </w:t>
        </w:r>
        <w:r w:rsidR="00F056A0">
          <w:rPr>
            <w:rFonts w:asciiTheme="minorHAnsi" w:eastAsiaTheme="minorEastAsia" w:hAnsiTheme="minorHAnsi" w:cstheme="minorBidi"/>
            <w:b w:val="0"/>
            <w:szCs w:val="22"/>
          </w:rPr>
          <w:tab/>
        </w:r>
        <w:r w:rsidR="00F056A0" w:rsidRPr="00261AB4">
          <w:rPr>
            <w:rStyle w:val="Hyperlink"/>
          </w:rPr>
          <w:t>Executive summary</w:t>
        </w:r>
        <w:r w:rsidR="00F056A0">
          <w:rPr>
            <w:webHidden/>
          </w:rPr>
          <w:tab/>
        </w:r>
        <w:r w:rsidR="00F056A0">
          <w:rPr>
            <w:webHidden/>
          </w:rPr>
          <w:fldChar w:fldCharType="begin"/>
        </w:r>
        <w:r w:rsidR="00F056A0">
          <w:rPr>
            <w:webHidden/>
          </w:rPr>
          <w:instrText xml:space="preserve"> PAGEREF _Toc91157712 \h </w:instrText>
        </w:r>
        <w:r w:rsidR="00F056A0">
          <w:rPr>
            <w:webHidden/>
          </w:rPr>
        </w:r>
        <w:r w:rsidR="00F056A0">
          <w:rPr>
            <w:webHidden/>
          </w:rPr>
          <w:fldChar w:fldCharType="separate"/>
        </w:r>
        <w:r w:rsidR="00265C0B">
          <w:rPr>
            <w:webHidden/>
          </w:rPr>
          <w:t>6</w:t>
        </w:r>
        <w:r w:rsidR="00F056A0">
          <w:rPr>
            <w:webHidden/>
          </w:rPr>
          <w:fldChar w:fldCharType="end"/>
        </w:r>
      </w:hyperlink>
    </w:p>
    <w:p w14:paraId="2E33A4C3" w14:textId="5A2EA92F" w:rsidR="00F056A0" w:rsidRDefault="00E961F3">
      <w:pPr>
        <w:pStyle w:val="TOC2"/>
        <w:tabs>
          <w:tab w:val="left" w:pos="660"/>
          <w:tab w:val="right" w:leader="dot" w:pos="9435"/>
        </w:tabs>
        <w:rPr>
          <w:rFonts w:asciiTheme="minorHAnsi" w:eastAsiaTheme="minorEastAsia" w:hAnsiTheme="minorHAnsi" w:cstheme="minorBidi"/>
          <w:szCs w:val="22"/>
        </w:rPr>
      </w:pPr>
      <w:hyperlink w:anchor="_Toc91157713" w:history="1">
        <w:r w:rsidR="00F056A0" w:rsidRPr="00261AB4">
          <w:rPr>
            <w:rStyle w:val="Hyperlink"/>
          </w:rPr>
          <w:t>1.1</w:t>
        </w:r>
        <w:r w:rsidR="00F056A0">
          <w:rPr>
            <w:rFonts w:asciiTheme="minorHAnsi" w:eastAsiaTheme="minorEastAsia" w:hAnsiTheme="minorHAnsi" w:cstheme="minorBidi"/>
            <w:szCs w:val="22"/>
          </w:rPr>
          <w:tab/>
        </w:r>
        <w:r w:rsidR="00F056A0" w:rsidRPr="00261AB4">
          <w:rPr>
            <w:rStyle w:val="Hyperlink"/>
          </w:rPr>
          <w:t>Background</w:t>
        </w:r>
        <w:r w:rsidR="00F056A0">
          <w:rPr>
            <w:webHidden/>
          </w:rPr>
          <w:tab/>
        </w:r>
        <w:r w:rsidR="00F056A0">
          <w:rPr>
            <w:webHidden/>
          </w:rPr>
          <w:fldChar w:fldCharType="begin"/>
        </w:r>
        <w:r w:rsidR="00F056A0">
          <w:rPr>
            <w:webHidden/>
          </w:rPr>
          <w:instrText xml:space="preserve"> PAGEREF _Toc91157713 \h </w:instrText>
        </w:r>
        <w:r w:rsidR="00F056A0">
          <w:rPr>
            <w:webHidden/>
          </w:rPr>
        </w:r>
        <w:r w:rsidR="00F056A0">
          <w:rPr>
            <w:webHidden/>
          </w:rPr>
          <w:fldChar w:fldCharType="separate"/>
        </w:r>
        <w:r w:rsidR="00265C0B">
          <w:rPr>
            <w:webHidden/>
          </w:rPr>
          <w:t>6</w:t>
        </w:r>
        <w:r w:rsidR="00F056A0">
          <w:rPr>
            <w:webHidden/>
          </w:rPr>
          <w:fldChar w:fldCharType="end"/>
        </w:r>
      </w:hyperlink>
    </w:p>
    <w:p w14:paraId="0E448677" w14:textId="3F139763" w:rsidR="00F056A0" w:rsidRDefault="00E961F3">
      <w:pPr>
        <w:pStyle w:val="TOC2"/>
        <w:tabs>
          <w:tab w:val="left" w:pos="660"/>
          <w:tab w:val="right" w:leader="dot" w:pos="9435"/>
        </w:tabs>
        <w:rPr>
          <w:rFonts w:asciiTheme="minorHAnsi" w:eastAsiaTheme="minorEastAsia" w:hAnsiTheme="minorHAnsi" w:cstheme="minorBidi"/>
          <w:szCs w:val="22"/>
        </w:rPr>
      </w:pPr>
      <w:hyperlink w:anchor="_Toc91157714" w:history="1">
        <w:r w:rsidR="00F056A0" w:rsidRPr="00261AB4">
          <w:rPr>
            <w:rStyle w:val="Hyperlink"/>
          </w:rPr>
          <w:t>1.2</w:t>
        </w:r>
        <w:r w:rsidR="00F056A0">
          <w:rPr>
            <w:rFonts w:asciiTheme="minorHAnsi" w:eastAsiaTheme="minorEastAsia" w:hAnsiTheme="minorHAnsi" w:cstheme="minorBidi"/>
            <w:szCs w:val="22"/>
          </w:rPr>
          <w:tab/>
        </w:r>
        <w:r w:rsidR="00F056A0" w:rsidRPr="00261AB4">
          <w:rPr>
            <w:rStyle w:val="Hyperlink"/>
          </w:rPr>
          <w:t>Purpose</w:t>
        </w:r>
        <w:r w:rsidR="00F056A0">
          <w:rPr>
            <w:webHidden/>
          </w:rPr>
          <w:tab/>
        </w:r>
        <w:r w:rsidR="00F056A0">
          <w:rPr>
            <w:webHidden/>
          </w:rPr>
          <w:fldChar w:fldCharType="begin"/>
        </w:r>
        <w:r w:rsidR="00F056A0">
          <w:rPr>
            <w:webHidden/>
          </w:rPr>
          <w:instrText xml:space="preserve"> PAGEREF _Toc91157714 \h </w:instrText>
        </w:r>
        <w:r w:rsidR="00F056A0">
          <w:rPr>
            <w:webHidden/>
          </w:rPr>
        </w:r>
        <w:r w:rsidR="00F056A0">
          <w:rPr>
            <w:webHidden/>
          </w:rPr>
          <w:fldChar w:fldCharType="separate"/>
        </w:r>
        <w:r w:rsidR="00265C0B">
          <w:rPr>
            <w:webHidden/>
          </w:rPr>
          <w:t>6</w:t>
        </w:r>
        <w:r w:rsidR="00F056A0">
          <w:rPr>
            <w:webHidden/>
          </w:rPr>
          <w:fldChar w:fldCharType="end"/>
        </w:r>
      </w:hyperlink>
    </w:p>
    <w:p w14:paraId="75E72A7D" w14:textId="32EBF6B8" w:rsidR="00F056A0" w:rsidRDefault="00E961F3">
      <w:pPr>
        <w:pStyle w:val="TOC2"/>
        <w:tabs>
          <w:tab w:val="left" w:pos="660"/>
          <w:tab w:val="right" w:leader="dot" w:pos="9435"/>
        </w:tabs>
        <w:rPr>
          <w:rFonts w:asciiTheme="minorHAnsi" w:eastAsiaTheme="minorEastAsia" w:hAnsiTheme="minorHAnsi" w:cstheme="minorBidi"/>
          <w:szCs w:val="22"/>
        </w:rPr>
      </w:pPr>
      <w:hyperlink w:anchor="_Toc91157715" w:history="1">
        <w:r w:rsidR="00F056A0" w:rsidRPr="00261AB4">
          <w:rPr>
            <w:rStyle w:val="Hyperlink"/>
          </w:rPr>
          <w:t>1.3</w:t>
        </w:r>
        <w:r w:rsidR="00F056A0">
          <w:rPr>
            <w:rFonts w:asciiTheme="minorHAnsi" w:eastAsiaTheme="minorEastAsia" w:hAnsiTheme="minorHAnsi" w:cstheme="minorBidi"/>
            <w:szCs w:val="22"/>
          </w:rPr>
          <w:tab/>
        </w:r>
        <w:r w:rsidR="00F056A0" w:rsidRPr="00261AB4">
          <w:rPr>
            <w:rStyle w:val="Hyperlink"/>
          </w:rPr>
          <w:t>Timeframes</w:t>
        </w:r>
        <w:r w:rsidR="00F056A0">
          <w:rPr>
            <w:webHidden/>
          </w:rPr>
          <w:tab/>
        </w:r>
        <w:r w:rsidR="00F056A0">
          <w:rPr>
            <w:webHidden/>
          </w:rPr>
          <w:fldChar w:fldCharType="begin"/>
        </w:r>
        <w:r w:rsidR="00F056A0">
          <w:rPr>
            <w:webHidden/>
          </w:rPr>
          <w:instrText xml:space="preserve"> PAGEREF _Toc91157715 \h </w:instrText>
        </w:r>
        <w:r w:rsidR="00F056A0">
          <w:rPr>
            <w:webHidden/>
          </w:rPr>
        </w:r>
        <w:r w:rsidR="00F056A0">
          <w:rPr>
            <w:webHidden/>
          </w:rPr>
          <w:fldChar w:fldCharType="separate"/>
        </w:r>
        <w:r w:rsidR="00265C0B">
          <w:rPr>
            <w:webHidden/>
          </w:rPr>
          <w:t>6</w:t>
        </w:r>
        <w:r w:rsidR="00F056A0">
          <w:rPr>
            <w:webHidden/>
          </w:rPr>
          <w:fldChar w:fldCharType="end"/>
        </w:r>
      </w:hyperlink>
    </w:p>
    <w:p w14:paraId="40560482" w14:textId="3327E897" w:rsidR="00F056A0" w:rsidRDefault="00E961F3">
      <w:pPr>
        <w:pStyle w:val="TOC2"/>
        <w:tabs>
          <w:tab w:val="left" w:pos="660"/>
          <w:tab w:val="right" w:leader="dot" w:pos="9435"/>
        </w:tabs>
        <w:rPr>
          <w:rFonts w:asciiTheme="minorHAnsi" w:eastAsiaTheme="minorEastAsia" w:hAnsiTheme="minorHAnsi" w:cstheme="minorBidi"/>
          <w:szCs w:val="22"/>
        </w:rPr>
      </w:pPr>
      <w:hyperlink w:anchor="_Toc91157716" w:history="1">
        <w:r w:rsidR="00F056A0" w:rsidRPr="00261AB4">
          <w:rPr>
            <w:rStyle w:val="Hyperlink"/>
          </w:rPr>
          <w:t>1.4</w:t>
        </w:r>
        <w:r w:rsidR="00F056A0">
          <w:rPr>
            <w:rFonts w:asciiTheme="minorHAnsi" w:eastAsiaTheme="minorEastAsia" w:hAnsiTheme="minorHAnsi" w:cstheme="minorBidi"/>
            <w:szCs w:val="22"/>
          </w:rPr>
          <w:tab/>
        </w:r>
        <w:r w:rsidR="00F056A0" w:rsidRPr="00261AB4">
          <w:rPr>
            <w:rStyle w:val="Hyperlink"/>
          </w:rPr>
          <w:t>Review</w:t>
        </w:r>
        <w:r w:rsidR="00F056A0">
          <w:rPr>
            <w:webHidden/>
          </w:rPr>
          <w:tab/>
        </w:r>
        <w:r w:rsidR="00F056A0">
          <w:rPr>
            <w:webHidden/>
          </w:rPr>
          <w:fldChar w:fldCharType="begin"/>
        </w:r>
        <w:r w:rsidR="00F056A0">
          <w:rPr>
            <w:webHidden/>
          </w:rPr>
          <w:instrText xml:space="preserve"> PAGEREF _Toc91157716 \h </w:instrText>
        </w:r>
        <w:r w:rsidR="00F056A0">
          <w:rPr>
            <w:webHidden/>
          </w:rPr>
        </w:r>
        <w:r w:rsidR="00F056A0">
          <w:rPr>
            <w:webHidden/>
          </w:rPr>
          <w:fldChar w:fldCharType="separate"/>
        </w:r>
        <w:r w:rsidR="00265C0B">
          <w:rPr>
            <w:webHidden/>
          </w:rPr>
          <w:t>7</w:t>
        </w:r>
        <w:r w:rsidR="00F056A0">
          <w:rPr>
            <w:webHidden/>
          </w:rPr>
          <w:fldChar w:fldCharType="end"/>
        </w:r>
      </w:hyperlink>
    </w:p>
    <w:p w14:paraId="3EF7B5E2" w14:textId="74763051" w:rsidR="00F056A0" w:rsidRDefault="00E961F3">
      <w:pPr>
        <w:pStyle w:val="TOC1"/>
        <w:tabs>
          <w:tab w:val="left" w:pos="660"/>
          <w:tab w:val="right" w:leader="dot" w:pos="9435"/>
        </w:tabs>
        <w:rPr>
          <w:rFonts w:asciiTheme="minorHAnsi" w:eastAsiaTheme="minorEastAsia" w:hAnsiTheme="minorHAnsi" w:cstheme="minorBidi"/>
          <w:b w:val="0"/>
          <w:szCs w:val="22"/>
        </w:rPr>
      </w:pPr>
      <w:hyperlink w:anchor="_Toc91157717" w:history="1">
        <w:r w:rsidR="00F056A0" w:rsidRPr="00261AB4">
          <w:rPr>
            <w:rStyle w:val="Hyperlink"/>
          </w:rPr>
          <w:t>2.</w:t>
        </w:r>
        <w:r w:rsidR="00F056A0">
          <w:rPr>
            <w:rFonts w:asciiTheme="minorHAnsi" w:eastAsiaTheme="minorEastAsia" w:hAnsiTheme="minorHAnsi" w:cstheme="minorBidi"/>
            <w:b w:val="0"/>
            <w:szCs w:val="22"/>
          </w:rPr>
          <w:tab/>
        </w:r>
        <w:r w:rsidR="00F056A0" w:rsidRPr="00261AB4">
          <w:rPr>
            <w:rStyle w:val="Hyperlink"/>
          </w:rPr>
          <w:t>Dispute resolution principles</w:t>
        </w:r>
        <w:r w:rsidR="00F056A0">
          <w:rPr>
            <w:webHidden/>
          </w:rPr>
          <w:tab/>
        </w:r>
        <w:r w:rsidR="00F056A0">
          <w:rPr>
            <w:webHidden/>
          </w:rPr>
          <w:fldChar w:fldCharType="begin"/>
        </w:r>
        <w:r w:rsidR="00F056A0">
          <w:rPr>
            <w:webHidden/>
          </w:rPr>
          <w:instrText xml:space="preserve"> PAGEREF _Toc91157717 \h </w:instrText>
        </w:r>
        <w:r w:rsidR="00F056A0">
          <w:rPr>
            <w:webHidden/>
          </w:rPr>
        </w:r>
        <w:r w:rsidR="00F056A0">
          <w:rPr>
            <w:webHidden/>
          </w:rPr>
          <w:fldChar w:fldCharType="separate"/>
        </w:r>
        <w:r w:rsidR="00265C0B">
          <w:rPr>
            <w:webHidden/>
          </w:rPr>
          <w:t>8</w:t>
        </w:r>
        <w:r w:rsidR="00F056A0">
          <w:rPr>
            <w:webHidden/>
          </w:rPr>
          <w:fldChar w:fldCharType="end"/>
        </w:r>
      </w:hyperlink>
    </w:p>
    <w:p w14:paraId="400983F5" w14:textId="2CD785BA" w:rsidR="00F056A0" w:rsidRDefault="00E961F3">
      <w:pPr>
        <w:pStyle w:val="TOC1"/>
        <w:tabs>
          <w:tab w:val="left" w:pos="660"/>
          <w:tab w:val="right" w:leader="dot" w:pos="9435"/>
        </w:tabs>
        <w:rPr>
          <w:rFonts w:asciiTheme="minorHAnsi" w:eastAsiaTheme="minorEastAsia" w:hAnsiTheme="minorHAnsi" w:cstheme="minorBidi"/>
          <w:b w:val="0"/>
          <w:szCs w:val="22"/>
        </w:rPr>
      </w:pPr>
      <w:hyperlink w:anchor="_Toc91157718" w:history="1">
        <w:r w:rsidR="00F056A0" w:rsidRPr="00261AB4">
          <w:rPr>
            <w:rStyle w:val="Hyperlink"/>
          </w:rPr>
          <w:t>3.</w:t>
        </w:r>
        <w:r w:rsidR="00F056A0">
          <w:rPr>
            <w:rFonts w:asciiTheme="minorHAnsi" w:eastAsiaTheme="minorEastAsia" w:hAnsiTheme="minorHAnsi" w:cstheme="minorBidi"/>
            <w:b w:val="0"/>
            <w:szCs w:val="22"/>
          </w:rPr>
          <w:tab/>
        </w:r>
        <w:r w:rsidR="00F056A0" w:rsidRPr="00261AB4">
          <w:rPr>
            <w:rStyle w:val="Hyperlink"/>
          </w:rPr>
          <w:t>Cost-shifting dispute resolution</w:t>
        </w:r>
        <w:r w:rsidR="00F056A0">
          <w:rPr>
            <w:webHidden/>
          </w:rPr>
          <w:tab/>
        </w:r>
        <w:r w:rsidR="00F056A0">
          <w:rPr>
            <w:webHidden/>
          </w:rPr>
          <w:fldChar w:fldCharType="begin"/>
        </w:r>
        <w:r w:rsidR="00F056A0">
          <w:rPr>
            <w:webHidden/>
          </w:rPr>
          <w:instrText xml:space="preserve"> PAGEREF _Toc91157718 \h </w:instrText>
        </w:r>
        <w:r w:rsidR="00F056A0">
          <w:rPr>
            <w:webHidden/>
          </w:rPr>
        </w:r>
        <w:r w:rsidR="00F056A0">
          <w:rPr>
            <w:webHidden/>
          </w:rPr>
          <w:fldChar w:fldCharType="separate"/>
        </w:r>
        <w:r w:rsidR="00265C0B">
          <w:rPr>
            <w:webHidden/>
          </w:rPr>
          <w:t>9</w:t>
        </w:r>
        <w:r w:rsidR="00F056A0">
          <w:rPr>
            <w:webHidden/>
          </w:rPr>
          <w:fldChar w:fldCharType="end"/>
        </w:r>
      </w:hyperlink>
    </w:p>
    <w:p w14:paraId="48181436" w14:textId="0CBE69C2" w:rsidR="00F056A0" w:rsidRDefault="00E961F3">
      <w:pPr>
        <w:pStyle w:val="TOC2"/>
        <w:tabs>
          <w:tab w:val="left" w:pos="660"/>
          <w:tab w:val="right" w:leader="dot" w:pos="9435"/>
        </w:tabs>
        <w:rPr>
          <w:rFonts w:asciiTheme="minorHAnsi" w:eastAsiaTheme="minorEastAsia" w:hAnsiTheme="minorHAnsi" w:cstheme="minorBidi"/>
          <w:szCs w:val="22"/>
        </w:rPr>
      </w:pPr>
      <w:hyperlink w:anchor="_Toc91157719" w:history="1">
        <w:r w:rsidR="00F056A0" w:rsidRPr="00261AB4">
          <w:rPr>
            <w:rStyle w:val="Hyperlink"/>
          </w:rPr>
          <w:t>3.1</w:t>
        </w:r>
        <w:r w:rsidR="00F056A0">
          <w:rPr>
            <w:rFonts w:asciiTheme="minorHAnsi" w:eastAsiaTheme="minorEastAsia" w:hAnsiTheme="minorHAnsi" w:cstheme="minorBidi"/>
            <w:szCs w:val="22"/>
          </w:rPr>
          <w:tab/>
        </w:r>
        <w:r w:rsidR="00F056A0" w:rsidRPr="00261AB4">
          <w:rPr>
            <w:rStyle w:val="Hyperlink"/>
          </w:rPr>
          <w:t>Scope</w:t>
        </w:r>
        <w:r w:rsidR="00F056A0">
          <w:rPr>
            <w:webHidden/>
          </w:rPr>
          <w:tab/>
        </w:r>
        <w:r w:rsidR="00F056A0">
          <w:rPr>
            <w:webHidden/>
          </w:rPr>
          <w:fldChar w:fldCharType="begin"/>
        </w:r>
        <w:r w:rsidR="00F056A0">
          <w:rPr>
            <w:webHidden/>
          </w:rPr>
          <w:instrText xml:space="preserve"> PAGEREF _Toc91157719 \h </w:instrText>
        </w:r>
        <w:r w:rsidR="00F056A0">
          <w:rPr>
            <w:webHidden/>
          </w:rPr>
        </w:r>
        <w:r w:rsidR="00F056A0">
          <w:rPr>
            <w:webHidden/>
          </w:rPr>
          <w:fldChar w:fldCharType="separate"/>
        </w:r>
        <w:r w:rsidR="00265C0B">
          <w:rPr>
            <w:webHidden/>
          </w:rPr>
          <w:t>9</w:t>
        </w:r>
        <w:r w:rsidR="00F056A0">
          <w:rPr>
            <w:webHidden/>
          </w:rPr>
          <w:fldChar w:fldCharType="end"/>
        </w:r>
      </w:hyperlink>
    </w:p>
    <w:p w14:paraId="5ECC3D06" w14:textId="19481CD0" w:rsidR="00F056A0" w:rsidRDefault="00E961F3">
      <w:pPr>
        <w:pStyle w:val="TOC2"/>
        <w:tabs>
          <w:tab w:val="left" w:pos="660"/>
          <w:tab w:val="right" w:leader="dot" w:pos="9435"/>
        </w:tabs>
        <w:rPr>
          <w:rFonts w:asciiTheme="minorHAnsi" w:eastAsiaTheme="minorEastAsia" w:hAnsiTheme="minorHAnsi" w:cstheme="minorBidi"/>
          <w:szCs w:val="22"/>
        </w:rPr>
      </w:pPr>
      <w:hyperlink w:anchor="_Toc91157720" w:history="1">
        <w:r w:rsidR="00F056A0" w:rsidRPr="00261AB4">
          <w:rPr>
            <w:rStyle w:val="Hyperlink"/>
          </w:rPr>
          <w:t>3.2</w:t>
        </w:r>
        <w:r w:rsidR="00F056A0">
          <w:rPr>
            <w:rFonts w:asciiTheme="minorHAnsi" w:eastAsiaTheme="minorEastAsia" w:hAnsiTheme="minorHAnsi" w:cstheme="minorBidi"/>
            <w:szCs w:val="22"/>
          </w:rPr>
          <w:tab/>
        </w:r>
        <w:r w:rsidR="00F056A0" w:rsidRPr="00261AB4">
          <w:rPr>
            <w:rStyle w:val="Hyperlink"/>
          </w:rPr>
          <w:t>Submissions</w:t>
        </w:r>
        <w:r w:rsidR="00F056A0">
          <w:rPr>
            <w:webHidden/>
          </w:rPr>
          <w:tab/>
        </w:r>
        <w:r w:rsidR="00F056A0">
          <w:rPr>
            <w:webHidden/>
          </w:rPr>
          <w:fldChar w:fldCharType="begin"/>
        </w:r>
        <w:r w:rsidR="00F056A0">
          <w:rPr>
            <w:webHidden/>
          </w:rPr>
          <w:instrText xml:space="preserve"> PAGEREF _Toc91157720 \h </w:instrText>
        </w:r>
        <w:r w:rsidR="00F056A0">
          <w:rPr>
            <w:webHidden/>
          </w:rPr>
        </w:r>
        <w:r w:rsidR="00F056A0">
          <w:rPr>
            <w:webHidden/>
          </w:rPr>
          <w:fldChar w:fldCharType="separate"/>
        </w:r>
        <w:r w:rsidR="00265C0B">
          <w:rPr>
            <w:webHidden/>
          </w:rPr>
          <w:t>9</w:t>
        </w:r>
        <w:r w:rsidR="00F056A0">
          <w:rPr>
            <w:webHidden/>
          </w:rPr>
          <w:fldChar w:fldCharType="end"/>
        </w:r>
      </w:hyperlink>
    </w:p>
    <w:p w14:paraId="5C4DEE1D" w14:textId="7BBD9E1F" w:rsidR="00F056A0" w:rsidRDefault="00E961F3">
      <w:pPr>
        <w:pStyle w:val="TOC2"/>
        <w:tabs>
          <w:tab w:val="left" w:pos="660"/>
          <w:tab w:val="right" w:leader="dot" w:pos="9435"/>
        </w:tabs>
        <w:rPr>
          <w:rFonts w:asciiTheme="minorHAnsi" w:eastAsiaTheme="minorEastAsia" w:hAnsiTheme="minorHAnsi" w:cstheme="minorBidi"/>
          <w:szCs w:val="22"/>
        </w:rPr>
      </w:pPr>
      <w:hyperlink w:anchor="_Toc91157721" w:history="1">
        <w:r w:rsidR="00F056A0" w:rsidRPr="00261AB4">
          <w:rPr>
            <w:rStyle w:val="Hyperlink"/>
          </w:rPr>
          <w:t>3.3</w:t>
        </w:r>
        <w:r w:rsidR="00F056A0">
          <w:rPr>
            <w:rFonts w:asciiTheme="minorHAnsi" w:eastAsiaTheme="minorEastAsia" w:hAnsiTheme="minorHAnsi" w:cstheme="minorBidi"/>
            <w:szCs w:val="22"/>
          </w:rPr>
          <w:tab/>
        </w:r>
        <w:r w:rsidR="00F056A0" w:rsidRPr="00261AB4">
          <w:rPr>
            <w:rStyle w:val="Hyperlink"/>
          </w:rPr>
          <w:t>Process</w:t>
        </w:r>
        <w:r w:rsidR="00F056A0">
          <w:rPr>
            <w:webHidden/>
          </w:rPr>
          <w:tab/>
        </w:r>
        <w:r w:rsidR="00F056A0">
          <w:rPr>
            <w:webHidden/>
          </w:rPr>
          <w:fldChar w:fldCharType="begin"/>
        </w:r>
        <w:r w:rsidR="00F056A0">
          <w:rPr>
            <w:webHidden/>
          </w:rPr>
          <w:instrText xml:space="preserve"> PAGEREF _Toc91157721 \h </w:instrText>
        </w:r>
        <w:r w:rsidR="00F056A0">
          <w:rPr>
            <w:webHidden/>
          </w:rPr>
        </w:r>
        <w:r w:rsidR="00F056A0">
          <w:rPr>
            <w:webHidden/>
          </w:rPr>
          <w:fldChar w:fldCharType="separate"/>
        </w:r>
        <w:r w:rsidR="00265C0B">
          <w:rPr>
            <w:webHidden/>
          </w:rPr>
          <w:t>10</w:t>
        </w:r>
        <w:r w:rsidR="00F056A0">
          <w:rPr>
            <w:webHidden/>
          </w:rPr>
          <w:fldChar w:fldCharType="end"/>
        </w:r>
      </w:hyperlink>
    </w:p>
    <w:p w14:paraId="39DEE43D" w14:textId="1858914A" w:rsidR="00F056A0" w:rsidRDefault="00E961F3">
      <w:pPr>
        <w:pStyle w:val="TOC1"/>
        <w:tabs>
          <w:tab w:val="left" w:pos="660"/>
          <w:tab w:val="right" w:leader="dot" w:pos="9435"/>
        </w:tabs>
        <w:rPr>
          <w:rFonts w:asciiTheme="minorHAnsi" w:eastAsiaTheme="minorEastAsia" w:hAnsiTheme="minorHAnsi" w:cstheme="minorBidi"/>
          <w:b w:val="0"/>
          <w:szCs w:val="22"/>
        </w:rPr>
      </w:pPr>
      <w:hyperlink w:anchor="_Toc91157727" w:history="1">
        <w:r w:rsidR="00F056A0" w:rsidRPr="00261AB4">
          <w:rPr>
            <w:rStyle w:val="Hyperlink"/>
          </w:rPr>
          <w:t>4.</w:t>
        </w:r>
        <w:r w:rsidR="00F056A0">
          <w:rPr>
            <w:rFonts w:asciiTheme="minorHAnsi" w:eastAsiaTheme="minorEastAsia" w:hAnsiTheme="minorHAnsi" w:cstheme="minorBidi"/>
            <w:b w:val="0"/>
            <w:szCs w:val="22"/>
          </w:rPr>
          <w:tab/>
        </w:r>
        <w:r w:rsidR="00F056A0" w:rsidRPr="00261AB4">
          <w:rPr>
            <w:rStyle w:val="Hyperlink"/>
          </w:rPr>
          <w:t>Cross-border dispute resolution</w:t>
        </w:r>
        <w:r w:rsidR="00F056A0">
          <w:rPr>
            <w:webHidden/>
          </w:rPr>
          <w:tab/>
        </w:r>
        <w:r w:rsidR="00F056A0">
          <w:rPr>
            <w:webHidden/>
          </w:rPr>
          <w:fldChar w:fldCharType="begin"/>
        </w:r>
        <w:r w:rsidR="00F056A0">
          <w:rPr>
            <w:webHidden/>
          </w:rPr>
          <w:instrText xml:space="preserve"> PAGEREF _Toc91157727 \h </w:instrText>
        </w:r>
        <w:r w:rsidR="00F056A0">
          <w:rPr>
            <w:webHidden/>
          </w:rPr>
        </w:r>
        <w:r w:rsidR="00F056A0">
          <w:rPr>
            <w:webHidden/>
          </w:rPr>
          <w:fldChar w:fldCharType="separate"/>
        </w:r>
        <w:r w:rsidR="00265C0B">
          <w:rPr>
            <w:webHidden/>
          </w:rPr>
          <w:t>15</w:t>
        </w:r>
        <w:r w:rsidR="00F056A0">
          <w:rPr>
            <w:webHidden/>
          </w:rPr>
          <w:fldChar w:fldCharType="end"/>
        </w:r>
      </w:hyperlink>
    </w:p>
    <w:p w14:paraId="36E6C497" w14:textId="2A37F742" w:rsidR="00F056A0" w:rsidRDefault="00E961F3">
      <w:pPr>
        <w:pStyle w:val="TOC2"/>
        <w:tabs>
          <w:tab w:val="left" w:pos="660"/>
          <w:tab w:val="right" w:leader="dot" w:pos="9435"/>
        </w:tabs>
        <w:rPr>
          <w:rFonts w:asciiTheme="minorHAnsi" w:eastAsiaTheme="minorEastAsia" w:hAnsiTheme="minorHAnsi" w:cstheme="minorBidi"/>
          <w:szCs w:val="22"/>
        </w:rPr>
      </w:pPr>
      <w:hyperlink w:anchor="_Toc91157728" w:history="1">
        <w:r w:rsidR="00F056A0" w:rsidRPr="00261AB4">
          <w:rPr>
            <w:rStyle w:val="Hyperlink"/>
          </w:rPr>
          <w:t>4.1</w:t>
        </w:r>
        <w:r w:rsidR="00F056A0">
          <w:rPr>
            <w:rFonts w:asciiTheme="minorHAnsi" w:eastAsiaTheme="minorEastAsia" w:hAnsiTheme="minorHAnsi" w:cstheme="minorBidi"/>
            <w:szCs w:val="22"/>
          </w:rPr>
          <w:tab/>
        </w:r>
        <w:r w:rsidR="00F056A0" w:rsidRPr="00261AB4">
          <w:rPr>
            <w:rStyle w:val="Hyperlink"/>
          </w:rPr>
          <w:t>Scope</w:t>
        </w:r>
        <w:r w:rsidR="00F056A0">
          <w:rPr>
            <w:webHidden/>
          </w:rPr>
          <w:tab/>
        </w:r>
        <w:r w:rsidR="00F056A0">
          <w:rPr>
            <w:webHidden/>
          </w:rPr>
          <w:fldChar w:fldCharType="begin"/>
        </w:r>
        <w:r w:rsidR="00F056A0">
          <w:rPr>
            <w:webHidden/>
          </w:rPr>
          <w:instrText xml:space="preserve"> PAGEREF _Toc91157728 \h </w:instrText>
        </w:r>
        <w:r w:rsidR="00F056A0">
          <w:rPr>
            <w:webHidden/>
          </w:rPr>
        </w:r>
        <w:r w:rsidR="00F056A0">
          <w:rPr>
            <w:webHidden/>
          </w:rPr>
          <w:fldChar w:fldCharType="separate"/>
        </w:r>
        <w:r w:rsidR="00265C0B">
          <w:rPr>
            <w:webHidden/>
          </w:rPr>
          <w:t>15</w:t>
        </w:r>
        <w:r w:rsidR="00F056A0">
          <w:rPr>
            <w:webHidden/>
          </w:rPr>
          <w:fldChar w:fldCharType="end"/>
        </w:r>
      </w:hyperlink>
    </w:p>
    <w:p w14:paraId="4E1092D2" w14:textId="12869E93" w:rsidR="00F056A0" w:rsidRDefault="00E961F3">
      <w:pPr>
        <w:pStyle w:val="TOC2"/>
        <w:tabs>
          <w:tab w:val="left" w:pos="660"/>
          <w:tab w:val="right" w:leader="dot" w:pos="9435"/>
        </w:tabs>
        <w:rPr>
          <w:rFonts w:asciiTheme="minorHAnsi" w:eastAsiaTheme="minorEastAsia" w:hAnsiTheme="minorHAnsi" w:cstheme="minorBidi"/>
          <w:szCs w:val="22"/>
        </w:rPr>
      </w:pPr>
      <w:hyperlink w:anchor="_Toc91157729" w:history="1">
        <w:r w:rsidR="00F056A0" w:rsidRPr="00261AB4">
          <w:rPr>
            <w:rStyle w:val="Hyperlink"/>
          </w:rPr>
          <w:t>4.2</w:t>
        </w:r>
        <w:r w:rsidR="00F056A0">
          <w:rPr>
            <w:rFonts w:asciiTheme="minorHAnsi" w:eastAsiaTheme="minorEastAsia" w:hAnsiTheme="minorHAnsi" w:cstheme="minorBidi"/>
            <w:szCs w:val="22"/>
          </w:rPr>
          <w:tab/>
        </w:r>
        <w:r w:rsidR="00F056A0" w:rsidRPr="00261AB4">
          <w:rPr>
            <w:rStyle w:val="Hyperlink"/>
          </w:rPr>
          <w:t>Cross-border activity</w:t>
        </w:r>
        <w:r w:rsidR="00F056A0">
          <w:rPr>
            <w:webHidden/>
          </w:rPr>
          <w:tab/>
        </w:r>
        <w:r w:rsidR="00F056A0">
          <w:rPr>
            <w:webHidden/>
          </w:rPr>
          <w:fldChar w:fldCharType="begin"/>
        </w:r>
        <w:r w:rsidR="00F056A0">
          <w:rPr>
            <w:webHidden/>
          </w:rPr>
          <w:instrText xml:space="preserve"> PAGEREF _Toc91157729 \h </w:instrText>
        </w:r>
        <w:r w:rsidR="00F056A0">
          <w:rPr>
            <w:webHidden/>
          </w:rPr>
        </w:r>
        <w:r w:rsidR="00F056A0">
          <w:rPr>
            <w:webHidden/>
          </w:rPr>
          <w:fldChar w:fldCharType="separate"/>
        </w:r>
        <w:r w:rsidR="00265C0B">
          <w:rPr>
            <w:webHidden/>
          </w:rPr>
          <w:t>15</w:t>
        </w:r>
        <w:r w:rsidR="00F056A0">
          <w:rPr>
            <w:webHidden/>
          </w:rPr>
          <w:fldChar w:fldCharType="end"/>
        </w:r>
      </w:hyperlink>
    </w:p>
    <w:p w14:paraId="6CDD6471" w14:textId="7163AB04" w:rsidR="00F056A0" w:rsidRDefault="00E961F3">
      <w:pPr>
        <w:pStyle w:val="TOC2"/>
        <w:tabs>
          <w:tab w:val="left" w:pos="660"/>
          <w:tab w:val="right" w:leader="dot" w:pos="9435"/>
        </w:tabs>
        <w:rPr>
          <w:rFonts w:asciiTheme="minorHAnsi" w:eastAsiaTheme="minorEastAsia" w:hAnsiTheme="minorHAnsi" w:cstheme="minorBidi"/>
          <w:szCs w:val="22"/>
        </w:rPr>
      </w:pPr>
      <w:hyperlink w:anchor="_Toc91157730" w:history="1">
        <w:r w:rsidR="00F056A0" w:rsidRPr="00261AB4">
          <w:rPr>
            <w:rStyle w:val="Hyperlink"/>
          </w:rPr>
          <w:t>4.3</w:t>
        </w:r>
        <w:r w:rsidR="00F056A0">
          <w:rPr>
            <w:rFonts w:asciiTheme="minorHAnsi" w:eastAsiaTheme="minorEastAsia" w:hAnsiTheme="minorHAnsi" w:cstheme="minorBidi"/>
            <w:szCs w:val="22"/>
          </w:rPr>
          <w:tab/>
        </w:r>
        <w:r w:rsidR="00F056A0" w:rsidRPr="00261AB4">
          <w:rPr>
            <w:rStyle w:val="Hyperlink"/>
          </w:rPr>
          <w:t>Process</w:t>
        </w:r>
        <w:r w:rsidR="00F056A0">
          <w:rPr>
            <w:webHidden/>
          </w:rPr>
          <w:tab/>
        </w:r>
        <w:r w:rsidR="00F056A0">
          <w:rPr>
            <w:webHidden/>
          </w:rPr>
          <w:fldChar w:fldCharType="begin"/>
        </w:r>
        <w:r w:rsidR="00F056A0">
          <w:rPr>
            <w:webHidden/>
          </w:rPr>
          <w:instrText xml:space="preserve"> PAGEREF _Toc91157730 \h </w:instrText>
        </w:r>
        <w:r w:rsidR="00F056A0">
          <w:rPr>
            <w:webHidden/>
          </w:rPr>
        </w:r>
        <w:r w:rsidR="00F056A0">
          <w:rPr>
            <w:webHidden/>
          </w:rPr>
          <w:fldChar w:fldCharType="separate"/>
        </w:r>
        <w:r w:rsidR="00265C0B">
          <w:rPr>
            <w:webHidden/>
          </w:rPr>
          <w:t>16</w:t>
        </w:r>
        <w:r w:rsidR="00F056A0">
          <w:rPr>
            <w:webHidden/>
          </w:rPr>
          <w:fldChar w:fldCharType="end"/>
        </w:r>
      </w:hyperlink>
    </w:p>
    <w:p w14:paraId="4539287C" w14:textId="23D447A6" w:rsidR="00F056A0" w:rsidRDefault="00E961F3">
      <w:pPr>
        <w:pStyle w:val="TOC1"/>
        <w:tabs>
          <w:tab w:val="left" w:pos="660"/>
          <w:tab w:val="right" w:leader="dot" w:pos="9435"/>
        </w:tabs>
        <w:rPr>
          <w:rFonts w:asciiTheme="minorHAnsi" w:eastAsiaTheme="minorEastAsia" w:hAnsiTheme="minorHAnsi" w:cstheme="minorBidi"/>
          <w:b w:val="0"/>
          <w:szCs w:val="22"/>
        </w:rPr>
      </w:pPr>
      <w:hyperlink w:anchor="_Toc91157737" w:history="1">
        <w:r w:rsidR="00F056A0" w:rsidRPr="00261AB4">
          <w:rPr>
            <w:rStyle w:val="Hyperlink"/>
          </w:rPr>
          <w:t>5.</w:t>
        </w:r>
        <w:r w:rsidR="00F056A0">
          <w:rPr>
            <w:rFonts w:asciiTheme="minorHAnsi" w:eastAsiaTheme="minorEastAsia" w:hAnsiTheme="minorHAnsi" w:cstheme="minorBidi"/>
            <w:b w:val="0"/>
            <w:szCs w:val="22"/>
          </w:rPr>
          <w:tab/>
        </w:r>
        <w:r w:rsidR="00F056A0" w:rsidRPr="00261AB4">
          <w:rPr>
            <w:rStyle w:val="Hyperlink"/>
          </w:rPr>
          <w:t>Complaint and enquiry process</w:t>
        </w:r>
        <w:r w:rsidR="00F056A0">
          <w:rPr>
            <w:webHidden/>
          </w:rPr>
          <w:tab/>
        </w:r>
        <w:r w:rsidR="00F056A0">
          <w:rPr>
            <w:webHidden/>
          </w:rPr>
          <w:fldChar w:fldCharType="begin"/>
        </w:r>
        <w:r w:rsidR="00F056A0">
          <w:rPr>
            <w:webHidden/>
          </w:rPr>
          <w:instrText xml:space="preserve"> PAGEREF _Toc91157737 \h </w:instrText>
        </w:r>
        <w:r w:rsidR="00F056A0">
          <w:rPr>
            <w:webHidden/>
          </w:rPr>
        </w:r>
        <w:r w:rsidR="00F056A0">
          <w:rPr>
            <w:webHidden/>
          </w:rPr>
          <w:fldChar w:fldCharType="separate"/>
        </w:r>
        <w:r w:rsidR="00265C0B">
          <w:rPr>
            <w:webHidden/>
          </w:rPr>
          <w:t>22</w:t>
        </w:r>
        <w:r w:rsidR="00F056A0">
          <w:rPr>
            <w:webHidden/>
          </w:rPr>
          <w:fldChar w:fldCharType="end"/>
        </w:r>
      </w:hyperlink>
    </w:p>
    <w:p w14:paraId="3CD2F0E4" w14:textId="5F130C51" w:rsidR="00F056A0" w:rsidRDefault="00E961F3">
      <w:pPr>
        <w:pStyle w:val="TOC2"/>
        <w:tabs>
          <w:tab w:val="left" w:pos="660"/>
          <w:tab w:val="right" w:leader="dot" w:pos="9435"/>
        </w:tabs>
        <w:rPr>
          <w:rFonts w:asciiTheme="minorHAnsi" w:eastAsiaTheme="minorEastAsia" w:hAnsiTheme="minorHAnsi" w:cstheme="minorBidi"/>
          <w:szCs w:val="22"/>
        </w:rPr>
      </w:pPr>
      <w:hyperlink w:anchor="_Toc91157738" w:history="1">
        <w:r w:rsidR="00F056A0" w:rsidRPr="00261AB4">
          <w:rPr>
            <w:rStyle w:val="Hyperlink"/>
          </w:rPr>
          <w:t>5.1</w:t>
        </w:r>
        <w:r w:rsidR="00F056A0">
          <w:rPr>
            <w:rFonts w:asciiTheme="minorHAnsi" w:eastAsiaTheme="minorEastAsia" w:hAnsiTheme="minorHAnsi" w:cstheme="minorBidi"/>
            <w:szCs w:val="22"/>
          </w:rPr>
          <w:tab/>
        </w:r>
        <w:r w:rsidR="00F056A0" w:rsidRPr="00261AB4">
          <w:rPr>
            <w:rStyle w:val="Hyperlink"/>
          </w:rPr>
          <w:t>Internal review process</w:t>
        </w:r>
        <w:r w:rsidR="00F056A0">
          <w:rPr>
            <w:webHidden/>
          </w:rPr>
          <w:tab/>
        </w:r>
        <w:r w:rsidR="00F056A0">
          <w:rPr>
            <w:webHidden/>
          </w:rPr>
          <w:fldChar w:fldCharType="begin"/>
        </w:r>
        <w:r w:rsidR="00F056A0">
          <w:rPr>
            <w:webHidden/>
          </w:rPr>
          <w:instrText xml:space="preserve"> PAGEREF _Toc91157738 \h </w:instrText>
        </w:r>
        <w:r w:rsidR="00F056A0">
          <w:rPr>
            <w:webHidden/>
          </w:rPr>
        </w:r>
        <w:r w:rsidR="00F056A0">
          <w:rPr>
            <w:webHidden/>
          </w:rPr>
          <w:fldChar w:fldCharType="separate"/>
        </w:r>
        <w:r w:rsidR="00265C0B">
          <w:rPr>
            <w:webHidden/>
          </w:rPr>
          <w:t>22</w:t>
        </w:r>
        <w:r w:rsidR="00F056A0">
          <w:rPr>
            <w:webHidden/>
          </w:rPr>
          <w:fldChar w:fldCharType="end"/>
        </w:r>
      </w:hyperlink>
    </w:p>
    <w:p w14:paraId="03703E7D" w14:textId="56520BCB" w:rsidR="00F056A0" w:rsidRDefault="00E961F3">
      <w:pPr>
        <w:pStyle w:val="TOC2"/>
        <w:tabs>
          <w:tab w:val="left" w:pos="660"/>
          <w:tab w:val="right" w:leader="dot" w:pos="9435"/>
        </w:tabs>
        <w:rPr>
          <w:rFonts w:asciiTheme="minorHAnsi" w:eastAsiaTheme="minorEastAsia" w:hAnsiTheme="minorHAnsi" w:cstheme="minorBidi"/>
          <w:szCs w:val="22"/>
        </w:rPr>
      </w:pPr>
      <w:hyperlink w:anchor="_Toc91157739" w:history="1">
        <w:r w:rsidR="00F056A0" w:rsidRPr="00261AB4">
          <w:rPr>
            <w:rStyle w:val="Hyperlink"/>
          </w:rPr>
          <w:t>5.2</w:t>
        </w:r>
        <w:r w:rsidR="00F056A0">
          <w:rPr>
            <w:rFonts w:asciiTheme="minorHAnsi" w:eastAsiaTheme="minorEastAsia" w:hAnsiTheme="minorHAnsi" w:cstheme="minorBidi"/>
            <w:szCs w:val="22"/>
          </w:rPr>
          <w:tab/>
        </w:r>
        <w:r w:rsidR="00F056A0" w:rsidRPr="00261AB4">
          <w:rPr>
            <w:rStyle w:val="Hyperlink"/>
          </w:rPr>
          <w:t>External review options</w:t>
        </w:r>
        <w:r w:rsidR="00F056A0">
          <w:rPr>
            <w:webHidden/>
          </w:rPr>
          <w:tab/>
        </w:r>
        <w:r w:rsidR="00F056A0">
          <w:rPr>
            <w:webHidden/>
          </w:rPr>
          <w:fldChar w:fldCharType="begin"/>
        </w:r>
        <w:r w:rsidR="00F056A0">
          <w:rPr>
            <w:webHidden/>
          </w:rPr>
          <w:instrText xml:space="preserve"> PAGEREF _Toc91157739 \h </w:instrText>
        </w:r>
        <w:r w:rsidR="00F056A0">
          <w:rPr>
            <w:webHidden/>
          </w:rPr>
        </w:r>
        <w:r w:rsidR="00F056A0">
          <w:rPr>
            <w:webHidden/>
          </w:rPr>
          <w:fldChar w:fldCharType="separate"/>
        </w:r>
        <w:r w:rsidR="00265C0B">
          <w:rPr>
            <w:webHidden/>
          </w:rPr>
          <w:t>22</w:t>
        </w:r>
        <w:r w:rsidR="00F056A0">
          <w:rPr>
            <w:webHidden/>
          </w:rPr>
          <w:fldChar w:fldCharType="end"/>
        </w:r>
      </w:hyperlink>
    </w:p>
    <w:p w14:paraId="2D81E581" w14:textId="726C8E21" w:rsidR="00F056A0" w:rsidRDefault="00E961F3">
      <w:pPr>
        <w:pStyle w:val="TOC1"/>
        <w:tabs>
          <w:tab w:val="right" w:leader="dot" w:pos="9435"/>
        </w:tabs>
        <w:rPr>
          <w:rFonts w:asciiTheme="minorHAnsi" w:eastAsiaTheme="minorEastAsia" w:hAnsiTheme="minorHAnsi" w:cstheme="minorBidi"/>
          <w:b w:val="0"/>
          <w:szCs w:val="22"/>
        </w:rPr>
      </w:pPr>
      <w:hyperlink w:anchor="_Toc91157742" w:history="1">
        <w:r w:rsidR="00F056A0" w:rsidRPr="00261AB4">
          <w:rPr>
            <w:rStyle w:val="Hyperlink"/>
          </w:rPr>
          <w:t>Appendix A: Cost-shifting</w:t>
        </w:r>
        <w:r w:rsidR="00F056A0" w:rsidRPr="00261AB4">
          <w:rPr>
            <w:rStyle w:val="Hyperlink"/>
            <w:rFonts w:cstheme="majorHAnsi"/>
          </w:rPr>
          <w:t xml:space="preserve"> – </w:t>
        </w:r>
        <w:r w:rsidR="00F056A0" w:rsidRPr="00261AB4">
          <w:rPr>
            <w:rStyle w:val="Hyperlink"/>
          </w:rPr>
          <w:t>Guidance on the evidence required to support an application for dispute resolution</w:t>
        </w:r>
        <w:r w:rsidR="00F056A0">
          <w:rPr>
            <w:webHidden/>
          </w:rPr>
          <w:tab/>
        </w:r>
        <w:r w:rsidR="00F056A0">
          <w:rPr>
            <w:webHidden/>
          </w:rPr>
          <w:fldChar w:fldCharType="begin"/>
        </w:r>
        <w:r w:rsidR="00F056A0">
          <w:rPr>
            <w:webHidden/>
          </w:rPr>
          <w:instrText xml:space="preserve"> PAGEREF _Toc91157742 \h </w:instrText>
        </w:r>
        <w:r w:rsidR="00F056A0">
          <w:rPr>
            <w:webHidden/>
          </w:rPr>
        </w:r>
        <w:r w:rsidR="00F056A0">
          <w:rPr>
            <w:webHidden/>
          </w:rPr>
          <w:fldChar w:fldCharType="separate"/>
        </w:r>
        <w:r w:rsidR="00265C0B">
          <w:rPr>
            <w:webHidden/>
          </w:rPr>
          <w:t>23</w:t>
        </w:r>
        <w:r w:rsidR="00F056A0">
          <w:rPr>
            <w:webHidden/>
          </w:rPr>
          <w:fldChar w:fldCharType="end"/>
        </w:r>
      </w:hyperlink>
    </w:p>
    <w:p w14:paraId="6B4E50B7" w14:textId="063AECB6" w:rsidR="00F056A0" w:rsidRDefault="00E961F3">
      <w:pPr>
        <w:pStyle w:val="TOC1"/>
        <w:tabs>
          <w:tab w:val="right" w:leader="dot" w:pos="9435"/>
        </w:tabs>
        <w:rPr>
          <w:rFonts w:asciiTheme="minorHAnsi" w:eastAsiaTheme="minorEastAsia" w:hAnsiTheme="minorHAnsi" w:cstheme="minorBidi"/>
          <w:b w:val="0"/>
          <w:szCs w:val="22"/>
        </w:rPr>
      </w:pPr>
      <w:hyperlink w:anchor="_Toc91157743" w:history="1">
        <w:r w:rsidR="00F056A0" w:rsidRPr="00261AB4">
          <w:rPr>
            <w:rStyle w:val="Hyperlink"/>
          </w:rPr>
          <w:t>Appendix B: Cross-border</w:t>
        </w:r>
        <w:r w:rsidR="00F056A0" w:rsidRPr="00261AB4">
          <w:rPr>
            <w:rStyle w:val="Hyperlink"/>
            <w:rFonts w:cstheme="majorHAnsi"/>
          </w:rPr>
          <w:t xml:space="preserve"> – </w:t>
        </w:r>
        <w:r w:rsidR="00F056A0" w:rsidRPr="00261AB4">
          <w:rPr>
            <w:rStyle w:val="Hyperlink"/>
          </w:rPr>
          <w:t>Guidance on the evidence required to support an application for dispute resolution</w:t>
        </w:r>
        <w:r w:rsidR="00F056A0">
          <w:rPr>
            <w:webHidden/>
          </w:rPr>
          <w:tab/>
        </w:r>
        <w:r w:rsidR="00F056A0">
          <w:rPr>
            <w:webHidden/>
          </w:rPr>
          <w:fldChar w:fldCharType="begin"/>
        </w:r>
        <w:r w:rsidR="00F056A0">
          <w:rPr>
            <w:webHidden/>
          </w:rPr>
          <w:instrText xml:space="preserve"> PAGEREF _Toc91157743 \h </w:instrText>
        </w:r>
        <w:r w:rsidR="00F056A0">
          <w:rPr>
            <w:webHidden/>
          </w:rPr>
        </w:r>
        <w:r w:rsidR="00F056A0">
          <w:rPr>
            <w:webHidden/>
          </w:rPr>
          <w:fldChar w:fldCharType="separate"/>
        </w:r>
        <w:r w:rsidR="00265C0B">
          <w:rPr>
            <w:webHidden/>
          </w:rPr>
          <w:t>25</w:t>
        </w:r>
        <w:r w:rsidR="00F056A0">
          <w:rPr>
            <w:webHidden/>
          </w:rPr>
          <w:fldChar w:fldCharType="end"/>
        </w:r>
      </w:hyperlink>
    </w:p>
    <w:p w14:paraId="404054D3" w14:textId="0D2E72B7" w:rsidR="009D66B7" w:rsidRPr="00BD6BC6" w:rsidRDefault="004551DC" w:rsidP="00E16F7F">
      <w:pPr>
        <w:pStyle w:val="TOC1"/>
        <w:tabs>
          <w:tab w:val="right" w:leader="dot" w:pos="9435"/>
        </w:tabs>
        <w:rPr>
          <w:b w:val="0"/>
          <w:lang w:eastAsia="en-US"/>
        </w:rPr>
      </w:pPr>
      <w:r w:rsidRPr="00BD6BC6">
        <w:rPr>
          <w:b w:val="0"/>
          <w:lang w:eastAsia="en-US"/>
        </w:rPr>
        <w:fldChar w:fldCharType="end"/>
      </w:r>
      <w:r w:rsidR="009D66B7" w:rsidRPr="00BD6BC6">
        <w:rPr>
          <w:lang w:eastAsia="en-US"/>
        </w:rPr>
        <w:br w:type="page"/>
      </w:r>
    </w:p>
    <w:p w14:paraId="2696B7D7" w14:textId="2C1081DD" w:rsidR="00276F66" w:rsidRPr="00BD6BC6" w:rsidRDefault="00276F66" w:rsidP="00D2320A">
      <w:pPr>
        <w:pStyle w:val="Heading1"/>
      </w:pPr>
      <w:bookmarkStart w:id="2" w:name="_Toc507599169"/>
      <w:bookmarkStart w:id="3" w:name="_Toc507611932"/>
      <w:bookmarkStart w:id="4" w:name="_Toc507612148"/>
      <w:bookmarkStart w:id="5" w:name="_Toc507612231"/>
      <w:bookmarkStart w:id="6" w:name="_Toc507613249"/>
      <w:bookmarkStart w:id="7" w:name="_Toc507613354"/>
      <w:bookmarkStart w:id="8" w:name="_Toc507613762"/>
      <w:bookmarkStart w:id="9" w:name="_Toc507614007"/>
      <w:bookmarkStart w:id="10" w:name="_Toc507614134"/>
      <w:bookmarkStart w:id="11" w:name="_Toc507614294"/>
      <w:bookmarkStart w:id="12" w:name="_Toc507614370"/>
      <w:bookmarkStart w:id="13" w:name="_Toc507614482"/>
      <w:bookmarkStart w:id="14" w:name="_Toc91157710"/>
      <w:r w:rsidRPr="00BD6BC6">
        <w:lastRenderedPageBreak/>
        <w:t xml:space="preserve">Acronyms and </w:t>
      </w:r>
      <w:r w:rsidR="00752A75" w:rsidRPr="00BD6BC6">
        <w:t>a</w:t>
      </w:r>
      <w:r w:rsidRPr="00BD6BC6">
        <w:t>bbreviations</w:t>
      </w:r>
      <w:bookmarkEnd w:id="1"/>
      <w:bookmarkEnd w:id="2"/>
      <w:bookmarkEnd w:id="3"/>
      <w:bookmarkEnd w:id="4"/>
      <w:bookmarkEnd w:id="5"/>
      <w:bookmarkEnd w:id="6"/>
      <w:bookmarkEnd w:id="7"/>
      <w:bookmarkEnd w:id="8"/>
      <w:bookmarkEnd w:id="9"/>
      <w:bookmarkEnd w:id="10"/>
      <w:bookmarkEnd w:id="11"/>
      <w:bookmarkEnd w:id="12"/>
      <w:bookmarkEnd w:id="13"/>
      <w:bookmarkEnd w:id="14"/>
    </w:p>
    <w:tbl>
      <w:tblPr>
        <w:tblW w:w="9223" w:type="dxa"/>
        <w:tblLook w:val="01E0" w:firstRow="1" w:lastRow="1" w:firstColumn="1" w:lastColumn="1" w:noHBand="0" w:noVBand="0"/>
        <w:tblDescription w:val="list of acronyms and abbreviations which appear in the Dispute Resolution Framework, version 2.0."/>
      </w:tblPr>
      <w:tblGrid>
        <w:gridCol w:w="2410"/>
        <w:gridCol w:w="6813"/>
      </w:tblGrid>
      <w:tr w:rsidR="00276F66" w:rsidRPr="00BD6BC6" w14:paraId="0BC7ED7F" w14:textId="77777777" w:rsidTr="00E16F7F">
        <w:tc>
          <w:tcPr>
            <w:tcW w:w="2410" w:type="dxa"/>
          </w:tcPr>
          <w:p w14:paraId="37A5B549" w14:textId="77777777" w:rsidR="00276F66" w:rsidRPr="00BD6BC6" w:rsidRDefault="00276F66" w:rsidP="0009465A">
            <w:pPr>
              <w:adjustRightInd w:val="0"/>
              <w:snapToGrid w:val="0"/>
              <w:spacing w:line="264" w:lineRule="auto"/>
              <w:rPr>
                <w:rFonts w:cs="Arial"/>
                <w:b/>
              </w:rPr>
            </w:pPr>
            <w:r w:rsidRPr="00BD6BC6">
              <w:rPr>
                <w:rFonts w:cs="Arial"/>
                <w:b/>
              </w:rPr>
              <w:t>CEO</w:t>
            </w:r>
          </w:p>
        </w:tc>
        <w:tc>
          <w:tcPr>
            <w:tcW w:w="6813" w:type="dxa"/>
          </w:tcPr>
          <w:p w14:paraId="6B28801E" w14:textId="641CD3C9" w:rsidR="00276F66" w:rsidRPr="00BD6BC6" w:rsidRDefault="00276F66" w:rsidP="00AC3586">
            <w:pPr>
              <w:adjustRightInd w:val="0"/>
              <w:snapToGrid w:val="0"/>
              <w:spacing w:line="264" w:lineRule="auto"/>
              <w:ind w:right="-103"/>
              <w:rPr>
                <w:rFonts w:cs="Arial"/>
              </w:rPr>
            </w:pPr>
            <w:r w:rsidRPr="00BD6BC6">
              <w:rPr>
                <w:rFonts w:cs="Arial"/>
              </w:rPr>
              <w:t>Chief Executive Officer</w:t>
            </w:r>
            <w:r w:rsidR="00194BCE" w:rsidRPr="00BD6BC6">
              <w:rPr>
                <w:rFonts w:cs="Arial"/>
              </w:rPr>
              <w:t xml:space="preserve"> of the Independent Hospital Pricing Authority</w:t>
            </w:r>
          </w:p>
        </w:tc>
      </w:tr>
      <w:tr w:rsidR="00276F66" w:rsidRPr="00BD6BC6" w14:paraId="43C1E775" w14:textId="77777777" w:rsidTr="00E16F7F">
        <w:tc>
          <w:tcPr>
            <w:tcW w:w="2410" w:type="dxa"/>
          </w:tcPr>
          <w:p w14:paraId="0FEED883" w14:textId="77777777" w:rsidR="00276F66" w:rsidRPr="00BD6BC6" w:rsidRDefault="00276F66" w:rsidP="0009465A">
            <w:pPr>
              <w:adjustRightInd w:val="0"/>
              <w:snapToGrid w:val="0"/>
              <w:spacing w:line="264" w:lineRule="auto"/>
              <w:rPr>
                <w:rFonts w:cs="Arial"/>
                <w:b/>
              </w:rPr>
            </w:pPr>
            <w:r w:rsidRPr="00BD6BC6">
              <w:rPr>
                <w:rFonts w:cs="Arial"/>
                <w:b/>
              </w:rPr>
              <w:t>IHPA</w:t>
            </w:r>
          </w:p>
        </w:tc>
        <w:tc>
          <w:tcPr>
            <w:tcW w:w="6813" w:type="dxa"/>
          </w:tcPr>
          <w:p w14:paraId="58F4D5FB" w14:textId="77777777" w:rsidR="00276F66" w:rsidRPr="00BD6BC6" w:rsidRDefault="00276F66" w:rsidP="0009465A">
            <w:pPr>
              <w:adjustRightInd w:val="0"/>
              <w:snapToGrid w:val="0"/>
              <w:spacing w:line="264" w:lineRule="auto"/>
              <w:rPr>
                <w:rFonts w:cs="Arial"/>
              </w:rPr>
            </w:pPr>
            <w:r w:rsidRPr="00BD6BC6">
              <w:rPr>
                <w:rFonts w:cs="Arial"/>
              </w:rPr>
              <w:t>Independent Hospital Pricing Authority</w:t>
            </w:r>
          </w:p>
        </w:tc>
      </w:tr>
      <w:tr w:rsidR="00276F66" w:rsidRPr="00BD6BC6" w14:paraId="1615AD7E" w14:textId="77777777" w:rsidTr="00E16F7F">
        <w:tc>
          <w:tcPr>
            <w:tcW w:w="2410" w:type="dxa"/>
          </w:tcPr>
          <w:p w14:paraId="00D95537" w14:textId="77777777" w:rsidR="00276F66" w:rsidRPr="00BD6BC6" w:rsidRDefault="00276F66" w:rsidP="0009465A">
            <w:pPr>
              <w:adjustRightInd w:val="0"/>
              <w:snapToGrid w:val="0"/>
              <w:spacing w:line="264" w:lineRule="auto"/>
              <w:rPr>
                <w:rFonts w:cs="Arial"/>
                <w:b/>
              </w:rPr>
            </w:pPr>
            <w:r w:rsidRPr="00BD6BC6">
              <w:rPr>
                <w:rFonts w:cs="Arial"/>
                <w:b/>
              </w:rPr>
              <w:t>NEP</w:t>
            </w:r>
          </w:p>
        </w:tc>
        <w:tc>
          <w:tcPr>
            <w:tcW w:w="6813" w:type="dxa"/>
          </w:tcPr>
          <w:p w14:paraId="2CA6CD10" w14:textId="7F0F081D" w:rsidR="00276F66" w:rsidRPr="00BD6BC6" w:rsidRDefault="00276F66" w:rsidP="00194BCE">
            <w:pPr>
              <w:adjustRightInd w:val="0"/>
              <w:snapToGrid w:val="0"/>
              <w:spacing w:line="264" w:lineRule="auto"/>
              <w:rPr>
                <w:rFonts w:cs="Arial"/>
              </w:rPr>
            </w:pPr>
            <w:r w:rsidRPr="00BD6BC6">
              <w:rPr>
                <w:rFonts w:cs="Arial"/>
              </w:rPr>
              <w:t xml:space="preserve">National </w:t>
            </w:r>
            <w:r w:rsidR="00194BCE" w:rsidRPr="00BD6BC6">
              <w:rPr>
                <w:rFonts w:cs="Arial"/>
              </w:rPr>
              <w:t>efficient price</w:t>
            </w:r>
          </w:p>
        </w:tc>
      </w:tr>
      <w:tr w:rsidR="00194BCE" w:rsidRPr="00BD6BC6" w14:paraId="2270EE81" w14:textId="77777777" w:rsidTr="00E16F7F">
        <w:tc>
          <w:tcPr>
            <w:tcW w:w="2410" w:type="dxa"/>
          </w:tcPr>
          <w:p w14:paraId="291988E8" w14:textId="3AD4583F" w:rsidR="00194BCE" w:rsidRPr="00BD6BC6" w:rsidRDefault="00194BCE" w:rsidP="0009465A">
            <w:pPr>
              <w:adjustRightInd w:val="0"/>
              <w:snapToGrid w:val="0"/>
              <w:spacing w:line="264" w:lineRule="auto"/>
              <w:rPr>
                <w:rFonts w:cs="Arial"/>
                <w:b/>
              </w:rPr>
            </w:pPr>
            <w:r w:rsidRPr="00BD6BC6">
              <w:rPr>
                <w:rFonts w:cs="Arial"/>
                <w:b/>
              </w:rPr>
              <w:t>Pricing Authority</w:t>
            </w:r>
          </w:p>
        </w:tc>
        <w:tc>
          <w:tcPr>
            <w:tcW w:w="6813" w:type="dxa"/>
          </w:tcPr>
          <w:p w14:paraId="53A60093" w14:textId="117722D9" w:rsidR="00194BCE" w:rsidRPr="00BD6BC6" w:rsidRDefault="00194BCE" w:rsidP="00194BCE">
            <w:pPr>
              <w:adjustRightInd w:val="0"/>
              <w:snapToGrid w:val="0"/>
              <w:spacing w:line="264" w:lineRule="auto"/>
              <w:rPr>
                <w:rFonts w:cs="Arial"/>
              </w:rPr>
            </w:pPr>
            <w:r w:rsidRPr="00BD6BC6">
              <w:rPr>
                <w:rFonts w:cs="Arial"/>
              </w:rPr>
              <w:t>The governing body of IHPA establish</w:t>
            </w:r>
            <w:r w:rsidR="0097596A" w:rsidRPr="00BD6BC6">
              <w:rPr>
                <w:rFonts w:cs="Arial"/>
              </w:rPr>
              <w:t>ed</w:t>
            </w:r>
            <w:r w:rsidRPr="00BD6BC6">
              <w:rPr>
                <w:rFonts w:cs="Arial"/>
              </w:rPr>
              <w:t xml:space="preserve"> under the </w:t>
            </w:r>
            <w:r w:rsidR="00E30897" w:rsidRPr="00BD6BC6">
              <w:rPr>
                <w:rFonts w:cs="Arial"/>
                <w:i/>
              </w:rPr>
              <w:t xml:space="preserve">National Health Reform Act 2011 </w:t>
            </w:r>
            <w:r w:rsidR="00E30897" w:rsidRPr="00BD6BC6">
              <w:rPr>
                <w:rFonts w:cs="Arial"/>
              </w:rPr>
              <w:t>(Cwlth)</w:t>
            </w:r>
          </w:p>
        </w:tc>
      </w:tr>
      <w:tr w:rsidR="00194BCE" w:rsidRPr="00BD6BC6" w14:paraId="4C09F715" w14:textId="77777777" w:rsidTr="00E16F7F">
        <w:tc>
          <w:tcPr>
            <w:tcW w:w="2410" w:type="dxa"/>
          </w:tcPr>
          <w:p w14:paraId="6608CD6A" w14:textId="1758C3F9" w:rsidR="00194BCE" w:rsidRPr="00BD6BC6" w:rsidRDefault="00194BCE" w:rsidP="0009465A">
            <w:pPr>
              <w:adjustRightInd w:val="0"/>
              <w:snapToGrid w:val="0"/>
              <w:spacing w:line="264" w:lineRule="auto"/>
              <w:rPr>
                <w:rFonts w:cs="Arial"/>
                <w:b/>
              </w:rPr>
            </w:pPr>
            <w:r w:rsidRPr="00BD6BC6">
              <w:rPr>
                <w:rFonts w:cs="Arial"/>
                <w:b/>
              </w:rPr>
              <w:t>The Act</w:t>
            </w:r>
          </w:p>
        </w:tc>
        <w:tc>
          <w:tcPr>
            <w:tcW w:w="6813" w:type="dxa"/>
          </w:tcPr>
          <w:p w14:paraId="7ABD5244" w14:textId="3A2ED4DE" w:rsidR="00194BCE" w:rsidRPr="00BD6BC6" w:rsidRDefault="00194BCE" w:rsidP="00194BCE">
            <w:pPr>
              <w:adjustRightInd w:val="0"/>
              <w:snapToGrid w:val="0"/>
              <w:spacing w:line="264" w:lineRule="auto"/>
              <w:rPr>
                <w:rFonts w:cs="Arial"/>
              </w:rPr>
            </w:pPr>
            <w:r w:rsidRPr="00BD6BC6">
              <w:rPr>
                <w:rFonts w:cs="Arial"/>
                <w:i/>
              </w:rPr>
              <w:t xml:space="preserve">National Health Reform Act 2011 </w:t>
            </w:r>
            <w:r w:rsidRPr="00BD6BC6">
              <w:rPr>
                <w:rFonts w:cs="Arial"/>
              </w:rPr>
              <w:t>(Cwlth)</w:t>
            </w:r>
          </w:p>
        </w:tc>
      </w:tr>
      <w:tr w:rsidR="00194BCE" w:rsidRPr="00BD6BC6" w14:paraId="66EA4C6C" w14:textId="77777777" w:rsidTr="00E16F7F">
        <w:tc>
          <w:tcPr>
            <w:tcW w:w="2410" w:type="dxa"/>
          </w:tcPr>
          <w:p w14:paraId="14778266" w14:textId="5955D0CF" w:rsidR="00194BCE" w:rsidRPr="00BD6BC6" w:rsidRDefault="00194BCE" w:rsidP="0009465A">
            <w:pPr>
              <w:adjustRightInd w:val="0"/>
              <w:snapToGrid w:val="0"/>
              <w:spacing w:line="264" w:lineRule="auto"/>
              <w:rPr>
                <w:rFonts w:cs="Arial"/>
                <w:b/>
              </w:rPr>
            </w:pPr>
            <w:r w:rsidRPr="00BD6BC6">
              <w:rPr>
                <w:rFonts w:cs="Arial"/>
                <w:b/>
              </w:rPr>
              <w:t>The Addendum</w:t>
            </w:r>
          </w:p>
        </w:tc>
        <w:tc>
          <w:tcPr>
            <w:tcW w:w="6813" w:type="dxa"/>
          </w:tcPr>
          <w:p w14:paraId="47D2393A" w14:textId="5612E720" w:rsidR="00194BCE" w:rsidRPr="00BD6BC6" w:rsidRDefault="00194BCE" w:rsidP="00194BCE">
            <w:pPr>
              <w:adjustRightInd w:val="0"/>
              <w:snapToGrid w:val="0"/>
              <w:spacing w:line="264" w:lineRule="auto"/>
              <w:rPr>
                <w:rFonts w:cs="Arial"/>
              </w:rPr>
            </w:pPr>
            <w:r w:rsidRPr="00BD6BC6">
              <w:t>Addendum to National Health Reform Agreement 2020–2025</w:t>
            </w:r>
          </w:p>
        </w:tc>
      </w:tr>
      <w:tr w:rsidR="00194BCE" w:rsidRPr="00BD6BC6" w14:paraId="245631BA" w14:textId="77777777" w:rsidTr="00E16F7F">
        <w:tc>
          <w:tcPr>
            <w:tcW w:w="2410" w:type="dxa"/>
          </w:tcPr>
          <w:p w14:paraId="5847E4D6" w14:textId="74F94009" w:rsidR="00194BCE" w:rsidRPr="00BD6BC6" w:rsidRDefault="00194BCE" w:rsidP="00194BCE">
            <w:pPr>
              <w:adjustRightInd w:val="0"/>
              <w:snapToGrid w:val="0"/>
              <w:spacing w:line="264" w:lineRule="auto"/>
              <w:rPr>
                <w:rFonts w:cs="Arial"/>
                <w:b/>
              </w:rPr>
            </w:pPr>
            <w:r w:rsidRPr="00BD6BC6">
              <w:rPr>
                <w:rFonts w:cs="Arial"/>
                <w:b/>
              </w:rPr>
              <w:t>Th</w:t>
            </w:r>
            <w:r w:rsidR="00A37800">
              <w:rPr>
                <w:rFonts w:cs="Arial"/>
                <w:b/>
              </w:rPr>
              <w:t>is</w:t>
            </w:r>
            <w:r w:rsidRPr="00BD6BC6">
              <w:rPr>
                <w:rFonts w:cs="Arial"/>
                <w:b/>
              </w:rPr>
              <w:t xml:space="preserve"> </w:t>
            </w:r>
            <w:r w:rsidR="00561B76">
              <w:rPr>
                <w:rFonts w:cs="Arial"/>
                <w:b/>
              </w:rPr>
              <w:t>Policy</w:t>
            </w:r>
          </w:p>
        </w:tc>
        <w:tc>
          <w:tcPr>
            <w:tcW w:w="6813" w:type="dxa"/>
          </w:tcPr>
          <w:p w14:paraId="5922BA69" w14:textId="191A889E" w:rsidR="00194BCE" w:rsidRPr="00BD6BC6" w:rsidRDefault="00194BCE" w:rsidP="00A37800">
            <w:pPr>
              <w:adjustRightInd w:val="0"/>
              <w:snapToGrid w:val="0"/>
              <w:spacing w:line="264" w:lineRule="auto"/>
            </w:pPr>
            <w:r w:rsidRPr="00BD6BC6">
              <w:rPr>
                <w:rFonts w:cs="Arial"/>
              </w:rPr>
              <w:t xml:space="preserve">Cost-Shifting and Cross-Border Dispute Resolution </w:t>
            </w:r>
            <w:r w:rsidR="00561B76">
              <w:rPr>
                <w:rFonts w:cs="Arial"/>
              </w:rPr>
              <w:t>Policy</w:t>
            </w:r>
          </w:p>
        </w:tc>
      </w:tr>
    </w:tbl>
    <w:p w14:paraId="333711D5" w14:textId="2BE6F8A3" w:rsidR="00BE1D05" w:rsidRPr="00BD6BC6" w:rsidRDefault="00BE1D05" w:rsidP="00F00605">
      <w:pPr>
        <w:pStyle w:val="Title"/>
        <w:rPr>
          <w:rFonts w:asciiTheme="majorHAnsi" w:hAnsiTheme="majorHAnsi"/>
          <w:sz w:val="56"/>
          <w:szCs w:val="44"/>
          <w:lang w:eastAsia="en-US"/>
        </w:rPr>
      </w:pPr>
      <w:r w:rsidRPr="00BD6BC6">
        <w:br w:type="page"/>
      </w:r>
    </w:p>
    <w:p w14:paraId="4643EBF6" w14:textId="77777777" w:rsidR="00E8050B" w:rsidRPr="00BD6BC6" w:rsidRDefault="00E8050B" w:rsidP="00E8050B">
      <w:pPr>
        <w:pStyle w:val="Heading1"/>
      </w:pPr>
      <w:bookmarkStart w:id="15" w:name="_Toc507599170"/>
      <w:bookmarkStart w:id="16" w:name="_Toc507611933"/>
      <w:bookmarkStart w:id="17" w:name="_Toc507612149"/>
      <w:bookmarkStart w:id="18" w:name="_Toc507612232"/>
      <w:bookmarkStart w:id="19" w:name="_Toc507613250"/>
      <w:bookmarkStart w:id="20" w:name="_Toc507613355"/>
      <w:bookmarkStart w:id="21" w:name="_Toc507613763"/>
      <w:bookmarkStart w:id="22" w:name="_Toc507614008"/>
      <w:bookmarkStart w:id="23" w:name="_Toc507614135"/>
      <w:bookmarkStart w:id="24" w:name="_Toc507614295"/>
      <w:bookmarkStart w:id="25" w:name="_Toc507614371"/>
      <w:bookmarkStart w:id="26" w:name="_Toc507614483"/>
      <w:bookmarkStart w:id="27" w:name="_Toc11232068"/>
      <w:bookmarkStart w:id="28" w:name="_Toc91157711"/>
      <w:bookmarkStart w:id="29" w:name="_Toc507599171"/>
      <w:bookmarkStart w:id="30" w:name="_Toc507611934"/>
      <w:bookmarkStart w:id="31" w:name="_Toc507612150"/>
      <w:bookmarkStart w:id="32" w:name="_Toc507612233"/>
      <w:bookmarkStart w:id="33" w:name="_Toc507613251"/>
      <w:bookmarkStart w:id="34" w:name="_Toc507613356"/>
      <w:bookmarkStart w:id="35" w:name="_Toc507613764"/>
      <w:bookmarkStart w:id="36" w:name="_Toc507614009"/>
      <w:bookmarkStart w:id="37" w:name="_Toc507614136"/>
      <w:bookmarkStart w:id="38" w:name="_Toc507614296"/>
      <w:bookmarkStart w:id="39" w:name="_Toc507614372"/>
      <w:bookmarkStart w:id="40" w:name="_Toc507614484"/>
      <w:r w:rsidRPr="00BD6BC6">
        <w:lastRenderedPageBreak/>
        <w:t>Definitions</w:t>
      </w:r>
      <w:bookmarkEnd w:id="15"/>
      <w:bookmarkEnd w:id="16"/>
      <w:bookmarkEnd w:id="17"/>
      <w:bookmarkEnd w:id="18"/>
      <w:bookmarkEnd w:id="19"/>
      <w:bookmarkEnd w:id="20"/>
      <w:bookmarkEnd w:id="21"/>
      <w:bookmarkEnd w:id="22"/>
      <w:bookmarkEnd w:id="23"/>
      <w:bookmarkEnd w:id="24"/>
      <w:bookmarkEnd w:id="25"/>
      <w:bookmarkEnd w:id="26"/>
      <w:bookmarkEnd w:id="27"/>
      <w:bookmarkEnd w:id="28"/>
    </w:p>
    <w:tbl>
      <w:tblPr>
        <w:tblW w:w="9288" w:type="dxa"/>
        <w:tblLook w:val="01E0" w:firstRow="1" w:lastRow="1" w:firstColumn="1" w:lastColumn="1" w:noHBand="0" w:noVBand="0"/>
        <w:tblDescription w:val="list of definitions which appear in the Dispute Resolution Framework, version 2.0."/>
      </w:tblPr>
      <w:tblGrid>
        <w:gridCol w:w="1868"/>
        <w:gridCol w:w="7420"/>
      </w:tblGrid>
      <w:tr w:rsidR="00E8050B" w:rsidRPr="00BD6BC6" w14:paraId="6DD62545" w14:textId="77777777" w:rsidTr="00145E0A">
        <w:tc>
          <w:tcPr>
            <w:tcW w:w="1868" w:type="dxa"/>
          </w:tcPr>
          <w:p w14:paraId="36C0172E" w14:textId="77777777" w:rsidR="00E8050B" w:rsidRPr="00BD6BC6" w:rsidRDefault="00E8050B" w:rsidP="00145E0A">
            <w:pPr>
              <w:pStyle w:val="NormalArial"/>
              <w:spacing w:before="120" w:after="120"/>
              <w:ind w:left="0"/>
              <w:rPr>
                <w:b/>
              </w:rPr>
            </w:pPr>
            <w:r w:rsidRPr="00BD6BC6">
              <w:rPr>
                <w:b/>
              </w:rPr>
              <w:t>Activity based funding</w:t>
            </w:r>
          </w:p>
        </w:tc>
        <w:tc>
          <w:tcPr>
            <w:tcW w:w="7420" w:type="dxa"/>
          </w:tcPr>
          <w:p w14:paraId="02461F40" w14:textId="29F7C5E1" w:rsidR="00E8050B" w:rsidRPr="00BD6BC6" w:rsidRDefault="00E8050B" w:rsidP="00145E0A">
            <w:r w:rsidRPr="00BD6BC6">
              <w:rPr>
                <w:rFonts w:asciiTheme="minorHAnsi" w:hAnsiTheme="minorHAnsi" w:cstheme="minorHAnsi"/>
              </w:rPr>
              <w:t>Refers to a system for funding public hospital services provided to individual patients using national classifications, cost weights and nationally efficient prices developed by the Independent Hospital Pricing Authority (IHPA), as outlined in the Addendum to the National Health Reform Agreement 2020–25.</w:t>
            </w:r>
            <w:r w:rsidRPr="00BD6BC6">
              <w:t xml:space="preserve"> </w:t>
            </w:r>
          </w:p>
          <w:p w14:paraId="57297E11" w14:textId="0E188508" w:rsidR="00E8050B" w:rsidRPr="00BD6BC6" w:rsidRDefault="00E8050B" w:rsidP="00E8050B">
            <w:pPr>
              <w:pStyle w:val="NormalArial"/>
              <w:spacing w:before="120" w:after="120"/>
              <w:ind w:left="0"/>
            </w:pPr>
            <w:r w:rsidRPr="00BD6BC6">
              <w:t>An activity based funding activity may take the form of a separation, presentation or service event.</w:t>
            </w:r>
          </w:p>
        </w:tc>
      </w:tr>
      <w:tr w:rsidR="00E8050B" w:rsidRPr="00BD6BC6" w14:paraId="45E8B59D" w14:textId="77777777" w:rsidTr="00145E0A">
        <w:tc>
          <w:tcPr>
            <w:tcW w:w="1868" w:type="dxa"/>
          </w:tcPr>
          <w:p w14:paraId="4B60C9C4" w14:textId="77777777" w:rsidR="00E8050B" w:rsidRPr="00BD6BC6" w:rsidRDefault="00E8050B" w:rsidP="00145E0A">
            <w:pPr>
              <w:adjustRightInd w:val="0"/>
              <w:snapToGrid w:val="0"/>
              <w:rPr>
                <w:rFonts w:cs="Arial"/>
                <w:b/>
              </w:rPr>
            </w:pPr>
            <w:r w:rsidRPr="00BD6BC6">
              <w:rPr>
                <w:rFonts w:cs="Arial"/>
                <w:b/>
              </w:rPr>
              <w:t>Cost-shifting dispute</w:t>
            </w:r>
          </w:p>
        </w:tc>
        <w:tc>
          <w:tcPr>
            <w:tcW w:w="7420" w:type="dxa"/>
          </w:tcPr>
          <w:p w14:paraId="5B294E3A" w14:textId="470B2429" w:rsidR="00E8050B" w:rsidRPr="00BD6BC6" w:rsidRDefault="00E8050B" w:rsidP="00145E0A">
            <w:pPr>
              <w:pStyle w:val="NormalArial"/>
              <w:spacing w:before="120" w:after="120"/>
              <w:ind w:left="0"/>
            </w:pPr>
            <w:r w:rsidRPr="00BD6BC6">
              <w:t xml:space="preserve">Defined by section 138(1) of the </w:t>
            </w:r>
            <w:r w:rsidRPr="00BD6BC6">
              <w:rPr>
                <w:i/>
              </w:rPr>
              <w:t>National Health Reform Act 2011</w:t>
            </w:r>
            <w:r w:rsidRPr="00BD6BC6">
              <w:t xml:space="preserve"> (Cwlth) (the Act) as one that arises if:</w:t>
            </w:r>
          </w:p>
          <w:p w14:paraId="5AAAE1BB" w14:textId="49A69FDD" w:rsidR="00E8050B" w:rsidRPr="00BD6BC6" w:rsidRDefault="00E8050B" w:rsidP="00E8050B">
            <w:pPr>
              <w:pStyle w:val="NormalArial"/>
              <w:numPr>
                <w:ilvl w:val="0"/>
                <w:numId w:val="36"/>
              </w:numPr>
              <w:spacing w:before="120" w:after="120"/>
              <w:ind w:left="542" w:hanging="425"/>
            </w:pPr>
            <w:r w:rsidRPr="00BD6BC6">
              <w:t xml:space="preserve">a health minister believes that costs to his or her jurisdiction (the </w:t>
            </w:r>
            <w:r w:rsidR="00A53CB6">
              <w:t>‘</w:t>
            </w:r>
            <w:r w:rsidR="00BC34C0">
              <w:t>applicant</w:t>
            </w:r>
            <w:r w:rsidRPr="00BD6BC6">
              <w:t xml:space="preserve"> jurisdiction’) in relation to health care services are attributable to one or more changes that have been made to the policies, programs or practices of another jurisdiction (the ‘</w:t>
            </w:r>
            <w:r w:rsidR="00BC34C0">
              <w:t>respondent</w:t>
            </w:r>
            <w:r w:rsidR="00BC34C0" w:rsidRPr="00BD6BC6">
              <w:t xml:space="preserve"> </w:t>
            </w:r>
            <w:r w:rsidRPr="00BD6BC6">
              <w:t>jurisdiction’); and</w:t>
            </w:r>
          </w:p>
          <w:p w14:paraId="68A2BAE4" w14:textId="184FC6D1" w:rsidR="00E8050B" w:rsidRPr="00BD6BC6" w:rsidRDefault="00E8050B" w:rsidP="00AD4AD2">
            <w:pPr>
              <w:pStyle w:val="NormalArial"/>
              <w:numPr>
                <w:ilvl w:val="0"/>
                <w:numId w:val="36"/>
              </w:numPr>
              <w:spacing w:before="120" w:after="120"/>
              <w:ind w:left="542" w:hanging="425"/>
            </w:pPr>
            <w:r w:rsidRPr="00BD6BC6">
              <w:t xml:space="preserve">within </w:t>
            </w:r>
            <w:r w:rsidR="009D0984">
              <w:t>two</w:t>
            </w:r>
            <w:r w:rsidRPr="00BD6BC6">
              <w:t xml:space="preserve"> months after being requested to do so, the </w:t>
            </w:r>
            <w:r w:rsidR="00AD4AD2">
              <w:t>respondent</w:t>
            </w:r>
            <w:r w:rsidR="00AD4AD2" w:rsidRPr="00BD6BC6">
              <w:t xml:space="preserve"> </w:t>
            </w:r>
            <w:r w:rsidRPr="00BD6BC6">
              <w:t>jurisdiction has not reimbursed those costs.</w:t>
            </w:r>
          </w:p>
        </w:tc>
      </w:tr>
      <w:tr w:rsidR="00E8050B" w:rsidRPr="00BD6BC6" w14:paraId="50574E84" w14:textId="77777777" w:rsidTr="00145E0A">
        <w:tc>
          <w:tcPr>
            <w:tcW w:w="1868" w:type="dxa"/>
          </w:tcPr>
          <w:p w14:paraId="0B8C1A63" w14:textId="77777777" w:rsidR="00E8050B" w:rsidRPr="00BD6BC6" w:rsidRDefault="00E8050B" w:rsidP="00145E0A">
            <w:pPr>
              <w:adjustRightInd w:val="0"/>
              <w:snapToGrid w:val="0"/>
              <w:rPr>
                <w:rFonts w:cs="Arial"/>
                <w:b/>
              </w:rPr>
            </w:pPr>
            <w:r w:rsidRPr="00BD6BC6">
              <w:rPr>
                <w:rFonts w:cs="Arial"/>
                <w:b/>
              </w:rPr>
              <w:t>Cross-border dispute</w:t>
            </w:r>
          </w:p>
        </w:tc>
        <w:tc>
          <w:tcPr>
            <w:tcW w:w="7420" w:type="dxa"/>
          </w:tcPr>
          <w:p w14:paraId="18DCECFB" w14:textId="100AE1FD" w:rsidR="00E8050B" w:rsidRPr="00BD6BC6" w:rsidRDefault="00E8050B" w:rsidP="00145E0A">
            <w:pPr>
              <w:pStyle w:val="NormalArial"/>
              <w:spacing w:before="120" w:after="120"/>
              <w:ind w:left="0"/>
            </w:pPr>
            <w:r w:rsidRPr="00BD6BC6">
              <w:t>Defined by section 138(2) of the Act as on</w:t>
            </w:r>
            <w:r w:rsidR="00A37800">
              <w:t>e</w:t>
            </w:r>
            <w:r w:rsidRPr="00BD6BC6">
              <w:t xml:space="preserve"> that arises if:</w:t>
            </w:r>
          </w:p>
          <w:p w14:paraId="6E7C28AE" w14:textId="478AF81F" w:rsidR="00E8050B" w:rsidRPr="00BD6BC6" w:rsidRDefault="00E8050B" w:rsidP="00145E0A">
            <w:pPr>
              <w:pStyle w:val="ListBullet"/>
              <w:numPr>
                <w:ilvl w:val="0"/>
                <w:numId w:val="0"/>
              </w:numPr>
              <w:spacing w:before="120" w:after="120"/>
              <w:ind w:left="119"/>
            </w:pPr>
            <w:r w:rsidRPr="00BD6BC6">
              <w:t>a)</w:t>
            </w:r>
            <w:r w:rsidRPr="00BD6BC6">
              <w:tab/>
              <w:t xml:space="preserve">a </w:t>
            </w:r>
            <w:r w:rsidRPr="00BD6BC6">
              <w:rPr>
                <w:color w:val="000000"/>
              </w:rPr>
              <w:t xml:space="preserve">state </w:t>
            </w:r>
            <w:r w:rsidR="009D2531">
              <w:t>or</w:t>
            </w:r>
            <w:r w:rsidRPr="00BD6BC6">
              <w:t xml:space="preserve"> territory health minister believes that:</w:t>
            </w:r>
          </w:p>
          <w:p w14:paraId="2C3190B3" w14:textId="0BB93164" w:rsidR="00E8050B" w:rsidRPr="00BD6BC6" w:rsidRDefault="00E8050B" w:rsidP="00E8050B">
            <w:pPr>
              <w:pStyle w:val="NormalArial"/>
              <w:numPr>
                <w:ilvl w:val="1"/>
                <w:numId w:val="37"/>
              </w:numPr>
              <w:tabs>
                <w:tab w:val="left" w:pos="967"/>
              </w:tabs>
              <w:spacing w:before="120" w:after="120"/>
              <w:ind w:left="970" w:hanging="284"/>
            </w:pPr>
            <w:r w:rsidRPr="00BD6BC6">
              <w:t>costs to his or her jurisdiction (the ‘</w:t>
            </w:r>
            <w:r w:rsidR="00BC34C0">
              <w:t>applicant</w:t>
            </w:r>
            <w:r w:rsidRPr="00BD6BC6">
              <w:t xml:space="preserve"> jurisdiction’) in relation to health care services are attributable to the provision of public hospital services to residents of another jurisdiction (the </w:t>
            </w:r>
            <w:r w:rsidR="00BC34C0">
              <w:t>‘respondent</w:t>
            </w:r>
            <w:r w:rsidR="00BC34C0" w:rsidRPr="00BD6BC6">
              <w:t xml:space="preserve"> </w:t>
            </w:r>
            <w:r w:rsidRPr="00BD6BC6">
              <w:t>jurisdiction</w:t>
            </w:r>
            <w:r w:rsidR="00BC34C0">
              <w:t>’</w:t>
            </w:r>
            <w:r w:rsidRPr="00BD6BC6">
              <w:t>); and</w:t>
            </w:r>
          </w:p>
          <w:p w14:paraId="0488F5AD" w14:textId="5AA87708" w:rsidR="00E8050B" w:rsidRPr="00BD6BC6" w:rsidRDefault="00E8050B" w:rsidP="00E8050B">
            <w:pPr>
              <w:pStyle w:val="NormalArial"/>
              <w:numPr>
                <w:ilvl w:val="1"/>
                <w:numId w:val="37"/>
              </w:numPr>
              <w:tabs>
                <w:tab w:val="left" w:pos="967"/>
              </w:tabs>
              <w:spacing w:before="120" w:after="120"/>
              <w:ind w:left="970" w:hanging="284"/>
            </w:pPr>
            <w:r w:rsidRPr="00BD6BC6">
              <w:t xml:space="preserve">an intergovernmental agreement, or an agreement between states or states and territories, provides for those costs to be reimbursed, wholly or partly, by the </w:t>
            </w:r>
            <w:r w:rsidR="00BC34C0">
              <w:t>respondent</w:t>
            </w:r>
            <w:r w:rsidRPr="00BD6BC6">
              <w:t xml:space="preserve"> jurisdiction; and</w:t>
            </w:r>
          </w:p>
          <w:p w14:paraId="1545AEBD" w14:textId="0BEB6678" w:rsidR="00E8050B" w:rsidRPr="00BD6BC6" w:rsidRDefault="00E8050B" w:rsidP="00145E0A">
            <w:pPr>
              <w:pStyle w:val="ListBullet"/>
              <w:numPr>
                <w:ilvl w:val="0"/>
                <w:numId w:val="0"/>
              </w:numPr>
              <w:spacing w:before="120" w:after="120"/>
              <w:ind w:left="720" w:hanging="601"/>
            </w:pPr>
            <w:r w:rsidRPr="00BD6BC6">
              <w:t>b)</w:t>
            </w:r>
            <w:r w:rsidRPr="00BD6BC6">
              <w:tab/>
              <w:t xml:space="preserve">after being requested to do so, the </w:t>
            </w:r>
            <w:r w:rsidR="00BC34C0">
              <w:t>respondent</w:t>
            </w:r>
            <w:r w:rsidRPr="00BD6BC6">
              <w:t xml:space="preserve"> jurisdiction has not reimbursed those </w:t>
            </w:r>
            <w:r w:rsidRPr="00BD6BC6">
              <w:rPr>
                <w:color w:val="000000"/>
              </w:rPr>
              <w:t>costs</w:t>
            </w:r>
            <w:r w:rsidRPr="00BD6BC6">
              <w:t>:</w:t>
            </w:r>
          </w:p>
          <w:p w14:paraId="2D4D47AD" w14:textId="1B44672C" w:rsidR="00E8050B" w:rsidRPr="00BD6BC6" w:rsidRDefault="00E8050B" w:rsidP="00E8050B">
            <w:pPr>
              <w:pStyle w:val="NormalArial"/>
              <w:numPr>
                <w:ilvl w:val="1"/>
                <w:numId w:val="38"/>
              </w:numPr>
              <w:tabs>
                <w:tab w:val="left" w:pos="967"/>
              </w:tabs>
              <w:spacing w:before="120" w:after="120"/>
              <w:ind w:left="970" w:hanging="284"/>
            </w:pPr>
            <w:r w:rsidRPr="00BD6BC6">
              <w:t xml:space="preserve">within </w:t>
            </w:r>
            <w:r w:rsidR="009D0984">
              <w:t>two</w:t>
            </w:r>
            <w:r w:rsidRPr="00BD6BC6">
              <w:t xml:space="preserve"> months after the jurisdictions agree on the number of health care services involved; or</w:t>
            </w:r>
          </w:p>
          <w:p w14:paraId="08C38879" w14:textId="2A36C4FF" w:rsidR="00E8050B" w:rsidRPr="00BD6BC6" w:rsidRDefault="00E8050B" w:rsidP="00AD4AD2">
            <w:pPr>
              <w:pStyle w:val="NormalArial"/>
              <w:numPr>
                <w:ilvl w:val="1"/>
                <w:numId w:val="38"/>
              </w:numPr>
              <w:tabs>
                <w:tab w:val="left" w:pos="967"/>
              </w:tabs>
              <w:spacing w:before="120" w:after="120"/>
              <w:ind w:left="970" w:hanging="284"/>
            </w:pPr>
            <w:r w:rsidRPr="00BD6BC6">
              <w:t xml:space="preserve">within </w:t>
            </w:r>
            <w:r w:rsidR="009D0984">
              <w:t>six</w:t>
            </w:r>
            <w:r w:rsidRPr="00BD6BC6">
              <w:t xml:space="preserve"> months after the last of those services was provided.</w:t>
            </w:r>
          </w:p>
        </w:tc>
      </w:tr>
      <w:tr w:rsidR="00E8050B" w:rsidRPr="00BD6BC6" w14:paraId="565494FF" w14:textId="77777777" w:rsidTr="00145E0A">
        <w:tc>
          <w:tcPr>
            <w:tcW w:w="1868" w:type="dxa"/>
          </w:tcPr>
          <w:p w14:paraId="406BFF83" w14:textId="77777777" w:rsidR="00E8050B" w:rsidRPr="00BD6BC6" w:rsidRDefault="00E8050B" w:rsidP="00145E0A">
            <w:pPr>
              <w:adjustRightInd w:val="0"/>
              <w:snapToGrid w:val="0"/>
              <w:rPr>
                <w:rFonts w:cs="Arial"/>
                <w:b/>
              </w:rPr>
            </w:pPr>
            <w:r w:rsidRPr="00BD6BC6">
              <w:rPr>
                <w:rFonts w:cs="Arial"/>
                <w:b/>
              </w:rPr>
              <w:t>Cross-border agreement / arrangement</w:t>
            </w:r>
          </w:p>
        </w:tc>
        <w:tc>
          <w:tcPr>
            <w:tcW w:w="7420" w:type="dxa"/>
          </w:tcPr>
          <w:p w14:paraId="0A360B1A" w14:textId="77777777" w:rsidR="00E8050B" w:rsidRPr="00BD6BC6" w:rsidRDefault="00E8050B" w:rsidP="00145E0A">
            <w:pPr>
              <w:pStyle w:val="NormalArial"/>
              <w:spacing w:before="120" w:after="120"/>
              <w:ind w:left="0"/>
            </w:pPr>
            <w:r w:rsidRPr="00BD6BC6">
              <w:t>Details the agreed scope, prices, methodology for charging and processes for estimating and acquitting activity for the relevant jurisdictions.</w:t>
            </w:r>
          </w:p>
        </w:tc>
      </w:tr>
    </w:tbl>
    <w:p w14:paraId="05E4EF74" w14:textId="77777777" w:rsidR="00E8050B" w:rsidRPr="00BD6BC6" w:rsidRDefault="00E8050B" w:rsidP="00E8050B">
      <w:pPr>
        <w:pStyle w:val="Heading2"/>
      </w:pPr>
      <w:r w:rsidRPr="00BD6BC6">
        <w:br w:type="page"/>
      </w:r>
    </w:p>
    <w:tbl>
      <w:tblPr>
        <w:tblW w:w="9288" w:type="dxa"/>
        <w:tblLook w:val="01E0" w:firstRow="1" w:lastRow="1" w:firstColumn="1" w:lastColumn="1" w:noHBand="0" w:noVBand="0"/>
      </w:tblPr>
      <w:tblGrid>
        <w:gridCol w:w="1868"/>
        <w:gridCol w:w="7420"/>
      </w:tblGrid>
      <w:tr w:rsidR="00E8050B" w:rsidRPr="00BD6BC6" w14:paraId="5C5F1FC3" w14:textId="77777777" w:rsidTr="00145E0A">
        <w:tc>
          <w:tcPr>
            <w:tcW w:w="1868" w:type="dxa"/>
          </w:tcPr>
          <w:p w14:paraId="3AC2EF6F" w14:textId="77777777" w:rsidR="00E8050B" w:rsidRPr="00BD6BC6" w:rsidRDefault="00E8050B" w:rsidP="00145E0A">
            <w:pPr>
              <w:pStyle w:val="NormalArial"/>
              <w:spacing w:before="120" w:after="120"/>
              <w:ind w:left="0"/>
              <w:rPr>
                <w:b/>
              </w:rPr>
            </w:pPr>
            <w:r w:rsidRPr="00BD6BC6">
              <w:rPr>
                <w:b/>
              </w:rPr>
              <w:lastRenderedPageBreak/>
              <w:t>Health care services</w:t>
            </w:r>
          </w:p>
        </w:tc>
        <w:tc>
          <w:tcPr>
            <w:tcW w:w="7420" w:type="dxa"/>
          </w:tcPr>
          <w:p w14:paraId="63685B4D" w14:textId="60C6C709" w:rsidR="00E8050B" w:rsidRPr="00BD6BC6" w:rsidRDefault="007339F0" w:rsidP="00145E0A">
            <w:pPr>
              <w:rPr>
                <w:lang w:eastAsia="zh-CN"/>
              </w:rPr>
            </w:pPr>
            <w:r>
              <w:rPr>
                <w:lang w:eastAsia="zh-CN"/>
              </w:rPr>
              <w:t>Defined as s</w:t>
            </w:r>
            <w:r w:rsidR="00E8050B" w:rsidRPr="00BD6BC6">
              <w:rPr>
                <w:lang w:eastAsia="zh-CN"/>
              </w:rPr>
              <w:t>ervices provided by public hospitals. From 1 July 2013, the scope of public hospital services eligible for Commonwealth funding are:</w:t>
            </w:r>
          </w:p>
          <w:p w14:paraId="35837AFB" w14:textId="40784D77" w:rsidR="00E8050B" w:rsidRPr="00BD6BC6" w:rsidRDefault="009D0984" w:rsidP="00145E0A">
            <w:pPr>
              <w:pStyle w:val="ListBullet"/>
              <w:spacing w:before="120" w:after="120"/>
              <w:ind w:left="357" w:hanging="357"/>
            </w:pPr>
            <w:r>
              <w:t>a</w:t>
            </w:r>
            <w:r w:rsidR="00E8050B" w:rsidRPr="00BD6BC6">
              <w:t xml:space="preserve">ll admitted programs, including hospital in </w:t>
            </w:r>
            <w:r w:rsidR="00AD4AD2">
              <w:t xml:space="preserve">the </w:t>
            </w:r>
            <w:r w:rsidR="00E8050B" w:rsidRPr="00BD6BC6">
              <w:t>home programs;</w:t>
            </w:r>
          </w:p>
          <w:p w14:paraId="1011B924" w14:textId="60E52C4F" w:rsidR="00E8050B" w:rsidRPr="00BD6BC6" w:rsidRDefault="009D0984" w:rsidP="00145E0A">
            <w:pPr>
              <w:pStyle w:val="ListBullet"/>
              <w:spacing w:before="120" w:after="120"/>
              <w:ind w:left="357" w:hanging="357"/>
            </w:pPr>
            <w:r>
              <w:t>a</w:t>
            </w:r>
            <w:r w:rsidR="00E8050B" w:rsidRPr="00BD6BC6">
              <w:t>ll emergency department services; and</w:t>
            </w:r>
          </w:p>
          <w:p w14:paraId="12F85846" w14:textId="52E1C33E" w:rsidR="00E8050B" w:rsidRPr="00BD6BC6" w:rsidRDefault="009D0984" w:rsidP="00145E0A">
            <w:pPr>
              <w:pStyle w:val="ListBullet"/>
              <w:spacing w:before="120" w:after="120"/>
              <w:ind w:left="357" w:hanging="357"/>
            </w:pPr>
            <w:r>
              <w:t>n</w:t>
            </w:r>
            <w:r w:rsidR="00E8050B" w:rsidRPr="00BD6BC6">
              <w:t>on-admitted services that meet the criteria for inclusion on the IHPA General List</w:t>
            </w:r>
            <w:r w:rsidR="00AD4AD2">
              <w:t xml:space="preserve"> of In-Scope Public Hospital Services</w:t>
            </w:r>
            <w:r w:rsidR="00E8050B" w:rsidRPr="00BD6BC6">
              <w:t>.</w:t>
            </w:r>
          </w:p>
        </w:tc>
      </w:tr>
      <w:tr w:rsidR="00E8050B" w:rsidRPr="00BD6BC6" w14:paraId="00D80F66" w14:textId="77777777" w:rsidTr="00145E0A">
        <w:tc>
          <w:tcPr>
            <w:tcW w:w="1868" w:type="dxa"/>
          </w:tcPr>
          <w:p w14:paraId="48526DBB" w14:textId="77777777" w:rsidR="00E8050B" w:rsidRPr="00BD6BC6" w:rsidRDefault="00E8050B" w:rsidP="00145E0A">
            <w:pPr>
              <w:pStyle w:val="NormalArial"/>
              <w:spacing w:before="120" w:after="120"/>
              <w:ind w:left="0"/>
              <w:rPr>
                <w:b/>
              </w:rPr>
            </w:pPr>
            <w:r w:rsidRPr="00BD6BC6">
              <w:rPr>
                <w:b/>
              </w:rPr>
              <w:t>Pricing Authority</w:t>
            </w:r>
          </w:p>
        </w:tc>
        <w:tc>
          <w:tcPr>
            <w:tcW w:w="7420" w:type="dxa"/>
          </w:tcPr>
          <w:p w14:paraId="1D487C5F" w14:textId="6F55CCBC" w:rsidR="00E8050B" w:rsidRPr="00BD6BC6" w:rsidRDefault="00FA5E15" w:rsidP="000879F2">
            <w:pPr>
              <w:rPr>
                <w:lang w:eastAsia="zh-CN"/>
              </w:rPr>
            </w:pPr>
            <w:r w:rsidRPr="00A813F0">
              <w:rPr>
                <w:rFonts w:eastAsia="Arial"/>
              </w:rPr>
              <w:t>The governing body of IHPA established under the</w:t>
            </w:r>
            <w:r w:rsidR="000879F2">
              <w:rPr>
                <w:rFonts w:eastAsia="Arial"/>
              </w:rPr>
              <w:t xml:space="preserve"> Act</w:t>
            </w:r>
            <w:r w:rsidR="00E8050B" w:rsidRPr="00BD6BC6">
              <w:t>.</w:t>
            </w:r>
          </w:p>
        </w:tc>
      </w:tr>
      <w:tr w:rsidR="00E8050B" w:rsidRPr="00BD6BC6" w14:paraId="7AFEFF98" w14:textId="77777777" w:rsidTr="00145E0A">
        <w:tc>
          <w:tcPr>
            <w:tcW w:w="1868" w:type="dxa"/>
          </w:tcPr>
          <w:p w14:paraId="7BD36915" w14:textId="77777777" w:rsidR="00E8050B" w:rsidRPr="00BD6BC6" w:rsidRDefault="00E8050B" w:rsidP="00145E0A">
            <w:pPr>
              <w:pStyle w:val="NormalArial"/>
              <w:spacing w:before="120" w:after="120"/>
              <w:ind w:left="0"/>
              <w:rPr>
                <w:b/>
              </w:rPr>
            </w:pPr>
            <w:r w:rsidRPr="00BD6BC6">
              <w:rPr>
                <w:b/>
              </w:rPr>
              <w:t>Provider jurisdiction</w:t>
            </w:r>
          </w:p>
        </w:tc>
        <w:tc>
          <w:tcPr>
            <w:tcW w:w="7420" w:type="dxa"/>
          </w:tcPr>
          <w:p w14:paraId="78735133" w14:textId="3A0BF49F" w:rsidR="00E8050B" w:rsidRPr="00BD6BC6" w:rsidRDefault="00E8050B" w:rsidP="00145E0A">
            <w:pPr>
              <w:rPr>
                <w:lang w:eastAsia="zh-CN"/>
              </w:rPr>
            </w:pPr>
            <w:r w:rsidRPr="00BD6BC6">
              <w:rPr>
                <w:lang w:eastAsia="zh-CN"/>
              </w:rPr>
              <w:t>The jurisdiction providing services in their own state</w:t>
            </w:r>
            <w:r w:rsidR="009D0984">
              <w:rPr>
                <w:lang w:eastAsia="zh-CN"/>
              </w:rPr>
              <w:t xml:space="preserve"> or </w:t>
            </w:r>
            <w:r w:rsidRPr="00BD6BC6">
              <w:rPr>
                <w:lang w:eastAsia="zh-CN"/>
              </w:rPr>
              <w:t>territory for a resident of another jurisdiction.</w:t>
            </w:r>
          </w:p>
        </w:tc>
      </w:tr>
      <w:tr w:rsidR="00E8050B" w:rsidRPr="00BD6BC6" w14:paraId="344924F2" w14:textId="77777777" w:rsidTr="00145E0A">
        <w:tc>
          <w:tcPr>
            <w:tcW w:w="1868" w:type="dxa"/>
          </w:tcPr>
          <w:p w14:paraId="23A063FB" w14:textId="77777777" w:rsidR="00E8050B" w:rsidRPr="00BD6BC6" w:rsidRDefault="00E8050B" w:rsidP="00145E0A">
            <w:pPr>
              <w:pStyle w:val="NormalArial"/>
              <w:spacing w:before="120" w:after="120"/>
              <w:ind w:left="0"/>
              <w:rPr>
                <w:b/>
              </w:rPr>
            </w:pPr>
            <w:r w:rsidRPr="00BD6BC6">
              <w:rPr>
                <w:b/>
              </w:rPr>
              <w:t>Resident jurisdiction</w:t>
            </w:r>
          </w:p>
        </w:tc>
        <w:tc>
          <w:tcPr>
            <w:tcW w:w="7420" w:type="dxa"/>
          </w:tcPr>
          <w:p w14:paraId="5B284E1A" w14:textId="77B43C18" w:rsidR="00E8050B" w:rsidRPr="00BD6BC6" w:rsidRDefault="00E8050B" w:rsidP="00145E0A">
            <w:pPr>
              <w:rPr>
                <w:lang w:eastAsia="zh-CN"/>
              </w:rPr>
            </w:pPr>
            <w:r w:rsidRPr="00BD6BC6">
              <w:rPr>
                <w:lang w:eastAsia="zh-CN"/>
              </w:rPr>
              <w:t>The jurisdiction which has responsibility for the provision of public hospital services to those residents receiving services in another state</w:t>
            </w:r>
            <w:r w:rsidR="009D0984">
              <w:rPr>
                <w:lang w:eastAsia="zh-CN"/>
              </w:rPr>
              <w:t xml:space="preserve"> or </w:t>
            </w:r>
            <w:r w:rsidRPr="00BD6BC6">
              <w:rPr>
                <w:lang w:eastAsia="zh-CN"/>
              </w:rPr>
              <w:t xml:space="preserve">territory. </w:t>
            </w:r>
          </w:p>
        </w:tc>
      </w:tr>
    </w:tbl>
    <w:p w14:paraId="7847D3EE" w14:textId="77777777" w:rsidR="00E8050B" w:rsidRPr="00BD6BC6" w:rsidRDefault="00E8050B" w:rsidP="00D2320A">
      <w:pPr>
        <w:pStyle w:val="Heading1"/>
      </w:pPr>
    </w:p>
    <w:p w14:paraId="1AE5255E" w14:textId="77777777" w:rsidR="00E8050B" w:rsidRPr="00BD6BC6" w:rsidRDefault="00E8050B">
      <w:pPr>
        <w:spacing w:before="0" w:after="0" w:line="240" w:lineRule="auto"/>
        <w:rPr>
          <w:rFonts w:asciiTheme="majorHAnsi" w:hAnsiTheme="majorHAnsi"/>
          <w:b/>
          <w:sz w:val="64"/>
          <w:szCs w:val="44"/>
          <w:lang w:eastAsia="en-US"/>
        </w:rPr>
      </w:pPr>
      <w:r w:rsidRPr="00BD6BC6">
        <w:br w:type="page"/>
      </w:r>
    </w:p>
    <w:p w14:paraId="62B3D43F" w14:textId="769A5CC0" w:rsidR="006A6D50" w:rsidRPr="00BD6BC6" w:rsidRDefault="006A6D50" w:rsidP="00D2320A">
      <w:pPr>
        <w:pStyle w:val="Heading1"/>
      </w:pPr>
      <w:bookmarkStart w:id="41" w:name="_Toc91157712"/>
      <w:r w:rsidRPr="00BD6BC6">
        <w:lastRenderedPageBreak/>
        <w:t xml:space="preserve">1. </w:t>
      </w:r>
      <w:r w:rsidRPr="00BD6BC6">
        <w:tab/>
      </w:r>
      <w:bookmarkStart w:id="42" w:name="_Toc482364310"/>
      <w:r w:rsidRPr="00BD6BC6">
        <w:t xml:space="preserve">Executive </w:t>
      </w:r>
      <w:r w:rsidR="00752A75" w:rsidRPr="00BD6BC6">
        <w:t>s</w:t>
      </w:r>
      <w:r w:rsidRPr="00BD6BC6">
        <w:t>ummary</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27E253BF" w14:textId="2CC45221" w:rsidR="006A6D50" w:rsidRDefault="006A6D50" w:rsidP="000775C8">
      <w:pPr>
        <w:pStyle w:val="Heading2"/>
      </w:pPr>
      <w:bookmarkStart w:id="43" w:name="_Toc482364311"/>
      <w:bookmarkStart w:id="44" w:name="_Toc507599172"/>
      <w:bookmarkStart w:id="45" w:name="_Toc507611935"/>
      <w:bookmarkStart w:id="46" w:name="_Toc507612151"/>
      <w:bookmarkStart w:id="47" w:name="_Toc507612234"/>
      <w:bookmarkStart w:id="48" w:name="_Toc507613252"/>
      <w:bookmarkStart w:id="49" w:name="_Toc507613357"/>
      <w:bookmarkStart w:id="50" w:name="_Toc507613765"/>
      <w:bookmarkStart w:id="51" w:name="_Toc507614010"/>
      <w:bookmarkStart w:id="52" w:name="_Toc507614137"/>
      <w:bookmarkStart w:id="53" w:name="_Toc507614297"/>
      <w:bookmarkStart w:id="54" w:name="_Toc507614373"/>
      <w:bookmarkStart w:id="55" w:name="_Toc507614485"/>
      <w:bookmarkStart w:id="56" w:name="_Toc91157713"/>
      <w:r w:rsidRPr="00BD6BC6">
        <w:t>1.1</w:t>
      </w:r>
      <w:r w:rsidRPr="00BD6BC6">
        <w:tab/>
        <w:t>Background</w:t>
      </w:r>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028F947C" w14:textId="0C143FDC" w:rsidR="008D7E17" w:rsidRDefault="008D7E17" w:rsidP="008D7E17">
      <w:pPr>
        <w:rPr>
          <w:rFonts w:cs="Arial"/>
        </w:rPr>
      </w:pPr>
      <w:r w:rsidRPr="00BD6BC6">
        <w:rPr>
          <w:rFonts w:cs="Arial"/>
        </w:rPr>
        <w:t xml:space="preserve">The Independent Hospital Pricing Authority (IHPA) played a pivotal role in the introduction of </w:t>
      </w:r>
      <w:r w:rsidR="00AD4AD2" w:rsidRPr="00BD6BC6">
        <w:rPr>
          <w:rFonts w:cs="Arial"/>
        </w:rPr>
        <w:t xml:space="preserve">national </w:t>
      </w:r>
      <w:r w:rsidRPr="00BD6BC6">
        <w:rPr>
          <w:rFonts w:cs="Arial"/>
        </w:rPr>
        <w:t xml:space="preserve">activity based funding. IHPA’s functions are outlined in the </w:t>
      </w:r>
      <w:r w:rsidRPr="00BD6BC6">
        <w:rPr>
          <w:rFonts w:cs="Arial"/>
          <w:i/>
        </w:rPr>
        <w:t>National Health Reform Act 2011</w:t>
      </w:r>
      <w:r w:rsidRPr="00BD6BC6">
        <w:rPr>
          <w:rFonts w:cs="Arial"/>
        </w:rPr>
        <w:t xml:space="preserve"> (Cwlth) (the Act) and the Addendum to </w:t>
      </w:r>
      <w:r w:rsidR="00AD4AD2">
        <w:rPr>
          <w:rFonts w:cs="Arial"/>
        </w:rPr>
        <w:t xml:space="preserve">the </w:t>
      </w:r>
      <w:r w:rsidRPr="00BD6BC6">
        <w:rPr>
          <w:rFonts w:cs="Arial"/>
        </w:rPr>
        <w:t xml:space="preserve">National Health Reform Agreement </w:t>
      </w:r>
      <w:r w:rsidRPr="00BD6BC6">
        <w:t xml:space="preserve">2020–2025 (the Addendum). These functions include managing cost-shifting and cross-border disputes under section 138 of the Act and </w:t>
      </w:r>
      <w:r w:rsidRPr="00BD6BC6">
        <w:rPr>
          <w:rFonts w:cs="Arial"/>
        </w:rPr>
        <w:t>clauses A110</w:t>
      </w:r>
      <w:r w:rsidR="00AD4AD2" w:rsidRPr="00BD6BC6">
        <w:t>–</w:t>
      </w:r>
      <w:r w:rsidRPr="00BD6BC6">
        <w:rPr>
          <w:rFonts w:cs="Arial"/>
        </w:rPr>
        <w:t>A126 of the Addendum.</w:t>
      </w:r>
    </w:p>
    <w:p w14:paraId="622CF1C0" w14:textId="31FC2B0A" w:rsidR="008D7E17" w:rsidRDefault="008D7E17" w:rsidP="008D7E17">
      <w:pPr>
        <w:rPr>
          <w:rFonts w:cs="Arial"/>
        </w:rPr>
      </w:pPr>
      <w:r w:rsidRPr="00BD6BC6">
        <w:rPr>
          <w:rFonts w:cs="Arial"/>
        </w:rPr>
        <w:t xml:space="preserve">Since 1 July 2012, the Commonwealth and state and territory funding contributions flow to the </w:t>
      </w:r>
      <w:r w:rsidR="00AD4AD2">
        <w:rPr>
          <w:rFonts w:cs="Arial"/>
        </w:rPr>
        <w:t>l</w:t>
      </w:r>
      <w:r w:rsidRPr="00BD6BC6">
        <w:rPr>
          <w:rFonts w:cs="Arial"/>
        </w:rPr>
        <w:t xml:space="preserve">ocal </w:t>
      </w:r>
      <w:r w:rsidR="00AD4AD2">
        <w:rPr>
          <w:rFonts w:cs="Arial"/>
        </w:rPr>
        <w:t>h</w:t>
      </w:r>
      <w:r w:rsidRPr="00BD6BC6">
        <w:rPr>
          <w:rFonts w:cs="Arial"/>
        </w:rPr>
        <w:t xml:space="preserve">ospital </w:t>
      </w:r>
      <w:r w:rsidR="00AD4AD2">
        <w:rPr>
          <w:rFonts w:cs="Arial"/>
        </w:rPr>
        <w:t>n</w:t>
      </w:r>
      <w:r w:rsidRPr="00BD6BC6">
        <w:rPr>
          <w:rFonts w:cs="Arial"/>
        </w:rPr>
        <w:t xml:space="preserve">etworks through the National Health Funding Pool. For cross-border arrangements, funding contributions by the resident jurisdiction are made to the provider jurisdiction through the National Health Funding Pool either on a regular basis throughout the year or </w:t>
      </w:r>
      <w:r w:rsidR="00B74D4F">
        <w:rPr>
          <w:rFonts w:cs="Arial"/>
        </w:rPr>
        <w:t>within six months of receiving</w:t>
      </w:r>
      <w:r w:rsidRPr="00BD6BC6">
        <w:rPr>
          <w:rFonts w:cs="Arial"/>
        </w:rPr>
        <w:t xml:space="preserve"> activity</w:t>
      </w:r>
      <w:r w:rsidR="00B74D4F">
        <w:rPr>
          <w:rFonts w:cs="Arial"/>
        </w:rPr>
        <w:t xml:space="preserve"> data from the Administrator of the National Health Funding Pool</w:t>
      </w:r>
      <w:r w:rsidRPr="00BD6BC6">
        <w:rPr>
          <w:rFonts w:cs="Arial"/>
        </w:rPr>
        <w:t>.</w:t>
      </w:r>
    </w:p>
    <w:p w14:paraId="3CEE60B9" w14:textId="622EE366" w:rsidR="008D7E17" w:rsidRDefault="008D7E17" w:rsidP="008D7E17">
      <w:pPr>
        <w:rPr>
          <w:rFonts w:cs="Arial"/>
        </w:rPr>
      </w:pPr>
      <w:r w:rsidRPr="00BD6BC6">
        <w:rPr>
          <w:rFonts w:cs="Arial"/>
        </w:rPr>
        <w:t>IHPA’s role is to deliver fair funding for hospitals across the country through the setting of the national efficient price (NEP) for public hospital services, whilst taking into account factors such as safety and quality and the cost of services in regional hospitals.</w:t>
      </w:r>
    </w:p>
    <w:p w14:paraId="3BD6B2EC" w14:textId="669056DC" w:rsidR="008D7E17" w:rsidRPr="008D7E17" w:rsidRDefault="008D7E17" w:rsidP="008D7E17">
      <w:r w:rsidRPr="00BD6BC6">
        <w:rPr>
          <w:rFonts w:cs="Arial"/>
        </w:rPr>
        <w:t>When there is a dispute about the reimbursement of health care services provided in a jurisdiction where the patient is not a resident, an application can be made to IHPA for resolution.</w:t>
      </w:r>
    </w:p>
    <w:p w14:paraId="2AE1D1CE" w14:textId="77777777" w:rsidR="006A6D50" w:rsidRPr="00BD6BC6" w:rsidRDefault="006A6D50" w:rsidP="000775C8">
      <w:pPr>
        <w:pStyle w:val="Heading2"/>
        <w:rPr>
          <w:caps/>
        </w:rPr>
      </w:pPr>
      <w:bookmarkStart w:id="57" w:name="_Toc482364312"/>
      <w:bookmarkStart w:id="58" w:name="_Toc507599173"/>
      <w:bookmarkStart w:id="59" w:name="_Toc507611936"/>
      <w:bookmarkStart w:id="60" w:name="_Toc507612152"/>
      <w:bookmarkStart w:id="61" w:name="_Toc507612235"/>
      <w:bookmarkStart w:id="62" w:name="_Toc507613253"/>
      <w:bookmarkStart w:id="63" w:name="_Toc507613358"/>
      <w:bookmarkStart w:id="64" w:name="_Toc507613766"/>
      <w:bookmarkStart w:id="65" w:name="_Toc507614011"/>
      <w:bookmarkStart w:id="66" w:name="_Toc507614138"/>
      <w:bookmarkStart w:id="67" w:name="_Toc507614298"/>
      <w:bookmarkStart w:id="68" w:name="_Toc507614374"/>
      <w:bookmarkStart w:id="69" w:name="_Toc507614486"/>
      <w:bookmarkStart w:id="70" w:name="_Toc91157714"/>
      <w:r w:rsidRPr="00BD6BC6">
        <w:t>1.2</w:t>
      </w:r>
      <w:r w:rsidRPr="00BD6BC6">
        <w:tab/>
        <w:t>Purpose</w:t>
      </w:r>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8ACA4DF" w14:textId="6710AC8F" w:rsidR="00BB66C8" w:rsidRPr="00BD6BC6" w:rsidRDefault="006A6D50" w:rsidP="00BB66C8">
      <w:r w:rsidRPr="00BD6BC6">
        <w:t>Th</w:t>
      </w:r>
      <w:r w:rsidR="00363EF2" w:rsidRPr="00BD6BC6">
        <w:t>e</w:t>
      </w:r>
      <w:r w:rsidR="006259FC" w:rsidRPr="00BD6BC6">
        <w:t xml:space="preserve"> </w:t>
      </w:r>
      <w:r w:rsidR="00BB66C8" w:rsidRPr="00CA6E37">
        <w:rPr>
          <w:i/>
        </w:rPr>
        <w:t>Cost-Shifting and Cross-Border Dispute Resolution</w:t>
      </w:r>
      <w:r w:rsidR="00CA6E37">
        <w:rPr>
          <w:i/>
        </w:rPr>
        <w:t xml:space="preserve"> Policy</w:t>
      </w:r>
      <w:r w:rsidR="00BB66C8" w:rsidRPr="00BD6BC6">
        <w:t xml:space="preserve"> (th</w:t>
      </w:r>
      <w:r w:rsidR="00AD4AD2">
        <w:t>is</w:t>
      </w:r>
      <w:r w:rsidR="00BB66C8" w:rsidRPr="00BD6BC6">
        <w:t xml:space="preserve"> </w:t>
      </w:r>
      <w:r w:rsidR="00561B76">
        <w:t>Policy</w:t>
      </w:r>
      <w:r w:rsidR="00BB66C8" w:rsidRPr="00BD6BC6">
        <w:t xml:space="preserve">) </w:t>
      </w:r>
      <w:r w:rsidR="006259FC" w:rsidRPr="00BD6BC6">
        <w:t xml:space="preserve">outlines the </w:t>
      </w:r>
      <w:r w:rsidRPr="00BD6BC6">
        <w:t xml:space="preserve">processes to investigate </w:t>
      </w:r>
      <w:r w:rsidR="00BB66C8" w:rsidRPr="00BD6BC6">
        <w:t>and make recommendations to resolve</w:t>
      </w:r>
      <w:r w:rsidRPr="00BD6BC6">
        <w:t xml:space="preserve"> cost-shifting</w:t>
      </w:r>
      <w:r w:rsidR="00BB66C8" w:rsidRPr="00BD6BC6">
        <w:t xml:space="preserve"> and cross-border</w:t>
      </w:r>
      <w:r w:rsidRPr="00BD6BC6">
        <w:t xml:space="preserve"> disputes following a request by a </w:t>
      </w:r>
      <w:r w:rsidR="00C10ABD" w:rsidRPr="00BD6BC6">
        <w:t>h</w:t>
      </w:r>
      <w:r w:rsidRPr="00BD6BC6">
        <w:t xml:space="preserve">ealth </w:t>
      </w:r>
      <w:r w:rsidR="00C10ABD" w:rsidRPr="00BD6BC6">
        <w:t>m</w:t>
      </w:r>
      <w:r w:rsidRPr="00BD6BC6">
        <w:t>inister</w:t>
      </w:r>
      <w:r w:rsidR="00CA15F5" w:rsidRPr="00BD6BC6">
        <w:t>,</w:t>
      </w:r>
      <w:r w:rsidR="00BB66C8" w:rsidRPr="00BD6BC6">
        <w:t xml:space="preserve"> </w:t>
      </w:r>
      <w:r w:rsidR="006259FC" w:rsidRPr="00BD6BC6">
        <w:t>to ensure the timely, equitable and transparent management of these disputes</w:t>
      </w:r>
      <w:r w:rsidRPr="00BD6BC6">
        <w:t>.</w:t>
      </w:r>
      <w:r w:rsidR="00155967">
        <w:t xml:space="preserve"> This Policy also outlines the process jurisdictions may wish to undertake to </w:t>
      </w:r>
      <w:r w:rsidR="00155967" w:rsidRPr="00BD6BC6">
        <w:t>make a complaint or enquire about IHPA’s legislative functions or the performance of these functions</w:t>
      </w:r>
      <w:r w:rsidR="0013004D">
        <w:t>.</w:t>
      </w:r>
    </w:p>
    <w:p w14:paraId="06D450A5" w14:textId="160D4E44" w:rsidR="00136EB7" w:rsidRDefault="00136EB7" w:rsidP="00AC3586">
      <w:pPr>
        <w:pStyle w:val="Heading2"/>
      </w:pPr>
      <w:bookmarkStart w:id="71" w:name="_Toc91157715"/>
      <w:r w:rsidRPr="00BD6BC6">
        <w:t>1.3</w:t>
      </w:r>
      <w:r w:rsidR="009C31AA" w:rsidRPr="00BD6BC6">
        <w:tab/>
      </w:r>
      <w:r w:rsidRPr="00BD6BC6">
        <w:t>Timeframes</w:t>
      </w:r>
      <w:bookmarkEnd w:id="71"/>
    </w:p>
    <w:p w14:paraId="1780505C" w14:textId="347685BE" w:rsidR="008D7E17" w:rsidRDefault="008D7E17" w:rsidP="008D7E17">
      <w:pPr>
        <w:rPr>
          <w:rFonts w:cs="Arial"/>
        </w:rPr>
      </w:pPr>
      <w:r w:rsidRPr="00BD6BC6">
        <w:rPr>
          <w:rFonts w:cs="Arial"/>
        </w:rPr>
        <w:t xml:space="preserve">Section 139(3) of the Act states that jurisdictions should ensure compliance with any relevant </w:t>
      </w:r>
      <w:r w:rsidR="007339F0" w:rsidRPr="007339F0">
        <w:rPr>
          <w:rFonts w:cs="Arial"/>
        </w:rPr>
        <w:t>intergovernmental</w:t>
      </w:r>
      <w:r w:rsidRPr="00BD6BC6">
        <w:rPr>
          <w:rFonts w:cs="Arial"/>
        </w:rPr>
        <w:t xml:space="preserve"> agreements.</w:t>
      </w:r>
    </w:p>
    <w:p w14:paraId="61E08BF3" w14:textId="41F59434" w:rsidR="008D7E17" w:rsidRDefault="008D7E17" w:rsidP="008D7E17">
      <w:pPr>
        <w:rPr>
          <w:rFonts w:cs="Arial"/>
        </w:rPr>
      </w:pPr>
      <w:r w:rsidRPr="00BD6BC6">
        <w:rPr>
          <w:rFonts w:cs="Arial"/>
        </w:rPr>
        <w:t xml:space="preserve">In addition, where a jurisdiction has known about the circumstances giving rise to a dispute, and has delayed taking steps to resolve that dispute for an extended period, this may </w:t>
      </w:r>
      <w:r w:rsidR="00AD4AD2">
        <w:rPr>
          <w:rFonts w:cs="Arial"/>
        </w:rPr>
        <w:t xml:space="preserve">be considered as </w:t>
      </w:r>
      <w:r w:rsidRPr="00BD6BC6">
        <w:rPr>
          <w:rFonts w:cs="Arial"/>
        </w:rPr>
        <w:t>failing to make reasonable efforts to resolve the dispute.</w:t>
      </w:r>
    </w:p>
    <w:p w14:paraId="7B922AF5" w14:textId="1D9B57E1" w:rsidR="008D7E17" w:rsidRDefault="008D7E17" w:rsidP="008D7E17">
      <w:pPr>
        <w:rPr>
          <w:rFonts w:cs="Arial"/>
        </w:rPr>
      </w:pPr>
      <w:r w:rsidRPr="00BD6BC6">
        <w:rPr>
          <w:rFonts w:cs="Arial"/>
        </w:rPr>
        <w:t>Neither the Act nor the Addendum prescribes timeframes by which IHPA must conduct investigations or prepare the draft and final assessment</w:t>
      </w:r>
      <w:r w:rsidR="00AD4AD2">
        <w:rPr>
          <w:rFonts w:cs="Arial"/>
        </w:rPr>
        <w:t>s</w:t>
      </w:r>
      <w:r w:rsidRPr="00BD6BC6">
        <w:rPr>
          <w:rFonts w:cs="Arial"/>
        </w:rPr>
        <w:t>.</w:t>
      </w:r>
    </w:p>
    <w:p w14:paraId="51C9BE67" w14:textId="5526594F" w:rsidR="008D7E17" w:rsidRDefault="008D7E17" w:rsidP="008D7E17">
      <w:pPr>
        <w:rPr>
          <w:rFonts w:cs="Arial"/>
        </w:rPr>
      </w:pPr>
      <w:r w:rsidRPr="00BD6BC6">
        <w:rPr>
          <w:rFonts w:cs="Arial"/>
        </w:rPr>
        <w:t>However, subject to the receipt of an application with the required supporting documents, IHPA will provide an assessment of the issues in contention to the health minister of the jurisdictions party to the dispute within six months.</w:t>
      </w:r>
    </w:p>
    <w:p w14:paraId="3B3D11C1" w14:textId="30DEDBBA" w:rsidR="000E6A78" w:rsidRDefault="000E6A78" w:rsidP="008D7E17">
      <w:pPr>
        <w:rPr>
          <w:rFonts w:cs="Arial"/>
        </w:rPr>
      </w:pPr>
    </w:p>
    <w:p w14:paraId="70A03467" w14:textId="77777777" w:rsidR="000E6A78" w:rsidRPr="008D7E17" w:rsidRDefault="000E6A78" w:rsidP="008D7E17"/>
    <w:p w14:paraId="45329AB7" w14:textId="00AD0FD8" w:rsidR="006A6D50" w:rsidRDefault="006A6D50" w:rsidP="000775C8">
      <w:pPr>
        <w:pStyle w:val="Heading2"/>
      </w:pPr>
      <w:bookmarkStart w:id="72" w:name="_Toc482364315"/>
      <w:bookmarkStart w:id="73" w:name="_Toc507599176"/>
      <w:bookmarkStart w:id="74" w:name="_Toc507611939"/>
      <w:bookmarkStart w:id="75" w:name="_Toc507612155"/>
      <w:bookmarkStart w:id="76" w:name="_Toc507612238"/>
      <w:bookmarkStart w:id="77" w:name="_Toc507613256"/>
      <w:bookmarkStart w:id="78" w:name="_Toc507613361"/>
      <w:bookmarkStart w:id="79" w:name="_Toc507613769"/>
      <w:bookmarkStart w:id="80" w:name="_Toc507614014"/>
      <w:bookmarkStart w:id="81" w:name="_Toc507614141"/>
      <w:bookmarkStart w:id="82" w:name="_Toc507614301"/>
      <w:bookmarkStart w:id="83" w:name="_Toc507614377"/>
      <w:bookmarkStart w:id="84" w:name="_Toc507614489"/>
      <w:bookmarkStart w:id="85" w:name="_Toc91157716"/>
      <w:r w:rsidRPr="00BD6BC6">
        <w:lastRenderedPageBreak/>
        <w:t>1.</w:t>
      </w:r>
      <w:r w:rsidR="00394FC2" w:rsidRPr="00BD6BC6">
        <w:t>4</w:t>
      </w:r>
      <w:r w:rsidRPr="00BD6BC6">
        <w:tab/>
        <w:t>Review</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A45712B" w14:textId="0512EB40" w:rsidR="008D7E17" w:rsidRDefault="008D7E17" w:rsidP="008D7E17">
      <w:pPr>
        <w:rPr>
          <w:rFonts w:cs="Arial"/>
        </w:rPr>
      </w:pPr>
      <w:r w:rsidRPr="00BD6BC6">
        <w:rPr>
          <w:rFonts w:cs="Arial"/>
        </w:rPr>
        <w:t>The Pricing Authority and Chief Executive Officer (CEO) of IHPA will review th</w:t>
      </w:r>
      <w:r w:rsidR="00AD4AD2">
        <w:rPr>
          <w:rFonts w:cs="Arial"/>
        </w:rPr>
        <w:t>is</w:t>
      </w:r>
      <w:r w:rsidRPr="00BD6BC6">
        <w:rPr>
          <w:rFonts w:cs="Arial"/>
        </w:rPr>
        <w:t xml:space="preserve"> </w:t>
      </w:r>
      <w:r>
        <w:rPr>
          <w:rFonts w:cs="Arial"/>
        </w:rPr>
        <w:t>Policy</w:t>
      </w:r>
      <w:r w:rsidRPr="00BD6BC6">
        <w:rPr>
          <w:rFonts w:cs="Arial"/>
        </w:rPr>
        <w:t>, including associated documentation, annually or as required.</w:t>
      </w:r>
    </w:p>
    <w:p w14:paraId="4E7DBB0B" w14:textId="1C5BA49C" w:rsidR="003C7A71" w:rsidRPr="008D7E17" w:rsidRDefault="008D7E17" w:rsidP="008D7E17">
      <w:pPr>
        <w:sectPr w:rsidR="003C7A71" w:rsidRPr="008D7E17" w:rsidSect="006171E4">
          <w:pgSz w:w="11906" w:h="16838" w:code="9"/>
          <w:pgMar w:top="2041" w:right="1440" w:bottom="709" w:left="1021" w:header="680" w:footer="510" w:gutter="0"/>
          <w:pgNumType w:start="1"/>
          <w:cols w:space="708"/>
          <w:docGrid w:linePitch="360"/>
        </w:sectPr>
      </w:pPr>
      <w:r w:rsidRPr="00BD6BC6">
        <w:rPr>
          <w:rFonts w:cs="Arial"/>
        </w:rPr>
        <w:t>Th</w:t>
      </w:r>
      <w:r w:rsidR="00AD4AD2">
        <w:rPr>
          <w:rFonts w:cs="Arial"/>
        </w:rPr>
        <w:t>is</w:t>
      </w:r>
      <w:r w:rsidRPr="00BD6BC6">
        <w:rPr>
          <w:rFonts w:cs="Arial"/>
        </w:rPr>
        <w:t xml:space="preserve"> </w:t>
      </w:r>
      <w:r>
        <w:rPr>
          <w:rFonts w:cs="Arial"/>
        </w:rPr>
        <w:t>Policy</w:t>
      </w:r>
      <w:r w:rsidRPr="00BD6BC6">
        <w:rPr>
          <w:rFonts w:cs="Arial"/>
        </w:rPr>
        <w:t xml:space="preserve"> was last reviewed in </w:t>
      </w:r>
      <w:r w:rsidR="004F1C75">
        <w:rPr>
          <w:rFonts w:cs="Arial"/>
        </w:rPr>
        <w:t>May</w:t>
      </w:r>
      <w:r w:rsidR="004F1C75" w:rsidRPr="00BD6BC6">
        <w:rPr>
          <w:rFonts w:cs="Arial"/>
        </w:rPr>
        <w:t xml:space="preserve"> </w:t>
      </w:r>
      <w:r w:rsidRPr="00BD6BC6">
        <w:rPr>
          <w:rFonts w:cs="Arial"/>
        </w:rPr>
        <w:t>202</w:t>
      </w:r>
      <w:r w:rsidR="007A1F6F">
        <w:rPr>
          <w:rFonts w:cs="Arial"/>
        </w:rPr>
        <w:t>2</w:t>
      </w:r>
      <w:r w:rsidRPr="00BD6BC6">
        <w:rPr>
          <w:rFonts w:cs="Arial"/>
        </w:rPr>
        <w:t>.</w:t>
      </w:r>
      <w:bookmarkStart w:id="86" w:name="_Toc482364316"/>
    </w:p>
    <w:p w14:paraId="45F8128D" w14:textId="768635E6" w:rsidR="006F3EBE" w:rsidRPr="00BD6BC6" w:rsidRDefault="006F3EBE" w:rsidP="00D2320A">
      <w:pPr>
        <w:pStyle w:val="Heading1"/>
      </w:pPr>
      <w:bookmarkStart w:id="87" w:name="_Toc507599177"/>
      <w:bookmarkStart w:id="88" w:name="_Toc507611940"/>
      <w:bookmarkStart w:id="89" w:name="_Toc507612156"/>
      <w:bookmarkStart w:id="90" w:name="_Toc507612239"/>
      <w:bookmarkStart w:id="91" w:name="_Toc507613257"/>
      <w:bookmarkStart w:id="92" w:name="_Toc507613362"/>
      <w:bookmarkStart w:id="93" w:name="_Toc507613770"/>
      <w:bookmarkStart w:id="94" w:name="_Toc507614015"/>
      <w:bookmarkStart w:id="95" w:name="_Toc507614142"/>
      <w:bookmarkStart w:id="96" w:name="_Toc507614302"/>
      <w:bookmarkStart w:id="97" w:name="_Toc507614378"/>
      <w:bookmarkStart w:id="98" w:name="_Toc507614490"/>
      <w:bookmarkStart w:id="99" w:name="_Toc91157717"/>
      <w:r w:rsidRPr="00BD6BC6">
        <w:lastRenderedPageBreak/>
        <w:t>2.</w:t>
      </w:r>
      <w:r w:rsidRPr="00BD6BC6">
        <w:tab/>
        <w:t xml:space="preserve">Dispute </w:t>
      </w:r>
      <w:r w:rsidR="00752A75" w:rsidRPr="00BD6BC6">
        <w:t>r</w:t>
      </w:r>
      <w:r w:rsidRPr="00BD6BC6">
        <w:t xml:space="preserve">esolution </w:t>
      </w:r>
      <w:r w:rsidR="00752A75" w:rsidRPr="00BD6BC6">
        <w:t>p</w:t>
      </w:r>
      <w:r w:rsidRPr="00BD6BC6">
        <w:t>rinciples</w:t>
      </w:r>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5197957C" w14:textId="7ABB1ACE" w:rsidR="001E4927" w:rsidRPr="00BD6BC6" w:rsidRDefault="001E4927" w:rsidP="001E4927">
      <w:r w:rsidRPr="00BD6BC6">
        <w:t>To ensure the effectiveness and integrity of the process, jurisdictions party to a dispute are obligated to fully disclose the information required for dispute resolution within the identified timeframes, to participate and cooperate in the process, and to genuinely seek resolution.</w:t>
      </w:r>
    </w:p>
    <w:p w14:paraId="25FB14D6" w14:textId="56FAFBFE" w:rsidR="00136960" w:rsidRPr="00BD6BC6" w:rsidRDefault="00136960" w:rsidP="001E4927">
      <w:r w:rsidRPr="00BD6BC6">
        <w:rPr>
          <w:rFonts w:cs="Arial"/>
        </w:rPr>
        <w:t xml:space="preserve">IHPA’s dispute resolution principles are outlined in </w:t>
      </w:r>
      <w:r w:rsidRPr="00694DC3">
        <w:rPr>
          <w:rFonts w:cs="Arial"/>
          <w:b/>
        </w:rPr>
        <w:t>Table 1</w:t>
      </w:r>
      <w:r w:rsidRPr="00BD6BC6">
        <w:rPr>
          <w:rFonts w:cs="Arial"/>
        </w:rPr>
        <w:t>, along with the key mechanisms by which IHPA meets these principles.</w:t>
      </w:r>
    </w:p>
    <w:p w14:paraId="0918C50F" w14:textId="661C81ED" w:rsidR="00136960" w:rsidRDefault="00EE2B1D" w:rsidP="008D7E17">
      <w:pPr>
        <w:pStyle w:val="TableHeading"/>
      </w:pPr>
      <w:r w:rsidRPr="00BD6BC6">
        <w:t xml:space="preserve">Table 1. </w:t>
      </w:r>
      <w:r w:rsidR="00BB66C8" w:rsidRPr="00BD6BC6">
        <w:t>D</w:t>
      </w:r>
      <w:r w:rsidR="006F3EBE" w:rsidRPr="00BD6BC6">
        <w:t xml:space="preserve">ispute </w:t>
      </w:r>
      <w:r w:rsidR="00113762" w:rsidRPr="00BD6BC6">
        <w:t>r</w:t>
      </w:r>
      <w:r w:rsidR="006F3EBE" w:rsidRPr="00BD6BC6">
        <w:t>esolution principles and</w:t>
      </w:r>
      <w:r w:rsidR="00D77EC6" w:rsidRPr="00BD6BC6">
        <w:t xml:space="preserve"> </w:t>
      </w:r>
      <w:r w:rsidR="006F3EBE" w:rsidRPr="00BD6BC6">
        <w:t>mechanisms</w:t>
      </w:r>
      <w:bookmarkStart w:id="100" w:name="_Toc482364317"/>
      <w:bookmarkStart w:id="101" w:name="_Toc507599178"/>
      <w:bookmarkStart w:id="102" w:name="_Toc507611941"/>
      <w:bookmarkStart w:id="103" w:name="_Toc507612157"/>
      <w:bookmarkStart w:id="104" w:name="_Toc507612240"/>
      <w:bookmarkStart w:id="105" w:name="_Toc507613258"/>
      <w:bookmarkStart w:id="106" w:name="_Toc507613363"/>
      <w:bookmarkStart w:id="107" w:name="_Toc507613771"/>
      <w:bookmarkStart w:id="108" w:name="_Toc507614016"/>
      <w:bookmarkStart w:id="109" w:name="_Toc507614143"/>
      <w:bookmarkStart w:id="110" w:name="_Toc507614303"/>
      <w:bookmarkStart w:id="111" w:name="_Toc507614379"/>
      <w:bookmarkStart w:id="112" w:name="_Toc507614491"/>
    </w:p>
    <w:tbl>
      <w:tblPr>
        <w:tblStyle w:val="TableGrid"/>
        <w:tblW w:w="0" w:type="auto"/>
        <w:tblLook w:val="04A0" w:firstRow="1" w:lastRow="0" w:firstColumn="1" w:lastColumn="0" w:noHBand="0" w:noVBand="1"/>
      </w:tblPr>
      <w:tblGrid>
        <w:gridCol w:w="421"/>
        <w:gridCol w:w="2835"/>
        <w:gridCol w:w="6179"/>
      </w:tblGrid>
      <w:tr w:rsidR="00AD4AD2" w:rsidRPr="00485D15" w14:paraId="086D2EE8" w14:textId="77777777" w:rsidTr="00485D15">
        <w:tc>
          <w:tcPr>
            <w:tcW w:w="3256" w:type="dxa"/>
            <w:gridSpan w:val="2"/>
            <w:shd w:val="clear" w:color="auto" w:fill="004200" w:themeFill="accent1"/>
          </w:tcPr>
          <w:p w14:paraId="0E70C149" w14:textId="2881BEF1" w:rsidR="00AD4AD2" w:rsidRPr="00485D15" w:rsidRDefault="00AD4AD2" w:rsidP="00AD4AD2">
            <w:pPr>
              <w:spacing w:before="60" w:after="60"/>
              <w:rPr>
                <w:b/>
                <w:sz w:val="21"/>
                <w:szCs w:val="21"/>
              </w:rPr>
            </w:pPr>
            <w:r w:rsidRPr="00485D15">
              <w:rPr>
                <w:b/>
                <w:sz w:val="21"/>
                <w:szCs w:val="21"/>
              </w:rPr>
              <w:t>Dispute resolution principles</w:t>
            </w:r>
          </w:p>
        </w:tc>
        <w:tc>
          <w:tcPr>
            <w:tcW w:w="6179" w:type="dxa"/>
            <w:shd w:val="clear" w:color="auto" w:fill="004200" w:themeFill="accent1"/>
          </w:tcPr>
          <w:p w14:paraId="16B3BD2D" w14:textId="6330E2D3" w:rsidR="00AD4AD2" w:rsidRPr="00485D15" w:rsidRDefault="00AD4AD2" w:rsidP="008D7E17">
            <w:pPr>
              <w:spacing w:before="60" w:after="60"/>
              <w:rPr>
                <w:b/>
                <w:sz w:val="21"/>
                <w:szCs w:val="21"/>
              </w:rPr>
            </w:pPr>
            <w:r w:rsidRPr="00485D15">
              <w:rPr>
                <w:b/>
                <w:sz w:val="21"/>
                <w:szCs w:val="21"/>
              </w:rPr>
              <w:t>Dispute resolution mechanisms</w:t>
            </w:r>
          </w:p>
        </w:tc>
      </w:tr>
      <w:tr w:rsidR="008D7E17" w:rsidRPr="00485D15" w14:paraId="637390D9" w14:textId="77777777" w:rsidTr="00A9181B">
        <w:trPr>
          <w:trHeight w:val="998"/>
        </w:trPr>
        <w:tc>
          <w:tcPr>
            <w:tcW w:w="421" w:type="dxa"/>
          </w:tcPr>
          <w:p w14:paraId="5FAD3FAA" w14:textId="5FD3492F" w:rsidR="008D7E17" w:rsidRPr="00485D15" w:rsidRDefault="008D7E17" w:rsidP="008D7E17">
            <w:pPr>
              <w:spacing w:before="60" w:after="60"/>
              <w:rPr>
                <w:sz w:val="21"/>
                <w:szCs w:val="21"/>
              </w:rPr>
            </w:pPr>
            <w:r w:rsidRPr="00485D15">
              <w:rPr>
                <w:sz w:val="21"/>
                <w:szCs w:val="21"/>
              </w:rPr>
              <w:t>1</w:t>
            </w:r>
          </w:p>
        </w:tc>
        <w:tc>
          <w:tcPr>
            <w:tcW w:w="2835" w:type="dxa"/>
          </w:tcPr>
          <w:p w14:paraId="14703E3E" w14:textId="713C48B2" w:rsidR="008D7E17" w:rsidRPr="00485D15" w:rsidRDefault="008D7E17" w:rsidP="00485D15">
            <w:pPr>
              <w:spacing w:before="60" w:after="60"/>
              <w:rPr>
                <w:sz w:val="21"/>
                <w:szCs w:val="21"/>
              </w:rPr>
            </w:pPr>
            <w:r w:rsidRPr="00485D15">
              <w:rPr>
                <w:rFonts w:cs="Arial"/>
                <w:sz w:val="21"/>
                <w:szCs w:val="21"/>
              </w:rPr>
              <w:t xml:space="preserve">Clear sense of </w:t>
            </w:r>
            <w:r w:rsidR="00485D15">
              <w:rPr>
                <w:rFonts w:cs="Arial"/>
                <w:sz w:val="21"/>
                <w:szCs w:val="21"/>
              </w:rPr>
              <w:t>role and purpose</w:t>
            </w:r>
          </w:p>
        </w:tc>
        <w:tc>
          <w:tcPr>
            <w:tcW w:w="6179" w:type="dxa"/>
          </w:tcPr>
          <w:p w14:paraId="31109010" w14:textId="51813CB6" w:rsidR="008D7E17" w:rsidRPr="00485D15" w:rsidRDefault="00CA447A" w:rsidP="00A9181B">
            <w:pPr>
              <w:pStyle w:val="NormalArial"/>
              <w:spacing w:before="60" w:after="120"/>
              <w:ind w:left="0"/>
              <w:rPr>
                <w:sz w:val="21"/>
                <w:szCs w:val="21"/>
              </w:rPr>
            </w:pPr>
            <w:r>
              <w:rPr>
                <w:sz w:val="21"/>
                <w:szCs w:val="21"/>
              </w:rPr>
              <w:t>Carry out</w:t>
            </w:r>
            <w:r w:rsidR="00616039">
              <w:rPr>
                <w:sz w:val="21"/>
                <w:szCs w:val="21"/>
              </w:rPr>
              <w:t xml:space="preserve"> responsibilities related to resolving dis</w:t>
            </w:r>
            <w:r>
              <w:rPr>
                <w:sz w:val="21"/>
                <w:szCs w:val="21"/>
              </w:rPr>
              <w:t>p</w:t>
            </w:r>
            <w:r w:rsidR="00616039">
              <w:rPr>
                <w:sz w:val="21"/>
                <w:szCs w:val="21"/>
              </w:rPr>
              <w:t>u</w:t>
            </w:r>
            <w:r>
              <w:rPr>
                <w:sz w:val="21"/>
                <w:szCs w:val="21"/>
              </w:rPr>
              <w:t>te</w:t>
            </w:r>
            <w:r w:rsidR="00616039">
              <w:rPr>
                <w:sz w:val="21"/>
                <w:szCs w:val="21"/>
              </w:rPr>
              <w:t>s between jurisdictions i</w:t>
            </w:r>
            <w:r>
              <w:rPr>
                <w:sz w:val="21"/>
                <w:szCs w:val="21"/>
              </w:rPr>
              <w:t xml:space="preserve">n line with </w:t>
            </w:r>
            <w:r w:rsidR="008D7E17" w:rsidRPr="00485D15">
              <w:rPr>
                <w:sz w:val="21"/>
                <w:szCs w:val="21"/>
              </w:rPr>
              <w:t xml:space="preserve">IHPA’s </w:t>
            </w:r>
            <w:r w:rsidR="00616039">
              <w:rPr>
                <w:sz w:val="21"/>
                <w:szCs w:val="21"/>
              </w:rPr>
              <w:t xml:space="preserve">defined </w:t>
            </w:r>
            <w:r w:rsidR="008D7E17" w:rsidRPr="00485D15">
              <w:rPr>
                <w:sz w:val="21"/>
                <w:szCs w:val="21"/>
              </w:rPr>
              <w:t xml:space="preserve">role and </w:t>
            </w:r>
            <w:r w:rsidR="00485D15">
              <w:rPr>
                <w:sz w:val="21"/>
                <w:szCs w:val="21"/>
              </w:rPr>
              <w:t>purpose</w:t>
            </w:r>
            <w:r w:rsidR="00485D15" w:rsidRPr="00485D15">
              <w:rPr>
                <w:sz w:val="21"/>
                <w:szCs w:val="21"/>
              </w:rPr>
              <w:t xml:space="preserve"> </w:t>
            </w:r>
            <w:r w:rsidR="008D7E17" w:rsidRPr="00485D15">
              <w:rPr>
                <w:sz w:val="21"/>
                <w:szCs w:val="21"/>
              </w:rPr>
              <w:t>in the Act and the Addendum.</w:t>
            </w:r>
            <w:r>
              <w:rPr>
                <w:sz w:val="21"/>
                <w:szCs w:val="21"/>
              </w:rPr>
              <w:t xml:space="preserve"> </w:t>
            </w:r>
          </w:p>
        </w:tc>
      </w:tr>
      <w:tr w:rsidR="008D7E17" w:rsidRPr="00485D15" w14:paraId="2AE63CF1" w14:textId="77777777" w:rsidTr="00485D15">
        <w:tc>
          <w:tcPr>
            <w:tcW w:w="421" w:type="dxa"/>
          </w:tcPr>
          <w:p w14:paraId="6388C945" w14:textId="79CAAE34" w:rsidR="008D7E17" w:rsidRPr="00485D15" w:rsidRDefault="008D7E17" w:rsidP="008D7E17">
            <w:pPr>
              <w:spacing w:before="60" w:after="60"/>
              <w:rPr>
                <w:sz w:val="21"/>
                <w:szCs w:val="21"/>
              </w:rPr>
            </w:pPr>
            <w:r w:rsidRPr="00485D15">
              <w:rPr>
                <w:sz w:val="21"/>
                <w:szCs w:val="21"/>
              </w:rPr>
              <w:t>2</w:t>
            </w:r>
          </w:p>
        </w:tc>
        <w:tc>
          <w:tcPr>
            <w:tcW w:w="2835" w:type="dxa"/>
          </w:tcPr>
          <w:p w14:paraId="119E4040" w14:textId="6F89EAC3" w:rsidR="008D7E17" w:rsidRPr="00485D15" w:rsidRDefault="008D7E17" w:rsidP="008D7E17">
            <w:pPr>
              <w:spacing w:before="60" w:after="60"/>
              <w:rPr>
                <w:sz w:val="21"/>
                <w:szCs w:val="21"/>
              </w:rPr>
            </w:pPr>
            <w:r w:rsidRPr="00485D15">
              <w:rPr>
                <w:rFonts w:cs="Arial"/>
                <w:sz w:val="21"/>
                <w:szCs w:val="21"/>
              </w:rPr>
              <w:t>Transparent communication</w:t>
            </w:r>
          </w:p>
        </w:tc>
        <w:tc>
          <w:tcPr>
            <w:tcW w:w="6179" w:type="dxa"/>
          </w:tcPr>
          <w:p w14:paraId="7F13851A" w14:textId="19002E02" w:rsidR="008D7E17" w:rsidRPr="00485D15" w:rsidRDefault="008D7E17" w:rsidP="008D7E17">
            <w:pPr>
              <w:spacing w:before="60" w:after="60"/>
              <w:rPr>
                <w:sz w:val="21"/>
                <w:szCs w:val="21"/>
              </w:rPr>
            </w:pPr>
            <w:r w:rsidRPr="00485D15">
              <w:rPr>
                <w:sz w:val="21"/>
                <w:szCs w:val="21"/>
              </w:rPr>
              <w:t>Promote transparency through clear dispute resolution principles, processes and communication with those parties involved in the dispute.</w:t>
            </w:r>
          </w:p>
        </w:tc>
      </w:tr>
      <w:tr w:rsidR="008D7E17" w:rsidRPr="00485D15" w14:paraId="2E16B16C" w14:textId="77777777" w:rsidTr="00485D15">
        <w:tc>
          <w:tcPr>
            <w:tcW w:w="421" w:type="dxa"/>
          </w:tcPr>
          <w:p w14:paraId="5DBCC530" w14:textId="3DCFDB66" w:rsidR="008D7E17" w:rsidRPr="00485D15" w:rsidRDefault="008D7E17" w:rsidP="008D7E17">
            <w:pPr>
              <w:spacing w:before="60" w:after="60"/>
              <w:rPr>
                <w:sz w:val="21"/>
                <w:szCs w:val="21"/>
              </w:rPr>
            </w:pPr>
            <w:r w:rsidRPr="00485D15">
              <w:rPr>
                <w:sz w:val="21"/>
                <w:szCs w:val="21"/>
              </w:rPr>
              <w:t>3</w:t>
            </w:r>
          </w:p>
        </w:tc>
        <w:tc>
          <w:tcPr>
            <w:tcW w:w="2835" w:type="dxa"/>
          </w:tcPr>
          <w:p w14:paraId="2DE5A1E6" w14:textId="32A3F9F2" w:rsidR="008D7E17" w:rsidRPr="00485D15" w:rsidRDefault="0013004D" w:rsidP="008D7E17">
            <w:pPr>
              <w:spacing w:before="60" w:after="60"/>
              <w:rPr>
                <w:sz w:val="21"/>
                <w:szCs w:val="21"/>
              </w:rPr>
            </w:pPr>
            <w:r>
              <w:rPr>
                <w:rFonts w:cs="Arial"/>
                <w:sz w:val="21"/>
                <w:szCs w:val="21"/>
              </w:rPr>
              <w:t>E</w:t>
            </w:r>
            <w:r w:rsidR="008D7E17" w:rsidRPr="00485D15">
              <w:rPr>
                <w:rFonts w:cs="Arial"/>
                <w:sz w:val="21"/>
                <w:szCs w:val="21"/>
              </w:rPr>
              <w:t>thical, fair and responsible decision making</w:t>
            </w:r>
          </w:p>
        </w:tc>
        <w:tc>
          <w:tcPr>
            <w:tcW w:w="6179" w:type="dxa"/>
          </w:tcPr>
          <w:p w14:paraId="02193E18" w14:textId="77777777" w:rsidR="008D7E17" w:rsidRPr="00485D15" w:rsidRDefault="008D7E17" w:rsidP="00485D15">
            <w:pPr>
              <w:pStyle w:val="NormalArial"/>
              <w:spacing w:before="60" w:after="120"/>
              <w:ind w:left="0"/>
              <w:rPr>
                <w:sz w:val="21"/>
                <w:szCs w:val="21"/>
              </w:rPr>
            </w:pPr>
            <w:r w:rsidRPr="00485D15">
              <w:rPr>
                <w:sz w:val="21"/>
                <w:szCs w:val="21"/>
              </w:rPr>
              <w:t>Actively promote ethical and responsible decision making (code of conduct, conflict of interest management).</w:t>
            </w:r>
          </w:p>
          <w:p w14:paraId="1D6FCAB4" w14:textId="77777777" w:rsidR="008D7E17" w:rsidRPr="00485D15" w:rsidRDefault="008D7E17" w:rsidP="00485D15">
            <w:pPr>
              <w:pStyle w:val="NormalArial"/>
              <w:spacing w:before="60" w:after="120"/>
              <w:ind w:left="0"/>
              <w:rPr>
                <w:sz w:val="21"/>
                <w:szCs w:val="21"/>
              </w:rPr>
            </w:pPr>
            <w:r w:rsidRPr="00485D15">
              <w:rPr>
                <w:sz w:val="21"/>
                <w:szCs w:val="21"/>
              </w:rPr>
              <w:t>Focus on promoting improved efficiency and access to public hospital services and minimising susceptibility to gaming.</w:t>
            </w:r>
          </w:p>
          <w:p w14:paraId="64C026C5" w14:textId="77777777" w:rsidR="008D7E17" w:rsidRPr="00485D15" w:rsidRDefault="008D7E17" w:rsidP="00485D15">
            <w:pPr>
              <w:pStyle w:val="NormalArial"/>
              <w:spacing w:before="60" w:after="120"/>
              <w:ind w:left="0"/>
              <w:rPr>
                <w:sz w:val="21"/>
                <w:szCs w:val="21"/>
              </w:rPr>
            </w:pPr>
            <w:r w:rsidRPr="00485D15">
              <w:rPr>
                <w:sz w:val="21"/>
                <w:szCs w:val="21"/>
              </w:rPr>
              <w:t>Focus on fairness in decision making and good outcomes for resolution based on legislative and other requirements, including the Act and the Addendum.</w:t>
            </w:r>
          </w:p>
          <w:p w14:paraId="5D80B7C4" w14:textId="5B6A8FBF" w:rsidR="008D7E17" w:rsidRPr="00485D15" w:rsidRDefault="00CA447A" w:rsidP="008D7E17">
            <w:pPr>
              <w:spacing w:before="60" w:after="60"/>
              <w:rPr>
                <w:sz w:val="21"/>
                <w:szCs w:val="21"/>
              </w:rPr>
            </w:pPr>
            <w:r>
              <w:rPr>
                <w:sz w:val="21"/>
                <w:szCs w:val="21"/>
              </w:rPr>
              <w:t xml:space="preserve">Act in accordance with </w:t>
            </w:r>
            <w:r w:rsidR="008D7E17" w:rsidRPr="00485D15">
              <w:rPr>
                <w:sz w:val="21"/>
                <w:szCs w:val="21"/>
              </w:rPr>
              <w:t xml:space="preserve">the </w:t>
            </w:r>
            <w:r w:rsidR="008D7E17" w:rsidRPr="00485D15">
              <w:rPr>
                <w:i/>
                <w:sz w:val="21"/>
                <w:szCs w:val="21"/>
              </w:rPr>
              <w:t>Disclosure of Interests Policy</w:t>
            </w:r>
            <w:r w:rsidR="008D7E17" w:rsidRPr="00485D15">
              <w:rPr>
                <w:sz w:val="21"/>
                <w:szCs w:val="21"/>
              </w:rPr>
              <w:t>.</w:t>
            </w:r>
          </w:p>
        </w:tc>
      </w:tr>
      <w:tr w:rsidR="008D7E17" w:rsidRPr="00485D15" w14:paraId="0A3046C4" w14:textId="77777777" w:rsidTr="00485D15">
        <w:tc>
          <w:tcPr>
            <w:tcW w:w="421" w:type="dxa"/>
          </w:tcPr>
          <w:p w14:paraId="37A14032" w14:textId="02E72124" w:rsidR="008D7E17" w:rsidRPr="00485D15" w:rsidRDefault="008D7E17" w:rsidP="008D7E17">
            <w:pPr>
              <w:spacing w:before="60" w:after="60"/>
              <w:rPr>
                <w:sz w:val="21"/>
                <w:szCs w:val="21"/>
              </w:rPr>
            </w:pPr>
            <w:r w:rsidRPr="00485D15">
              <w:rPr>
                <w:sz w:val="21"/>
                <w:szCs w:val="21"/>
              </w:rPr>
              <w:t>4</w:t>
            </w:r>
          </w:p>
        </w:tc>
        <w:tc>
          <w:tcPr>
            <w:tcW w:w="2835" w:type="dxa"/>
          </w:tcPr>
          <w:p w14:paraId="40288E56" w14:textId="456512B7" w:rsidR="008D7E17" w:rsidRPr="00485D15" w:rsidRDefault="00CA447A" w:rsidP="008D7E17">
            <w:pPr>
              <w:spacing w:before="60" w:after="60"/>
              <w:rPr>
                <w:sz w:val="21"/>
                <w:szCs w:val="21"/>
              </w:rPr>
            </w:pPr>
            <w:r>
              <w:rPr>
                <w:rFonts w:cs="Arial"/>
                <w:sz w:val="21"/>
                <w:szCs w:val="21"/>
              </w:rPr>
              <w:t>Effective and efficient i</w:t>
            </w:r>
            <w:r w:rsidR="008D7E17" w:rsidRPr="00485D15">
              <w:rPr>
                <w:rFonts w:cs="Arial"/>
                <w:sz w:val="21"/>
                <w:szCs w:val="21"/>
              </w:rPr>
              <w:t xml:space="preserve">nvestigations </w:t>
            </w:r>
          </w:p>
        </w:tc>
        <w:tc>
          <w:tcPr>
            <w:tcW w:w="6179" w:type="dxa"/>
          </w:tcPr>
          <w:p w14:paraId="6EE960B7" w14:textId="6602EA02" w:rsidR="008D7E17" w:rsidRPr="00485D15" w:rsidRDefault="00CA447A" w:rsidP="00A9181B">
            <w:pPr>
              <w:pStyle w:val="NormalArial"/>
              <w:spacing w:before="60" w:after="120"/>
              <w:ind w:left="0"/>
              <w:rPr>
                <w:sz w:val="21"/>
                <w:szCs w:val="21"/>
              </w:rPr>
            </w:pPr>
            <w:r>
              <w:rPr>
                <w:sz w:val="21"/>
                <w:szCs w:val="21"/>
              </w:rPr>
              <w:t>Undertake d</w:t>
            </w:r>
            <w:r w:rsidR="008D7E17" w:rsidRPr="00485D15">
              <w:rPr>
                <w:sz w:val="21"/>
                <w:szCs w:val="21"/>
              </w:rPr>
              <w:t>ispute</w:t>
            </w:r>
            <w:r>
              <w:rPr>
                <w:sz w:val="21"/>
                <w:szCs w:val="21"/>
              </w:rPr>
              <w:t xml:space="preserve"> resolution</w:t>
            </w:r>
            <w:r w:rsidR="008D7E17" w:rsidRPr="00485D15">
              <w:rPr>
                <w:sz w:val="21"/>
                <w:szCs w:val="21"/>
              </w:rPr>
              <w:t xml:space="preserve"> investigations in accordance with the dispute resolution processes</w:t>
            </w:r>
            <w:r>
              <w:rPr>
                <w:sz w:val="21"/>
                <w:szCs w:val="21"/>
              </w:rPr>
              <w:t xml:space="preserve"> outlined in the Act, the Addendum, this Policy and internal procedure manuals and templates</w:t>
            </w:r>
            <w:r w:rsidR="008D7E17" w:rsidRPr="00485D15">
              <w:rPr>
                <w:sz w:val="21"/>
                <w:szCs w:val="21"/>
              </w:rPr>
              <w:t>.</w:t>
            </w:r>
          </w:p>
        </w:tc>
      </w:tr>
      <w:tr w:rsidR="008D7E17" w:rsidRPr="00485D15" w14:paraId="2A609C29" w14:textId="77777777" w:rsidTr="00485D15">
        <w:tc>
          <w:tcPr>
            <w:tcW w:w="421" w:type="dxa"/>
          </w:tcPr>
          <w:p w14:paraId="79179176" w14:textId="6D39AF51" w:rsidR="008D7E17" w:rsidRPr="00485D15" w:rsidRDefault="008D7E17" w:rsidP="008D7E17">
            <w:pPr>
              <w:spacing w:before="60" w:after="60"/>
              <w:rPr>
                <w:sz w:val="21"/>
                <w:szCs w:val="21"/>
              </w:rPr>
            </w:pPr>
            <w:r w:rsidRPr="00485D15">
              <w:rPr>
                <w:sz w:val="21"/>
                <w:szCs w:val="21"/>
              </w:rPr>
              <w:t>5</w:t>
            </w:r>
          </w:p>
        </w:tc>
        <w:tc>
          <w:tcPr>
            <w:tcW w:w="2835" w:type="dxa"/>
          </w:tcPr>
          <w:p w14:paraId="183447EB" w14:textId="50E98846" w:rsidR="008D7E17" w:rsidRPr="00485D15" w:rsidRDefault="0013004D" w:rsidP="008D7E17">
            <w:pPr>
              <w:spacing w:before="60" w:after="60"/>
              <w:rPr>
                <w:sz w:val="21"/>
                <w:szCs w:val="21"/>
              </w:rPr>
            </w:pPr>
            <w:r>
              <w:rPr>
                <w:rFonts w:cs="Arial"/>
                <w:sz w:val="21"/>
                <w:szCs w:val="21"/>
              </w:rPr>
              <w:t>T</w:t>
            </w:r>
            <w:r w:rsidR="008D7E17" w:rsidRPr="00485D15">
              <w:rPr>
                <w:rFonts w:cs="Arial"/>
                <w:sz w:val="21"/>
                <w:szCs w:val="21"/>
              </w:rPr>
              <w:t xml:space="preserve">imely, balanced and evidenced based assessments </w:t>
            </w:r>
            <w:r w:rsidR="00155967">
              <w:rPr>
                <w:rFonts w:cs="Arial"/>
                <w:sz w:val="21"/>
                <w:szCs w:val="21"/>
              </w:rPr>
              <w:t xml:space="preserve">and </w:t>
            </w:r>
            <w:r w:rsidR="008D7E17" w:rsidRPr="00485D15">
              <w:rPr>
                <w:rFonts w:cs="Arial"/>
                <w:sz w:val="21"/>
                <w:szCs w:val="21"/>
              </w:rPr>
              <w:t>recommendations</w:t>
            </w:r>
          </w:p>
        </w:tc>
        <w:tc>
          <w:tcPr>
            <w:tcW w:w="6179" w:type="dxa"/>
          </w:tcPr>
          <w:p w14:paraId="28B7B327" w14:textId="6888D1AF" w:rsidR="008D7E17" w:rsidRPr="00485D15" w:rsidRDefault="00CA447A" w:rsidP="00CA447A">
            <w:pPr>
              <w:pStyle w:val="NormalArial"/>
              <w:spacing w:before="60" w:after="120"/>
              <w:ind w:left="0"/>
              <w:rPr>
                <w:sz w:val="21"/>
                <w:szCs w:val="21"/>
              </w:rPr>
            </w:pPr>
            <w:r>
              <w:rPr>
                <w:sz w:val="21"/>
                <w:szCs w:val="21"/>
              </w:rPr>
              <w:t>Make d</w:t>
            </w:r>
            <w:r w:rsidR="008D7E17" w:rsidRPr="00485D15">
              <w:rPr>
                <w:sz w:val="21"/>
                <w:szCs w:val="21"/>
              </w:rPr>
              <w:t>ispute resolution assessments and recommendations</w:t>
            </w:r>
            <w:r w:rsidR="00616039">
              <w:rPr>
                <w:sz w:val="21"/>
                <w:szCs w:val="21"/>
              </w:rPr>
              <w:t xml:space="preserve"> based on a </w:t>
            </w:r>
            <w:r>
              <w:rPr>
                <w:sz w:val="21"/>
                <w:szCs w:val="21"/>
              </w:rPr>
              <w:t xml:space="preserve">balance of </w:t>
            </w:r>
            <w:r w:rsidR="008D7E17" w:rsidRPr="00485D15">
              <w:rPr>
                <w:sz w:val="21"/>
                <w:szCs w:val="21"/>
              </w:rPr>
              <w:t>‘evidence based’ factors</w:t>
            </w:r>
            <w:r w:rsidR="00616039">
              <w:rPr>
                <w:sz w:val="21"/>
                <w:szCs w:val="21"/>
              </w:rPr>
              <w:t xml:space="preserve"> and on a timely basis, adhering to timeframes outlined in the Act, the Addendum and this Policy</w:t>
            </w:r>
            <w:r w:rsidR="008D7E17" w:rsidRPr="00485D15">
              <w:rPr>
                <w:sz w:val="21"/>
                <w:szCs w:val="21"/>
              </w:rPr>
              <w:t>.</w:t>
            </w:r>
          </w:p>
        </w:tc>
      </w:tr>
      <w:tr w:rsidR="008D7E17" w:rsidRPr="00485D15" w14:paraId="7D174244" w14:textId="77777777" w:rsidTr="00485D15">
        <w:tc>
          <w:tcPr>
            <w:tcW w:w="421" w:type="dxa"/>
          </w:tcPr>
          <w:p w14:paraId="5753A530" w14:textId="25802727" w:rsidR="008D7E17" w:rsidRPr="00485D15" w:rsidRDefault="008D7E17" w:rsidP="008D7E17">
            <w:pPr>
              <w:spacing w:before="60" w:after="60"/>
              <w:rPr>
                <w:sz w:val="21"/>
                <w:szCs w:val="21"/>
              </w:rPr>
            </w:pPr>
            <w:r w:rsidRPr="00485D15">
              <w:rPr>
                <w:sz w:val="21"/>
                <w:szCs w:val="21"/>
              </w:rPr>
              <w:t>6</w:t>
            </w:r>
          </w:p>
        </w:tc>
        <w:tc>
          <w:tcPr>
            <w:tcW w:w="2835" w:type="dxa"/>
          </w:tcPr>
          <w:p w14:paraId="3EF5098A" w14:textId="63E103DC" w:rsidR="008D7E17" w:rsidRPr="00485D15" w:rsidRDefault="0013004D" w:rsidP="008D7E17">
            <w:pPr>
              <w:spacing w:before="60" w:after="60"/>
              <w:rPr>
                <w:sz w:val="21"/>
                <w:szCs w:val="21"/>
              </w:rPr>
            </w:pPr>
            <w:r>
              <w:rPr>
                <w:rFonts w:cs="Arial"/>
                <w:sz w:val="21"/>
                <w:szCs w:val="21"/>
              </w:rPr>
              <w:t>Q</w:t>
            </w:r>
            <w:r w:rsidR="008D7E17" w:rsidRPr="00485D15">
              <w:rPr>
                <w:rFonts w:cs="Arial"/>
                <w:sz w:val="21"/>
                <w:szCs w:val="21"/>
              </w:rPr>
              <w:t>uality and risk</w:t>
            </w:r>
            <w:r>
              <w:rPr>
                <w:rFonts w:cs="Arial"/>
                <w:sz w:val="21"/>
                <w:szCs w:val="21"/>
              </w:rPr>
              <w:t xml:space="preserve"> is recognised and managed</w:t>
            </w:r>
            <w:r w:rsidR="008D7E17" w:rsidRPr="00485D15">
              <w:rPr>
                <w:rFonts w:cs="Arial"/>
                <w:sz w:val="21"/>
                <w:szCs w:val="21"/>
              </w:rPr>
              <w:t xml:space="preserve"> in the investigation process</w:t>
            </w:r>
          </w:p>
        </w:tc>
        <w:tc>
          <w:tcPr>
            <w:tcW w:w="6179" w:type="dxa"/>
          </w:tcPr>
          <w:p w14:paraId="597BCA93" w14:textId="72B05C07" w:rsidR="008D7E17" w:rsidRPr="00485D15" w:rsidRDefault="008D7E17" w:rsidP="008D7E17">
            <w:pPr>
              <w:spacing w:before="60" w:after="60"/>
              <w:rPr>
                <w:sz w:val="21"/>
                <w:szCs w:val="21"/>
              </w:rPr>
            </w:pPr>
            <w:r w:rsidRPr="00485D15">
              <w:rPr>
                <w:sz w:val="21"/>
                <w:szCs w:val="21"/>
              </w:rPr>
              <w:t xml:space="preserve">Establish a sound system within IHPA of risk management and quality oversight (guided by the </w:t>
            </w:r>
            <w:r w:rsidRPr="00485D15">
              <w:rPr>
                <w:i/>
                <w:sz w:val="21"/>
                <w:szCs w:val="21"/>
              </w:rPr>
              <w:t>Risk Management Framework</w:t>
            </w:r>
            <w:r w:rsidRPr="00485D15">
              <w:rPr>
                <w:sz w:val="21"/>
                <w:szCs w:val="21"/>
              </w:rPr>
              <w:t xml:space="preserve">, </w:t>
            </w:r>
            <w:r w:rsidRPr="00485D15">
              <w:rPr>
                <w:i/>
                <w:sz w:val="21"/>
                <w:szCs w:val="21"/>
              </w:rPr>
              <w:t>Data Quality Assurance Framework</w:t>
            </w:r>
            <w:r w:rsidRPr="00485D15">
              <w:rPr>
                <w:sz w:val="21"/>
                <w:szCs w:val="21"/>
              </w:rPr>
              <w:t xml:space="preserve"> and other relevant policies).</w:t>
            </w:r>
          </w:p>
        </w:tc>
      </w:tr>
    </w:tbl>
    <w:p w14:paraId="1C0E1549" w14:textId="2DF84B3F" w:rsidR="0009465A" w:rsidRPr="00BD6BC6" w:rsidRDefault="0009465A" w:rsidP="00D2320A">
      <w:pPr>
        <w:pStyle w:val="Heading1"/>
      </w:pPr>
      <w:bookmarkStart w:id="113" w:name="_Toc91157718"/>
      <w:r w:rsidRPr="00BD6BC6">
        <w:lastRenderedPageBreak/>
        <w:t>3.</w:t>
      </w:r>
      <w:r w:rsidRPr="00BD6BC6">
        <w:tab/>
        <w:t>Cost-</w:t>
      </w:r>
      <w:r w:rsidR="00752A75" w:rsidRPr="00BD6BC6">
        <w:t>s</w:t>
      </w:r>
      <w:r w:rsidRPr="00BD6BC6">
        <w:t xml:space="preserve">hifting </w:t>
      </w:r>
      <w:r w:rsidR="00752A75" w:rsidRPr="00BD6BC6">
        <w:t>d</w:t>
      </w:r>
      <w:r w:rsidRPr="00BD6BC6">
        <w:t xml:space="preserve">ispute </w:t>
      </w:r>
      <w:r w:rsidR="00752A75" w:rsidRPr="00BD6BC6">
        <w:t>r</w:t>
      </w:r>
      <w:r w:rsidRPr="00BD6BC6">
        <w:t>esolution</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63535374" w14:textId="77777777" w:rsidR="0009465A" w:rsidRPr="00BD6BC6" w:rsidRDefault="0009465A" w:rsidP="000775C8">
      <w:pPr>
        <w:pStyle w:val="Heading2"/>
        <w:rPr>
          <w:caps/>
        </w:rPr>
      </w:pPr>
      <w:bookmarkStart w:id="114" w:name="_Toc482364318"/>
      <w:bookmarkStart w:id="115" w:name="_Toc507599179"/>
      <w:bookmarkStart w:id="116" w:name="_Toc507611942"/>
      <w:bookmarkStart w:id="117" w:name="_Toc507612158"/>
      <w:bookmarkStart w:id="118" w:name="_Toc507612241"/>
      <w:bookmarkStart w:id="119" w:name="_Toc507613259"/>
      <w:bookmarkStart w:id="120" w:name="_Toc507613364"/>
      <w:bookmarkStart w:id="121" w:name="_Toc507613772"/>
      <w:bookmarkStart w:id="122" w:name="_Toc507614017"/>
      <w:bookmarkStart w:id="123" w:name="_Toc507614144"/>
      <w:bookmarkStart w:id="124" w:name="_Toc507614304"/>
      <w:bookmarkStart w:id="125" w:name="_Toc507614380"/>
      <w:bookmarkStart w:id="126" w:name="_Toc507614492"/>
      <w:bookmarkStart w:id="127" w:name="_Toc91157719"/>
      <w:r w:rsidRPr="00BD6BC6">
        <w:t>3.1</w:t>
      </w:r>
      <w:r w:rsidRPr="00BD6BC6">
        <w:tab/>
      </w:r>
      <w:bookmarkEnd w:id="114"/>
      <w:bookmarkEnd w:id="115"/>
      <w:bookmarkEnd w:id="116"/>
      <w:bookmarkEnd w:id="117"/>
      <w:bookmarkEnd w:id="118"/>
      <w:bookmarkEnd w:id="119"/>
      <w:bookmarkEnd w:id="120"/>
      <w:bookmarkEnd w:id="121"/>
      <w:bookmarkEnd w:id="122"/>
      <w:bookmarkEnd w:id="123"/>
      <w:bookmarkEnd w:id="124"/>
      <w:bookmarkEnd w:id="125"/>
      <w:bookmarkEnd w:id="126"/>
      <w:r w:rsidR="00C01BF1" w:rsidRPr="00BD6BC6">
        <w:t>Scope</w:t>
      </w:r>
      <w:bookmarkEnd w:id="127"/>
    </w:p>
    <w:p w14:paraId="0EB5835A" w14:textId="7583C22B" w:rsidR="00C01BF1" w:rsidRPr="00BD6BC6" w:rsidRDefault="00C01BF1" w:rsidP="006D55BD">
      <w:r w:rsidRPr="00BD6BC6">
        <w:t>IHPA’s role in investigating and making assessments on cost-shifting disputes is limited to disputes:</w:t>
      </w:r>
    </w:p>
    <w:p w14:paraId="647CD0FC" w14:textId="669F5203" w:rsidR="00C01BF1" w:rsidRPr="00BD6BC6" w:rsidRDefault="00A83C80" w:rsidP="00593CE6">
      <w:pPr>
        <w:pStyle w:val="ListParagraph"/>
        <w:numPr>
          <w:ilvl w:val="0"/>
          <w:numId w:val="11"/>
        </w:numPr>
        <w:rPr>
          <w:sz w:val="22"/>
          <w:szCs w:val="22"/>
        </w:rPr>
      </w:pPr>
      <w:r w:rsidRPr="00BD6BC6">
        <w:rPr>
          <w:sz w:val="22"/>
          <w:szCs w:val="22"/>
        </w:rPr>
        <w:t>regarding</w:t>
      </w:r>
      <w:r w:rsidR="00C01BF1" w:rsidRPr="00BD6BC6">
        <w:rPr>
          <w:sz w:val="22"/>
          <w:szCs w:val="22"/>
        </w:rPr>
        <w:t xml:space="preserve"> costs</w:t>
      </w:r>
      <w:r w:rsidR="00285D14">
        <w:rPr>
          <w:sz w:val="22"/>
          <w:szCs w:val="22"/>
        </w:rPr>
        <w:t xml:space="preserve"> incurred by </w:t>
      </w:r>
      <w:r w:rsidR="00010482">
        <w:rPr>
          <w:sz w:val="22"/>
          <w:szCs w:val="22"/>
        </w:rPr>
        <w:t>a</w:t>
      </w:r>
      <w:r w:rsidR="00285D14">
        <w:rPr>
          <w:sz w:val="22"/>
          <w:szCs w:val="22"/>
        </w:rPr>
        <w:t xml:space="preserve"> jurisdiction that are</w:t>
      </w:r>
      <w:r w:rsidR="00C01BF1" w:rsidRPr="00BD6BC6">
        <w:rPr>
          <w:sz w:val="22"/>
          <w:szCs w:val="22"/>
        </w:rPr>
        <w:t xml:space="preserve"> attributable to one or more changes that have been made to the policies, programs or practices of another jurisdiction as opposed to dispute resolution with r</w:t>
      </w:r>
      <w:r w:rsidR="00DE6E9C" w:rsidRPr="00BD6BC6">
        <w:rPr>
          <w:sz w:val="22"/>
          <w:szCs w:val="22"/>
        </w:rPr>
        <w:t>espect to provision of services</w:t>
      </w:r>
    </w:p>
    <w:p w14:paraId="236A43B7" w14:textId="36E74C24" w:rsidR="00C01BF1" w:rsidRPr="00BD6BC6" w:rsidRDefault="00C01BF1" w:rsidP="00593CE6">
      <w:pPr>
        <w:pStyle w:val="ListParagraph"/>
        <w:numPr>
          <w:ilvl w:val="0"/>
          <w:numId w:val="11"/>
        </w:numPr>
        <w:rPr>
          <w:sz w:val="22"/>
          <w:szCs w:val="22"/>
        </w:rPr>
      </w:pPr>
      <w:r w:rsidRPr="00BD6BC6">
        <w:rPr>
          <w:sz w:val="22"/>
          <w:szCs w:val="22"/>
        </w:rPr>
        <w:t>aris</w:t>
      </w:r>
      <w:r w:rsidR="00D966D7" w:rsidRPr="00BD6BC6">
        <w:rPr>
          <w:sz w:val="22"/>
          <w:szCs w:val="22"/>
        </w:rPr>
        <w:t>ing</w:t>
      </w:r>
      <w:r w:rsidRPr="00BD6BC6">
        <w:rPr>
          <w:sz w:val="22"/>
          <w:szCs w:val="22"/>
        </w:rPr>
        <w:t xml:space="preserve"> on or after</w:t>
      </w:r>
      <w:r w:rsidR="00FC1617" w:rsidRPr="00BD6BC6">
        <w:rPr>
          <w:sz w:val="22"/>
          <w:szCs w:val="22"/>
        </w:rPr>
        <w:t xml:space="preserve"> IHPA’s esta</w:t>
      </w:r>
      <w:r w:rsidR="00C86BDC" w:rsidRPr="00BD6BC6">
        <w:rPr>
          <w:sz w:val="22"/>
          <w:szCs w:val="22"/>
        </w:rPr>
        <w:t>b</w:t>
      </w:r>
      <w:r w:rsidR="00FC1617" w:rsidRPr="00BD6BC6">
        <w:rPr>
          <w:sz w:val="22"/>
          <w:szCs w:val="22"/>
        </w:rPr>
        <w:t>lishment</w:t>
      </w:r>
      <w:r w:rsidR="00F06A5D" w:rsidRPr="00BD6BC6">
        <w:rPr>
          <w:sz w:val="22"/>
          <w:szCs w:val="22"/>
        </w:rPr>
        <w:t xml:space="preserve"> (</w:t>
      </w:r>
      <w:r w:rsidR="00D966D7" w:rsidRPr="00BD6BC6">
        <w:rPr>
          <w:sz w:val="22"/>
          <w:szCs w:val="22"/>
        </w:rPr>
        <w:t>15 December 2011</w:t>
      </w:r>
      <w:r w:rsidR="00F06A5D" w:rsidRPr="00BD6BC6">
        <w:rPr>
          <w:sz w:val="22"/>
          <w:szCs w:val="22"/>
        </w:rPr>
        <w:t>)</w:t>
      </w:r>
      <w:r w:rsidR="00D966D7" w:rsidRPr="00BD6BC6">
        <w:rPr>
          <w:sz w:val="22"/>
          <w:szCs w:val="22"/>
        </w:rPr>
        <w:t xml:space="preserve">, </w:t>
      </w:r>
      <w:r w:rsidR="00C86BDC" w:rsidRPr="00BD6BC6">
        <w:rPr>
          <w:sz w:val="22"/>
          <w:szCs w:val="22"/>
        </w:rPr>
        <w:t xml:space="preserve">when </w:t>
      </w:r>
      <w:r w:rsidR="00D966D7" w:rsidRPr="00BD6BC6">
        <w:rPr>
          <w:sz w:val="22"/>
          <w:szCs w:val="22"/>
        </w:rPr>
        <w:t>its dispute resolution responsibilities</w:t>
      </w:r>
      <w:r w:rsidRPr="00BD6BC6">
        <w:rPr>
          <w:sz w:val="22"/>
          <w:szCs w:val="22"/>
        </w:rPr>
        <w:t xml:space="preserve"> commenced</w:t>
      </w:r>
      <w:r w:rsidR="00D966D7" w:rsidRPr="00BD6BC6">
        <w:rPr>
          <w:sz w:val="22"/>
          <w:szCs w:val="22"/>
        </w:rPr>
        <w:t>.</w:t>
      </w:r>
    </w:p>
    <w:p w14:paraId="6AAB5770" w14:textId="6B2799C6" w:rsidR="0009465A" w:rsidRPr="00BD6BC6" w:rsidRDefault="0009465A" w:rsidP="000775C8">
      <w:pPr>
        <w:pStyle w:val="Heading2"/>
        <w:rPr>
          <w:caps/>
        </w:rPr>
      </w:pPr>
      <w:bookmarkStart w:id="128" w:name="_Toc482364322"/>
      <w:bookmarkStart w:id="129" w:name="_Toc507599183"/>
      <w:bookmarkStart w:id="130" w:name="_Toc507611946"/>
      <w:bookmarkStart w:id="131" w:name="_Toc507612162"/>
      <w:bookmarkStart w:id="132" w:name="_Toc507612245"/>
      <w:bookmarkStart w:id="133" w:name="_Toc507613263"/>
      <w:bookmarkStart w:id="134" w:name="_Toc507613368"/>
      <w:bookmarkStart w:id="135" w:name="_Toc507613776"/>
      <w:bookmarkStart w:id="136" w:name="_Toc507614021"/>
      <w:bookmarkStart w:id="137" w:name="_Toc507614148"/>
      <w:bookmarkStart w:id="138" w:name="_Toc507614308"/>
      <w:bookmarkStart w:id="139" w:name="_Toc507614384"/>
      <w:bookmarkStart w:id="140" w:name="_Toc507614496"/>
      <w:bookmarkStart w:id="141" w:name="_Toc91157720"/>
      <w:r w:rsidRPr="00BD6BC6">
        <w:t>3.</w:t>
      </w:r>
      <w:r w:rsidR="00F62FE2" w:rsidRPr="00BD6BC6">
        <w:t>2</w:t>
      </w:r>
      <w:r w:rsidRPr="00BD6BC6">
        <w:tab/>
      </w:r>
      <w:r w:rsidR="006171E4" w:rsidRPr="00BD6BC6">
        <w:t>S</w:t>
      </w:r>
      <w:r w:rsidRPr="00BD6BC6">
        <w:t>ubmissions</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4A464BC3" w14:textId="2F6E7364" w:rsidR="0009465A" w:rsidRPr="00BD6BC6" w:rsidRDefault="0009465A" w:rsidP="006D55BD">
      <w:r w:rsidRPr="00BD6BC6">
        <w:t xml:space="preserve">A </w:t>
      </w:r>
      <w:r w:rsidR="00B90A27" w:rsidRPr="00BD6BC6">
        <w:t>h</w:t>
      </w:r>
      <w:r w:rsidRPr="00BD6BC6">
        <w:t xml:space="preserve">ealth </w:t>
      </w:r>
      <w:r w:rsidR="00B90A27" w:rsidRPr="00BD6BC6">
        <w:t>m</w:t>
      </w:r>
      <w:r w:rsidRPr="00BD6BC6">
        <w:t xml:space="preserve">inister may </w:t>
      </w:r>
      <w:r w:rsidR="003A683A" w:rsidRPr="00BD6BC6">
        <w:t>apply to IHPA</w:t>
      </w:r>
      <w:r w:rsidRPr="00BD6BC6">
        <w:t xml:space="preserve"> </w:t>
      </w:r>
      <w:r w:rsidR="003A683A" w:rsidRPr="00BD6BC6">
        <w:t xml:space="preserve">for </w:t>
      </w:r>
      <w:r w:rsidRPr="00BD6BC6">
        <w:t xml:space="preserve">an assessment of </w:t>
      </w:r>
      <w:r w:rsidR="003A683A" w:rsidRPr="00BD6BC6">
        <w:t xml:space="preserve">a </w:t>
      </w:r>
      <w:r w:rsidRPr="00BD6BC6">
        <w:t>cost-shifting dispute</w:t>
      </w:r>
      <w:r w:rsidR="002437F8" w:rsidRPr="00BD6BC6">
        <w:t xml:space="preserve"> w</w:t>
      </w:r>
      <w:r w:rsidR="00B0429A" w:rsidRPr="00BD6BC6">
        <w:t xml:space="preserve">here </w:t>
      </w:r>
      <w:r w:rsidRPr="00BD6BC6">
        <w:t xml:space="preserve">changes in one jurisdiction </w:t>
      </w:r>
      <w:r w:rsidR="00C86BDC" w:rsidRPr="00BD6BC6">
        <w:t xml:space="preserve">have a cost </w:t>
      </w:r>
      <w:r w:rsidR="00B0429A" w:rsidRPr="00BD6BC6">
        <w:t>impact</w:t>
      </w:r>
      <w:r w:rsidRPr="00BD6BC6">
        <w:t xml:space="preserve"> on multiple other jurisdictions</w:t>
      </w:r>
      <w:r w:rsidR="00C86BDC" w:rsidRPr="00BD6BC6">
        <w:t>. A</w:t>
      </w:r>
      <w:r w:rsidR="00B0429A" w:rsidRPr="00BD6BC6">
        <w:t xml:space="preserve">ffected </w:t>
      </w:r>
      <w:r w:rsidRPr="00BD6BC6">
        <w:t>jurisdictions may jointly request an assessment of the cost-shifting</w:t>
      </w:r>
      <w:r w:rsidR="00B0429A" w:rsidRPr="00BD6BC6">
        <w:t xml:space="preserve"> in dispute.</w:t>
      </w:r>
    </w:p>
    <w:p w14:paraId="05D55D26" w14:textId="13D3F4C3" w:rsidR="0009465A" w:rsidRPr="00BD6BC6" w:rsidRDefault="000B6B6B" w:rsidP="006D55BD">
      <w:pPr>
        <w:rPr>
          <w:szCs w:val="22"/>
        </w:rPr>
      </w:pPr>
      <w:r w:rsidRPr="00BD6BC6">
        <w:t>In this instance</w:t>
      </w:r>
      <w:r w:rsidR="0009465A" w:rsidRPr="00BD6BC6">
        <w:t xml:space="preserve">, IHPA will ensure that the requirements are met for all </w:t>
      </w:r>
      <w:r w:rsidR="003A683A" w:rsidRPr="00BD6BC6">
        <w:rPr>
          <w:szCs w:val="22"/>
        </w:rPr>
        <w:t xml:space="preserve">applicant </w:t>
      </w:r>
      <w:r w:rsidR="0009465A" w:rsidRPr="00BD6BC6">
        <w:rPr>
          <w:szCs w:val="22"/>
        </w:rPr>
        <w:t>jurisdictions. In particular:</w:t>
      </w:r>
    </w:p>
    <w:p w14:paraId="048AD612" w14:textId="2A8F318D" w:rsidR="00D91126" w:rsidRPr="00BD6BC6" w:rsidRDefault="0009465A" w:rsidP="00593CE6">
      <w:pPr>
        <w:pStyle w:val="ListParagraph"/>
        <w:numPr>
          <w:ilvl w:val="0"/>
          <w:numId w:val="11"/>
        </w:numPr>
        <w:rPr>
          <w:sz w:val="22"/>
          <w:szCs w:val="22"/>
        </w:rPr>
      </w:pPr>
      <w:r w:rsidRPr="00BD6BC6">
        <w:rPr>
          <w:sz w:val="22"/>
          <w:szCs w:val="22"/>
        </w:rPr>
        <w:t xml:space="preserve">IHPA must be satisfied that </w:t>
      </w:r>
      <w:r w:rsidR="00285D14">
        <w:rPr>
          <w:sz w:val="22"/>
          <w:szCs w:val="22"/>
        </w:rPr>
        <w:t xml:space="preserve">the </w:t>
      </w:r>
      <w:r w:rsidR="003A683A" w:rsidRPr="00BD6BC6">
        <w:rPr>
          <w:sz w:val="22"/>
          <w:szCs w:val="22"/>
        </w:rPr>
        <w:t xml:space="preserve">applicant </w:t>
      </w:r>
      <w:r w:rsidRPr="00BD6BC6">
        <w:rPr>
          <w:sz w:val="22"/>
          <w:szCs w:val="22"/>
        </w:rPr>
        <w:t>jurisdiction ha</w:t>
      </w:r>
      <w:r w:rsidR="002437F8" w:rsidRPr="00BD6BC6">
        <w:rPr>
          <w:sz w:val="22"/>
          <w:szCs w:val="22"/>
        </w:rPr>
        <w:t>s</w:t>
      </w:r>
      <w:r w:rsidRPr="00BD6BC6">
        <w:rPr>
          <w:sz w:val="22"/>
          <w:szCs w:val="22"/>
        </w:rPr>
        <w:t xml:space="preserve"> made reasonable efforts to resolve the dispute </w:t>
      </w:r>
      <w:r w:rsidR="00D91126" w:rsidRPr="00BD6BC6">
        <w:rPr>
          <w:sz w:val="22"/>
          <w:szCs w:val="22"/>
        </w:rPr>
        <w:t>an</w:t>
      </w:r>
      <w:r w:rsidR="002437F8" w:rsidRPr="00BD6BC6">
        <w:rPr>
          <w:sz w:val="22"/>
          <w:szCs w:val="22"/>
        </w:rPr>
        <w:t>d</w:t>
      </w:r>
      <w:r w:rsidR="00D91126" w:rsidRPr="00BD6BC6">
        <w:rPr>
          <w:sz w:val="22"/>
          <w:szCs w:val="22"/>
        </w:rPr>
        <w:t xml:space="preserve"> submit the required documents to support their application for </w:t>
      </w:r>
      <w:r w:rsidR="00394E52" w:rsidRPr="00BD6BC6">
        <w:rPr>
          <w:sz w:val="22"/>
          <w:szCs w:val="22"/>
        </w:rPr>
        <w:t>assessment</w:t>
      </w:r>
    </w:p>
    <w:p w14:paraId="26866DC4" w14:textId="4B444AC7" w:rsidR="0009465A" w:rsidRPr="00BD6BC6" w:rsidRDefault="0009465A" w:rsidP="00593CE6">
      <w:pPr>
        <w:pStyle w:val="ListParagraph"/>
        <w:numPr>
          <w:ilvl w:val="0"/>
          <w:numId w:val="11"/>
        </w:numPr>
        <w:rPr>
          <w:sz w:val="22"/>
          <w:szCs w:val="22"/>
        </w:rPr>
      </w:pPr>
      <w:r w:rsidRPr="00BD6BC6">
        <w:rPr>
          <w:sz w:val="22"/>
          <w:szCs w:val="22"/>
        </w:rPr>
        <w:t xml:space="preserve">the </w:t>
      </w:r>
      <w:r w:rsidR="000006F6" w:rsidRPr="00BD6BC6">
        <w:rPr>
          <w:sz w:val="22"/>
          <w:szCs w:val="22"/>
        </w:rPr>
        <w:t xml:space="preserve">initial </w:t>
      </w:r>
      <w:r w:rsidRPr="00BD6BC6">
        <w:rPr>
          <w:sz w:val="22"/>
          <w:szCs w:val="22"/>
        </w:rPr>
        <w:t xml:space="preserve">assessment </w:t>
      </w:r>
      <w:r w:rsidR="00D91126" w:rsidRPr="00BD6BC6">
        <w:rPr>
          <w:sz w:val="22"/>
          <w:szCs w:val="22"/>
        </w:rPr>
        <w:t>is</w:t>
      </w:r>
      <w:r w:rsidR="002437F8" w:rsidRPr="00BD6BC6">
        <w:rPr>
          <w:sz w:val="22"/>
          <w:szCs w:val="22"/>
        </w:rPr>
        <w:t xml:space="preserve"> prepared by IHPA and</w:t>
      </w:r>
      <w:r w:rsidRPr="00BD6BC6">
        <w:rPr>
          <w:sz w:val="22"/>
          <w:szCs w:val="22"/>
        </w:rPr>
        <w:t xml:space="preserve"> provided to the </w:t>
      </w:r>
      <w:r w:rsidR="00C10ABD" w:rsidRPr="00BD6BC6">
        <w:rPr>
          <w:sz w:val="22"/>
          <w:szCs w:val="22"/>
        </w:rPr>
        <w:t>h</w:t>
      </w:r>
      <w:r w:rsidRPr="00BD6BC6">
        <w:rPr>
          <w:sz w:val="22"/>
          <w:szCs w:val="22"/>
        </w:rPr>
        <w:t xml:space="preserve">ealth </w:t>
      </w:r>
      <w:r w:rsidR="00C10ABD" w:rsidRPr="00BD6BC6">
        <w:rPr>
          <w:sz w:val="22"/>
          <w:szCs w:val="22"/>
        </w:rPr>
        <w:t>m</w:t>
      </w:r>
      <w:r w:rsidRPr="00BD6BC6">
        <w:rPr>
          <w:sz w:val="22"/>
          <w:szCs w:val="22"/>
        </w:rPr>
        <w:t xml:space="preserve">inister of each jurisdiction </w:t>
      </w:r>
      <w:r w:rsidR="00D91126" w:rsidRPr="00BD6BC6">
        <w:rPr>
          <w:sz w:val="22"/>
          <w:szCs w:val="22"/>
        </w:rPr>
        <w:t xml:space="preserve">party to </w:t>
      </w:r>
      <w:r w:rsidR="003A683A" w:rsidRPr="00BD6BC6">
        <w:rPr>
          <w:sz w:val="22"/>
          <w:szCs w:val="22"/>
        </w:rPr>
        <w:t>the</w:t>
      </w:r>
      <w:r w:rsidRPr="00BD6BC6">
        <w:rPr>
          <w:sz w:val="22"/>
          <w:szCs w:val="22"/>
        </w:rPr>
        <w:t xml:space="preserve"> dispute </w:t>
      </w:r>
    </w:p>
    <w:p w14:paraId="6F83235E" w14:textId="4E05F137" w:rsidR="00394E52" w:rsidRPr="00BD6BC6" w:rsidRDefault="0009465A" w:rsidP="00593CE6">
      <w:pPr>
        <w:pStyle w:val="ListParagraph"/>
        <w:numPr>
          <w:ilvl w:val="0"/>
          <w:numId w:val="11"/>
        </w:numPr>
        <w:rPr>
          <w:sz w:val="22"/>
          <w:szCs w:val="22"/>
        </w:rPr>
      </w:pPr>
      <w:r w:rsidRPr="00BD6BC6">
        <w:rPr>
          <w:sz w:val="22"/>
          <w:szCs w:val="22"/>
        </w:rPr>
        <w:t xml:space="preserve">the final assessment </w:t>
      </w:r>
      <w:r w:rsidR="002437F8" w:rsidRPr="00BD6BC6">
        <w:rPr>
          <w:sz w:val="22"/>
          <w:szCs w:val="22"/>
        </w:rPr>
        <w:t>is prepared</w:t>
      </w:r>
      <w:r w:rsidRPr="00BD6BC6">
        <w:rPr>
          <w:sz w:val="22"/>
          <w:szCs w:val="22"/>
        </w:rPr>
        <w:t xml:space="preserve"> by IHPA</w:t>
      </w:r>
      <w:r w:rsidR="002437F8" w:rsidRPr="00BD6BC6">
        <w:rPr>
          <w:sz w:val="22"/>
          <w:szCs w:val="22"/>
        </w:rPr>
        <w:t xml:space="preserve"> and provided</w:t>
      </w:r>
      <w:r w:rsidRPr="00BD6BC6">
        <w:rPr>
          <w:sz w:val="22"/>
          <w:szCs w:val="22"/>
        </w:rPr>
        <w:t xml:space="preserve"> to the </w:t>
      </w:r>
      <w:r w:rsidR="00C10ABD" w:rsidRPr="00BD6BC6">
        <w:rPr>
          <w:sz w:val="22"/>
          <w:szCs w:val="22"/>
        </w:rPr>
        <w:t>h</w:t>
      </w:r>
      <w:r w:rsidRPr="00BD6BC6">
        <w:rPr>
          <w:sz w:val="22"/>
          <w:szCs w:val="22"/>
        </w:rPr>
        <w:t xml:space="preserve">ealth </w:t>
      </w:r>
      <w:r w:rsidR="00C10ABD" w:rsidRPr="00BD6BC6">
        <w:rPr>
          <w:sz w:val="22"/>
          <w:szCs w:val="22"/>
        </w:rPr>
        <w:t>m</w:t>
      </w:r>
      <w:r w:rsidRPr="00BD6BC6">
        <w:rPr>
          <w:sz w:val="22"/>
          <w:szCs w:val="22"/>
        </w:rPr>
        <w:t xml:space="preserve">inister of each jurisdiction </w:t>
      </w:r>
      <w:r w:rsidR="00D91126" w:rsidRPr="00BD6BC6">
        <w:rPr>
          <w:sz w:val="22"/>
          <w:szCs w:val="22"/>
        </w:rPr>
        <w:t>part</w:t>
      </w:r>
      <w:r w:rsidR="000C549A">
        <w:rPr>
          <w:sz w:val="22"/>
          <w:szCs w:val="22"/>
        </w:rPr>
        <w:t>y</w:t>
      </w:r>
      <w:r w:rsidR="00D91126" w:rsidRPr="00BD6BC6">
        <w:rPr>
          <w:sz w:val="22"/>
          <w:szCs w:val="22"/>
        </w:rPr>
        <w:t xml:space="preserve"> to the </w:t>
      </w:r>
      <w:r w:rsidRPr="00BD6BC6">
        <w:rPr>
          <w:sz w:val="22"/>
          <w:szCs w:val="22"/>
        </w:rPr>
        <w:t>dispute</w:t>
      </w:r>
      <w:r w:rsidR="00D07D2F" w:rsidRPr="00BD6BC6">
        <w:rPr>
          <w:sz w:val="22"/>
          <w:szCs w:val="22"/>
        </w:rPr>
        <w:t>.</w:t>
      </w:r>
    </w:p>
    <w:p w14:paraId="3589D179" w14:textId="77777777" w:rsidR="002437F8" w:rsidRPr="00BD6BC6" w:rsidRDefault="00394E52" w:rsidP="006D55BD">
      <w:r w:rsidRPr="00BD6BC6">
        <w:t xml:space="preserve">It should be noted that an applicant jurisdiction may withdraw </w:t>
      </w:r>
      <w:r w:rsidR="00FC7A4C" w:rsidRPr="00BD6BC6">
        <w:t xml:space="preserve">from or elect not to proceed with </w:t>
      </w:r>
      <w:r w:rsidRPr="00BD6BC6">
        <w:t xml:space="preserve">the dispute resolution process at any stage </w:t>
      </w:r>
      <w:r w:rsidR="00FC7A4C" w:rsidRPr="00BD6BC6">
        <w:t>without penalty.</w:t>
      </w:r>
      <w:r w:rsidR="00740570" w:rsidRPr="00BD6BC6">
        <w:t xml:space="preserve"> In this instance, IHPA will inform the jurisdictions party to the dispute that the application for dispute resolution will not be progressing. </w:t>
      </w:r>
    </w:p>
    <w:p w14:paraId="1C6C672B" w14:textId="1B9E1DEC" w:rsidR="00394E52" w:rsidRDefault="00740570" w:rsidP="006D55BD">
      <w:pPr>
        <w:rPr>
          <w:szCs w:val="22"/>
        </w:rPr>
      </w:pPr>
      <w:r w:rsidRPr="00BD6BC6">
        <w:rPr>
          <w:szCs w:val="22"/>
        </w:rPr>
        <w:t xml:space="preserve">The applicant </w:t>
      </w:r>
      <w:r w:rsidR="000C549A" w:rsidRPr="00BD6BC6">
        <w:t xml:space="preserve">jurisdiction </w:t>
      </w:r>
      <w:r w:rsidRPr="00BD6BC6">
        <w:rPr>
          <w:szCs w:val="22"/>
        </w:rPr>
        <w:t>may recommence the dispute resolution process on the same issue at a later date.</w:t>
      </w:r>
    </w:p>
    <w:p w14:paraId="1BEEACA5" w14:textId="2E61FB7A" w:rsidR="000E6A78" w:rsidRDefault="000E6A78" w:rsidP="006D55BD">
      <w:pPr>
        <w:rPr>
          <w:szCs w:val="22"/>
        </w:rPr>
      </w:pPr>
    </w:p>
    <w:p w14:paraId="7FF9405F" w14:textId="0B7E6BBA" w:rsidR="000E6A78" w:rsidRDefault="000E6A78" w:rsidP="006D55BD">
      <w:pPr>
        <w:rPr>
          <w:szCs w:val="22"/>
        </w:rPr>
      </w:pPr>
    </w:p>
    <w:p w14:paraId="0BF7714D" w14:textId="5204B3CE" w:rsidR="000E6A78" w:rsidRDefault="000E6A78" w:rsidP="006D55BD">
      <w:pPr>
        <w:rPr>
          <w:szCs w:val="22"/>
        </w:rPr>
      </w:pPr>
    </w:p>
    <w:p w14:paraId="1972D4F5" w14:textId="3B6A1B91" w:rsidR="000E6A78" w:rsidRDefault="000E6A78" w:rsidP="006D55BD">
      <w:pPr>
        <w:rPr>
          <w:szCs w:val="22"/>
        </w:rPr>
      </w:pPr>
    </w:p>
    <w:p w14:paraId="70B052BA" w14:textId="77777777" w:rsidR="000E6A78" w:rsidRPr="00BD6BC6" w:rsidRDefault="000E6A78" w:rsidP="006D55BD">
      <w:pPr>
        <w:rPr>
          <w:szCs w:val="22"/>
        </w:rPr>
      </w:pPr>
    </w:p>
    <w:p w14:paraId="0A39B736" w14:textId="74AAD378" w:rsidR="0009465A" w:rsidRPr="00BD6BC6" w:rsidRDefault="0009465A" w:rsidP="000775C8">
      <w:pPr>
        <w:pStyle w:val="Heading2"/>
        <w:rPr>
          <w:caps/>
        </w:rPr>
      </w:pPr>
      <w:bookmarkStart w:id="142" w:name="_Toc482364324"/>
      <w:bookmarkStart w:id="143" w:name="_Toc507599185"/>
      <w:bookmarkStart w:id="144" w:name="_Toc507611948"/>
      <w:bookmarkStart w:id="145" w:name="_Toc507612164"/>
      <w:bookmarkStart w:id="146" w:name="_Toc507612247"/>
      <w:bookmarkStart w:id="147" w:name="_Toc507613265"/>
      <w:bookmarkStart w:id="148" w:name="_Toc507613370"/>
      <w:bookmarkStart w:id="149" w:name="_Toc507613778"/>
      <w:bookmarkStart w:id="150" w:name="_Toc507614023"/>
      <w:bookmarkStart w:id="151" w:name="_Toc507614150"/>
      <w:bookmarkStart w:id="152" w:name="_Toc507614310"/>
      <w:bookmarkStart w:id="153" w:name="_Toc507614386"/>
      <w:bookmarkStart w:id="154" w:name="_Toc507614498"/>
      <w:bookmarkStart w:id="155" w:name="_Toc91157721"/>
      <w:r w:rsidRPr="00BD6BC6">
        <w:lastRenderedPageBreak/>
        <w:t>3.</w:t>
      </w:r>
      <w:r w:rsidR="00F62FE2" w:rsidRPr="00BD6BC6">
        <w:t>3</w:t>
      </w:r>
      <w:r w:rsidRPr="00BD6BC6">
        <w:tab/>
      </w:r>
      <w:r w:rsidR="00632B09" w:rsidRPr="00BD6BC6">
        <w:t>P</w:t>
      </w:r>
      <w:r w:rsidRPr="00BD6BC6">
        <w:t>rocess</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633657C6" w14:textId="42A5311C" w:rsidR="0009465A" w:rsidRPr="00BD6BC6" w:rsidRDefault="0009465A" w:rsidP="006D55BD">
      <w:r w:rsidRPr="00BD6BC6">
        <w:t xml:space="preserve">The </w:t>
      </w:r>
      <w:r w:rsidR="00FC1617" w:rsidRPr="00BD6BC6">
        <w:t xml:space="preserve">five </w:t>
      </w:r>
      <w:r w:rsidRPr="00BD6BC6">
        <w:t xml:space="preserve">key stages in the cost-shifting dispute resolution process </w:t>
      </w:r>
      <w:r w:rsidR="00FC1617" w:rsidRPr="00BD6BC6">
        <w:t xml:space="preserve">are detailed </w:t>
      </w:r>
      <w:r w:rsidR="00145E0A" w:rsidRPr="00BD6BC6">
        <w:t xml:space="preserve">in </w:t>
      </w:r>
      <w:r w:rsidR="00145E0A" w:rsidRPr="00CA6E37">
        <w:rPr>
          <w:b/>
        </w:rPr>
        <w:t>Table 2</w:t>
      </w:r>
      <w:r w:rsidR="00145E0A" w:rsidRPr="00BD6BC6">
        <w:t xml:space="preserve"> </w:t>
      </w:r>
      <w:r w:rsidR="00FC1617" w:rsidRPr="00BD6BC6">
        <w:t>below.</w:t>
      </w:r>
    </w:p>
    <w:p w14:paraId="36D239DF" w14:textId="30BDD684" w:rsidR="0009465A" w:rsidRPr="00BD6BC6" w:rsidRDefault="00F55844" w:rsidP="008D7E17">
      <w:pPr>
        <w:pStyle w:val="TableHeading"/>
      </w:pPr>
      <w:r w:rsidRPr="00BD6BC6">
        <w:t xml:space="preserve">Table 2. </w:t>
      </w:r>
      <w:r w:rsidR="0009465A" w:rsidRPr="00BD6BC6">
        <w:t>Overview of cost-shifting dispute resolution process</w:t>
      </w:r>
    </w:p>
    <w:tbl>
      <w:tblPr>
        <w:tblStyle w:val="TableGrid"/>
        <w:tblW w:w="0" w:type="auto"/>
        <w:tblLook w:val="04A0" w:firstRow="1" w:lastRow="0" w:firstColumn="1" w:lastColumn="0" w:noHBand="0" w:noVBand="1"/>
      </w:tblPr>
      <w:tblGrid>
        <w:gridCol w:w="2122"/>
        <w:gridCol w:w="7313"/>
      </w:tblGrid>
      <w:tr w:rsidR="00662937" w14:paraId="3D582A58" w14:textId="77777777" w:rsidTr="00662937">
        <w:tc>
          <w:tcPr>
            <w:tcW w:w="2122" w:type="dxa"/>
            <w:vMerge w:val="restart"/>
            <w:vAlign w:val="center"/>
          </w:tcPr>
          <w:p w14:paraId="67FFE376" w14:textId="77777777" w:rsidR="00662937" w:rsidRPr="00662937" w:rsidRDefault="00662937" w:rsidP="003D2F9E">
            <w:pPr>
              <w:pStyle w:val="TableText"/>
              <w:spacing w:before="120" w:after="120" w:line="240" w:lineRule="auto"/>
              <w:jc w:val="left"/>
              <w:rPr>
                <w:sz w:val="22"/>
                <w:szCs w:val="22"/>
              </w:rPr>
            </w:pPr>
            <w:r w:rsidRPr="00662937">
              <w:rPr>
                <w:sz w:val="22"/>
                <w:szCs w:val="22"/>
              </w:rPr>
              <w:t xml:space="preserve">Stage 1: </w:t>
            </w:r>
          </w:p>
          <w:p w14:paraId="4A823E85" w14:textId="5EC60519" w:rsidR="00662937" w:rsidRPr="00662937" w:rsidRDefault="00662937" w:rsidP="003D2F9E">
            <w:pPr>
              <w:spacing w:line="240" w:lineRule="auto"/>
              <w:rPr>
                <w:b/>
                <w:szCs w:val="22"/>
              </w:rPr>
            </w:pPr>
            <w:r w:rsidRPr="00662937">
              <w:rPr>
                <w:b/>
                <w:szCs w:val="22"/>
              </w:rPr>
              <w:t>Request for assessment</w:t>
            </w:r>
          </w:p>
        </w:tc>
        <w:tc>
          <w:tcPr>
            <w:tcW w:w="7313" w:type="dxa"/>
          </w:tcPr>
          <w:p w14:paraId="01A54BC3" w14:textId="133E7DE1" w:rsidR="00662937" w:rsidRPr="00662937" w:rsidRDefault="00662937" w:rsidP="003D2F9E">
            <w:pPr>
              <w:spacing w:line="240" w:lineRule="auto"/>
            </w:pPr>
            <w:r w:rsidRPr="00662937">
              <w:t xml:space="preserve">(1a) Jurisdictions undertake reasonable efforts to resolve </w:t>
            </w:r>
            <w:r>
              <w:t xml:space="preserve">the </w:t>
            </w:r>
            <w:r w:rsidRPr="00662937">
              <w:t>dispute</w:t>
            </w:r>
          </w:p>
        </w:tc>
      </w:tr>
      <w:tr w:rsidR="00662937" w14:paraId="415815D6" w14:textId="77777777" w:rsidTr="00662937">
        <w:tc>
          <w:tcPr>
            <w:tcW w:w="2122" w:type="dxa"/>
            <w:vMerge/>
            <w:vAlign w:val="center"/>
          </w:tcPr>
          <w:p w14:paraId="7A5D35C7" w14:textId="77777777" w:rsidR="00662937" w:rsidRPr="00662937" w:rsidRDefault="00662937" w:rsidP="003D2F9E">
            <w:pPr>
              <w:spacing w:line="240" w:lineRule="auto"/>
              <w:rPr>
                <w:b/>
                <w:szCs w:val="22"/>
              </w:rPr>
            </w:pPr>
          </w:p>
        </w:tc>
        <w:tc>
          <w:tcPr>
            <w:tcW w:w="7313" w:type="dxa"/>
          </w:tcPr>
          <w:p w14:paraId="64E5075B" w14:textId="19F5FCE0" w:rsidR="00662937" w:rsidRPr="00662937" w:rsidRDefault="00662937" w:rsidP="003D2F9E">
            <w:pPr>
              <w:spacing w:line="240" w:lineRule="auto"/>
            </w:pPr>
            <w:r w:rsidRPr="00662937">
              <w:t>(1b) The applicant jurisdiction requests an assessment by IHPA</w:t>
            </w:r>
          </w:p>
        </w:tc>
      </w:tr>
      <w:tr w:rsidR="00662937" w14:paraId="131558E3" w14:textId="77777777" w:rsidTr="00662937">
        <w:tc>
          <w:tcPr>
            <w:tcW w:w="2122" w:type="dxa"/>
            <w:vMerge w:val="restart"/>
            <w:vAlign w:val="center"/>
          </w:tcPr>
          <w:p w14:paraId="58D12526" w14:textId="77777777" w:rsidR="00662937" w:rsidRPr="00662937" w:rsidRDefault="00662937" w:rsidP="003D2F9E">
            <w:pPr>
              <w:pStyle w:val="TableText"/>
              <w:spacing w:before="120" w:after="120" w:line="240" w:lineRule="auto"/>
              <w:jc w:val="left"/>
              <w:rPr>
                <w:sz w:val="22"/>
                <w:szCs w:val="22"/>
              </w:rPr>
            </w:pPr>
            <w:r w:rsidRPr="00662937">
              <w:rPr>
                <w:sz w:val="22"/>
                <w:szCs w:val="22"/>
              </w:rPr>
              <w:t>Stage 2:</w:t>
            </w:r>
          </w:p>
          <w:p w14:paraId="6B4A7C2B" w14:textId="6A8B06D5" w:rsidR="00662937" w:rsidRPr="00662937" w:rsidRDefault="00662937" w:rsidP="003D2F9E">
            <w:pPr>
              <w:spacing w:line="240" w:lineRule="auto"/>
              <w:rPr>
                <w:b/>
                <w:szCs w:val="22"/>
              </w:rPr>
            </w:pPr>
            <w:r w:rsidRPr="00662937">
              <w:rPr>
                <w:b/>
                <w:szCs w:val="22"/>
              </w:rPr>
              <w:t>Initial assessment</w:t>
            </w:r>
          </w:p>
        </w:tc>
        <w:tc>
          <w:tcPr>
            <w:tcW w:w="7313" w:type="dxa"/>
          </w:tcPr>
          <w:p w14:paraId="238A7E20" w14:textId="14636EED" w:rsidR="00662937" w:rsidRPr="00662937" w:rsidRDefault="00662937" w:rsidP="003D2F9E">
            <w:pPr>
              <w:spacing w:line="240" w:lineRule="auto"/>
            </w:pPr>
            <w:r w:rsidRPr="00662937">
              <w:t>(2a) IHPA undertakes an initial assessment of the dispute</w:t>
            </w:r>
          </w:p>
        </w:tc>
      </w:tr>
      <w:tr w:rsidR="00662937" w14:paraId="66B49AA3" w14:textId="77777777" w:rsidTr="00662937">
        <w:tc>
          <w:tcPr>
            <w:tcW w:w="2122" w:type="dxa"/>
            <w:vMerge/>
            <w:vAlign w:val="center"/>
          </w:tcPr>
          <w:p w14:paraId="34FFA5FA" w14:textId="77777777" w:rsidR="00662937" w:rsidRPr="00662937" w:rsidRDefault="00662937" w:rsidP="003D2F9E">
            <w:pPr>
              <w:spacing w:line="240" w:lineRule="auto"/>
              <w:rPr>
                <w:b/>
                <w:szCs w:val="22"/>
              </w:rPr>
            </w:pPr>
          </w:p>
        </w:tc>
        <w:tc>
          <w:tcPr>
            <w:tcW w:w="7313" w:type="dxa"/>
          </w:tcPr>
          <w:p w14:paraId="4E8F336C" w14:textId="2C83B137" w:rsidR="00662937" w:rsidRPr="00662937" w:rsidRDefault="00662937" w:rsidP="003D2F9E">
            <w:pPr>
              <w:spacing w:line="240" w:lineRule="auto"/>
            </w:pPr>
            <w:r w:rsidRPr="00662937">
              <w:t>(2b) IHPA provides written notification of the request for assessment to the respondent jurisdiction (as soon as practicable)</w:t>
            </w:r>
          </w:p>
        </w:tc>
      </w:tr>
      <w:tr w:rsidR="00662937" w14:paraId="5CF4108F" w14:textId="77777777" w:rsidTr="00662937">
        <w:tc>
          <w:tcPr>
            <w:tcW w:w="2122" w:type="dxa"/>
            <w:vMerge/>
            <w:vAlign w:val="center"/>
          </w:tcPr>
          <w:p w14:paraId="399D4857" w14:textId="77777777" w:rsidR="00662937" w:rsidRPr="00662937" w:rsidRDefault="00662937" w:rsidP="003D2F9E">
            <w:pPr>
              <w:spacing w:line="240" w:lineRule="auto"/>
              <w:rPr>
                <w:b/>
                <w:szCs w:val="22"/>
              </w:rPr>
            </w:pPr>
          </w:p>
        </w:tc>
        <w:tc>
          <w:tcPr>
            <w:tcW w:w="7313" w:type="dxa"/>
          </w:tcPr>
          <w:p w14:paraId="61ED0560" w14:textId="495982F2" w:rsidR="00662937" w:rsidRPr="00BD6BC6" w:rsidRDefault="00662937" w:rsidP="003D2F9E">
            <w:pPr>
              <w:spacing w:line="240" w:lineRule="auto"/>
            </w:pPr>
            <w:r w:rsidRPr="00BD6BC6">
              <w:t>(2c) The respondent jurisdiction makes a written submission to IHPA about the dispute within 60 days</w:t>
            </w:r>
          </w:p>
        </w:tc>
      </w:tr>
      <w:tr w:rsidR="00662937" w14:paraId="30D15FE1" w14:textId="77777777" w:rsidTr="00662937">
        <w:tc>
          <w:tcPr>
            <w:tcW w:w="2122" w:type="dxa"/>
            <w:vMerge/>
            <w:vAlign w:val="center"/>
          </w:tcPr>
          <w:p w14:paraId="1A2C323E" w14:textId="77777777" w:rsidR="00662937" w:rsidRPr="00662937" w:rsidRDefault="00662937" w:rsidP="003D2F9E">
            <w:pPr>
              <w:spacing w:line="240" w:lineRule="auto"/>
              <w:rPr>
                <w:b/>
                <w:szCs w:val="22"/>
              </w:rPr>
            </w:pPr>
          </w:p>
        </w:tc>
        <w:tc>
          <w:tcPr>
            <w:tcW w:w="7313" w:type="dxa"/>
          </w:tcPr>
          <w:p w14:paraId="2C902467" w14:textId="44C9CCF8" w:rsidR="00662937" w:rsidRPr="00BD6BC6" w:rsidRDefault="00662937" w:rsidP="003D2F9E">
            <w:pPr>
              <w:spacing w:line="240" w:lineRule="auto"/>
            </w:pPr>
            <w:r w:rsidRPr="00BD6BC6">
              <w:t>(2d) IHPA provides a copy of any written response received from the respondent jurisdiction to the applicant jurisdiction</w:t>
            </w:r>
          </w:p>
        </w:tc>
      </w:tr>
      <w:tr w:rsidR="00662937" w14:paraId="761996B2" w14:textId="77777777" w:rsidTr="00662937">
        <w:tc>
          <w:tcPr>
            <w:tcW w:w="2122" w:type="dxa"/>
            <w:vMerge w:val="restart"/>
            <w:vAlign w:val="center"/>
          </w:tcPr>
          <w:p w14:paraId="758BBBE4" w14:textId="77777777" w:rsidR="00662937" w:rsidRPr="00662937" w:rsidRDefault="00662937" w:rsidP="003D2F9E">
            <w:pPr>
              <w:pStyle w:val="TableText"/>
              <w:spacing w:before="120" w:after="120" w:line="240" w:lineRule="auto"/>
              <w:jc w:val="left"/>
              <w:rPr>
                <w:sz w:val="22"/>
                <w:szCs w:val="22"/>
              </w:rPr>
            </w:pPr>
            <w:r w:rsidRPr="00662937">
              <w:rPr>
                <w:sz w:val="22"/>
                <w:szCs w:val="22"/>
              </w:rPr>
              <w:t xml:space="preserve">Stage 3: </w:t>
            </w:r>
          </w:p>
          <w:p w14:paraId="0AB9CDF9" w14:textId="0CB40E32" w:rsidR="00662937" w:rsidRPr="00662937" w:rsidRDefault="00662937" w:rsidP="003D2F9E">
            <w:pPr>
              <w:spacing w:line="240" w:lineRule="auto"/>
              <w:rPr>
                <w:b/>
                <w:szCs w:val="22"/>
              </w:rPr>
            </w:pPr>
            <w:r w:rsidRPr="00662937">
              <w:rPr>
                <w:b/>
                <w:szCs w:val="22"/>
              </w:rPr>
              <w:t>Investigation</w:t>
            </w:r>
          </w:p>
        </w:tc>
        <w:tc>
          <w:tcPr>
            <w:tcW w:w="7313" w:type="dxa"/>
          </w:tcPr>
          <w:p w14:paraId="151F8AB9" w14:textId="442EAA3D" w:rsidR="00662937" w:rsidRDefault="00662937" w:rsidP="003D2F9E">
            <w:pPr>
              <w:spacing w:line="240" w:lineRule="auto"/>
            </w:pPr>
            <w:r w:rsidRPr="00BD6BC6">
              <w:t>(3a) IHPA investigates the dispute</w:t>
            </w:r>
          </w:p>
        </w:tc>
      </w:tr>
      <w:tr w:rsidR="00662937" w14:paraId="4B4B2296" w14:textId="77777777" w:rsidTr="00662937">
        <w:tc>
          <w:tcPr>
            <w:tcW w:w="2122" w:type="dxa"/>
            <w:vMerge/>
            <w:vAlign w:val="center"/>
          </w:tcPr>
          <w:p w14:paraId="4EB73368" w14:textId="77777777" w:rsidR="00662937" w:rsidRPr="00662937" w:rsidRDefault="00662937" w:rsidP="003D2F9E">
            <w:pPr>
              <w:spacing w:line="240" w:lineRule="auto"/>
              <w:rPr>
                <w:b/>
                <w:szCs w:val="22"/>
              </w:rPr>
            </w:pPr>
          </w:p>
        </w:tc>
        <w:tc>
          <w:tcPr>
            <w:tcW w:w="7313" w:type="dxa"/>
          </w:tcPr>
          <w:p w14:paraId="653C09A6" w14:textId="7808EECC" w:rsidR="00662937" w:rsidRDefault="00662937" w:rsidP="003D2F9E">
            <w:pPr>
              <w:spacing w:line="240" w:lineRule="auto"/>
            </w:pPr>
            <w:r w:rsidRPr="00BD6BC6">
              <w:t>(3b) IHPA requests additional information to assist the investigation (as required)</w:t>
            </w:r>
          </w:p>
        </w:tc>
      </w:tr>
      <w:tr w:rsidR="00662937" w14:paraId="05784F3C" w14:textId="77777777" w:rsidTr="00662937">
        <w:tc>
          <w:tcPr>
            <w:tcW w:w="2122" w:type="dxa"/>
            <w:vMerge w:val="restart"/>
            <w:vAlign w:val="center"/>
          </w:tcPr>
          <w:p w14:paraId="05ACBD6D" w14:textId="77777777" w:rsidR="00662937" w:rsidRPr="00662937" w:rsidRDefault="00662937" w:rsidP="003D2F9E">
            <w:pPr>
              <w:pStyle w:val="TableText"/>
              <w:spacing w:before="120" w:after="120" w:line="240" w:lineRule="auto"/>
              <w:jc w:val="left"/>
              <w:rPr>
                <w:sz w:val="22"/>
                <w:szCs w:val="22"/>
              </w:rPr>
            </w:pPr>
            <w:r w:rsidRPr="00662937">
              <w:rPr>
                <w:sz w:val="22"/>
                <w:szCs w:val="22"/>
              </w:rPr>
              <w:t>Stage 4:</w:t>
            </w:r>
          </w:p>
          <w:p w14:paraId="1C7AA2F2" w14:textId="4EEBB9B7" w:rsidR="00662937" w:rsidRPr="00662937" w:rsidRDefault="00662937" w:rsidP="003D2F9E">
            <w:pPr>
              <w:spacing w:line="240" w:lineRule="auto"/>
              <w:rPr>
                <w:b/>
                <w:szCs w:val="22"/>
              </w:rPr>
            </w:pPr>
            <w:r w:rsidRPr="00662937">
              <w:rPr>
                <w:b/>
                <w:szCs w:val="22"/>
              </w:rPr>
              <w:t>Draft assessment</w:t>
            </w:r>
          </w:p>
        </w:tc>
        <w:tc>
          <w:tcPr>
            <w:tcW w:w="7313" w:type="dxa"/>
          </w:tcPr>
          <w:p w14:paraId="27C9D836" w14:textId="4E910927" w:rsidR="00662937" w:rsidRDefault="00662937" w:rsidP="0057690C">
            <w:pPr>
              <w:spacing w:line="240" w:lineRule="auto"/>
            </w:pPr>
            <w:r w:rsidRPr="00BD6BC6">
              <w:t xml:space="preserve">(4a) IHPA </w:t>
            </w:r>
            <w:r w:rsidR="0057690C">
              <w:t>prepares the draft</w:t>
            </w:r>
            <w:r w:rsidRPr="00BD6BC6">
              <w:t xml:space="preserve"> assessment and provides it </w:t>
            </w:r>
            <w:r>
              <w:t>to</w:t>
            </w:r>
            <w:r w:rsidRPr="00BD6BC6">
              <w:t xml:space="preserve"> the health ministers of the jurisdictions party to the dispute</w:t>
            </w:r>
            <w:r>
              <w:t xml:space="preserve"> for review</w:t>
            </w:r>
          </w:p>
        </w:tc>
      </w:tr>
      <w:tr w:rsidR="00662937" w14:paraId="69040BFD" w14:textId="77777777" w:rsidTr="00662937">
        <w:tc>
          <w:tcPr>
            <w:tcW w:w="2122" w:type="dxa"/>
            <w:vMerge/>
            <w:vAlign w:val="center"/>
          </w:tcPr>
          <w:p w14:paraId="73846C70" w14:textId="77777777" w:rsidR="00662937" w:rsidRPr="00662937" w:rsidRDefault="00662937" w:rsidP="003D2F9E">
            <w:pPr>
              <w:spacing w:line="240" w:lineRule="auto"/>
              <w:rPr>
                <w:b/>
                <w:szCs w:val="22"/>
              </w:rPr>
            </w:pPr>
          </w:p>
        </w:tc>
        <w:tc>
          <w:tcPr>
            <w:tcW w:w="7313" w:type="dxa"/>
          </w:tcPr>
          <w:p w14:paraId="3A40F501" w14:textId="2D18EE3E" w:rsidR="00662937" w:rsidRDefault="00662937" w:rsidP="003D2F9E">
            <w:pPr>
              <w:spacing w:line="240" w:lineRule="auto"/>
            </w:pPr>
            <w:r w:rsidRPr="00BD6BC6">
              <w:t>(4b) The health ministers provide IHPA with written comments within 30</w:t>
            </w:r>
            <w:r>
              <w:t> </w:t>
            </w:r>
            <w:r w:rsidRPr="00BD6BC6">
              <w:t>days</w:t>
            </w:r>
          </w:p>
        </w:tc>
      </w:tr>
      <w:tr w:rsidR="00662937" w14:paraId="4CFAFED0" w14:textId="77777777" w:rsidTr="00662937">
        <w:tc>
          <w:tcPr>
            <w:tcW w:w="2122" w:type="dxa"/>
            <w:vMerge/>
            <w:vAlign w:val="center"/>
          </w:tcPr>
          <w:p w14:paraId="5B4CE6F0" w14:textId="77777777" w:rsidR="00662937" w:rsidRPr="00662937" w:rsidRDefault="00662937" w:rsidP="003D2F9E">
            <w:pPr>
              <w:spacing w:line="240" w:lineRule="auto"/>
              <w:rPr>
                <w:b/>
                <w:szCs w:val="22"/>
              </w:rPr>
            </w:pPr>
          </w:p>
        </w:tc>
        <w:tc>
          <w:tcPr>
            <w:tcW w:w="7313" w:type="dxa"/>
          </w:tcPr>
          <w:p w14:paraId="304472F5" w14:textId="30788888" w:rsidR="00662937" w:rsidRDefault="00662937" w:rsidP="003D2F9E">
            <w:pPr>
              <w:spacing w:line="240" w:lineRule="auto"/>
            </w:pPr>
            <w:r w:rsidRPr="00BD6BC6">
              <w:t>(4c) IHPA reviews the written comments about the draft assessment</w:t>
            </w:r>
          </w:p>
        </w:tc>
      </w:tr>
      <w:tr w:rsidR="00662937" w14:paraId="79E17C90" w14:textId="77777777" w:rsidTr="00662937">
        <w:tc>
          <w:tcPr>
            <w:tcW w:w="2122" w:type="dxa"/>
            <w:vMerge/>
            <w:vAlign w:val="center"/>
          </w:tcPr>
          <w:p w14:paraId="540E5B49" w14:textId="77777777" w:rsidR="00662937" w:rsidRPr="00662937" w:rsidRDefault="00662937" w:rsidP="003D2F9E">
            <w:pPr>
              <w:spacing w:line="240" w:lineRule="auto"/>
              <w:rPr>
                <w:b/>
                <w:szCs w:val="22"/>
              </w:rPr>
            </w:pPr>
          </w:p>
        </w:tc>
        <w:tc>
          <w:tcPr>
            <w:tcW w:w="7313" w:type="dxa"/>
          </w:tcPr>
          <w:p w14:paraId="45D0E4AC" w14:textId="1B1A923D" w:rsidR="00662937" w:rsidRDefault="00662937" w:rsidP="003D2F9E">
            <w:pPr>
              <w:spacing w:line="240" w:lineRule="auto"/>
            </w:pPr>
            <w:r w:rsidRPr="00BD6BC6">
              <w:t xml:space="preserve">(4d) IHPA clarifies the written comments with </w:t>
            </w:r>
            <w:r>
              <w:t>the health ministers</w:t>
            </w:r>
            <w:r w:rsidRPr="00BD6BC6">
              <w:t xml:space="preserve"> (if required)</w:t>
            </w:r>
          </w:p>
        </w:tc>
      </w:tr>
      <w:tr w:rsidR="00662937" w14:paraId="09A8CF87" w14:textId="77777777" w:rsidTr="00662937">
        <w:tc>
          <w:tcPr>
            <w:tcW w:w="2122" w:type="dxa"/>
            <w:vMerge w:val="restart"/>
            <w:vAlign w:val="center"/>
          </w:tcPr>
          <w:p w14:paraId="21927A6D" w14:textId="77777777" w:rsidR="00662937" w:rsidRPr="00662937" w:rsidRDefault="00662937" w:rsidP="003D2F9E">
            <w:pPr>
              <w:pStyle w:val="TableText"/>
              <w:spacing w:before="120" w:after="120" w:line="240" w:lineRule="auto"/>
              <w:jc w:val="left"/>
              <w:rPr>
                <w:sz w:val="22"/>
                <w:szCs w:val="22"/>
              </w:rPr>
            </w:pPr>
            <w:r w:rsidRPr="00662937">
              <w:rPr>
                <w:sz w:val="22"/>
                <w:szCs w:val="22"/>
              </w:rPr>
              <w:t>Stage 5:</w:t>
            </w:r>
          </w:p>
          <w:p w14:paraId="5A749799" w14:textId="0B6F6651" w:rsidR="00662937" w:rsidRPr="00662937" w:rsidRDefault="00662937" w:rsidP="003D2F9E">
            <w:pPr>
              <w:spacing w:line="240" w:lineRule="auto"/>
              <w:rPr>
                <w:b/>
                <w:szCs w:val="22"/>
              </w:rPr>
            </w:pPr>
            <w:r w:rsidRPr="00662937">
              <w:rPr>
                <w:b/>
                <w:szCs w:val="22"/>
              </w:rPr>
              <w:t>Final assessment</w:t>
            </w:r>
          </w:p>
        </w:tc>
        <w:tc>
          <w:tcPr>
            <w:tcW w:w="7313" w:type="dxa"/>
          </w:tcPr>
          <w:p w14:paraId="45E8A904" w14:textId="63CE8049" w:rsidR="00662937" w:rsidRDefault="00662937" w:rsidP="003D2F9E">
            <w:pPr>
              <w:spacing w:line="240" w:lineRule="auto"/>
            </w:pPr>
            <w:r w:rsidRPr="00BD6BC6">
              <w:t xml:space="preserve">(5a) IHPA determines the final assessment and provides it to the health ministers of </w:t>
            </w:r>
            <w:r>
              <w:t xml:space="preserve">the </w:t>
            </w:r>
            <w:r w:rsidRPr="00BD6BC6">
              <w:t>jurisdictions party to the dispute</w:t>
            </w:r>
          </w:p>
        </w:tc>
      </w:tr>
      <w:tr w:rsidR="00662937" w14:paraId="37646558" w14:textId="77777777" w:rsidTr="00662937">
        <w:tc>
          <w:tcPr>
            <w:tcW w:w="2122" w:type="dxa"/>
            <w:vMerge/>
            <w:vAlign w:val="center"/>
          </w:tcPr>
          <w:p w14:paraId="2C2E360D" w14:textId="77777777" w:rsidR="00662937" w:rsidRPr="00662937" w:rsidRDefault="00662937" w:rsidP="003D2F9E">
            <w:pPr>
              <w:spacing w:line="240" w:lineRule="auto"/>
              <w:rPr>
                <w:b/>
                <w:szCs w:val="22"/>
              </w:rPr>
            </w:pPr>
          </w:p>
        </w:tc>
        <w:tc>
          <w:tcPr>
            <w:tcW w:w="7313" w:type="dxa"/>
          </w:tcPr>
          <w:p w14:paraId="03DC598F" w14:textId="64A4F043" w:rsidR="00662937" w:rsidRDefault="00662937" w:rsidP="003D2F9E">
            <w:pPr>
              <w:spacing w:line="240" w:lineRule="auto"/>
            </w:pPr>
            <w:r w:rsidRPr="00BD6BC6">
              <w:t xml:space="preserve">(5b) IHPA publishes the final assessment on </w:t>
            </w:r>
            <w:r>
              <w:t>its</w:t>
            </w:r>
            <w:r w:rsidRPr="00BD6BC6">
              <w:t xml:space="preserve"> website if the investigation identifies that cost-shifting has occurred</w:t>
            </w:r>
          </w:p>
        </w:tc>
      </w:tr>
    </w:tbl>
    <w:p w14:paraId="0853171E" w14:textId="0472407D" w:rsidR="0009465A" w:rsidRPr="00BD6BC6" w:rsidRDefault="0009465A" w:rsidP="006D55BD">
      <w:pPr>
        <w:rPr>
          <w:sz w:val="20"/>
          <w:szCs w:val="20"/>
        </w:rPr>
      </w:pPr>
      <w:r w:rsidRPr="00BD6BC6">
        <w:t>Further details on each stage are provided below.</w:t>
      </w:r>
    </w:p>
    <w:p w14:paraId="76AA9B02" w14:textId="189D9391" w:rsidR="0009465A" w:rsidRPr="00BD6BC6" w:rsidRDefault="0009465A" w:rsidP="00A36C90">
      <w:pPr>
        <w:pStyle w:val="Heading3"/>
      </w:pPr>
      <w:bookmarkStart w:id="156" w:name="_Toc507599186"/>
      <w:bookmarkStart w:id="157" w:name="_Toc507611949"/>
      <w:bookmarkStart w:id="158" w:name="_Toc507612165"/>
      <w:bookmarkStart w:id="159" w:name="_Toc507612248"/>
      <w:bookmarkStart w:id="160" w:name="_Toc2862854"/>
      <w:bookmarkStart w:id="161" w:name="_Toc11232079"/>
      <w:bookmarkStart w:id="162" w:name="_Toc58480946"/>
      <w:bookmarkStart w:id="163" w:name="_Toc58845984"/>
      <w:bookmarkStart w:id="164" w:name="_Toc58846343"/>
      <w:bookmarkStart w:id="165" w:name="_Toc61873525"/>
      <w:bookmarkStart w:id="166" w:name="_Toc61873739"/>
      <w:bookmarkStart w:id="167" w:name="_Toc61950895"/>
      <w:bookmarkStart w:id="168" w:name="_Toc91157722"/>
      <w:r w:rsidRPr="00BD6BC6">
        <w:t xml:space="preserve">Stage 1: Request for </w:t>
      </w:r>
      <w:r w:rsidR="003F22DF" w:rsidRPr="00BD6BC6">
        <w:t>a</w:t>
      </w:r>
      <w:r w:rsidRPr="00BD6BC6">
        <w:t>ssessment</w:t>
      </w:r>
      <w:bookmarkEnd w:id="156"/>
      <w:bookmarkEnd w:id="157"/>
      <w:bookmarkEnd w:id="158"/>
      <w:bookmarkEnd w:id="159"/>
      <w:bookmarkEnd w:id="160"/>
      <w:bookmarkEnd w:id="161"/>
      <w:bookmarkEnd w:id="162"/>
      <w:bookmarkEnd w:id="163"/>
      <w:bookmarkEnd w:id="164"/>
      <w:bookmarkEnd w:id="165"/>
      <w:bookmarkEnd w:id="166"/>
      <w:bookmarkEnd w:id="167"/>
      <w:bookmarkEnd w:id="168"/>
    </w:p>
    <w:p w14:paraId="0A099603" w14:textId="307C3068" w:rsidR="0009465A" w:rsidRPr="00BD6BC6" w:rsidRDefault="0009465A" w:rsidP="00E96CCA">
      <w:pPr>
        <w:pStyle w:val="Heading4"/>
      </w:pPr>
      <w:r w:rsidRPr="00BD6BC6">
        <w:t xml:space="preserve">(1a) Jurisdictions undertake reasonable efforts to resolve </w:t>
      </w:r>
      <w:r w:rsidR="00662937">
        <w:t xml:space="preserve">the </w:t>
      </w:r>
      <w:r w:rsidRPr="00BD6BC6">
        <w:t>dispute</w:t>
      </w:r>
    </w:p>
    <w:p w14:paraId="2CCCB55A" w14:textId="387BDA5E" w:rsidR="0009465A" w:rsidRPr="00BD6BC6" w:rsidRDefault="00394E52" w:rsidP="006D55BD">
      <w:r w:rsidRPr="00BD6BC6">
        <w:t>The</w:t>
      </w:r>
      <w:r w:rsidR="00B72122" w:rsidRPr="00BD6BC6">
        <w:t xml:space="preserve"> applicant </w:t>
      </w:r>
      <w:r w:rsidR="0009465A" w:rsidRPr="00BD6BC6">
        <w:t xml:space="preserve">jurisdiction </w:t>
      </w:r>
      <w:r w:rsidR="00632B09" w:rsidRPr="00BD6BC6">
        <w:t>must</w:t>
      </w:r>
      <w:r w:rsidR="0009465A" w:rsidRPr="00BD6BC6">
        <w:t xml:space="preserve"> include a statement detailing </w:t>
      </w:r>
      <w:r w:rsidR="00632B09" w:rsidRPr="00BD6BC6">
        <w:t>the</w:t>
      </w:r>
      <w:r w:rsidR="0009465A" w:rsidRPr="00BD6BC6">
        <w:t xml:space="preserve"> </w:t>
      </w:r>
      <w:r w:rsidR="00632B09" w:rsidRPr="00BD6BC6">
        <w:t>reasonable efforts</w:t>
      </w:r>
      <w:r w:rsidR="0009465A" w:rsidRPr="00BD6BC6">
        <w:t xml:space="preserve"> they have taken to resolve the dispute with the </w:t>
      </w:r>
      <w:r w:rsidR="004E3E99" w:rsidRPr="00BD6BC6">
        <w:t xml:space="preserve">respondent </w:t>
      </w:r>
      <w:r w:rsidR="0009465A" w:rsidRPr="00BD6BC6">
        <w:t>jurisdiction, or the reasons why no such steps were taken.</w:t>
      </w:r>
    </w:p>
    <w:p w14:paraId="3AB00A97" w14:textId="77777777" w:rsidR="000E6A78" w:rsidRDefault="000E6A78" w:rsidP="006D55BD"/>
    <w:p w14:paraId="3C958C47" w14:textId="77777777" w:rsidR="000E6A78" w:rsidRDefault="000E6A78" w:rsidP="006D55BD"/>
    <w:p w14:paraId="44560361" w14:textId="0E931B93" w:rsidR="0009465A" w:rsidRPr="00BD6BC6" w:rsidRDefault="0009465A" w:rsidP="006D55BD">
      <w:r w:rsidRPr="00BD6BC6">
        <w:lastRenderedPageBreak/>
        <w:t>Some examples of reasonable efforts include:</w:t>
      </w:r>
    </w:p>
    <w:p w14:paraId="32CC773B" w14:textId="417D85CE" w:rsidR="0009465A" w:rsidRPr="00BD6BC6" w:rsidRDefault="0009465A" w:rsidP="00593CE6">
      <w:pPr>
        <w:pStyle w:val="ListParagraph"/>
        <w:numPr>
          <w:ilvl w:val="0"/>
          <w:numId w:val="12"/>
        </w:numPr>
        <w:rPr>
          <w:sz w:val="22"/>
          <w:szCs w:val="22"/>
        </w:rPr>
      </w:pPr>
      <w:r w:rsidRPr="00BD6BC6">
        <w:rPr>
          <w:sz w:val="22"/>
          <w:szCs w:val="22"/>
        </w:rPr>
        <w:t>notifying</w:t>
      </w:r>
      <w:r w:rsidR="009D2531">
        <w:rPr>
          <w:sz w:val="22"/>
          <w:szCs w:val="22"/>
        </w:rPr>
        <w:t xml:space="preserve"> and offering to discuss with</w:t>
      </w:r>
      <w:r w:rsidRPr="00BD6BC6">
        <w:rPr>
          <w:sz w:val="22"/>
          <w:szCs w:val="22"/>
        </w:rPr>
        <w:t xml:space="preserve"> the </w:t>
      </w:r>
      <w:r w:rsidR="00394E52" w:rsidRPr="00BD6BC6">
        <w:rPr>
          <w:sz w:val="22"/>
          <w:szCs w:val="22"/>
        </w:rPr>
        <w:t>respondent jurisdiction</w:t>
      </w:r>
      <w:r w:rsidRPr="00BD6BC6">
        <w:rPr>
          <w:sz w:val="22"/>
          <w:szCs w:val="22"/>
        </w:rPr>
        <w:t xml:space="preserve"> the issues in dispute, with a view to resol</w:t>
      </w:r>
      <w:r w:rsidR="00394E52" w:rsidRPr="00BD6BC6">
        <w:rPr>
          <w:sz w:val="22"/>
          <w:szCs w:val="22"/>
        </w:rPr>
        <w:t>ution</w:t>
      </w:r>
    </w:p>
    <w:p w14:paraId="6906E7DA" w14:textId="2A290EE5" w:rsidR="0009465A" w:rsidRPr="00BD6BC6" w:rsidRDefault="0009465A" w:rsidP="00593CE6">
      <w:pPr>
        <w:pStyle w:val="ListParagraph"/>
        <w:numPr>
          <w:ilvl w:val="0"/>
          <w:numId w:val="12"/>
        </w:numPr>
        <w:rPr>
          <w:sz w:val="22"/>
          <w:szCs w:val="22"/>
        </w:rPr>
      </w:pPr>
      <w:r w:rsidRPr="00BD6BC6">
        <w:rPr>
          <w:sz w:val="22"/>
          <w:szCs w:val="22"/>
        </w:rPr>
        <w:t xml:space="preserve">providing relevant information and documents to the </w:t>
      </w:r>
      <w:r w:rsidR="00394E52" w:rsidRPr="00BD6BC6">
        <w:rPr>
          <w:sz w:val="22"/>
          <w:szCs w:val="22"/>
        </w:rPr>
        <w:t>respondent jurisdiction</w:t>
      </w:r>
      <w:r w:rsidRPr="00BD6BC6">
        <w:rPr>
          <w:sz w:val="22"/>
          <w:szCs w:val="22"/>
        </w:rPr>
        <w:t xml:space="preserve"> to enable them to understand the issues involved and how the dispute might be resolved</w:t>
      </w:r>
    </w:p>
    <w:p w14:paraId="48F972BB" w14:textId="6669BAAC" w:rsidR="0009465A" w:rsidRPr="00BD6BC6" w:rsidRDefault="0009465A" w:rsidP="00593CE6">
      <w:pPr>
        <w:pStyle w:val="ListParagraph"/>
        <w:numPr>
          <w:ilvl w:val="0"/>
          <w:numId w:val="12"/>
        </w:numPr>
        <w:rPr>
          <w:sz w:val="22"/>
          <w:szCs w:val="22"/>
        </w:rPr>
      </w:pPr>
      <w:r w:rsidRPr="00BD6BC6">
        <w:rPr>
          <w:sz w:val="22"/>
          <w:szCs w:val="22"/>
        </w:rPr>
        <w:t>considering possible resolution through alternative dispute resolution processes</w:t>
      </w:r>
    </w:p>
    <w:p w14:paraId="24B3564A" w14:textId="042D2CCE" w:rsidR="0009465A" w:rsidRPr="00BD6BC6" w:rsidRDefault="0009465A" w:rsidP="00593CE6">
      <w:pPr>
        <w:pStyle w:val="ListParagraph"/>
        <w:numPr>
          <w:ilvl w:val="0"/>
          <w:numId w:val="12"/>
        </w:numPr>
        <w:rPr>
          <w:sz w:val="22"/>
          <w:szCs w:val="22"/>
        </w:rPr>
      </w:pPr>
      <w:r w:rsidRPr="00BD6BC6">
        <w:rPr>
          <w:sz w:val="22"/>
          <w:szCs w:val="22"/>
        </w:rPr>
        <w:t xml:space="preserve">attempting to negotiate with the </w:t>
      </w:r>
      <w:r w:rsidR="00394E52" w:rsidRPr="00BD6BC6">
        <w:rPr>
          <w:sz w:val="22"/>
          <w:szCs w:val="22"/>
        </w:rPr>
        <w:t>respondent jurisdiction</w:t>
      </w:r>
      <w:r w:rsidRPr="00BD6BC6">
        <w:rPr>
          <w:sz w:val="22"/>
          <w:szCs w:val="22"/>
        </w:rPr>
        <w:t xml:space="preserve"> with a view to resolving some or all of the issues in dispute.</w:t>
      </w:r>
    </w:p>
    <w:p w14:paraId="0F020D02" w14:textId="0882585B" w:rsidR="00632B09" w:rsidRPr="00BD6BC6" w:rsidRDefault="00632B09" w:rsidP="006D55BD">
      <w:r w:rsidRPr="00BD6BC6">
        <w:t xml:space="preserve">IHPA supports parties </w:t>
      </w:r>
      <w:r w:rsidR="00394E52" w:rsidRPr="00BD6BC6">
        <w:t xml:space="preserve">to the dispute </w:t>
      </w:r>
      <w:r w:rsidR="00326862" w:rsidRPr="00BD6BC6">
        <w:t>in</w:t>
      </w:r>
      <w:r w:rsidR="00515629" w:rsidRPr="00BD6BC6">
        <w:t xml:space="preserve"> </w:t>
      </w:r>
      <w:r w:rsidRPr="00BD6BC6">
        <w:t>deciding what steps are most appropriate in their circumstances.</w:t>
      </w:r>
    </w:p>
    <w:p w14:paraId="5CB9BB13" w14:textId="33B1FCB0" w:rsidR="0009465A" w:rsidRPr="00BD6BC6" w:rsidRDefault="0009465A" w:rsidP="00E96CCA">
      <w:pPr>
        <w:pStyle w:val="Heading4"/>
      </w:pPr>
      <w:r w:rsidRPr="00BD6BC6">
        <w:t xml:space="preserve">(1b) The </w:t>
      </w:r>
      <w:r w:rsidR="004E3E99" w:rsidRPr="00BD6BC6">
        <w:t xml:space="preserve">applicant </w:t>
      </w:r>
      <w:r w:rsidRPr="00BD6BC6">
        <w:t xml:space="preserve">jurisdiction </w:t>
      </w:r>
      <w:r w:rsidR="00FC7A4C" w:rsidRPr="00BD6BC6">
        <w:t xml:space="preserve">requests an </w:t>
      </w:r>
      <w:r w:rsidRPr="00BD6BC6">
        <w:t>assessment</w:t>
      </w:r>
      <w:r w:rsidR="00662937">
        <w:t xml:space="preserve"> by IHPA</w:t>
      </w:r>
    </w:p>
    <w:p w14:paraId="5C4AAE54" w14:textId="19159F94" w:rsidR="00CF3240" w:rsidRPr="00BD6BC6" w:rsidRDefault="00CF3240" w:rsidP="006D55BD">
      <w:r w:rsidRPr="00BD6BC6">
        <w:t>After a</w:t>
      </w:r>
      <w:r w:rsidR="00F01EDF" w:rsidRPr="00BD6BC6">
        <w:t xml:space="preserve">t least </w:t>
      </w:r>
      <w:r w:rsidRPr="00BD6BC6">
        <w:t xml:space="preserve">two months have elapsed where the </w:t>
      </w:r>
      <w:r w:rsidR="004E3E99" w:rsidRPr="00BD6BC6">
        <w:t xml:space="preserve">respondent </w:t>
      </w:r>
      <w:r w:rsidRPr="00BD6BC6">
        <w:t xml:space="preserve">jurisdiction has failed to reimburse the </w:t>
      </w:r>
      <w:r w:rsidR="004E3E99" w:rsidRPr="00BD6BC6">
        <w:t>applicant</w:t>
      </w:r>
      <w:r w:rsidR="00B72122" w:rsidRPr="00BD6BC6">
        <w:t xml:space="preserve"> </w:t>
      </w:r>
      <w:r w:rsidRPr="00BD6BC6">
        <w:t>jurisdiction costs</w:t>
      </w:r>
      <w:r w:rsidR="004E3E99" w:rsidRPr="00BD6BC6">
        <w:t>,</w:t>
      </w:r>
      <w:r w:rsidR="00E30897" w:rsidRPr="00BD6BC6">
        <w:t xml:space="preserve"> </w:t>
      </w:r>
      <w:r w:rsidR="000235EC" w:rsidRPr="00BD6BC6">
        <w:t>the</w:t>
      </w:r>
      <w:r w:rsidRPr="00BD6BC6">
        <w:t xml:space="preserve"> </w:t>
      </w:r>
      <w:r w:rsidR="00326862" w:rsidRPr="00BD6BC6">
        <w:t>h</w:t>
      </w:r>
      <w:r w:rsidR="0009465A" w:rsidRPr="00BD6BC6">
        <w:t xml:space="preserve">ealth </w:t>
      </w:r>
      <w:r w:rsidR="00326862" w:rsidRPr="00BD6BC6">
        <w:t>m</w:t>
      </w:r>
      <w:r w:rsidR="0009465A" w:rsidRPr="00BD6BC6">
        <w:t xml:space="preserve">inister </w:t>
      </w:r>
      <w:r w:rsidR="004E3E99" w:rsidRPr="00BD6BC6">
        <w:t xml:space="preserve">of the applicant jurisdiction </w:t>
      </w:r>
      <w:r w:rsidR="0009465A" w:rsidRPr="00BD6BC6">
        <w:t xml:space="preserve">may </w:t>
      </w:r>
      <w:r w:rsidRPr="00BD6BC6">
        <w:t>refer the dispute to IHPA.</w:t>
      </w:r>
    </w:p>
    <w:p w14:paraId="380EB1F8" w14:textId="74BCE25D" w:rsidR="0009465A" w:rsidRPr="00BD6BC6" w:rsidRDefault="00CF3240" w:rsidP="006D55BD">
      <w:r w:rsidRPr="00BD6BC6">
        <w:t xml:space="preserve">The </w:t>
      </w:r>
      <w:r w:rsidR="00FC7A4C" w:rsidRPr="00BD6BC6">
        <w:t xml:space="preserve">application </w:t>
      </w:r>
      <w:r w:rsidR="000235EC" w:rsidRPr="00BD6BC6">
        <w:t xml:space="preserve">must be in writing and </w:t>
      </w:r>
      <w:r w:rsidR="0009465A" w:rsidRPr="00BD6BC6">
        <w:t xml:space="preserve">at a minimum </w:t>
      </w:r>
      <w:r w:rsidR="000B3FDB" w:rsidRPr="00BD6BC6">
        <w:t xml:space="preserve">include </w:t>
      </w:r>
      <w:r w:rsidR="00881F90" w:rsidRPr="00BD6BC6">
        <w:t>the following</w:t>
      </w:r>
      <w:r w:rsidR="00FC7A4C" w:rsidRPr="00BD6BC6">
        <w:t xml:space="preserve"> supporting</w:t>
      </w:r>
      <w:r w:rsidR="00881F90" w:rsidRPr="00BD6BC6">
        <w:t xml:space="preserve"> information</w:t>
      </w:r>
      <w:r w:rsidR="0009465A" w:rsidRPr="00BD6BC6">
        <w:t>:</w:t>
      </w:r>
    </w:p>
    <w:p w14:paraId="26CE4EB0" w14:textId="0EE7BA6B" w:rsidR="0009465A" w:rsidRPr="00BD6BC6" w:rsidRDefault="0009465A" w:rsidP="00593CE6">
      <w:pPr>
        <w:pStyle w:val="ListParagraph"/>
        <w:numPr>
          <w:ilvl w:val="0"/>
          <w:numId w:val="13"/>
        </w:numPr>
        <w:rPr>
          <w:sz w:val="22"/>
          <w:szCs w:val="22"/>
        </w:rPr>
      </w:pPr>
      <w:r w:rsidRPr="00BD6BC6">
        <w:rPr>
          <w:sz w:val="22"/>
          <w:szCs w:val="22"/>
        </w:rPr>
        <w:t>copies of any intergovernmental agreements, or a</w:t>
      </w:r>
      <w:r w:rsidR="007E5DA0" w:rsidRPr="00BD6BC6">
        <w:rPr>
          <w:sz w:val="22"/>
          <w:szCs w:val="22"/>
        </w:rPr>
        <w:t>rrangements</w:t>
      </w:r>
      <w:r w:rsidRPr="00BD6BC6">
        <w:rPr>
          <w:sz w:val="22"/>
          <w:szCs w:val="22"/>
        </w:rPr>
        <w:t xml:space="preserve"> between the Commonwealth, </w:t>
      </w:r>
      <w:r w:rsidR="00326862" w:rsidRPr="00BD6BC6">
        <w:rPr>
          <w:sz w:val="22"/>
          <w:szCs w:val="22"/>
        </w:rPr>
        <w:t>s</w:t>
      </w:r>
      <w:r w:rsidRPr="00BD6BC6">
        <w:rPr>
          <w:sz w:val="22"/>
          <w:szCs w:val="22"/>
        </w:rPr>
        <w:t xml:space="preserve">tates and </w:t>
      </w:r>
      <w:r w:rsidR="00326862" w:rsidRPr="00BD6BC6">
        <w:rPr>
          <w:sz w:val="22"/>
          <w:szCs w:val="22"/>
        </w:rPr>
        <w:t>t</w:t>
      </w:r>
      <w:r w:rsidRPr="00BD6BC6">
        <w:rPr>
          <w:sz w:val="22"/>
          <w:szCs w:val="22"/>
        </w:rPr>
        <w:t>erritories</w:t>
      </w:r>
    </w:p>
    <w:p w14:paraId="53AD7660" w14:textId="550DF3AF" w:rsidR="0009465A" w:rsidRPr="00BD6BC6" w:rsidRDefault="0009465A" w:rsidP="00593CE6">
      <w:pPr>
        <w:pStyle w:val="ListParagraph"/>
        <w:numPr>
          <w:ilvl w:val="0"/>
          <w:numId w:val="13"/>
        </w:numPr>
        <w:rPr>
          <w:sz w:val="22"/>
          <w:szCs w:val="22"/>
        </w:rPr>
      </w:pPr>
      <w:r w:rsidRPr="00BD6BC6">
        <w:rPr>
          <w:sz w:val="22"/>
          <w:szCs w:val="22"/>
        </w:rPr>
        <w:t>relevant information, data and documents to enable IHPA to understand the issues involved</w:t>
      </w:r>
    </w:p>
    <w:p w14:paraId="525B0EC8" w14:textId="488FD42B" w:rsidR="00233AD7" w:rsidRPr="00BD6BC6" w:rsidRDefault="00FC7A4C" w:rsidP="00593CE6">
      <w:pPr>
        <w:pStyle w:val="ListParagraph"/>
        <w:numPr>
          <w:ilvl w:val="0"/>
          <w:numId w:val="13"/>
        </w:numPr>
        <w:rPr>
          <w:sz w:val="22"/>
          <w:szCs w:val="22"/>
        </w:rPr>
      </w:pPr>
      <w:r w:rsidRPr="00BD6BC6">
        <w:rPr>
          <w:sz w:val="22"/>
          <w:szCs w:val="22"/>
        </w:rPr>
        <w:t xml:space="preserve">a </w:t>
      </w:r>
      <w:r w:rsidR="0009465A" w:rsidRPr="00BD6BC6">
        <w:rPr>
          <w:sz w:val="22"/>
          <w:szCs w:val="22"/>
        </w:rPr>
        <w:t xml:space="preserve">statement detailing </w:t>
      </w:r>
      <w:r w:rsidR="005956D0" w:rsidRPr="00BD6BC6">
        <w:rPr>
          <w:sz w:val="22"/>
          <w:szCs w:val="22"/>
        </w:rPr>
        <w:t>the</w:t>
      </w:r>
      <w:r w:rsidR="0009465A" w:rsidRPr="00BD6BC6">
        <w:rPr>
          <w:sz w:val="22"/>
          <w:szCs w:val="22"/>
        </w:rPr>
        <w:t xml:space="preserve"> </w:t>
      </w:r>
      <w:r w:rsidR="005956D0" w:rsidRPr="00BD6BC6">
        <w:rPr>
          <w:sz w:val="22"/>
          <w:szCs w:val="22"/>
        </w:rPr>
        <w:t>reasonable efforts</w:t>
      </w:r>
      <w:r w:rsidR="0009465A" w:rsidRPr="00BD6BC6">
        <w:rPr>
          <w:sz w:val="22"/>
          <w:szCs w:val="22"/>
        </w:rPr>
        <w:t xml:space="preserve"> taken to resolve the dispute with the </w:t>
      </w:r>
      <w:r w:rsidR="004E3E99" w:rsidRPr="00BD6BC6">
        <w:rPr>
          <w:sz w:val="22"/>
          <w:szCs w:val="22"/>
        </w:rPr>
        <w:t xml:space="preserve">respondent </w:t>
      </w:r>
      <w:r w:rsidR="0009465A" w:rsidRPr="00BD6BC6">
        <w:rPr>
          <w:sz w:val="22"/>
          <w:szCs w:val="22"/>
        </w:rPr>
        <w:t xml:space="preserve">jurisdiction, including steps </w:t>
      </w:r>
      <w:r w:rsidRPr="00BD6BC6">
        <w:rPr>
          <w:sz w:val="22"/>
          <w:szCs w:val="22"/>
        </w:rPr>
        <w:t>required by</w:t>
      </w:r>
      <w:r w:rsidR="0009465A" w:rsidRPr="00BD6BC6">
        <w:rPr>
          <w:sz w:val="22"/>
          <w:szCs w:val="22"/>
        </w:rPr>
        <w:t xml:space="preserve"> agreements, or the reasons why no such steps were taken</w:t>
      </w:r>
      <w:r w:rsidR="00C63184" w:rsidRPr="00BD6BC6">
        <w:rPr>
          <w:sz w:val="22"/>
          <w:szCs w:val="22"/>
        </w:rPr>
        <w:t>.</w:t>
      </w:r>
    </w:p>
    <w:p w14:paraId="4D7B222F" w14:textId="4ED753AC" w:rsidR="0009465A" w:rsidRPr="00BD6BC6" w:rsidRDefault="0009465A" w:rsidP="006D55BD">
      <w:r w:rsidRPr="00BD6BC6">
        <w:t xml:space="preserve">IHPA has developed </w:t>
      </w:r>
      <w:r w:rsidR="007E5DA0" w:rsidRPr="00BD6BC6">
        <w:t>guidance</w:t>
      </w:r>
      <w:r w:rsidRPr="00BD6BC6">
        <w:t xml:space="preserve"> </w:t>
      </w:r>
      <w:r w:rsidR="00044508" w:rsidRPr="00BD6BC6">
        <w:t xml:space="preserve">(see </w:t>
      </w:r>
      <w:r w:rsidRPr="00BD6BC6">
        <w:rPr>
          <w:rStyle w:val="Hyperlink"/>
        </w:rPr>
        <w:t>Appendix A</w:t>
      </w:r>
      <w:r w:rsidR="00044508" w:rsidRPr="00BD6BC6">
        <w:rPr>
          <w:rStyle w:val="Hyperlink"/>
        </w:rPr>
        <w:t>)</w:t>
      </w:r>
      <w:r w:rsidRPr="00BD6BC6">
        <w:t xml:space="preserve"> to assist jurisdictions </w:t>
      </w:r>
      <w:r w:rsidR="00044508" w:rsidRPr="00BD6BC6">
        <w:t xml:space="preserve">with preparing </w:t>
      </w:r>
      <w:r w:rsidRPr="00BD6BC6">
        <w:t>a</w:t>
      </w:r>
      <w:r w:rsidR="00542FB2" w:rsidRPr="00BD6BC6">
        <w:t xml:space="preserve">n </w:t>
      </w:r>
      <w:r w:rsidR="00FC7A4C" w:rsidRPr="00BD6BC6">
        <w:t>application</w:t>
      </w:r>
      <w:r w:rsidRPr="00BD6BC6">
        <w:t xml:space="preserve"> </w:t>
      </w:r>
      <w:r w:rsidR="00FC7A4C" w:rsidRPr="00BD6BC6">
        <w:t>for</w:t>
      </w:r>
      <w:r w:rsidRPr="00BD6BC6">
        <w:t xml:space="preserve"> </w:t>
      </w:r>
      <w:r w:rsidR="005956D0" w:rsidRPr="00BD6BC6">
        <w:t xml:space="preserve">assessment by </w:t>
      </w:r>
      <w:r w:rsidRPr="00BD6BC6">
        <w:t>IHPA.</w:t>
      </w:r>
    </w:p>
    <w:p w14:paraId="07DB4DC1" w14:textId="6403511D" w:rsidR="0009465A" w:rsidRDefault="0009465A" w:rsidP="006D55BD">
      <w:r w:rsidRPr="00BD6BC6">
        <w:t xml:space="preserve">The </w:t>
      </w:r>
      <w:r w:rsidR="004E3E99" w:rsidRPr="00BD6BC6">
        <w:t xml:space="preserve">applicant </w:t>
      </w:r>
      <w:r w:rsidRPr="00BD6BC6">
        <w:t xml:space="preserve">jurisdiction may </w:t>
      </w:r>
      <w:r w:rsidR="00046DE9" w:rsidRPr="00BD6BC6">
        <w:t xml:space="preserve">provide </w:t>
      </w:r>
      <w:r w:rsidRPr="00BD6BC6">
        <w:t xml:space="preserve">a copy of its written submission to the </w:t>
      </w:r>
      <w:r w:rsidR="0063248D" w:rsidRPr="00BD6BC6">
        <w:t xml:space="preserve">respondent </w:t>
      </w:r>
      <w:r w:rsidRPr="00BD6BC6">
        <w:t xml:space="preserve">jurisdiction </w:t>
      </w:r>
      <w:r w:rsidR="00FC7A4C" w:rsidRPr="00BD6BC6">
        <w:t>when it makes an</w:t>
      </w:r>
      <w:r w:rsidR="00E30897" w:rsidRPr="00BD6BC6">
        <w:t xml:space="preserve"> </w:t>
      </w:r>
      <w:r w:rsidR="00394E52" w:rsidRPr="00BD6BC6">
        <w:t>appli</w:t>
      </w:r>
      <w:r w:rsidR="00FC7A4C" w:rsidRPr="00BD6BC6">
        <w:t>cation</w:t>
      </w:r>
      <w:r w:rsidRPr="00BD6BC6">
        <w:t xml:space="preserve"> to IHPA</w:t>
      </w:r>
      <w:r w:rsidR="00394E52" w:rsidRPr="00BD6BC6">
        <w:t xml:space="preserve"> for assessment</w:t>
      </w:r>
      <w:r w:rsidRPr="00BD6BC6">
        <w:t xml:space="preserve">. </w:t>
      </w:r>
    </w:p>
    <w:p w14:paraId="2B779AF4" w14:textId="77777777" w:rsidR="0009465A" w:rsidRPr="00BD6BC6" w:rsidRDefault="0009465A" w:rsidP="00A36C90">
      <w:pPr>
        <w:pStyle w:val="Heading3"/>
      </w:pPr>
      <w:bookmarkStart w:id="169" w:name="_Toc507599187"/>
      <w:bookmarkStart w:id="170" w:name="_Toc507611950"/>
      <w:bookmarkStart w:id="171" w:name="_Toc507612166"/>
      <w:bookmarkStart w:id="172" w:name="_Toc507612249"/>
      <w:bookmarkStart w:id="173" w:name="_Toc2862855"/>
      <w:bookmarkStart w:id="174" w:name="_Toc11232080"/>
      <w:bookmarkStart w:id="175" w:name="_Toc58480947"/>
      <w:bookmarkStart w:id="176" w:name="_Toc58845985"/>
      <w:bookmarkStart w:id="177" w:name="_Toc58846344"/>
      <w:bookmarkStart w:id="178" w:name="_Toc61873526"/>
      <w:bookmarkStart w:id="179" w:name="_Toc61873740"/>
      <w:bookmarkStart w:id="180" w:name="_Toc61950896"/>
      <w:bookmarkStart w:id="181" w:name="_Toc91157723"/>
      <w:r w:rsidRPr="00BD6BC6">
        <w:t>Stage 2: Initial assessment</w:t>
      </w:r>
      <w:bookmarkEnd w:id="169"/>
      <w:bookmarkEnd w:id="170"/>
      <w:bookmarkEnd w:id="171"/>
      <w:bookmarkEnd w:id="172"/>
      <w:bookmarkEnd w:id="173"/>
      <w:bookmarkEnd w:id="174"/>
      <w:bookmarkEnd w:id="175"/>
      <w:bookmarkEnd w:id="176"/>
      <w:bookmarkEnd w:id="177"/>
      <w:bookmarkEnd w:id="178"/>
      <w:bookmarkEnd w:id="179"/>
      <w:bookmarkEnd w:id="180"/>
      <w:bookmarkEnd w:id="181"/>
    </w:p>
    <w:p w14:paraId="26804E53" w14:textId="694BB291" w:rsidR="0009465A" w:rsidRPr="00BD6BC6" w:rsidRDefault="0009465A" w:rsidP="00E96CCA">
      <w:pPr>
        <w:pStyle w:val="Heading4"/>
      </w:pPr>
      <w:r w:rsidRPr="00BD6BC6">
        <w:t>(2a) IHPA undertakes an initial assessment of the dispute</w:t>
      </w:r>
    </w:p>
    <w:p w14:paraId="2515169D" w14:textId="2A599F28" w:rsidR="00564469" w:rsidRPr="00BD6BC6" w:rsidRDefault="0009465A" w:rsidP="006D55BD">
      <w:r w:rsidRPr="00BD6BC6">
        <w:rPr>
          <w:rFonts w:cs="Arial"/>
        </w:rPr>
        <w:t xml:space="preserve">IHPA </w:t>
      </w:r>
      <w:r w:rsidR="00CF3240" w:rsidRPr="00BD6BC6">
        <w:rPr>
          <w:rFonts w:cs="Arial"/>
        </w:rPr>
        <w:t xml:space="preserve">assesses </w:t>
      </w:r>
      <w:r w:rsidRPr="00BD6BC6">
        <w:rPr>
          <w:rFonts w:cs="Arial"/>
        </w:rPr>
        <w:t xml:space="preserve">the </w:t>
      </w:r>
      <w:r w:rsidR="00233AD7" w:rsidRPr="00BD6BC6">
        <w:t xml:space="preserve">application </w:t>
      </w:r>
      <w:r w:rsidR="00740570" w:rsidRPr="00BD6BC6">
        <w:t>to ensure it complies with</w:t>
      </w:r>
      <w:r w:rsidR="00233AD7" w:rsidRPr="00BD6BC6">
        <w:t xml:space="preserve"> the</w:t>
      </w:r>
      <w:r w:rsidR="00C63184" w:rsidRPr="00BD6BC6">
        <w:t xml:space="preserve"> </w:t>
      </w:r>
      <w:r w:rsidR="00233AD7" w:rsidRPr="00BD6BC6">
        <w:t>conditions set out in Stage 1</w:t>
      </w:r>
      <w:r w:rsidR="00564469" w:rsidRPr="00BD6BC6">
        <w:t>.</w:t>
      </w:r>
    </w:p>
    <w:p w14:paraId="3DB75F58" w14:textId="5EC94E8D" w:rsidR="0009465A" w:rsidRPr="00BD6BC6" w:rsidRDefault="00564469" w:rsidP="006D55BD">
      <w:pPr>
        <w:rPr>
          <w:rFonts w:cs="Arial"/>
        </w:rPr>
      </w:pPr>
      <w:r w:rsidRPr="00BD6BC6">
        <w:t xml:space="preserve">IHPA will only investigate the dispute if it </w:t>
      </w:r>
      <w:r w:rsidR="0009465A" w:rsidRPr="00BD6BC6">
        <w:rPr>
          <w:rFonts w:cs="Arial"/>
        </w:rPr>
        <w:t xml:space="preserve">is satisfied </w:t>
      </w:r>
      <w:r w:rsidR="00740570" w:rsidRPr="00BD6BC6">
        <w:rPr>
          <w:rFonts w:cs="Arial"/>
        </w:rPr>
        <w:t>the</w:t>
      </w:r>
      <w:r w:rsidR="0009465A" w:rsidRPr="00BD6BC6">
        <w:rPr>
          <w:rFonts w:cs="Arial"/>
        </w:rPr>
        <w:t xml:space="preserve"> information </w:t>
      </w:r>
      <w:r w:rsidR="00740570" w:rsidRPr="00BD6BC6">
        <w:rPr>
          <w:rFonts w:cs="Arial"/>
        </w:rPr>
        <w:t xml:space="preserve">provided </w:t>
      </w:r>
      <w:r w:rsidR="0009465A" w:rsidRPr="00BD6BC6">
        <w:rPr>
          <w:rFonts w:cs="Arial"/>
        </w:rPr>
        <w:t>is sufficient</w:t>
      </w:r>
      <w:r w:rsidRPr="00BD6BC6">
        <w:rPr>
          <w:rFonts w:cs="Arial"/>
        </w:rPr>
        <w:t xml:space="preserve"> and demonstrates how each of the conditions have been met</w:t>
      </w:r>
      <w:r w:rsidR="0009465A" w:rsidRPr="00BD6BC6">
        <w:rPr>
          <w:rFonts w:cs="Arial"/>
        </w:rPr>
        <w:t xml:space="preserve">. If IHPA is not satisfied that these conditions have been met, the request for assessment will be referred back to the </w:t>
      </w:r>
      <w:r w:rsidR="00C10ABD" w:rsidRPr="00BD6BC6">
        <w:rPr>
          <w:rFonts w:cs="Arial"/>
        </w:rPr>
        <w:t>h</w:t>
      </w:r>
      <w:r w:rsidR="0009465A" w:rsidRPr="00BD6BC6">
        <w:rPr>
          <w:rFonts w:cs="Arial"/>
        </w:rPr>
        <w:t xml:space="preserve">ealth </w:t>
      </w:r>
      <w:r w:rsidR="00C10ABD" w:rsidRPr="00BD6BC6">
        <w:rPr>
          <w:rFonts w:cs="Arial"/>
        </w:rPr>
        <w:t>m</w:t>
      </w:r>
      <w:r w:rsidR="0009465A" w:rsidRPr="00BD6BC6">
        <w:rPr>
          <w:rFonts w:cs="Arial"/>
        </w:rPr>
        <w:t xml:space="preserve">inister of the </w:t>
      </w:r>
      <w:r w:rsidR="004E3E99" w:rsidRPr="00BD6BC6">
        <w:rPr>
          <w:rFonts w:cs="Arial"/>
        </w:rPr>
        <w:t xml:space="preserve">applicant </w:t>
      </w:r>
      <w:r w:rsidR="0009465A" w:rsidRPr="00BD6BC6">
        <w:rPr>
          <w:rFonts w:cs="Arial"/>
        </w:rPr>
        <w:t>jurisdiction:</w:t>
      </w:r>
    </w:p>
    <w:p w14:paraId="3ED17D73" w14:textId="1BA127D4" w:rsidR="0009465A" w:rsidRPr="00BD6BC6" w:rsidRDefault="0009465A" w:rsidP="00593CE6">
      <w:pPr>
        <w:pStyle w:val="ListParagraph"/>
        <w:numPr>
          <w:ilvl w:val="0"/>
          <w:numId w:val="14"/>
        </w:numPr>
        <w:rPr>
          <w:sz w:val="22"/>
          <w:szCs w:val="22"/>
        </w:rPr>
      </w:pPr>
      <w:r w:rsidRPr="00BD6BC6">
        <w:rPr>
          <w:sz w:val="22"/>
          <w:szCs w:val="22"/>
        </w:rPr>
        <w:t>explaining that insufficient information has been provided to enable IHPA to determine whether it will investigate the dispute</w:t>
      </w:r>
    </w:p>
    <w:p w14:paraId="430F414B" w14:textId="22474D01" w:rsidR="00C63184" w:rsidRPr="00BD6BC6" w:rsidRDefault="0009465A" w:rsidP="00593CE6">
      <w:pPr>
        <w:pStyle w:val="ListParagraph"/>
        <w:numPr>
          <w:ilvl w:val="0"/>
          <w:numId w:val="14"/>
        </w:numPr>
        <w:rPr>
          <w:sz w:val="22"/>
          <w:szCs w:val="22"/>
        </w:rPr>
      </w:pPr>
      <w:r w:rsidRPr="00BD6BC6">
        <w:rPr>
          <w:sz w:val="22"/>
          <w:szCs w:val="22"/>
        </w:rPr>
        <w:t>seeking additional information to enable IHPA to make this decision</w:t>
      </w:r>
      <w:r w:rsidR="003F22DF" w:rsidRPr="00BD6BC6">
        <w:rPr>
          <w:sz w:val="22"/>
          <w:szCs w:val="22"/>
        </w:rPr>
        <w:t>.</w:t>
      </w:r>
    </w:p>
    <w:p w14:paraId="285F22D1" w14:textId="417CF34B" w:rsidR="0009465A" w:rsidRPr="00BD6BC6" w:rsidRDefault="0009465A" w:rsidP="00E96CCA">
      <w:pPr>
        <w:pStyle w:val="Heading4"/>
      </w:pPr>
      <w:r w:rsidRPr="00BD6BC6">
        <w:t xml:space="preserve">(2b) IHPA provides written notification of the request for assessment to the </w:t>
      </w:r>
      <w:r w:rsidR="0063248D" w:rsidRPr="00BD6BC6">
        <w:t xml:space="preserve">respondent </w:t>
      </w:r>
      <w:r w:rsidRPr="00BD6BC6">
        <w:t>jurisdiction (as soon as practicable)</w:t>
      </w:r>
    </w:p>
    <w:p w14:paraId="64C77A13" w14:textId="3FDF0C7F" w:rsidR="0009465A" w:rsidRPr="00BD6BC6" w:rsidRDefault="00C63184" w:rsidP="006D55BD">
      <w:r w:rsidRPr="00BD6BC6">
        <w:t xml:space="preserve">Where </w:t>
      </w:r>
      <w:r w:rsidR="0009465A" w:rsidRPr="00BD6BC6">
        <w:t xml:space="preserve">IHPA </w:t>
      </w:r>
      <w:r w:rsidRPr="00BD6BC6">
        <w:t xml:space="preserve">decides to progress to an </w:t>
      </w:r>
      <w:r w:rsidR="00E30897" w:rsidRPr="00BD6BC6">
        <w:t>investigation</w:t>
      </w:r>
      <w:r w:rsidRPr="00BD6BC6">
        <w:t xml:space="preserve"> of the dispute it </w:t>
      </w:r>
      <w:r w:rsidR="0009465A" w:rsidRPr="00BD6BC6">
        <w:t xml:space="preserve">must </w:t>
      </w:r>
      <w:r w:rsidRPr="00BD6BC6">
        <w:t xml:space="preserve">provide </w:t>
      </w:r>
      <w:r w:rsidR="0009465A" w:rsidRPr="00BD6BC6">
        <w:t xml:space="preserve">the </w:t>
      </w:r>
      <w:r w:rsidR="00C10ABD" w:rsidRPr="00BD6BC6">
        <w:t>h</w:t>
      </w:r>
      <w:r w:rsidR="0009465A" w:rsidRPr="00BD6BC6">
        <w:t xml:space="preserve">ealth </w:t>
      </w:r>
      <w:r w:rsidR="00C10ABD" w:rsidRPr="00BD6BC6">
        <w:t>m</w:t>
      </w:r>
      <w:r w:rsidR="0009465A" w:rsidRPr="00BD6BC6">
        <w:t xml:space="preserve">inister of the </w:t>
      </w:r>
      <w:r w:rsidR="0063248D" w:rsidRPr="00BD6BC6">
        <w:t xml:space="preserve">respondent </w:t>
      </w:r>
      <w:r w:rsidR="0009465A" w:rsidRPr="00BD6BC6">
        <w:t>jurisdiction (in writing):</w:t>
      </w:r>
    </w:p>
    <w:p w14:paraId="53A3160D" w14:textId="0F0EDA98" w:rsidR="00813744" w:rsidRPr="00BD6BC6" w:rsidRDefault="0009465A">
      <w:pPr>
        <w:pStyle w:val="ListParagraph"/>
        <w:rPr>
          <w:sz w:val="22"/>
          <w:szCs w:val="22"/>
        </w:rPr>
      </w:pPr>
      <w:r w:rsidRPr="00BD6BC6">
        <w:rPr>
          <w:sz w:val="22"/>
          <w:szCs w:val="22"/>
        </w:rPr>
        <w:t>notice of the request</w:t>
      </w:r>
      <w:r w:rsidR="00813744" w:rsidRPr="00BD6BC6">
        <w:rPr>
          <w:sz w:val="22"/>
          <w:szCs w:val="22"/>
        </w:rPr>
        <w:t xml:space="preserve">, including </w:t>
      </w:r>
      <w:r w:rsidR="000C0F9F" w:rsidRPr="00BD6BC6">
        <w:rPr>
          <w:sz w:val="22"/>
          <w:szCs w:val="22"/>
        </w:rPr>
        <w:t xml:space="preserve">a </w:t>
      </w:r>
      <w:r w:rsidR="00813744" w:rsidRPr="00BD6BC6">
        <w:rPr>
          <w:sz w:val="22"/>
          <w:szCs w:val="22"/>
        </w:rPr>
        <w:t xml:space="preserve">copy of </w:t>
      </w:r>
      <w:r w:rsidR="000C0F9F" w:rsidRPr="00BD6BC6">
        <w:rPr>
          <w:sz w:val="22"/>
          <w:szCs w:val="22"/>
        </w:rPr>
        <w:t>the application</w:t>
      </w:r>
      <w:r w:rsidR="00E44738">
        <w:rPr>
          <w:sz w:val="22"/>
          <w:szCs w:val="22"/>
        </w:rPr>
        <w:t xml:space="preserve"> </w:t>
      </w:r>
      <w:r w:rsidR="00A75EBE">
        <w:rPr>
          <w:sz w:val="22"/>
          <w:szCs w:val="22"/>
        </w:rPr>
        <w:t>for an assessment</w:t>
      </w:r>
      <w:r w:rsidR="00B33843">
        <w:rPr>
          <w:sz w:val="22"/>
          <w:szCs w:val="22"/>
        </w:rPr>
        <w:t>; and</w:t>
      </w:r>
    </w:p>
    <w:p w14:paraId="24856C22" w14:textId="5664C656" w:rsidR="00C63184" w:rsidRPr="003D2F9E" w:rsidRDefault="0009465A" w:rsidP="006D55BD">
      <w:pPr>
        <w:pStyle w:val="ListParagraph"/>
        <w:rPr>
          <w:sz w:val="22"/>
          <w:szCs w:val="22"/>
        </w:rPr>
      </w:pPr>
      <w:r w:rsidRPr="00BD6BC6">
        <w:rPr>
          <w:sz w:val="22"/>
          <w:szCs w:val="22"/>
        </w:rPr>
        <w:lastRenderedPageBreak/>
        <w:t xml:space="preserve">an invitation to make a written submission about the dispute within 60 days </w:t>
      </w:r>
      <w:r w:rsidR="00813744" w:rsidRPr="00BD6BC6">
        <w:rPr>
          <w:sz w:val="22"/>
          <w:szCs w:val="22"/>
        </w:rPr>
        <w:t xml:space="preserve">of </w:t>
      </w:r>
      <w:r w:rsidRPr="00BD6BC6">
        <w:rPr>
          <w:sz w:val="22"/>
          <w:szCs w:val="22"/>
        </w:rPr>
        <w:t>receiving the invitation.</w:t>
      </w:r>
    </w:p>
    <w:p w14:paraId="1C9F18CD" w14:textId="134248EF" w:rsidR="0009465A" w:rsidRPr="00BD6BC6" w:rsidRDefault="0009465A" w:rsidP="00E96CCA">
      <w:pPr>
        <w:pStyle w:val="Heading4"/>
      </w:pPr>
      <w:r w:rsidRPr="00BD6BC6">
        <w:t xml:space="preserve">(2c) The </w:t>
      </w:r>
      <w:r w:rsidR="0063248D" w:rsidRPr="00BD6BC6">
        <w:t xml:space="preserve">respondent </w:t>
      </w:r>
      <w:r w:rsidRPr="00BD6BC6">
        <w:t>jurisdiction makes a written submission to IHPA about the dispute within 60 days</w:t>
      </w:r>
    </w:p>
    <w:p w14:paraId="4135F60E" w14:textId="01CEC281" w:rsidR="0029573D" w:rsidRPr="00BD6BC6" w:rsidRDefault="0029573D" w:rsidP="006D55BD">
      <w:r w:rsidRPr="00BD6BC6">
        <w:t xml:space="preserve">If the </w:t>
      </w:r>
      <w:r w:rsidR="0063248D" w:rsidRPr="00BD6BC6">
        <w:t xml:space="preserve">respondent </w:t>
      </w:r>
      <w:r w:rsidRPr="00BD6BC6">
        <w:t>jurisdiction declines the invitation to provide a written submission</w:t>
      </w:r>
      <w:r w:rsidR="00E21E97" w:rsidRPr="00BD6BC6">
        <w:t>,</w:t>
      </w:r>
      <w:r w:rsidRPr="00BD6BC6">
        <w:t xml:space="preserve"> </w:t>
      </w:r>
      <w:r w:rsidR="00C63184" w:rsidRPr="00BD6BC6">
        <w:t xml:space="preserve">it </w:t>
      </w:r>
      <w:r w:rsidRPr="00BD6BC6">
        <w:t xml:space="preserve">must </w:t>
      </w:r>
      <w:r w:rsidR="00044508" w:rsidRPr="00BD6BC6">
        <w:t xml:space="preserve">do so </w:t>
      </w:r>
      <w:r w:rsidRPr="00BD6BC6">
        <w:t>in writing.</w:t>
      </w:r>
    </w:p>
    <w:p w14:paraId="4E2D404A" w14:textId="7F4812A2" w:rsidR="00E435AC" w:rsidRPr="00BD6BC6" w:rsidRDefault="00107908" w:rsidP="006D55BD">
      <w:r w:rsidRPr="00BD6BC6">
        <w:t>I</w:t>
      </w:r>
      <w:r w:rsidR="0009465A" w:rsidRPr="00BD6BC6">
        <w:t xml:space="preserve">f the </w:t>
      </w:r>
      <w:r w:rsidR="0063248D" w:rsidRPr="00BD6BC6">
        <w:t xml:space="preserve">respondent </w:t>
      </w:r>
      <w:r w:rsidR="0009465A" w:rsidRPr="00BD6BC6">
        <w:t xml:space="preserve">jurisdiction is unable to provide a written submission within 60 days, </w:t>
      </w:r>
      <w:r w:rsidR="00E435AC" w:rsidRPr="00BD6BC6">
        <w:t xml:space="preserve">they may seek an extension to make a submission. Extensions are </w:t>
      </w:r>
      <w:r w:rsidRPr="00BD6BC6">
        <w:t xml:space="preserve">provided </w:t>
      </w:r>
      <w:r w:rsidR="00B17C9E" w:rsidRPr="00BD6BC6">
        <w:t>at</w:t>
      </w:r>
      <w:r w:rsidR="00E435AC" w:rsidRPr="00BD6BC6">
        <w:t xml:space="preserve"> IHPA</w:t>
      </w:r>
      <w:r w:rsidR="00B17C9E" w:rsidRPr="00BD6BC6">
        <w:t xml:space="preserve">’s </w:t>
      </w:r>
      <w:r w:rsidR="00E435AC" w:rsidRPr="00BD6BC6">
        <w:t>discretion. The period of any extension will be as short as is reasonably appropriate in the circumstances.</w:t>
      </w:r>
    </w:p>
    <w:p w14:paraId="3908427B" w14:textId="7319AD07" w:rsidR="0009465A" w:rsidRPr="00BD6BC6" w:rsidRDefault="00E435AC" w:rsidP="003D2F9E">
      <w:pPr>
        <w:keepLines/>
      </w:pPr>
      <w:r w:rsidRPr="00BD6BC6">
        <w:t>A</w:t>
      </w:r>
      <w:r w:rsidR="0009465A" w:rsidRPr="00BD6BC6">
        <w:t xml:space="preserve"> request for an extension should be made </w:t>
      </w:r>
      <w:r w:rsidR="00642E18" w:rsidRPr="00BD6BC6">
        <w:t xml:space="preserve">in writing </w:t>
      </w:r>
      <w:r w:rsidR="0009465A" w:rsidRPr="00BD6BC6">
        <w:t xml:space="preserve">and </w:t>
      </w:r>
      <w:r w:rsidR="00642E18" w:rsidRPr="00BD6BC6">
        <w:t xml:space="preserve">include reasons for </w:t>
      </w:r>
      <w:r w:rsidRPr="00BD6BC6">
        <w:t>seeking such an</w:t>
      </w:r>
      <w:r w:rsidR="00642E18" w:rsidRPr="00BD6BC6">
        <w:t xml:space="preserve"> extension</w:t>
      </w:r>
      <w:r w:rsidR="0009465A" w:rsidRPr="00BD6BC6">
        <w:t xml:space="preserve">. IHPA will consult with the </w:t>
      </w:r>
      <w:r w:rsidR="00C10ABD" w:rsidRPr="00BD6BC6">
        <w:t>h</w:t>
      </w:r>
      <w:r w:rsidR="0009465A" w:rsidRPr="00BD6BC6">
        <w:t xml:space="preserve">ealth </w:t>
      </w:r>
      <w:r w:rsidR="00C10ABD" w:rsidRPr="00BD6BC6">
        <w:t>m</w:t>
      </w:r>
      <w:r w:rsidR="0009465A" w:rsidRPr="00BD6BC6">
        <w:t xml:space="preserve">inister of the </w:t>
      </w:r>
      <w:r w:rsidR="00E44738">
        <w:t>applicant</w:t>
      </w:r>
      <w:r w:rsidR="0009465A" w:rsidRPr="00BD6BC6">
        <w:t xml:space="preserve"> jurisdiction when </w:t>
      </w:r>
      <w:r w:rsidRPr="00BD6BC6">
        <w:t xml:space="preserve">deciding </w:t>
      </w:r>
      <w:r w:rsidR="0009465A" w:rsidRPr="00BD6BC6">
        <w:t>on the request for extension</w:t>
      </w:r>
      <w:r w:rsidR="00044508" w:rsidRPr="00BD6BC6">
        <w:t xml:space="preserve"> and in relation to the proposed length of said extension</w:t>
      </w:r>
      <w:r w:rsidR="0009465A" w:rsidRPr="00BD6BC6">
        <w:t>. In making its decision on the request for an extension</w:t>
      </w:r>
      <w:r w:rsidR="00EA5C79" w:rsidRPr="00BD6BC6">
        <w:t xml:space="preserve">, </w:t>
      </w:r>
      <w:r w:rsidR="0009465A" w:rsidRPr="00BD6BC6">
        <w:t xml:space="preserve">IHPA will </w:t>
      </w:r>
      <w:r w:rsidR="000A6E48" w:rsidRPr="00BD6BC6">
        <w:t>take into account</w:t>
      </w:r>
      <w:r w:rsidR="0009465A" w:rsidRPr="00BD6BC6">
        <w:t>:</w:t>
      </w:r>
    </w:p>
    <w:p w14:paraId="0CEB3C3B" w14:textId="0AFFDA80" w:rsidR="0009465A" w:rsidRPr="00BD6BC6" w:rsidRDefault="0009465A">
      <w:pPr>
        <w:pStyle w:val="ListParagraph"/>
        <w:rPr>
          <w:sz w:val="22"/>
          <w:szCs w:val="22"/>
        </w:rPr>
      </w:pPr>
      <w:r w:rsidRPr="00BD6BC6">
        <w:rPr>
          <w:sz w:val="22"/>
          <w:szCs w:val="22"/>
        </w:rPr>
        <w:t xml:space="preserve">the reasons given by the </w:t>
      </w:r>
      <w:r w:rsidR="0063248D" w:rsidRPr="00BD6BC6">
        <w:rPr>
          <w:sz w:val="22"/>
          <w:szCs w:val="22"/>
        </w:rPr>
        <w:t xml:space="preserve">respondent </w:t>
      </w:r>
      <w:r w:rsidRPr="00BD6BC6">
        <w:rPr>
          <w:sz w:val="22"/>
          <w:szCs w:val="22"/>
        </w:rPr>
        <w:t>jurisdiction</w:t>
      </w:r>
      <w:r w:rsidR="00EA5C79" w:rsidRPr="00BD6BC6">
        <w:rPr>
          <w:sz w:val="22"/>
          <w:szCs w:val="22"/>
        </w:rPr>
        <w:t>, including whether the extension is requested because of circumstances outside of their control (for example, delays in obtaining information from third parties needed to prepare the submission)</w:t>
      </w:r>
    </w:p>
    <w:p w14:paraId="37726B37" w14:textId="66863928" w:rsidR="0009465A" w:rsidRPr="00BD6BC6" w:rsidRDefault="00630593">
      <w:pPr>
        <w:pStyle w:val="ListParagraph"/>
        <w:rPr>
          <w:sz w:val="22"/>
          <w:szCs w:val="22"/>
        </w:rPr>
      </w:pPr>
      <w:r w:rsidRPr="00BD6BC6">
        <w:rPr>
          <w:sz w:val="22"/>
          <w:szCs w:val="22"/>
        </w:rPr>
        <w:t xml:space="preserve">the </w:t>
      </w:r>
      <w:r w:rsidR="0009465A" w:rsidRPr="00BD6BC6">
        <w:rPr>
          <w:sz w:val="22"/>
          <w:szCs w:val="22"/>
        </w:rPr>
        <w:t>level of detail provided to enable IHPA to understand the basis of the request</w:t>
      </w:r>
    </w:p>
    <w:p w14:paraId="3B87F745" w14:textId="146E078A" w:rsidR="0009465A" w:rsidRPr="00BD6BC6" w:rsidRDefault="0009465A">
      <w:pPr>
        <w:pStyle w:val="ListParagraph"/>
        <w:rPr>
          <w:sz w:val="22"/>
          <w:szCs w:val="22"/>
        </w:rPr>
      </w:pPr>
      <w:r w:rsidRPr="00BD6BC6">
        <w:rPr>
          <w:sz w:val="22"/>
          <w:szCs w:val="22"/>
        </w:rPr>
        <w:t xml:space="preserve">the terms of the submission received from the </w:t>
      </w:r>
      <w:r w:rsidR="004E3E99" w:rsidRPr="00BD6BC6">
        <w:rPr>
          <w:sz w:val="22"/>
          <w:szCs w:val="22"/>
        </w:rPr>
        <w:t xml:space="preserve">applicant </w:t>
      </w:r>
      <w:r w:rsidRPr="00BD6BC6">
        <w:rPr>
          <w:sz w:val="22"/>
          <w:szCs w:val="22"/>
        </w:rPr>
        <w:t>jurisdiction</w:t>
      </w:r>
    </w:p>
    <w:p w14:paraId="6A25E72F" w14:textId="48551CC1" w:rsidR="0009465A" w:rsidRPr="00BD6BC6" w:rsidRDefault="0009465A">
      <w:pPr>
        <w:pStyle w:val="ListParagraph"/>
        <w:rPr>
          <w:sz w:val="22"/>
          <w:szCs w:val="22"/>
        </w:rPr>
      </w:pPr>
      <w:r w:rsidRPr="00BD6BC6">
        <w:rPr>
          <w:sz w:val="22"/>
          <w:szCs w:val="22"/>
        </w:rPr>
        <w:t>what is fair and reasonable to both parties in the circumstances of the particular case</w:t>
      </w:r>
    </w:p>
    <w:p w14:paraId="4B22DD1A" w14:textId="77777777" w:rsidR="0009465A" w:rsidRPr="00BD6BC6" w:rsidRDefault="0009465A">
      <w:pPr>
        <w:pStyle w:val="ListParagraph"/>
        <w:rPr>
          <w:sz w:val="22"/>
          <w:szCs w:val="22"/>
        </w:rPr>
      </w:pPr>
      <w:r w:rsidRPr="00BD6BC6">
        <w:rPr>
          <w:sz w:val="22"/>
          <w:szCs w:val="22"/>
        </w:rPr>
        <w:t>any other matters IHPA considers relevant.</w:t>
      </w:r>
    </w:p>
    <w:p w14:paraId="1388FEEC" w14:textId="50CB41F9" w:rsidR="0009465A" w:rsidRPr="00BD6BC6" w:rsidRDefault="0009465A" w:rsidP="006D55BD">
      <w:r w:rsidRPr="00BD6BC6">
        <w:t xml:space="preserve">Where IHPA decides to grant an extension of time, a copy of the letter advising the </w:t>
      </w:r>
      <w:r w:rsidR="0063248D" w:rsidRPr="00BD6BC6">
        <w:t xml:space="preserve">respondent </w:t>
      </w:r>
      <w:r w:rsidRPr="00BD6BC6">
        <w:t xml:space="preserve">jurisdiction of the extended timeframe will </w:t>
      </w:r>
      <w:r w:rsidR="00044508" w:rsidRPr="00BD6BC6">
        <w:t xml:space="preserve">also </w:t>
      </w:r>
      <w:r w:rsidRPr="00BD6BC6">
        <w:t xml:space="preserve">be provided to the </w:t>
      </w:r>
      <w:r w:rsidR="004E3E99" w:rsidRPr="00BD6BC6">
        <w:t xml:space="preserve">applicant </w:t>
      </w:r>
      <w:r w:rsidRPr="00BD6BC6">
        <w:t>jurisdiction.</w:t>
      </w:r>
    </w:p>
    <w:p w14:paraId="09A85A5C" w14:textId="399268B9" w:rsidR="0001600C" w:rsidRPr="00BD6BC6" w:rsidRDefault="0001600C" w:rsidP="006D55BD">
      <w:r w:rsidRPr="00BD6BC6">
        <w:t xml:space="preserve">If IHPA does not receive a written submission, </w:t>
      </w:r>
      <w:r w:rsidR="005A4023" w:rsidRPr="00BD6BC6">
        <w:t xml:space="preserve">a </w:t>
      </w:r>
      <w:r w:rsidRPr="00BD6BC6">
        <w:t>request for extension</w:t>
      </w:r>
      <w:r w:rsidR="005A4023" w:rsidRPr="00BD6BC6">
        <w:t>,</w:t>
      </w:r>
      <w:r w:rsidRPr="00BD6BC6">
        <w:t xml:space="preserve"> or</w:t>
      </w:r>
      <w:r w:rsidR="005A4023" w:rsidRPr="00BD6BC6">
        <w:t xml:space="preserve"> a</w:t>
      </w:r>
      <w:r w:rsidRPr="00BD6BC6">
        <w:t xml:space="preserve"> letter advising the </w:t>
      </w:r>
      <w:r w:rsidR="0063248D" w:rsidRPr="00BD6BC6">
        <w:t xml:space="preserve">respondent </w:t>
      </w:r>
      <w:r w:rsidRPr="00BD6BC6">
        <w:t xml:space="preserve">jurisdiction will not be providing a response within 60 days, </w:t>
      </w:r>
      <w:r w:rsidR="005A4023" w:rsidRPr="00BD6BC6">
        <w:t>it</w:t>
      </w:r>
      <w:r w:rsidRPr="00BD6BC6">
        <w:t xml:space="preserve"> will continue to exercise its functions under </w:t>
      </w:r>
      <w:r w:rsidR="004E2C29" w:rsidRPr="00BD6BC6">
        <w:t>p</w:t>
      </w:r>
      <w:r w:rsidRPr="00BD6BC6">
        <w:t>art 4.3 of the Act.</w:t>
      </w:r>
    </w:p>
    <w:p w14:paraId="1A9F3EDC" w14:textId="60907615" w:rsidR="0009465A" w:rsidRPr="00BD6BC6" w:rsidRDefault="0009465A" w:rsidP="00E96CCA">
      <w:pPr>
        <w:pStyle w:val="Heading4"/>
      </w:pPr>
      <w:r w:rsidRPr="00BD6BC6">
        <w:t xml:space="preserve">(2d) IHPA provides a copy of any written response received from the </w:t>
      </w:r>
      <w:r w:rsidR="0063248D" w:rsidRPr="00BD6BC6">
        <w:t xml:space="preserve">respondent </w:t>
      </w:r>
      <w:r w:rsidRPr="00BD6BC6">
        <w:t xml:space="preserve">jurisdiction to the </w:t>
      </w:r>
      <w:r w:rsidR="004E3E99" w:rsidRPr="00BD6BC6">
        <w:t xml:space="preserve">applicant </w:t>
      </w:r>
      <w:r w:rsidRPr="00BD6BC6">
        <w:t>jurisdiction</w:t>
      </w:r>
    </w:p>
    <w:p w14:paraId="6A3B43AE" w14:textId="362922C7" w:rsidR="0009465A" w:rsidRPr="00BD6BC6" w:rsidRDefault="005A72E7" w:rsidP="006D55BD">
      <w:r>
        <w:t>If</w:t>
      </w:r>
      <w:r w:rsidR="003C327B">
        <w:t xml:space="preserve"> </w:t>
      </w:r>
      <w:r w:rsidR="0009465A" w:rsidRPr="00BD6BC6">
        <w:t xml:space="preserve">IHPA receives a written submission from the </w:t>
      </w:r>
      <w:r w:rsidR="0063248D" w:rsidRPr="00BD6BC6">
        <w:t xml:space="preserve">respondent </w:t>
      </w:r>
      <w:r w:rsidR="0009465A" w:rsidRPr="00BD6BC6">
        <w:t>jurisdiction about the dispute</w:t>
      </w:r>
      <w:r w:rsidR="003C327B">
        <w:t xml:space="preserve"> </w:t>
      </w:r>
      <w:r>
        <w:t xml:space="preserve">within </w:t>
      </w:r>
      <w:r w:rsidRPr="005A72E7">
        <w:t>60</w:t>
      </w:r>
      <w:r>
        <w:t> </w:t>
      </w:r>
      <w:r w:rsidRPr="005A72E7">
        <w:t>days</w:t>
      </w:r>
      <w:r>
        <w:t xml:space="preserve"> after receiving the invitation, IHPA w</w:t>
      </w:r>
      <w:r w:rsidR="0009465A" w:rsidRPr="00BD6BC6">
        <w:t xml:space="preserve">ill provide a copy of the response to the </w:t>
      </w:r>
      <w:r w:rsidR="004E3E99" w:rsidRPr="00BD6BC6">
        <w:t xml:space="preserve">applicant </w:t>
      </w:r>
      <w:r w:rsidR="0009465A" w:rsidRPr="00BD6BC6">
        <w:t>jurisdiction.</w:t>
      </w:r>
    </w:p>
    <w:p w14:paraId="7EA0482B" w14:textId="77777777" w:rsidR="00A1614A" w:rsidRPr="00BD6BC6" w:rsidRDefault="00A1614A" w:rsidP="00A36C90">
      <w:pPr>
        <w:pStyle w:val="Heading3"/>
      </w:pPr>
      <w:bookmarkStart w:id="182" w:name="_Toc507599188"/>
      <w:bookmarkStart w:id="183" w:name="_Toc507611951"/>
      <w:bookmarkStart w:id="184" w:name="_Toc507612167"/>
      <w:bookmarkStart w:id="185" w:name="_Toc507612250"/>
      <w:bookmarkStart w:id="186" w:name="_Toc2862856"/>
      <w:bookmarkStart w:id="187" w:name="_Toc11232081"/>
      <w:bookmarkStart w:id="188" w:name="_Toc58480948"/>
      <w:bookmarkStart w:id="189" w:name="_Toc58845986"/>
      <w:bookmarkStart w:id="190" w:name="_Toc58846345"/>
      <w:bookmarkStart w:id="191" w:name="_Toc61873527"/>
      <w:bookmarkStart w:id="192" w:name="_Toc61873741"/>
      <w:bookmarkStart w:id="193" w:name="_Toc61950897"/>
      <w:bookmarkStart w:id="194" w:name="_Toc91157724"/>
      <w:r w:rsidRPr="00BD6BC6">
        <w:t>Stage 3: Investigation</w:t>
      </w:r>
      <w:bookmarkEnd w:id="182"/>
      <w:bookmarkEnd w:id="183"/>
      <w:bookmarkEnd w:id="184"/>
      <w:bookmarkEnd w:id="185"/>
      <w:bookmarkEnd w:id="186"/>
      <w:bookmarkEnd w:id="187"/>
      <w:bookmarkEnd w:id="188"/>
      <w:bookmarkEnd w:id="189"/>
      <w:bookmarkEnd w:id="190"/>
      <w:bookmarkEnd w:id="191"/>
      <w:bookmarkEnd w:id="192"/>
      <w:bookmarkEnd w:id="193"/>
      <w:bookmarkEnd w:id="194"/>
    </w:p>
    <w:p w14:paraId="65FD9148" w14:textId="11F9A9CA" w:rsidR="00A1614A" w:rsidRPr="00BD6BC6" w:rsidRDefault="00A1614A" w:rsidP="00E96CCA">
      <w:pPr>
        <w:pStyle w:val="Heading4"/>
      </w:pPr>
      <w:r w:rsidRPr="00BD6BC6">
        <w:t xml:space="preserve">(3a) IHPA </w:t>
      </w:r>
      <w:r w:rsidR="00E30897" w:rsidRPr="00BD6BC6">
        <w:t>i</w:t>
      </w:r>
      <w:r w:rsidRPr="00BD6BC6">
        <w:t>nvestigat</w:t>
      </w:r>
      <w:r w:rsidR="00092E75" w:rsidRPr="00BD6BC6">
        <w:t>es</w:t>
      </w:r>
      <w:r w:rsidRPr="00BD6BC6">
        <w:t xml:space="preserve"> the dispute</w:t>
      </w:r>
    </w:p>
    <w:p w14:paraId="4BBB5424" w14:textId="6CAA71F3" w:rsidR="00A1614A" w:rsidRPr="00BD6BC6" w:rsidRDefault="00A1614A" w:rsidP="006D55BD">
      <w:r w:rsidRPr="00BD6BC6">
        <w:t>In undertaking the investigation, IHPA will assess the submissions received from the jurisdictions</w:t>
      </w:r>
      <w:r w:rsidR="00612325">
        <w:t xml:space="preserve"> party to the </w:t>
      </w:r>
      <w:r w:rsidR="00D9677C">
        <w:t>dispute</w:t>
      </w:r>
      <w:r w:rsidR="00D07D2F" w:rsidRPr="00BD6BC6">
        <w:t>.</w:t>
      </w:r>
      <w:r w:rsidRPr="00BD6BC6">
        <w:t xml:space="preserve"> </w:t>
      </w:r>
    </w:p>
    <w:p w14:paraId="6C97D2E0" w14:textId="0EB26936" w:rsidR="00A1614A" w:rsidRPr="00BD6BC6" w:rsidRDefault="00A1614A" w:rsidP="00E96CCA">
      <w:pPr>
        <w:pStyle w:val="Heading4"/>
      </w:pPr>
      <w:r w:rsidRPr="00BD6BC6">
        <w:t>(3b) IHPA requests additional information to assist the investigation (as required)</w:t>
      </w:r>
    </w:p>
    <w:p w14:paraId="1781C780" w14:textId="15A110E7" w:rsidR="00A1614A" w:rsidRPr="00BD6BC6" w:rsidRDefault="00A1614A" w:rsidP="006D55BD">
      <w:r w:rsidRPr="00BD6BC6">
        <w:t>Where required and appropriate, IHPA will:</w:t>
      </w:r>
    </w:p>
    <w:p w14:paraId="68CF312B" w14:textId="4885DB89" w:rsidR="00A1614A" w:rsidRPr="00BD6BC6" w:rsidRDefault="00A1614A" w:rsidP="00593CE6">
      <w:pPr>
        <w:pStyle w:val="ListParagraph"/>
        <w:numPr>
          <w:ilvl w:val="0"/>
          <w:numId w:val="16"/>
        </w:numPr>
        <w:rPr>
          <w:sz w:val="22"/>
          <w:szCs w:val="22"/>
        </w:rPr>
      </w:pPr>
      <w:r w:rsidRPr="00BD6BC6">
        <w:rPr>
          <w:sz w:val="22"/>
          <w:szCs w:val="22"/>
        </w:rPr>
        <w:t>request additional evidence from jurisdictions (</w:t>
      </w:r>
      <w:r w:rsidR="00612325">
        <w:rPr>
          <w:sz w:val="22"/>
          <w:szCs w:val="22"/>
        </w:rPr>
        <w:t>for example,</w:t>
      </w:r>
      <w:r w:rsidRPr="00BD6BC6">
        <w:rPr>
          <w:sz w:val="22"/>
          <w:szCs w:val="22"/>
        </w:rPr>
        <w:t xml:space="preserve"> data, information, agreements) to clarify conflicting views, facts and other ambiguities in the investigation process</w:t>
      </w:r>
    </w:p>
    <w:p w14:paraId="6F9E3D3F" w14:textId="1BE550F8" w:rsidR="00A1614A" w:rsidRPr="00BD6BC6" w:rsidRDefault="00A1614A" w:rsidP="00593CE6">
      <w:pPr>
        <w:pStyle w:val="ListParagraph"/>
        <w:numPr>
          <w:ilvl w:val="0"/>
          <w:numId w:val="16"/>
        </w:numPr>
        <w:rPr>
          <w:sz w:val="22"/>
          <w:szCs w:val="22"/>
        </w:rPr>
      </w:pPr>
      <w:r w:rsidRPr="00BD6BC6">
        <w:rPr>
          <w:sz w:val="22"/>
          <w:szCs w:val="22"/>
        </w:rPr>
        <w:t xml:space="preserve">consult further with affected jurisdictions </w:t>
      </w:r>
    </w:p>
    <w:p w14:paraId="24A0990B" w14:textId="6CA79A33" w:rsidR="00A1614A" w:rsidRPr="00BD6BC6" w:rsidRDefault="00A1614A" w:rsidP="00593CE6">
      <w:pPr>
        <w:pStyle w:val="ListParagraph"/>
        <w:numPr>
          <w:ilvl w:val="0"/>
          <w:numId w:val="16"/>
        </w:numPr>
        <w:rPr>
          <w:sz w:val="22"/>
          <w:szCs w:val="22"/>
        </w:rPr>
      </w:pPr>
      <w:r w:rsidRPr="00BD6BC6">
        <w:rPr>
          <w:sz w:val="22"/>
          <w:szCs w:val="22"/>
        </w:rPr>
        <w:t>seek expert input</w:t>
      </w:r>
      <w:r w:rsidR="008F61D9">
        <w:rPr>
          <w:sz w:val="22"/>
          <w:szCs w:val="22"/>
        </w:rPr>
        <w:t xml:space="preserve"> or </w:t>
      </w:r>
      <w:r w:rsidRPr="00BD6BC6">
        <w:rPr>
          <w:sz w:val="22"/>
          <w:szCs w:val="22"/>
        </w:rPr>
        <w:t>advice.</w:t>
      </w:r>
    </w:p>
    <w:p w14:paraId="401BF7EA" w14:textId="77652047" w:rsidR="00A1614A" w:rsidRPr="00BD6BC6" w:rsidRDefault="00A1614A" w:rsidP="006D55BD">
      <w:r w:rsidRPr="00BD6BC6">
        <w:lastRenderedPageBreak/>
        <w:t xml:space="preserve">To support the timeliness of the investigation, </w:t>
      </w:r>
      <w:r w:rsidR="00A97EE6" w:rsidRPr="00BD6BC6">
        <w:t xml:space="preserve">jurisdictions should provide </w:t>
      </w:r>
      <w:r w:rsidRPr="00BD6BC6">
        <w:t xml:space="preserve">additional information within 30 days </w:t>
      </w:r>
      <w:r w:rsidR="00A97EE6" w:rsidRPr="00BD6BC6">
        <w:t xml:space="preserve">of </w:t>
      </w:r>
      <w:r w:rsidRPr="00BD6BC6">
        <w:t xml:space="preserve">receiving </w:t>
      </w:r>
      <w:r w:rsidR="00E44738">
        <w:t>any</w:t>
      </w:r>
      <w:r w:rsidR="00E44738" w:rsidRPr="00BD6BC6">
        <w:t xml:space="preserve"> </w:t>
      </w:r>
      <w:r w:rsidRPr="00BD6BC6">
        <w:t>written request.</w:t>
      </w:r>
    </w:p>
    <w:p w14:paraId="5AC13D1A" w14:textId="77777777" w:rsidR="00A1614A" w:rsidRPr="00BD6BC6" w:rsidRDefault="00A1614A" w:rsidP="00A36C90">
      <w:pPr>
        <w:pStyle w:val="Heading3"/>
      </w:pPr>
      <w:bookmarkStart w:id="195" w:name="_Toc507599189"/>
      <w:bookmarkStart w:id="196" w:name="_Toc507611952"/>
      <w:bookmarkStart w:id="197" w:name="_Toc507612168"/>
      <w:bookmarkStart w:id="198" w:name="_Toc507612251"/>
      <w:bookmarkStart w:id="199" w:name="_Toc2862857"/>
      <w:bookmarkStart w:id="200" w:name="_Toc11232082"/>
      <w:bookmarkStart w:id="201" w:name="_Toc58480949"/>
      <w:bookmarkStart w:id="202" w:name="_Toc58845988"/>
      <w:bookmarkStart w:id="203" w:name="_Toc58846347"/>
      <w:bookmarkStart w:id="204" w:name="_Toc61873528"/>
      <w:bookmarkStart w:id="205" w:name="_Toc61873742"/>
      <w:bookmarkStart w:id="206" w:name="_Toc61950898"/>
      <w:bookmarkStart w:id="207" w:name="_Toc91157725"/>
      <w:r w:rsidRPr="00BD6BC6">
        <w:t>Stage 4: Draft assessment</w:t>
      </w:r>
      <w:bookmarkEnd w:id="195"/>
      <w:bookmarkEnd w:id="196"/>
      <w:bookmarkEnd w:id="197"/>
      <w:bookmarkEnd w:id="198"/>
      <w:bookmarkEnd w:id="199"/>
      <w:bookmarkEnd w:id="200"/>
      <w:bookmarkEnd w:id="201"/>
      <w:bookmarkEnd w:id="202"/>
      <w:bookmarkEnd w:id="203"/>
      <w:bookmarkEnd w:id="204"/>
      <w:bookmarkEnd w:id="205"/>
      <w:bookmarkEnd w:id="206"/>
      <w:bookmarkEnd w:id="207"/>
      <w:r w:rsidRPr="00BD6BC6">
        <w:t xml:space="preserve"> </w:t>
      </w:r>
    </w:p>
    <w:p w14:paraId="4251E583" w14:textId="625D3142" w:rsidR="00A1614A" w:rsidRPr="0080016E" w:rsidRDefault="00A1614A" w:rsidP="00A1614A">
      <w:pPr>
        <w:spacing w:before="240"/>
        <w:ind w:right="-188"/>
        <w:rPr>
          <w:rFonts w:cs="Arial"/>
          <w:b/>
        </w:rPr>
      </w:pPr>
      <w:r w:rsidRPr="0080016E">
        <w:rPr>
          <w:rFonts w:cs="Arial"/>
          <w:b/>
        </w:rPr>
        <w:t xml:space="preserve">(4a) IHPA </w:t>
      </w:r>
      <w:r w:rsidR="0057690C">
        <w:rPr>
          <w:rFonts w:cs="Arial"/>
          <w:b/>
        </w:rPr>
        <w:t>prepares the draft</w:t>
      </w:r>
      <w:r w:rsidRPr="0080016E">
        <w:rPr>
          <w:rFonts w:cs="Arial"/>
          <w:b/>
        </w:rPr>
        <w:t xml:space="preserve"> assessment and provides </w:t>
      </w:r>
      <w:r w:rsidR="00944A9A" w:rsidRPr="0080016E">
        <w:rPr>
          <w:rFonts w:cs="Arial"/>
          <w:b/>
        </w:rPr>
        <w:t xml:space="preserve">it </w:t>
      </w:r>
      <w:r w:rsidR="008F61D9" w:rsidRPr="0080016E">
        <w:rPr>
          <w:rFonts w:cs="Arial"/>
          <w:b/>
        </w:rPr>
        <w:t xml:space="preserve">to the </w:t>
      </w:r>
      <w:r w:rsidR="00C10ABD" w:rsidRPr="0080016E">
        <w:rPr>
          <w:rFonts w:cs="Arial"/>
          <w:b/>
        </w:rPr>
        <w:t>h</w:t>
      </w:r>
      <w:r w:rsidRPr="0080016E">
        <w:rPr>
          <w:rFonts w:cs="Arial"/>
          <w:b/>
        </w:rPr>
        <w:t xml:space="preserve">ealth </w:t>
      </w:r>
      <w:r w:rsidR="00C10ABD" w:rsidRPr="0080016E">
        <w:rPr>
          <w:rFonts w:cs="Arial"/>
          <w:b/>
        </w:rPr>
        <w:t>m</w:t>
      </w:r>
      <w:r w:rsidRPr="0080016E">
        <w:rPr>
          <w:rFonts w:cs="Arial"/>
          <w:b/>
        </w:rPr>
        <w:t xml:space="preserve">inisters </w:t>
      </w:r>
      <w:r w:rsidR="00944A9A" w:rsidRPr="0080016E">
        <w:rPr>
          <w:rFonts w:cs="Arial"/>
          <w:b/>
        </w:rPr>
        <w:t xml:space="preserve">of the jurisdictions party to the dispute </w:t>
      </w:r>
      <w:r w:rsidR="008F61D9" w:rsidRPr="0080016E">
        <w:rPr>
          <w:rFonts w:cs="Arial"/>
          <w:b/>
        </w:rPr>
        <w:t>for review</w:t>
      </w:r>
    </w:p>
    <w:p w14:paraId="5ADEAEFA" w14:textId="77777777" w:rsidR="00A1614A" w:rsidRPr="00BD6BC6" w:rsidRDefault="00A1614A" w:rsidP="006D55BD">
      <w:r w:rsidRPr="00BD6BC6">
        <w:t>Following the investigation, IHPA will:</w:t>
      </w:r>
    </w:p>
    <w:p w14:paraId="0C44C53E" w14:textId="77777777" w:rsidR="00542FB2" w:rsidRPr="00BD6BC6" w:rsidRDefault="00A1614A" w:rsidP="00593CE6">
      <w:pPr>
        <w:pStyle w:val="ListParagraph"/>
        <w:numPr>
          <w:ilvl w:val="0"/>
          <w:numId w:val="17"/>
        </w:numPr>
        <w:rPr>
          <w:sz w:val="22"/>
          <w:szCs w:val="22"/>
        </w:rPr>
      </w:pPr>
      <w:r w:rsidRPr="00BD6BC6">
        <w:rPr>
          <w:sz w:val="22"/>
          <w:szCs w:val="22"/>
        </w:rPr>
        <w:t xml:space="preserve">prepare a draft assessment </w:t>
      </w:r>
    </w:p>
    <w:p w14:paraId="2BEB853D" w14:textId="45A7BF85" w:rsidR="00A1614A" w:rsidRPr="00BD6BC6" w:rsidRDefault="00A1614A" w:rsidP="00593CE6">
      <w:pPr>
        <w:pStyle w:val="ListParagraph"/>
        <w:numPr>
          <w:ilvl w:val="0"/>
          <w:numId w:val="17"/>
        </w:numPr>
        <w:rPr>
          <w:sz w:val="22"/>
          <w:szCs w:val="22"/>
        </w:rPr>
      </w:pPr>
      <w:r w:rsidRPr="00BD6BC6">
        <w:rPr>
          <w:sz w:val="22"/>
          <w:szCs w:val="22"/>
        </w:rPr>
        <w:t xml:space="preserve">obtain endorsement </w:t>
      </w:r>
      <w:r w:rsidR="00542FB2" w:rsidRPr="00BD6BC6">
        <w:rPr>
          <w:sz w:val="22"/>
          <w:szCs w:val="22"/>
        </w:rPr>
        <w:t xml:space="preserve">of the draft assessment </w:t>
      </w:r>
      <w:r w:rsidRPr="00BD6BC6">
        <w:rPr>
          <w:sz w:val="22"/>
          <w:szCs w:val="22"/>
        </w:rPr>
        <w:t xml:space="preserve">by the Pricing Authority </w:t>
      </w:r>
    </w:p>
    <w:p w14:paraId="05633587" w14:textId="4F6B2E14" w:rsidR="00A1614A" w:rsidRPr="00BD6BC6" w:rsidRDefault="00A1614A" w:rsidP="00593CE6">
      <w:pPr>
        <w:pStyle w:val="ListParagraph"/>
        <w:numPr>
          <w:ilvl w:val="0"/>
          <w:numId w:val="17"/>
        </w:numPr>
        <w:rPr>
          <w:sz w:val="22"/>
          <w:szCs w:val="22"/>
        </w:rPr>
      </w:pPr>
      <w:r w:rsidRPr="00BD6BC6">
        <w:rPr>
          <w:sz w:val="22"/>
          <w:szCs w:val="22"/>
        </w:rPr>
        <w:t xml:space="preserve">provide the draft assessment to </w:t>
      </w:r>
      <w:r w:rsidR="00A97EE6" w:rsidRPr="00BD6BC6">
        <w:rPr>
          <w:sz w:val="22"/>
          <w:szCs w:val="22"/>
        </w:rPr>
        <w:t xml:space="preserve">the </w:t>
      </w:r>
      <w:r w:rsidR="00C10ABD" w:rsidRPr="00BD6BC6">
        <w:rPr>
          <w:sz w:val="22"/>
          <w:szCs w:val="22"/>
        </w:rPr>
        <w:t>h</w:t>
      </w:r>
      <w:r w:rsidRPr="00BD6BC6">
        <w:rPr>
          <w:sz w:val="22"/>
          <w:szCs w:val="22"/>
        </w:rPr>
        <w:t xml:space="preserve">ealth </w:t>
      </w:r>
      <w:r w:rsidR="00C10ABD" w:rsidRPr="00BD6BC6">
        <w:rPr>
          <w:sz w:val="22"/>
          <w:szCs w:val="22"/>
        </w:rPr>
        <w:t>m</w:t>
      </w:r>
      <w:r w:rsidRPr="00BD6BC6">
        <w:rPr>
          <w:sz w:val="22"/>
          <w:szCs w:val="22"/>
        </w:rPr>
        <w:t>inisters</w:t>
      </w:r>
      <w:r w:rsidR="00944A9A" w:rsidRPr="00BD6BC6">
        <w:rPr>
          <w:sz w:val="22"/>
          <w:szCs w:val="22"/>
        </w:rPr>
        <w:t xml:space="preserve"> of the jurisdictions party to the dispute</w:t>
      </w:r>
    </w:p>
    <w:p w14:paraId="4A0930A4" w14:textId="751B823F" w:rsidR="00A1614A" w:rsidRPr="00BD6BC6" w:rsidRDefault="00A1614A" w:rsidP="00593CE6">
      <w:pPr>
        <w:pStyle w:val="ListParagraph"/>
        <w:numPr>
          <w:ilvl w:val="0"/>
          <w:numId w:val="17"/>
        </w:numPr>
        <w:rPr>
          <w:sz w:val="22"/>
          <w:szCs w:val="22"/>
        </w:rPr>
      </w:pPr>
      <w:r w:rsidRPr="00BD6BC6">
        <w:rPr>
          <w:sz w:val="22"/>
          <w:szCs w:val="22"/>
        </w:rPr>
        <w:t xml:space="preserve">invite the </w:t>
      </w:r>
      <w:r w:rsidR="00C10ABD" w:rsidRPr="00BD6BC6">
        <w:rPr>
          <w:sz w:val="22"/>
          <w:szCs w:val="22"/>
        </w:rPr>
        <w:t>h</w:t>
      </w:r>
      <w:r w:rsidRPr="00BD6BC6">
        <w:rPr>
          <w:sz w:val="22"/>
          <w:szCs w:val="22"/>
        </w:rPr>
        <w:t xml:space="preserve">ealth </w:t>
      </w:r>
      <w:r w:rsidR="00C10ABD" w:rsidRPr="00BD6BC6">
        <w:rPr>
          <w:sz w:val="22"/>
          <w:szCs w:val="22"/>
        </w:rPr>
        <w:t>m</w:t>
      </w:r>
      <w:r w:rsidRPr="00BD6BC6">
        <w:rPr>
          <w:sz w:val="22"/>
          <w:szCs w:val="22"/>
        </w:rPr>
        <w:t>inisters</w:t>
      </w:r>
      <w:r w:rsidR="00AF1CB7">
        <w:rPr>
          <w:sz w:val="22"/>
          <w:szCs w:val="22"/>
        </w:rPr>
        <w:t xml:space="preserve"> </w:t>
      </w:r>
      <w:r w:rsidR="00AF1CB7" w:rsidRPr="00BD6BC6">
        <w:rPr>
          <w:sz w:val="22"/>
          <w:szCs w:val="22"/>
        </w:rPr>
        <w:t>of the jurisdictions party to the dispute</w:t>
      </w:r>
      <w:r w:rsidRPr="00BD6BC6">
        <w:rPr>
          <w:sz w:val="22"/>
          <w:szCs w:val="22"/>
        </w:rPr>
        <w:t xml:space="preserve"> to </w:t>
      </w:r>
      <w:r w:rsidR="00944A9A" w:rsidRPr="00BD6BC6">
        <w:rPr>
          <w:sz w:val="22"/>
          <w:szCs w:val="22"/>
        </w:rPr>
        <w:t xml:space="preserve">provide </w:t>
      </w:r>
      <w:r w:rsidRPr="00BD6BC6">
        <w:rPr>
          <w:sz w:val="22"/>
          <w:szCs w:val="22"/>
        </w:rPr>
        <w:t xml:space="preserve">IHPA </w:t>
      </w:r>
      <w:r w:rsidR="00944A9A" w:rsidRPr="00BD6BC6">
        <w:rPr>
          <w:sz w:val="22"/>
          <w:szCs w:val="22"/>
        </w:rPr>
        <w:t xml:space="preserve">with </w:t>
      </w:r>
      <w:r w:rsidRPr="00BD6BC6">
        <w:rPr>
          <w:sz w:val="22"/>
          <w:szCs w:val="22"/>
        </w:rPr>
        <w:t xml:space="preserve">written comments on the draft assessment within 30 days </w:t>
      </w:r>
      <w:r w:rsidR="00A97EE6" w:rsidRPr="00BD6BC6">
        <w:rPr>
          <w:sz w:val="22"/>
          <w:szCs w:val="22"/>
        </w:rPr>
        <w:t xml:space="preserve">of </w:t>
      </w:r>
      <w:r w:rsidRPr="00BD6BC6">
        <w:rPr>
          <w:sz w:val="22"/>
          <w:szCs w:val="22"/>
        </w:rPr>
        <w:t xml:space="preserve">receiving </w:t>
      </w:r>
      <w:r w:rsidR="00542FB2" w:rsidRPr="00BD6BC6">
        <w:rPr>
          <w:sz w:val="22"/>
          <w:szCs w:val="22"/>
        </w:rPr>
        <w:t>it</w:t>
      </w:r>
      <w:r w:rsidRPr="00BD6BC6">
        <w:rPr>
          <w:sz w:val="22"/>
          <w:szCs w:val="22"/>
        </w:rPr>
        <w:t>.</w:t>
      </w:r>
    </w:p>
    <w:p w14:paraId="5D9BF10C" w14:textId="77777777" w:rsidR="00A1614A" w:rsidRPr="00BD6BC6" w:rsidRDefault="00A1614A" w:rsidP="006D55BD">
      <w:r w:rsidRPr="00BD6BC6">
        <w:t>The draft assessment will include:</w:t>
      </w:r>
    </w:p>
    <w:p w14:paraId="427B41A9" w14:textId="0F948B4B" w:rsidR="00A1614A" w:rsidRPr="00BD6BC6" w:rsidRDefault="00434753" w:rsidP="00593CE6">
      <w:pPr>
        <w:pStyle w:val="ListParagraph"/>
        <w:numPr>
          <w:ilvl w:val="0"/>
          <w:numId w:val="18"/>
        </w:numPr>
        <w:rPr>
          <w:sz w:val="22"/>
          <w:szCs w:val="22"/>
        </w:rPr>
      </w:pPr>
      <w:r w:rsidRPr="00BD6BC6">
        <w:rPr>
          <w:sz w:val="22"/>
          <w:szCs w:val="22"/>
        </w:rPr>
        <w:t xml:space="preserve">a </w:t>
      </w:r>
      <w:r w:rsidR="00A1614A" w:rsidRPr="00BD6BC6">
        <w:rPr>
          <w:sz w:val="22"/>
          <w:szCs w:val="22"/>
        </w:rPr>
        <w:t xml:space="preserve">summary of the cost-shifting dispute between the jurisdictions, including the position of each jurisdiction </w:t>
      </w:r>
      <w:r w:rsidR="00944A9A" w:rsidRPr="00BD6BC6">
        <w:rPr>
          <w:sz w:val="22"/>
          <w:szCs w:val="22"/>
        </w:rPr>
        <w:t xml:space="preserve">party to the </w:t>
      </w:r>
      <w:r w:rsidR="00A1614A" w:rsidRPr="00BD6BC6">
        <w:rPr>
          <w:sz w:val="22"/>
          <w:szCs w:val="22"/>
        </w:rPr>
        <w:t>dispute</w:t>
      </w:r>
    </w:p>
    <w:p w14:paraId="0D92C43E" w14:textId="3392EA08" w:rsidR="00A1614A" w:rsidRPr="00BD6BC6" w:rsidRDefault="00434753" w:rsidP="00593CE6">
      <w:pPr>
        <w:pStyle w:val="ListParagraph"/>
        <w:numPr>
          <w:ilvl w:val="0"/>
          <w:numId w:val="18"/>
        </w:numPr>
        <w:rPr>
          <w:sz w:val="22"/>
          <w:szCs w:val="22"/>
        </w:rPr>
      </w:pPr>
      <w:r w:rsidRPr="00BD6BC6">
        <w:rPr>
          <w:sz w:val="22"/>
          <w:szCs w:val="22"/>
        </w:rPr>
        <w:t xml:space="preserve">an </w:t>
      </w:r>
      <w:r w:rsidR="00A1614A" w:rsidRPr="00BD6BC6">
        <w:rPr>
          <w:sz w:val="22"/>
          <w:szCs w:val="22"/>
        </w:rPr>
        <w:t>overview of the evidence assessed in undertaking the investigation</w:t>
      </w:r>
    </w:p>
    <w:p w14:paraId="527F3BD0" w14:textId="15EE0F90" w:rsidR="00A1614A" w:rsidRPr="00BD6BC6" w:rsidRDefault="00A1614A" w:rsidP="00593CE6">
      <w:pPr>
        <w:pStyle w:val="ListParagraph"/>
        <w:numPr>
          <w:ilvl w:val="0"/>
          <w:numId w:val="18"/>
        </w:numPr>
        <w:rPr>
          <w:sz w:val="22"/>
          <w:szCs w:val="22"/>
        </w:rPr>
      </w:pPr>
      <w:r w:rsidRPr="00BD6BC6">
        <w:rPr>
          <w:sz w:val="22"/>
          <w:szCs w:val="22"/>
        </w:rPr>
        <w:t xml:space="preserve">limitations to the scope of the investigation </w:t>
      </w:r>
    </w:p>
    <w:p w14:paraId="76268ABA" w14:textId="73F1399D" w:rsidR="00A1614A" w:rsidRPr="00BD6BC6" w:rsidRDefault="00A1614A" w:rsidP="00593CE6">
      <w:pPr>
        <w:pStyle w:val="ListParagraph"/>
        <w:numPr>
          <w:ilvl w:val="0"/>
          <w:numId w:val="18"/>
        </w:numPr>
        <w:rPr>
          <w:sz w:val="22"/>
          <w:szCs w:val="22"/>
        </w:rPr>
      </w:pPr>
      <w:r w:rsidRPr="00BD6BC6">
        <w:rPr>
          <w:sz w:val="22"/>
          <w:szCs w:val="22"/>
        </w:rPr>
        <w:t xml:space="preserve">IHPA’s </w:t>
      </w:r>
      <w:r w:rsidR="00542FB2" w:rsidRPr="00BD6BC6">
        <w:rPr>
          <w:sz w:val="22"/>
          <w:szCs w:val="22"/>
        </w:rPr>
        <w:t xml:space="preserve">draft </w:t>
      </w:r>
      <w:r w:rsidRPr="00BD6BC6">
        <w:rPr>
          <w:sz w:val="22"/>
          <w:szCs w:val="22"/>
        </w:rPr>
        <w:t>assessment of the dispute</w:t>
      </w:r>
      <w:r w:rsidR="00E44738">
        <w:rPr>
          <w:sz w:val="22"/>
          <w:szCs w:val="22"/>
        </w:rPr>
        <w:t>, that is,</w:t>
      </w:r>
      <w:r w:rsidRPr="00BD6BC6">
        <w:rPr>
          <w:sz w:val="22"/>
          <w:szCs w:val="22"/>
        </w:rPr>
        <w:t xml:space="preserve"> whether the costs of the </w:t>
      </w:r>
      <w:r w:rsidR="00CA26D1" w:rsidRPr="00BD6BC6">
        <w:rPr>
          <w:sz w:val="22"/>
          <w:szCs w:val="22"/>
        </w:rPr>
        <w:t>applica</w:t>
      </w:r>
      <w:r w:rsidR="004E3E99" w:rsidRPr="00BD6BC6">
        <w:rPr>
          <w:sz w:val="22"/>
          <w:szCs w:val="22"/>
        </w:rPr>
        <w:t xml:space="preserve">nt </w:t>
      </w:r>
      <w:r w:rsidRPr="00BD6BC6">
        <w:rPr>
          <w:sz w:val="22"/>
          <w:szCs w:val="22"/>
        </w:rPr>
        <w:t xml:space="preserve">jurisdiction in relation to health care services are attributable to one or more changes that have been made to the </w:t>
      </w:r>
      <w:r w:rsidR="003F22DF" w:rsidRPr="00BD6BC6">
        <w:rPr>
          <w:sz w:val="22"/>
          <w:szCs w:val="22"/>
        </w:rPr>
        <w:t>policies</w:t>
      </w:r>
      <w:r w:rsidRPr="00BD6BC6">
        <w:rPr>
          <w:sz w:val="22"/>
          <w:szCs w:val="22"/>
        </w:rPr>
        <w:t xml:space="preserve">, programs or practices of the </w:t>
      </w:r>
      <w:r w:rsidR="0063248D" w:rsidRPr="00BD6BC6">
        <w:rPr>
          <w:sz w:val="22"/>
          <w:szCs w:val="22"/>
        </w:rPr>
        <w:t xml:space="preserve">respondent </w:t>
      </w:r>
      <w:r w:rsidRPr="00BD6BC6">
        <w:rPr>
          <w:sz w:val="22"/>
          <w:szCs w:val="22"/>
        </w:rPr>
        <w:t>jurisdiction</w:t>
      </w:r>
    </w:p>
    <w:p w14:paraId="3FA4FE8D" w14:textId="520E6A3B" w:rsidR="00A1614A" w:rsidRPr="00BD6BC6" w:rsidRDefault="00A1614A" w:rsidP="00593CE6">
      <w:pPr>
        <w:pStyle w:val="ListParagraph"/>
        <w:numPr>
          <w:ilvl w:val="0"/>
          <w:numId w:val="18"/>
        </w:numPr>
        <w:rPr>
          <w:sz w:val="22"/>
          <w:szCs w:val="22"/>
        </w:rPr>
      </w:pPr>
      <w:r w:rsidRPr="00BD6BC6">
        <w:rPr>
          <w:sz w:val="22"/>
          <w:szCs w:val="22"/>
        </w:rPr>
        <w:t>reasons supporting the assessment.</w:t>
      </w:r>
    </w:p>
    <w:p w14:paraId="4B985609" w14:textId="7CB45B09" w:rsidR="00A1614A" w:rsidRPr="00BD6BC6" w:rsidRDefault="00A1614A" w:rsidP="00E96CCA">
      <w:pPr>
        <w:pStyle w:val="Heading4"/>
      </w:pPr>
      <w:r w:rsidRPr="00BD6BC6">
        <w:t xml:space="preserve">(4b) The </w:t>
      </w:r>
      <w:r w:rsidR="005A4023" w:rsidRPr="00BD6BC6">
        <w:t>h</w:t>
      </w:r>
      <w:r w:rsidRPr="00BD6BC6">
        <w:t xml:space="preserve">ealth </w:t>
      </w:r>
      <w:r w:rsidR="005A4023" w:rsidRPr="00BD6BC6">
        <w:t>m</w:t>
      </w:r>
      <w:r w:rsidRPr="00BD6BC6">
        <w:t>inisters provide IHPA with written comments within 30 days</w:t>
      </w:r>
    </w:p>
    <w:p w14:paraId="2E297BC0" w14:textId="2792D7BC" w:rsidR="00FA169E" w:rsidRPr="00BD6BC6" w:rsidRDefault="00FA169E" w:rsidP="006D55BD">
      <w:r w:rsidRPr="00BD6BC6">
        <w:t xml:space="preserve">Health </w:t>
      </w:r>
      <w:r w:rsidR="005A4023" w:rsidRPr="00BD6BC6">
        <w:t>m</w:t>
      </w:r>
      <w:r w:rsidRPr="00BD6BC6">
        <w:t xml:space="preserve">inisters </w:t>
      </w:r>
      <w:r w:rsidR="00E44738" w:rsidRPr="00E44738">
        <w:t xml:space="preserve">of the jurisdictions party to the dispute </w:t>
      </w:r>
      <w:r w:rsidR="00092E75" w:rsidRPr="00BD6BC6">
        <w:t xml:space="preserve">must </w:t>
      </w:r>
      <w:r w:rsidRPr="00BD6BC6">
        <w:t xml:space="preserve">provide IHPA with their written comments </w:t>
      </w:r>
      <w:r w:rsidR="00AE4D6C" w:rsidRPr="00BD6BC6">
        <w:t xml:space="preserve">on the draft assessment </w:t>
      </w:r>
      <w:r w:rsidRPr="00BD6BC6">
        <w:t>within 3</w:t>
      </w:r>
      <w:r w:rsidR="00AF1CB7">
        <w:t>0 </w:t>
      </w:r>
      <w:r w:rsidRPr="00BD6BC6">
        <w:t>days</w:t>
      </w:r>
      <w:r w:rsidR="00CC408C" w:rsidRPr="00BD6BC6">
        <w:t xml:space="preserve"> and w</w:t>
      </w:r>
      <w:r w:rsidRPr="00BD6BC6">
        <w:t xml:space="preserve">here </w:t>
      </w:r>
      <w:r w:rsidR="00AF1CB7">
        <w:t xml:space="preserve">they are </w:t>
      </w:r>
      <w:r w:rsidR="00A1614A" w:rsidRPr="00BD6BC6">
        <w:t xml:space="preserve">unable to </w:t>
      </w:r>
      <w:r w:rsidRPr="00BD6BC6">
        <w:t>do so, they may seek an extension.</w:t>
      </w:r>
    </w:p>
    <w:p w14:paraId="087D3E7C" w14:textId="172A656C" w:rsidR="00A1614A" w:rsidRPr="00BD6BC6" w:rsidRDefault="000A4CBB" w:rsidP="006D55BD">
      <w:r w:rsidRPr="00BD6BC6">
        <w:t xml:space="preserve">Extensions are granted by IHPA as a matter of discretion, </w:t>
      </w:r>
      <w:r w:rsidR="00A1614A" w:rsidRPr="00BD6BC6">
        <w:t xml:space="preserve">following consultation with the </w:t>
      </w:r>
      <w:r w:rsidR="005A4023" w:rsidRPr="00BD6BC6">
        <w:t>h</w:t>
      </w:r>
      <w:r w:rsidR="00A1614A" w:rsidRPr="00BD6BC6">
        <w:t xml:space="preserve">ealth </w:t>
      </w:r>
      <w:r w:rsidR="005A4023" w:rsidRPr="00BD6BC6">
        <w:t>m</w:t>
      </w:r>
      <w:r w:rsidR="00A1614A" w:rsidRPr="00BD6BC6">
        <w:t>inister</w:t>
      </w:r>
      <w:r w:rsidR="00E44738">
        <w:t>s</w:t>
      </w:r>
      <w:r w:rsidR="00A1614A" w:rsidRPr="00BD6BC6">
        <w:t xml:space="preserve"> of </w:t>
      </w:r>
      <w:r w:rsidR="00E44738">
        <w:t xml:space="preserve">the </w:t>
      </w:r>
      <w:r w:rsidR="00A1614A" w:rsidRPr="00BD6BC6">
        <w:t>jurisdiction</w:t>
      </w:r>
      <w:r w:rsidR="00092E75" w:rsidRPr="00BD6BC6">
        <w:t>s party to the dispute</w:t>
      </w:r>
      <w:r w:rsidR="00A1614A" w:rsidRPr="00BD6BC6">
        <w:t xml:space="preserve"> (including the proposed length of any extension)</w:t>
      </w:r>
      <w:r w:rsidR="00092E75" w:rsidRPr="00BD6BC6">
        <w:t xml:space="preserve"> and are granted unilaterally to all </w:t>
      </w:r>
      <w:r w:rsidR="00A1614A" w:rsidRPr="00BD6BC6">
        <w:t>jurisdictions</w:t>
      </w:r>
      <w:r w:rsidR="00092E75" w:rsidRPr="00BD6BC6">
        <w:t xml:space="preserve"> part</w:t>
      </w:r>
      <w:r w:rsidR="00DC6E3D" w:rsidRPr="00BD6BC6">
        <w:t>y</w:t>
      </w:r>
      <w:r w:rsidR="00092E75" w:rsidRPr="00BD6BC6">
        <w:t xml:space="preserve"> to the dispute</w:t>
      </w:r>
      <w:r w:rsidR="00A1614A" w:rsidRPr="00BD6BC6">
        <w:t>.</w:t>
      </w:r>
    </w:p>
    <w:p w14:paraId="47D2C455" w14:textId="7CD0F5B3" w:rsidR="00A1614A" w:rsidRPr="00BD6BC6" w:rsidRDefault="00A1614A" w:rsidP="00E96CCA">
      <w:pPr>
        <w:pStyle w:val="Heading4"/>
      </w:pPr>
      <w:r w:rsidRPr="00BD6BC6">
        <w:t xml:space="preserve">(4c) IHPA reviews the written comments </w:t>
      </w:r>
      <w:r w:rsidR="00FD3D3C" w:rsidRPr="00BD6BC6">
        <w:t xml:space="preserve">about </w:t>
      </w:r>
      <w:r w:rsidRPr="00BD6BC6">
        <w:t>the draft assessment</w:t>
      </w:r>
    </w:p>
    <w:p w14:paraId="7BC2CDF0" w14:textId="0D1AB0D5" w:rsidR="00A1614A" w:rsidRPr="00BD6BC6" w:rsidRDefault="00A1614A" w:rsidP="006D55BD">
      <w:r w:rsidRPr="00BD6BC6">
        <w:t xml:space="preserve">IHPA will review the comments received by </w:t>
      </w:r>
      <w:r w:rsidR="005A4023" w:rsidRPr="00BD6BC6">
        <w:t>h</w:t>
      </w:r>
      <w:r w:rsidRPr="00BD6BC6">
        <w:t xml:space="preserve">ealth </w:t>
      </w:r>
      <w:r w:rsidR="005A4023" w:rsidRPr="00BD6BC6">
        <w:t>m</w:t>
      </w:r>
      <w:r w:rsidRPr="00BD6BC6">
        <w:t xml:space="preserve">inisters </w:t>
      </w:r>
      <w:r w:rsidR="00823D3A" w:rsidRPr="00823D3A">
        <w:t xml:space="preserve">of the jurisdictions party to the dispute </w:t>
      </w:r>
      <w:r w:rsidRPr="00BD6BC6">
        <w:t>with regard to the draft assessment.</w:t>
      </w:r>
    </w:p>
    <w:p w14:paraId="7B6360F4" w14:textId="776EC9E3" w:rsidR="00A1614A" w:rsidRPr="00BD6BC6" w:rsidRDefault="00A1614A" w:rsidP="00E96CCA">
      <w:pPr>
        <w:pStyle w:val="Heading4"/>
      </w:pPr>
      <w:r w:rsidRPr="00BD6BC6">
        <w:t xml:space="preserve">(4d) IHPA clarifies the written comments with </w:t>
      </w:r>
      <w:r w:rsidR="00823D3A">
        <w:t>the health ministers</w:t>
      </w:r>
      <w:r w:rsidR="00823D3A" w:rsidRPr="00BD6BC6">
        <w:t xml:space="preserve"> </w:t>
      </w:r>
      <w:r w:rsidRPr="00BD6BC6">
        <w:t>(if required)</w:t>
      </w:r>
    </w:p>
    <w:p w14:paraId="2E8B58B8" w14:textId="7043FF06" w:rsidR="00A1614A" w:rsidRPr="00BD6BC6" w:rsidRDefault="00A1614A" w:rsidP="006D55BD">
      <w:r w:rsidRPr="00BD6BC6">
        <w:t>Where there are comments</w:t>
      </w:r>
      <w:r w:rsidR="00271451" w:rsidRPr="00BD6BC6">
        <w:t xml:space="preserve"> that</w:t>
      </w:r>
      <w:r w:rsidRPr="00BD6BC6">
        <w:t xml:space="preserve"> requir</w:t>
      </w:r>
      <w:r w:rsidR="00271451" w:rsidRPr="00BD6BC6">
        <w:t>e</w:t>
      </w:r>
      <w:r w:rsidRPr="00BD6BC6">
        <w:t xml:space="preserve"> explanation or clarification, IHPA will request </w:t>
      </w:r>
      <w:r w:rsidR="00092E75" w:rsidRPr="00BD6BC6">
        <w:t xml:space="preserve">this </w:t>
      </w:r>
      <w:r w:rsidRPr="00BD6BC6">
        <w:t xml:space="preserve">in writing from </w:t>
      </w:r>
      <w:r w:rsidR="00C10ABD" w:rsidRPr="00BD6BC6">
        <w:t>h</w:t>
      </w:r>
      <w:r w:rsidRPr="00BD6BC6">
        <w:t xml:space="preserve">ealth </w:t>
      </w:r>
      <w:r w:rsidR="00C10ABD" w:rsidRPr="00BD6BC6">
        <w:t>m</w:t>
      </w:r>
      <w:r w:rsidRPr="00BD6BC6">
        <w:t>inisters</w:t>
      </w:r>
      <w:r w:rsidR="00092E75" w:rsidRPr="00BD6BC6">
        <w:t xml:space="preserve"> </w:t>
      </w:r>
      <w:r w:rsidR="00823D3A" w:rsidRPr="00823D3A">
        <w:t xml:space="preserve">of the jurisdictions </w:t>
      </w:r>
      <w:r w:rsidR="00092E75" w:rsidRPr="00BD6BC6">
        <w:t>party to the dispute</w:t>
      </w:r>
      <w:r w:rsidRPr="00BD6BC6">
        <w:t xml:space="preserve">. </w:t>
      </w:r>
      <w:r w:rsidR="00092E75" w:rsidRPr="00BD6BC6">
        <w:t>R</w:t>
      </w:r>
      <w:r w:rsidRPr="00BD6BC6">
        <w:t>esponse</w:t>
      </w:r>
      <w:r w:rsidR="00092E75" w:rsidRPr="00BD6BC6">
        <w:t>s are required</w:t>
      </w:r>
      <w:r w:rsidRPr="00BD6BC6">
        <w:t xml:space="preserve"> within 30 days </w:t>
      </w:r>
      <w:r w:rsidR="00124CE8" w:rsidRPr="00BD6BC6">
        <w:t xml:space="preserve">of </w:t>
      </w:r>
      <w:r w:rsidRPr="00BD6BC6">
        <w:t>recei</w:t>
      </w:r>
      <w:r w:rsidR="00092E75" w:rsidRPr="00BD6BC6">
        <w:t>pt of</w:t>
      </w:r>
      <w:r w:rsidRPr="00BD6BC6">
        <w:t xml:space="preserve"> </w:t>
      </w:r>
      <w:r w:rsidR="00823D3A">
        <w:t>any</w:t>
      </w:r>
      <w:r w:rsidR="00823D3A" w:rsidRPr="00BD6BC6">
        <w:t xml:space="preserve"> </w:t>
      </w:r>
      <w:r w:rsidRPr="00BD6BC6">
        <w:t>request.</w:t>
      </w:r>
    </w:p>
    <w:p w14:paraId="32D749DC" w14:textId="2753827C" w:rsidR="00A1614A" w:rsidRPr="00BD6BC6" w:rsidRDefault="00A1614A" w:rsidP="00A36C90">
      <w:pPr>
        <w:pStyle w:val="Heading3"/>
      </w:pPr>
      <w:bookmarkStart w:id="208" w:name="_Toc507599190"/>
      <w:bookmarkStart w:id="209" w:name="_Toc507611953"/>
      <w:bookmarkStart w:id="210" w:name="_Toc507612169"/>
      <w:bookmarkStart w:id="211" w:name="_Toc507612252"/>
      <w:bookmarkStart w:id="212" w:name="_Toc2862858"/>
      <w:bookmarkStart w:id="213" w:name="_Toc11232083"/>
      <w:bookmarkStart w:id="214" w:name="_Toc58480950"/>
      <w:bookmarkStart w:id="215" w:name="_Toc58845989"/>
      <w:bookmarkStart w:id="216" w:name="_Toc58846348"/>
      <w:bookmarkStart w:id="217" w:name="_Toc61873529"/>
      <w:bookmarkStart w:id="218" w:name="_Toc61873743"/>
      <w:bookmarkStart w:id="219" w:name="_Toc61950899"/>
      <w:bookmarkStart w:id="220" w:name="_Toc91157726"/>
      <w:r w:rsidRPr="00BD6BC6">
        <w:lastRenderedPageBreak/>
        <w:t>Stage 5: Final assessment</w:t>
      </w:r>
      <w:bookmarkEnd w:id="208"/>
      <w:bookmarkEnd w:id="209"/>
      <w:bookmarkEnd w:id="210"/>
      <w:bookmarkEnd w:id="211"/>
      <w:bookmarkEnd w:id="212"/>
      <w:bookmarkEnd w:id="213"/>
      <w:bookmarkEnd w:id="214"/>
      <w:bookmarkEnd w:id="215"/>
      <w:bookmarkEnd w:id="216"/>
      <w:bookmarkEnd w:id="217"/>
      <w:bookmarkEnd w:id="218"/>
      <w:bookmarkEnd w:id="219"/>
      <w:bookmarkEnd w:id="220"/>
    </w:p>
    <w:p w14:paraId="08394D8C" w14:textId="56F33674" w:rsidR="00A1614A" w:rsidRPr="00BD6BC6" w:rsidRDefault="00A1614A" w:rsidP="00E96CCA">
      <w:pPr>
        <w:pStyle w:val="Heading4"/>
      </w:pPr>
      <w:r w:rsidRPr="00BD6BC6">
        <w:t xml:space="preserve">(5a) IHPA determines the final assessment and provides </w:t>
      </w:r>
      <w:r w:rsidR="00542FB2" w:rsidRPr="00BD6BC6">
        <w:t xml:space="preserve">it </w:t>
      </w:r>
      <w:r w:rsidRPr="00BD6BC6">
        <w:t xml:space="preserve">to the </w:t>
      </w:r>
      <w:r w:rsidR="00C10ABD" w:rsidRPr="00BD6BC6">
        <w:t>h</w:t>
      </w:r>
      <w:r w:rsidRPr="00BD6BC6">
        <w:t xml:space="preserve">ealth </w:t>
      </w:r>
      <w:r w:rsidR="00C10ABD" w:rsidRPr="00BD6BC6">
        <w:t>m</w:t>
      </w:r>
      <w:r w:rsidRPr="00BD6BC6">
        <w:t>inisters</w:t>
      </w:r>
      <w:r w:rsidR="00542FB2" w:rsidRPr="00BD6BC6">
        <w:t xml:space="preserve"> of </w:t>
      </w:r>
      <w:r w:rsidR="00823D3A">
        <w:t xml:space="preserve">the </w:t>
      </w:r>
      <w:r w:rsidR="00542FB2" w:rsidRPr="00BD6BC6">
        <w:t>jurisdictions party to the dispute</w:t>
      </w:r>
    </w:p>
    <w:p w14:paraId="1960B86C" w14:textId="1FFA8578" w:rsidR="00A1614A" w:rsidRPr="00BD6BC6" w:rsidRDefault="00A1614A" w:rsidP="006D55BD">
      <w:r w:rsidRPr="00BD6BC6">
        <w:t xml:space="preserve">IHPA will </w:t>
      </w:r>
      <w:r w:rsidR="004429CF" w:rsidRPr="00BD6BC6">
        <w:t>develop</w:t>
      </w:r>
      <w:r w:rsidRPr="00BD6BC6">
        <w:t xml:space="preserve"> a final assessment, obtain endorsement </w:t>
      </w:r>
      <w:r w:rsidR="004429CF" w:rsidRPr="00BD6BC6">
        <w:t xml:space="preserve">from </w:t>
      </w:r>
      <w:r w:rsidRPr="00BD6BC6">
        <w:t xml:space="preserve">the Pricing Authority and provide it to the </w:t>
      </w:r>
      <w:r w:rsidR="00C10ABD" w:rsidRPr="00BD6BC6">
        <w:t>h</w:t>
      </w:r>
      <w:r w:rsidRPr="00BD6BC6">
        <w:t xml:space="preserve">ealth </w:t>
      </w:r>
      <w:r w:rsidR="00C10ABD" w:rsidRPr="00BD6BC6">
        <w:t>m</w:t>
      </w:r>
      <w:r w:rsidRPr="00BD6BC6">
        <w:t>inisters</w:t>
      </w:r>
      <w:r w:rsidR="00542FB2" w:rsidRPr="00BD6BC6">
        <w:t xml:space="preserve"> of </w:t>
      </w:r>
      <w:r w:rsidR="00823D3A">
        <w:t xml:space="preserve">the </w:t>
      </w:r>
      <w:r w:rsidR="00542FB2" w:rsidRPr="00BD6BC6">
        <w:t>jurisdictions party to the dispute</w:t>
      </w:r>
      <w:r w:rsidRPr="00BD6BC6">
        <w:t>.</w:t>
      </w:r>
    </w:p>
    <w:p w14:paraId="2E8FC26E" w14:textId="083C222B" w:rsidR="00A1614A" w:rsidRPr="00BD6BC6" w:rsidRDefault="00A1614A" w:rsidP="00E96CCA">
      <w:pPr>
        <w:pStyle w:val="Heading4"/>
      </w:pPr>
      <w:r w:rsidRPr="00BD6BC6">
        <w:t xml:space="preserve">(5b) IHPA publishes the final assessment on </w:t>
      </w:r>
      <w:r w:rsidR="00823D3A">
        <w:t>its</w:t>
      </w:r>
      <w:r w:rsidR="00823D3A" w:rsidRPr="00BD6BC6">
        <w:t xml:space="preserve"> </w:t>
      </w:r>
      <w:r w:rsidRPr="00BD6BC6">
        <w:t xml:space="preserve">website if the investigation </w:t>
      </w:r>
      <w:r w:rsidR="00542FB2" w:rsidRPr="00BD6BC6">
        <w:t xml:space="preserve">identifies that </w:t>
      </w:r>
      <w:r w:rsidRPr="00BD6BC6">
        <w:t>cost-shifting has occurred</w:t>
      </w:r>
    </w:p>
    <w:p w14:paraId="5F03FBE4" w14:textId="7F0223DE" w:rsidR="00B75F8F" w:rsidRPr="003D2F9E" w:rsidRDefault="00A1614A" w:rsidP="003D2F9E">
      <w:r w:rsidRPr="00BD6BC6">
        <w:t xml:space="preserve">If the </w:t>
      </w:r>
      <w:r w:rsidR="00823D3A">
        <w:t>investigation</w:t>
      </w:r>
      <w:r w:rsidR="00823D3A" w:rsidRPr="00BD6BC6">
        <w:t xml:space="preserve"> </w:t>
      </w:r>
      <w:r w:rsidR="004429CF" w:rsidRPr="00BD6BC6">
        <w:t>confirms</w:t>
      </w:r>
      <w:r w:rsidRPr="00BD6BC6">
        <w:t xml:space="preserve"> </w:t>
      </w:r>
      <w:r w:rsidR="004429CF" w:rsidRPr="00BD6BC6">
        <w:t>cost-shifting has occurred</w:t>
      </w:r>
      <w:r w:rsidR="00CA26D1" w:rsidRPr="00BD6BC6">
        <w:t xml:space="preserve"> and that</w:t>
      </w:r>
      <w:r w:rsidR="004429CF" w:rsidRPr="00BD6BC6">
        <w:t xml:space="preserve"> </w:t>
      </w:r>
      <w:r w:rsidRPr="00BD6BC6">
        <w:t xml:space="preserve">costs to the </w:t>
      </w:r>
      <w:r w:rsidR="004E3E99" w:rsidRPr="00BD6BC6">
        <w:t xml:space="preserve">applicant </w:t>
      </w:r>
      <w:r w:rsidRPr="00BD6BC6">
        <w:t xml:space="preserve">jurisdiction in relation to health care services are attributable to one or more changes that have been made to the policies, programs or practices of the </w:t>
      </w:r>
      <w:r w:rsidR="0063248D" w:rsidRPr="00BD6BC6">
        <w:t xml:space="preserve">respondent </w:t>
      </w:r>
      <w:r w:rsidRPr="00BD6BC6">
        <w:t xml:space="preserve">jurisdiction, the final assessment </w:t>
      </w:r>
      <w:r w:rsidR="004429CF" w:rsidRPr="00BD6BC6">
        <w:t xml:space="preserve">will be published </w:t>
      </w:r>
      <w:r w:rsidRPr="00BD6BC6">
        <w:t xml:space="preserve">on </w:t>
      </w:r>
      <w:r w:rsidR="00823D3A">
        <w:t>the IHPA</w:t>
      </w:r>
      <w:r w:rsidR="00823D3A" w:rsidRPr="00BD6BC6">
        <w:t xml:space="preserve"> </w:t>
      </w:r>
      <w:r w:rsidRPr="00BD6BC6">
        <w:t>website.</w:t>
      </w:r>
      <w:r w:rsidR="00B75F8F" w:rsidRPr="00BD6BC6">
        <w:rPr>
          <w:rFonts w:cs="Arial"/>
        </w:rPr>
        <w:br w:type="page"/>
      </w:r>
    </w:p>
    <w:p w14:paraId="4890560A" w14:textId="0E3E99FD" w:rsidR="00A1614A" w:rsidRPr="00BD6BC6" w:rsidRDefault="00A1614A" w:rsidP="00D2320A">
      <w:pPr>
        <w:pStyle w:val="Heading1"/>
      </w:pPr>
      <w:bookmarkStart w:id="221" w:name="_Toc482364325"/>
      <w:bookmarkStart w:id="222" w:name="_Toc507599191"/>
      <w:bookmarkStart w:id="223" w:name="_Toc507611954"/>
      <w:bookmarkStart w:id="224" w:name="_Toc507612170"/>
      <w:bookmarkStart w:id="225" w:name="_Toc507612253"/>
      <w:bookmarkStart w:id="226" w:name="_Toc507613266"/>
      <w:bookmarkStart w:id="227" w:name="_Toc507613371"/>
      <w:bookmarkStart w:id="228" w:name="_Toc507613779"/>
      <w:bookmarkStart w:id="229" w:name="_Toc507614024"/>
      <w:bookmarkStart w:id="230" w:name="_Toc507614151"/>
      <w:bookmarkStart w:id="231" w:name="_Toc507614311"/>
      <w:bookmarkStart w:id="232" w:name="_Toc507614387"/>
      <w:bookmarkStart w:id="233" w:name="_Toc507614499"/>
      <w:bookmarkStart w:id="234" w:name="_Toc91157727"/>
      <w:r w:rsidRPr="00BD6BC6">
        <w:lastRenderedPageBreak/>
        <w:t>4.</w:t>
      </w:r>
      <w:r w:rsidRPr="00BD6BC6">
        <w:tab/>
        <w:t>Cross-</w:t>
      </w:r>
      <w:r w:rsidR="00752A75" w:rsidRPr="00BD6BC6">
        <w:t>b</w:t>
      </w:r>
      <w:r w:rsidRPr="00BD6BC6">
        <w:t xml:space="preserve">order </w:t>
      </w:r>
      <w:r w:rsidR="00752A75" w:rsidRPr="00BD6BC6">
        <w:t>d</w:t>
      </w:r>
      <w:r w:rsidRPr="00BD6BC6">
        <w:t xml:space="preserve">ispute </w:t>
      </w:r>
      <w:r w:rsidR="00752A75" w:rsidRPr="00BD6BC6">
        <w:t>r</w:t>
      </w:r>
      <w:r w:rsidRPr="00BD6BC6">
        <w:t>esolution</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64419E4A" w14:textId="77777777" w:rsidR="00A1614A" w:rsidRPr="00BD6BC6" w:rsidRDefault="00A1614A" w:rsidP="000775C8">
      <w:pPr>
        <w:pStyle w:val="Heading2"/>
        <w:rPr>
          <w:caps/>
        </w:rPr>
      </w:pPr>
      <w:bookmarkStart w:id="235" w:name="_Toc482364326"/>
      <w:bookmarkStart w:id="236" w:name="_Toc507599192"/>
      <w:bookmarkStart w:id="237" w:name="_Toc507611955"/>
      <w:bookmarkStart w:id="238" w:name="_Toc507612171"/>
      <w:bookmarkStart w:id="239" w:name="_Toc507612254"/>
      <w:bookmarkStart w:id="240" w:name="_Toc507613267"/>
      <w:bookmarkStart w:id="241" w:name="_Toc507613372"/>
      <w:bookmarkStart w:id="242" w:name="_Toc507613780"/>
      <w:bookmarkStart w:id="243" w:name="_Toc507614025"/>
      <w:bookmarkStart w:id="244" w:name="_Toc507614152"/>
      <w:bookmarkStart w:id="245" w:name="_Toc507614312"/>
      <w:bookmarkStart w:id="246" w:name="_Toc507614388"/>
      <w:bookmarkStart w:id="247" w:name="_Toc507614500"/>
      <w:bookmarkStart w:id="248" w:name="_Toc91157728"/>
      <w:r w:rsidRPr="00BD6BC6">
        <w:t>4.1</w:t>
      </w:r>
      <w:r w:rsidRPr="00BD6BC6">
        <w:tab/>
      </w:r>
      <w:bookmarkEnd w:id="235"/>
      <w:bookmarkEnd w:id="236"/>
      <w:bookmarkEnd w:id="237"/>
      <w:bookmarkEnd w:id="238"/>
      <w:bookmarkEnd w:id="239"/>
      <w:bookmarkEnd w:id="240"/>
      <w:bookmarkEnd w:id="241"/>
      <w:bookmarkEnd w:id="242"/>
      <w:bookmarkEnd w:id="243"/>
      <w:bookmarkEnd w:id="244"/>
      <w:bookmarkEnd w:id="245"/>
      <w:bookmarkEnd w:id="246"/>
      <w:bookmarkEnd w:id="247"/>
      <w:r w:rsidR="00771AC4" w:rsidRPr="00BD6BC6">
        <w:t>Scope</w:t>
      </w:r>
      <w:bookmarkEnd w:id="248"/>
    </w:p>
    <w:p w14:paraId="446262DC" w14:textId="7C5DDEB5" w:rsidR="00B61EB1" w:rsidRPr="00BD6BC6" w:rsidRDefault="00B61EB1" w:rsidP="006D55BD">
      <w:r w:rsidRPr="00BD6BC6">
        <w:t xml:space="preserve">IHPA’s role </w:t>
      </w:r>
      <w:r w:rsidR="00CA15F5" w:rsidRPr="00BD6BC6">
        <w:t>in investigating and making</w:t>
      </w:r>
      <w:r w:rsidRPr="00BD6BC6">
        <w:t xml:space="preserve"> recommendations on cross-border disputes is limited to disputes:</w:t>
      </w:r>
    </w:p>
    <w:p w14:paraId="0D7773EE" w14:textId="6FEE671B" w:rsidR="00B61EB1" w:rsidRPr="00BD6BC6" w:rsidRDefault="005A506A" w:rsidP="00593CE6">
      <w:pPr>
        <w:pStyle w:val="ListParagraph"/>
        <w:numPr>
          <w:ilvl w:val="0"/>
          <w:numId w:val="19"/>
        </w:numPr>
        <w:rPr>
          <w:sz w:val="22"/>
          <w:szCs w:val="22"/>
        </w:rPr>
      </w:pPr>
      <w:r w:rsidRPr="00BD6BC6">
        <w:rPr>
          <w:sz w:val="22"/>
          <w:szCs w:val="22"/>
        </w:rPr>
        <w:t>about the</w:t>
      </w:r>
      <w:r w:rsidR="00B61EB1" w:rsidRPr="00BD6BC6">
        <w:rPr>
          <w:sz w:val="22"/>
          <w:szCs w:val="22"/>
        </w:rPr>
        <w:t xml:space="preserve"> reimbursement of costs </w:t>
      </w:r>
      <w:r w:rsidR="00BA5A9E">
        <w:rPr>
          <w:sz w:val="22"/>
          <w:szCs w:val="22"/>
        </w:rPr>
        <w:t xml:space="preserve">incurred by the applicant </w:t>
      </w:r>
      <w:r w:rsidR="00E76D1F">
        <w:rPr>
          <w:sz w:val="22"/>
          <w:szCs w:val="22"/>
        </w:rPr>
        <w:t>state or territory</w:t>
      </w:r>
      <w:r w:rsidR="00BA5A9E">
        <w:rPr>
          <w:sz w:val="22"/>
          <w:szCs w:val="22"/>
        </w:rPr>
        <w:t xml:space="preserve"> that are </w:t>
      </w:r>
      <w:r w:rsidR="00B61EB1" w:rsidRPr="00BD6BC6">
        <w:rPr>
          <w:sz w:val="22"/>
          <w:szCs w:val="22"/>
        </w:rPr>
        <w:t>attributable to the provision of public hospital services to residents of another jurisdiction (as opposed to dispute resolution with respect to provision of services)</w:t>
      </w:r>
    </w:p>
    <w:p w14:paraId="1DEA2A12" w14:textId="125D6111" w:rsidR="00FD112F" w:rsidRPr="00BD6BC6" w:rsidRDefault="00FD112F" w:rsidP="00593CE6">
      <w:pPr>
        <w:pStyle w:val="ListParagraph"/>
        <w:numPr>
          <w:ilvl w:val="0"/>
          <w:numId w:val="19"/>
        </w:numPr>
        <w:rPr>
          <w:sz w:val="22"/>
          <w:szCs w:val="22"/>
        </w:rPr>
      </w:pPr>
      <w:r w:rsidRPr="00BD6BC6">
        <w:rPr>
          <w:sz w:val="22"/>
          <w:szCs w:val="22"/>
        </w:rPr>
        <w:t>arising on or after IHPA’s establishment</w:t>
      </w:r>
      <w:r w:rsidR="001972D8" w:rsidRPr="00BD6BC6">
        <w:rPr>
          <w:sz w:val="22"/>
          <w:szCs w:val="22"/>
        </w:rPr>
        <w:t xml:space="preserve"> (</w:t>
      </w:r>
      <w:r w:rsidRPr="00BD6BC6">
        <w:rPr>
          <w:sz w:val="22"/>
          <w:szCs w:val="22"/>
        </w:rPr>
        <w:t>15 December 2011</w:t>
      </w:r>
      <w:r w:rsidR="001972D8" w:rsidRPr="00BD6BC6">
        <w:rPr>
          <w:sz w:val="22"/>
          <w:szCs w:val="22"/>
        </w:rPr>
        <w:t>)</w:t>
      </w:r>
      <w:r w:rsidRPr="00BD6BC6">
        <w:rPr>
          <w:sz w:val="22"/>
          <w:szCs w:val="22"/>
        </w:rPr>
        <w:t xml:space="preserve"> when its dispute resolution responsibilities commenced.</w:t>
      </w:r>
    </w:p>
    <w:p w14:paraId="42E9D483" w14:textId="15340426" w:rsidR="00B61EB1" w:rsidRPr="00BD6BC6" w:rsidRDefault="00B61EB1" w:rsidP="006D55BD">
      <w:r w:rsidRPr="00BD6BC6">
        <w:t>Although capital is not explicitly priced by IHPA, cross-border dispute resolution can include disputes in relation to the resident jurisdiction’s contribution to capital funding relating to health service infrastructure.</w:t>
      </w:r>
    </w:p>
    <w:p w14:paraId="1D226956" w14:textId="7B78CE60" w:rsidR="00D638F1" w:rsidRPr="00BD6BC6" w:rsidRDefault="00D638F1" w:rsidP="00D638F1">
      <w:pPr>
        <w:pStyle w:val="Heading2"/>
        <w:rPr>
          <w:caps/>
        </w:rPr>
      </w:pPr>
      <w:bookmarkStart w:id="249" w:name="_Toc91157729"/>
      <w:r w:rsidRPr="00BD6BC6">
        <w:t>4.2</w:t>
      </w:r>
      <w:r w:rsidRPr="00BD6BC6">
        <w:tab/>
        <w:t>Cross-border activity</w:t>
      </w:r>
      <w:bookmarkEnd w:id="249"/>
    </w:p>
    <w:p w14:paraId="4C2FCF20" w14:textId="7DBCAA9B" w:rsidR="00251C2A" w:rsidRPr="00BD6BC6" w:rsidRDefault="00BD0FFB" w:rsidP="006D55BD">
      <w:r w:rsidRPr="00BD6BC6">
        <w:t>As outlined in clause A110 of the Addendum</w:t>
      </w:r>
      <w:r w:rsidR="00251C2A" w:rsidRPr="00BD6BC6">
        <w:t>, the Commonwealth, states and territories have agreed that the treatment of cross-border hospital activities will be governed by the following principles:</w:t>
      </w:r>
    </w:p>
    <w:p w14:paraId="1E619766" w14:textId="033A7420" w:rsidR="00BD0FFB" w:rsidRPr="00BD6BC6" w:rsidRDefault="00251C2A" w:rsidP="00BD0FFB">
      <w:pPr>
        <w:pStyle w:val="ListParagraph"/>
        <w:numPr>
          <w:ilvl w:val="0"/>
          <w:numId w:val="20"/>
        </w:numPr>
        <w:rPr>
          <w:sz w:val="22"/>
          <w:szCs w:val="22"/>
        </w:rPr>
      </w:pPr>
      <w:r w:rsidRPr="00BD6BC6">
        <w:rPr>
          <w:sz w:val="22"/>
          <w:szCs w:val="22"/>
        </w:rPr>
        <w:t>the state</w:t>
      </w:r>
      <w:r w:rsidR="003D2F9E">
        <w:rPr>
          <w:sz w:val="22"/>
          <w:szCs w:val="22"/>
        </w:rPr>
        <w:t xml:space="preserve"> or </w:t>
      </w:r>
      <w:r w:rsidRPr="00BD6BC6">
        <w:rPr>
          <w:sz w:val="22"/>
          <w:szCs w:val="22"/>
        </w:rPr>
        <w:t xml:space="preserve">territory where a patient would normally reside should meet the cost of services (exclusive of the Commonwealth contribution </w:t>
      </w:r>
      <w:r w:rsidR="00BD0FFB" w:rsidRPr="00BD6BC6">
        <w:rPr>
          <w:sz w:val="22"/>
          <w:szCs w:val="22"/>
        </w:rPr>
        <w:t xml:space="preserve">arrangements </w:t>
      </w:r>
      <w:r w:rsidRPr="00BD6BC6">
        <w:rPr>
          <w:sz w:val="22"/>
          <w:szCs w:val="22"/>
        </w:rPr>
        <w:t>discussed below) where its resident receives hospital treatment in another jurisdiction</w:t>
      </w:r>
    </w:p>
    <w:p w14:paraId="60C8481E" w14:textId="7485934A" w:rsidR="00BD0FFB" w:rsidRPr="00BD6BC6" w:rsidRDefault="00BD0FFB" w:rsidP="00BD0FFB">
      <w:pPr>
        <w:pStyle w:val="ListParagraph"/>
        <w:numPr>
          <w:ilvl w:val="0"/>
          <w:numId w:val="20"/>
        </w:numPr>
        <w:rPr>
          <w:sz w:val="22"/>
          <w:szCs w:val="22"/>
        </w:rPr>
      </w:pPr>
      <w:r w:rsidRPr="00BD6BC6">
        <w:rPr>
          <w:sz w:val="22"/>
          <w:szCs w:val="22"/>
        </w:rPr>
        <w:t>in instances where quality and safety penalties have been applied the state</w:t>
      </w:r>
      <w:r w:rsidR="003D2F9E">
        <w:rPr>
          <w:sz w:val="22"/>
          <w:szCs w:val="22"/>
        </w:rPr>
        <w:t xml:space="preserve"> or </w:t>
      </w:r>
      <w:r w:rsidRPr="00BD6BC6">
        <w:rPr>
          <w:sz w:val="22"/>
          <w:szCs w:val="22"/>
        </w:rPr>
        <w:t>territory funding contributions will not increase to offset the reduced Commonwealth contribution for those services</w:t>
      </w:r>
    </w:p>
    <w:p w14:paraId="034B0ED5" w14:textId="437077C8" w:rsidR="00BD0FFB" w:rsidRPr="00BD6BC6" w:rsidRDefault="00BD0FFB" w:rsidP="00BD0FFB">
      <w:pPr>
        <w:pStyle w:val="ListParagraph"/>
        <w:numPr>
          <w:ilvl w:val="0"/>
          <w:numId w:val="20"/>
        </w:numPr>
        <w:rPr>
          <w:sz w:val="22"/>
          <w:szCs w:val="22"/>
        </w:rPr>
      </w:pPr>
      <w:r w:rsidRPr="00BD6BC6">
        <w:rPr>
          <w:sz w:val="22"/>
          <w:szCs w:val="22"/>
        </w:rPr>
        <w:t>where a patient is transferred from their resident state</w:t>
      </w:r>
      <w:r w:rsidR="003D2F9E">
        <w:rPr>
          <w:sz w:val="22"/>
          <w:szCs w:val="22"/>
        </w:rPr>
        <w:t xml:space="preserve"> or </w:t>
      </w:r>
      <w:r w:rsidRPr="00BD6BC6">
        <w:rPr>
          <w:sz w:val="22"/>
          <w:szCs w:val="22"/>
        </w:rPr>
        <w:t>territory to another jurisdiction for treatment the referring hospital is to meet the costs of medical transfers</w:t>
      </w:r>
    </w:p>
    <w:p w14:paraId="1DC54475" w14:textId="16567197" w:rsidR="00BD0FFB" w:rsidRPr="00BD6BC6" w:rsidRDefault="00BD0FFB" w:rsidP="00BD0FFB">
      <w:pPr>
        <w:pStyle w:val="ListParagraph"/>
        <w:numPr>
          <w:ilvl w:val="0"/>
          <w:numId w:val="20"/>
        </w:numPr>
        <w:rPr>
          <w:sz w:val="22"/>
          <w:szCs w:val="22"/>
        </w:rPr>
      </w:pPr>
      <w:r w:rsidRPr="00BD6BC6">
        <w:rPr>
          <w:sz w:val="22"/>
          <w:szCs w:val="22"/>
        </w:rPr>
        <w:t>where a patient is transferred from another jurisdiction to their resident state</w:t>
      </w:r>
      <w:r w:rsidR="003D2F9E">
        <w:rPr>
          <w:sz w:val="22"/>
          <w:szCs w:val="22"/>
        </w:rPr>
        <w:t xml:space="preserve"> or </w:t>
      </w:r>
      <w:r w:rsidRPr="00BD6BC6">
        <w:rPr>
          <w:sz w:val="22"/>
          <w:szCs w:val="22"/>
        </w:rPr>
        <w:t>territory for treatment the resident state</w:t>
      </w:r>
      <w:r w:rsidR="00F056A0">
        <w:rPr>
          <w:sz w:val="22"/>
          <w:szCs w:val="22"/>
        </w:rPr>
        <w:t xml:space="preserve"> or </w:t>
      </w:r>
      <w:r w:rsidRPr="00BD6BC6">
        <w:rPr>
          <w:sz w:val="22"/>
          <w:szCs w:val="22"/>
        </w:rPr>
        <w:t>territory is to meet the costs of medical transfers</w:t>
      </w:r>
    </w:p>
    <w:p w14:paraId="7863D151" w14:textId="62E326D2" w:rsidR="00BD0FFB" w:rsidRPr="00BD6BC6" w:rsidRDefault="00BD0FFB" w:rsidP="00BD0FFB">
      <w:pPr>
        <w:pStyle w:val="ListParagraph"/>
        <w:numPr>
          <w:ilvl w:val="0"/>
          <w:numId w:val="20"/>
        </w:numPr>
        <w:rPr>
          <w:sz w:val="22"/>
          <w:szCs w:val="22"/>
        </w:rPr>
      </w:pPr>
      <w:r w:rsidRPr="00BD6BC6">
        <w:rPr>
          <w:sz w:val="22"/>
          <w:szCs w:val="22"/>
        </w:rPr>
        <w:t>patient out-of-pocket costs related to discharge home from the provider state</w:t>
      </w:r>
      <w:r w:rsidR="003D2F9E">
        <w:rPr>
          <w:sz w:val="22"/>
          <w:szCs w:val="22"/>
        </w:rPr>
        <w:t xml:space="preserve"> or </w:t>
      </w:r>
      <w:r w:rsidRPr="00BD6BC6">
        <w:rPr>
          <w:sz w:val="22"/>
          <w:szCs w:val="22"/>
        </w:rPr>
        <w:t>territory will be met through the patient’s resident state</w:t>
      </w:r>
      <w:r w:rsidR="003D2F9E">
        <w:rPr>
          <w:sz w:val="22"/>
          <w:szCs w:val="22"/>
        </w:rPr>
        <w:t xml:space="preserve"> or </w:t>
      </w:r>
      <w:r w:rsidRPr="00BD6BC6">
        <w:rPr>
          <w:sz w:val="22"/>
          <w:szCs w:val="22"/>
        </w:rPr>
        <w:t>territory travel assistance scheme where appropriate</w:t>
      </w:r>
    </w:p>
    <w:p w14:paraId="1C6AEA07" w14:textId="428183D9" w:rsidR="00251C2A" w:rsidRPr="00BD6BC6" w:rsidRDefault="00251C2A" w:rsidP="00593CE6">
      <w:pPr>
        <w:pStyle w:val="ListParagraph"/>
        <w:numPr>
          <w:ilvl w:val="0"/>
          <w:numId w:val="20"/>
        </w:numPr>
        <w:rPr>
          <w:sz w:val="22"/>
          <w:szCs w:val="22"/>
        </w:rPr>
      </w:pPr>
      <w:r w:rsidRPr="00BD6BC6">
        <w:rPr>
          <w:sz w:val="22"/>
          <w:szCs w:val="22"/>
        </w:rPr>
        <w:t>payment flows (both Commonwealth and state</w:t>
      </w:r>
      <w:r w:rsidR="003D2F9E">
        <w:rPr>
          <w:sz w:val="22"/>
          <w:szCs w:val="22"/>
        </w:rPr>
        <w:t xml:space="preserve"> or </w:t>
      </w:r>
      <w:r w:rsidRPr="00BD6BC6">
        <w:rPr>
          <w:sz w:val="22"/>
          <w:szCs w:val="22"/>
        </w:rPr>
        <w:t xml:space="preserve">territory) associated with cross-border services should be administratively simple, and where possible consistent with the broader arrangements of </w:t>
      </w:r>
      <w:r w:rsidR="00BD0FFB" w:rsidRPr="00BD6BC6">
        <w:rPr>
          <w:sz w:val="22"/>
          <w:szCs w:val="22"/>
        </w:rPr>
        <w:t>th</w:t>
      </w:r>
      <w:r w:rsidR="003D2F9E">
        <w:rPr>
          <w:sz w:val="22"/>
          <w:szCs w:val="22"/>
        </w:rPr>
        <w:t>e</w:t>
      </w:r>
      <w:r w:rsidR="00BD0FFB" w:rsidRPr="00BD6BC6">
        <w:rPr>
          <w:sz w:val="22"/>
          <w:szCs w:val="22"/>
        </w:rPr>
        <w:t xml:space="preserve"> Addendum</w:t>
      </w:r>
    </w:p>
    <w:p w14:paraId="4CA0CAB6" w14:textId="46C3C761" w:rsidR="00251C2A" w:rsidRPr="00BD6BC6" w:rsidRDefault="00251C2A" w:rsidP="00593CE6">
      <w:pPr>
        <w:pStyle w:val="ListParagraph"/>
        <w:numPr>
          <w:ilvl w:val="0"/>
          <w:numId w:val="20"/>
        </w:numPr>
        <w:rPr>
          <w:sz w:val="22"/>
          <w:szCs w:val="22"/>
        </w:rPr>
      </w:pPr>
      <w:r w:rsidRPr="00BD6BC6">
        <w:rPr>
          <w:sz w:val="22"/>
          <w:szCs w:val="22"/>
        </w:rPr>
        <w:t xml:space="preserve">the cross-border payment arrangements should not result in any </w:t>
      </w:r>
      <w:r w:rsidR="00BD0FFB" w:rsidRPr="00BD6BC6">
        <w:rPr>
          <w:sz w:val="22"/>
          <w:szCs w:val="22"/>
        </w:rPr>
        <w:t>unintended goods and services tax (GST)</w:t>
      </w:r>
      <w:r w:rsidRPr="00BD6BC6">
        <w:rPr>
          <w:sz w:val="22"/>
          <w:szCs w:val="22"/>
        </w:rPr>
        <w:t xml:space="preserve"> distribution effects</w:t>
      </w:r>
    </w:p>
    <w:p w14:paraId="4F8D7C7C" w14:textId="51FECA9A" w:rsidR="00251C2A" w:rsidRPr="00BD6BC6" w:rsidRDefault="00251C2A" w:rsidP="00593CE6">
      <w:pPr>
        <w:pStyle w:val="ListParagraph"/>
        <w:numPr>
          <w:ilvl w:val="0"/>
          <w:numId w:val="20"/>
        </w:numPr>
        <w:rPr>
          <w:sz w:val="22"/>
          <w:szCs w:val="22"/>
        </w:rPr>
      </w:pPr>
      <w:r w:rsidRPr="00BD6BC6">
        <w:rPr>
          <w:sz w:val="22"/>
          <w:szCs w:val="22"/>
        </w:rPr>
        <w:lastRenderedPageBreak/>
        <w:t>s</w:t>
      </w:r>
      <w:r w:rsidR="00DA4962" w:rsidRPr="00BD6BC6">
        <w:rPr>
          <w:sz w:val="22"/>
          <w:szCs w:val="22"/>
        </w:rPr>
        <w:t>tates</w:t>
      </w:r>
      <w:r w:rsidR="003D2F9E">
        <w:rPr>
          <w:sz w:val="22"/>
          <w:szCs w:val="22"/>
        </w:rPr>
        <w:t xml:space="preserve"> and </w:t>
      </w:r>
      <w:r w:rsidRPr="00BD6BC6">
        <w:rPr>
          <w:sz w:val="22"/>
          <w:szCs w:val="22"/>
        </w:rPr>
        <w:t xml:space="preserve">territories recognise their commitment under the Medicare </w:t>
      </w:r>
      <w:r w:rsidR="00300A61">
        <w:rPr>
          <w:sz w:val="22"/>
          <w:szCs w:val="22"/>
        </w:rPr>
        <w:t>P</w:t>
      </w:r>
      <w:r w:rsidRPr="00BD6BC6">
        <w:rPr>
          <w:sz w:val="22"/>
          <w:szCs w:val="22"/>
        </w:rPr>
        <w:t>rinciples</w:t>
      </w:r>
      <w:r w:rsidR="00300A61">
        <w:rPr>
          <w:rStyle w:val="FootnoteReference"/>
          <w:sz w:val="22"/>
          <w:szCs w:val="22"/>
        </w:rPr>
        <w:footnoteReference w:id="1"/>
      </w:r>
      <w:r w:rsidRPr="00BD6BC6">
        <w:rPr>
          <w:sz w:val="22"/>
          <w:szCs w:val="22"/>
        </w:rPr>
        <w:t xml:space="preserve"> which require medical treatment to be prioritised on the basis of clinical need</w:t>
      </w:r>
    </w:p>
    <w:p w14:paraId="01ED8F1F" w14:textId="36AF522F" w:rsidR="00251C2A" w:rsidRPr="00BD6BC6" w:rsidRDefault="00251C2A" w:rsidP="00593CE6">
      <w:pPr>
        <w:pStyle w:val="ListParagraph"/>
        <w:numPr>
          <w:ilvl w:val="0"/>
          <w:numId w:val="20"/>
        </w:numPr>
        <w:rPr>
          <w:sz w:val="22"/>
          <w:szCs w:val="22"/>
        </w:rPr>
      </w:pPr>
      <w:r w:rsidRPr="00BD6BC6">
        <w:rPr>
          <w:sz w:val="22"/>
          <w:szCs w:val="22"/>
        </w:rPr>
        <w:t>both states</w:t>
      </w:r>
      <w:r w:rsidR="003D2F9E">
        <w:rPr>
          <w:sz w:val="22"/>
          <w:szCs w:val="22"/>
        </w:rPr>
        <w:t xml:space="preserve"> and </w:t>
      </w:r>
      <w:r w:rsidRPr="00BD6BC6">
        <w:rPr>
          <w:sz w:val="22"/>
          <w:szCs w:val="22"/>
        </w:rPr>
        <w:t>territories should have the opportunity to engage in the setting of cross-border activity estimates and variations, in the context that this would not involve shifting of risk</w:t>
      </w:r>
    </w:p>
    <w:p w14:paraId="11984539" w14:textId="78E6892C" w:rsidR="00251C2A" w:rsidRPr="00BD6BC6" w:rsidRDefault="00251C2A" w:rsidP="00593CE6">
      <w:pPr>
        <w:pStyle w:val="ListParagraph"/>
        <w:numPr>
          <w:ilvl w:val="0"/>
          <w:numId w:val="20"/>
        </w:numPr>
        <w:rPr>
          <w:sz w:val="22"/>
          <w:szCs w:val="22"/>
        </w:rPr>
      </w:pPr>
      <w:r w:rsidRPr="00BD6BC6">
        <w:rPr>
          <w:sz w:val="22"/>
          <w:szCs w:val="22"/>
        </w:rPr>
        <w:t>there should be transparency of cross-border flows.</w:t>
      </w:r>
    </w:p>
    <w:p w14:paraId="51E381A7" w14:textId="5840C1DC" w:rsidR="0062460C" w:rsidRDefault="00251C2A" w:rsidP="006D55BD">
      <w:r w:rsidRPr="00BD6BC6">
        <w:t>Cross-border arrangements</w:t>
      </w:r>
      <w:r w:rsidR="00E76D1F">
        <w:t xml:space="preserve"> should </w:t>
      </w:r>
      <w:r w:rsidRPr="00BD6BC6">
        <w:t xml:space="preserve">be developed between jurisdictions that experience significant cross-border flows and where one of the parties requests an agreement be in place. </w:t>
      </w:r>
      <w:r w:rsidR="00BD0FFB" w:rsidRPr="00BD6BC6">
        <w:t>Agreements must</w:t>
      </w:r>
      <w:r w:rsidRPr="00BD6BC6">
        <w:t xml:space="preserve"> set out estimated activity levels providing the capacity for both parties to contribute to planning of cross-border activity</w:t>
      </w:r>
      <w:r w:rsidR="00B54900" w:rsidRPr="00BD6BC6">
        <w:t>.</w:t>
      </w:r>
      <w:r w:rsidR="0062460C">
        <w:t xml:space="preserve"> </w:t>
      </w:r>
    </w:p>
    <w:p w14:paraId="59C0F846" w14:textId="0724F91E" w:rsidR="009408D7" w:rsidRPr="009408D7" w:rsidRDefault="009408D7" w:rsidP="006D55BD">
      <w:pPr>
        <w:rPr>
          <w:szCs w:val="22"/>
        </w:rPr>
      </w:pPr>
      <w:r w:rsidRPr="00EE6A77">
        <w:rPr>
          <w:szCs w:val="22"/>
        </w:rPr>
        <w:t>IHPA</w:t>
      </w:r>
      <w:r>
        <w:rPr>
          <w:szCs w:val="22"/>
        </w:rPr>
        <w:t xml:space="preserve"> will</w:t>
      </w:r>
      <w:r w:rsidRPr="00EE6A77">
        <w:rPr>
          <w:szCs w:val="22"/>
        </w:rPr>
        <w:t xml:space="preserve"> aim to resolve </w:t>
      </w:r>
      <w:r>
        <w:rPr>
          <w:szCs w:val="22"/>
        </w:rPr>
        <w:t xml:space="preserve">cross-border </w:t>
      </w:r>
      <w:r w:rsidRPr="00EE6A77">
        <w:rPr>
          <w:szCs w:val="22"/>
        </w:rPr>
        <w:t xml:space="preserve">disputes in line with </w:t>
      </w:r>
      <w:r w:rsidR="00A75EBE">
        <w:rPr>
          <w:szCs w:val="22"/>
        </w:rPr>
        <w:t>any</w:t>
      </w:r>
      <w:r w:rsidR="003D2F9E">
        <w:rPr>
          <w:szCs w:val="22"/>
        </w:rPr>
        <w:t xml:space="preserve"> </w:t>
      </w:r>
      <w:r w:rsidRPr="00EE6A77">
        <w:rPr>
          <w:szCs w:val="22"/>
        </w:rPr>
        <w:t xml:space="preserve">intergovernmental agreements or arrangements </w:t>
      </w:r>
      <w:r>
        <w:rPr>
          <w:szCs w:val="22"/>
        </w:rPr>
        <w:t>in place</w:t>
      </w:r>
      <w:r w:rsidRPr="00B421E6">
        <w:rPr>
          <w:szCs w:val="22"/>
        </w:rPr>
        <w:t>.</w:t>
      </w:r>
      <w:r>
        <w:rPr>
          <w:szCs w:val="22"/>
        </w:rPr>
        <w:t xml:space="preserve"> </w:t>
      </w:r>
      <w:r w:rsidRPr="00B421E6">
        <w:rPr>
          <w:szCs w:val="22"/>
        </w:rPr>
        <w:t>If no agreement or arrangement</w:t>
      </w:r>
      <w:r>
        <w:rPr>
          <w:szCs w:val="22"/>
        </w:rPr>
        <w:t xml:space="preserve"> is</w:t>
      </w:r>
      <w:r w:rsidRPr="00B421E6">
        <w:rPr>
          <w:szCs w:val="22"/>
        </w:rPr>
        <w:t xml:space="preserve"> in place at the time of the dispute and the investigation finds </w:t>
      </w:r>
      <w:r w:rsidR="005F703C">
        <w:rPr>
          <w:szCs w:val="22"/>
        </w:rPr>
        <w:t xml:space="preserve">funds should be reimbursed, </w:t>
      </w:r>
      <w:r>
        <w:rPr>
          <w:szCs w:val="22"/>
        </w:rPr>
        <w:t>the</w:t>
      </w:r>
      <w:r w:rsidRPr="00B421E6">
        <w:rPr>
          <w:szCs w:val="22"/>
        </w:rPr>
        <w:t xml:space="preserve"> costs in dispute </w:t>
      </w:r>
      <w:r>
        <w:rPr>
          <w:szCs w:val="22"/>
        </w:rPr>
        <w:t>w</w:t>
      </w:r>
      <w:r w:rsidRPr="00B421E6">
        <w:rPr>
          <w:szCs w:val="22"/>
        </w:rPr>
        <w:t>ould be</w:t>
      </w:r>
      <w:r>
        <w:rPr>
          <w:szCs w:val="22"/>
        </w:rPr>
        <w:t xml:space="preserve"> </w:t>
      </w:r>
      <w:r w:rsidR="005F703C">
        <w:rPr>
          <w:szCs w:val="22"/>
        </w:rPr>
        <w:t xml:space="preserve">calculated and </w:t>
      </w:r>
      <w:r>
        <w:rPr>
          <w:szCs w:val="22"/>
        </w:rPr>
        <w:t xml:space="preserve">recommended </w:t>
      </w:r>
      <w:r w:rsidR="005F703C">
        <w:rPr>
          <w:szCs w:val="22"/>
        </w:rPr>
        <w:t xml:space="preserve">using </w:t>
      </w:r>
      <w:r w:rsidRPr="00B421E6">
        <w:rPr>
          <w:szCs w:val="22"/>
        </w:rPr>
        <w:t>the</w:t>
      </w:r>
      <w:r w:rsidR="00DD0BC5">
        <w:rPr>
          <w:szCs w:val="22"/>
        </w:rPr>
        <w:t xml:space="preserve"> </w:t>
      </w:r>
      <w:r w:rsidR="00C337AC">
        <w:rPr>
          <w:szCs w:val="22"/>
        </w:rPr>
        <w:t>n</w:t>
      </w:r>
      <w:r w:rsidR="00C337AC" w:rsidRPr="00B421E6">
        <w:rPr>
          <w:szCs w:val="22"/>
        </w:rPr>
        <w:t xml:space="preserve">ational </w:t>
      </w:r>
      <w:r w:rsidR="00C337AC">
        <w:rPr>
          <w:szCs w:val="22"/>
        </w:rPr>
        <w:t>w</w:t>
      </w:r>
      <w:r w:rsidR="00C337AC" w:rsidRPr="00B421E6">
        <w:rPr>
          <w:szCs w:val="22"/>
        </w:rPr>
        <w:t xml:space="preserve">eighted </w:t>
      </w:r>
      <w:r w:rsidR="00C337AC">
        <w:rPr>
          <w:szCs w:val="22"/>
        </w:rPr>
        <w:t>a</w:t>
      </w:r>
      <w:r w:rsidR="00C337AC" w:rsidRPr="00B421E6">
        <w:rPr>
          <w:szCs w:val="22"/>
        </w:rPr>
        <w:t xml:space="preserve">ctivity </w:t>
      </w:r>
      <w:r w:rsidR="00C337AC">
        <w:rPr>
          <w:szCs w:val="22"/>
        </w:rPr>
        <w:t>u</w:t>
      </w:r>
      <w:r w:rsidR="00C337AC" w:rsidRPr="00B421E6">
        <w:rPr>
          <w:szCs w:val="22"/>
        </w:rPr>
        <w:t>nit</w:t>
      </w:r>
      <w:r w:rsidR="00C337AC">
        <w:rPr>
          <w:szCs w:val="22"/>
        </w:rPr>
        <w:t xml:space="preserve"> </w:t>
      </w:r>
      <w:r w:rsidRPr="00B421E6">
        <w:rPr>
          <w:szCs w:val="22"/>
        </w:rPr>
        <w:t xml:space="preserve">and </w:t>
      </w:r>
      <w:r w:rsidR="00C337AC">
        <w:rPr>
          <w:szCs w:val="22"/>
        </w:rPr>
        <w:t>n</w:t>
      </w:r>
      <w:r w:rsidR="00C337AC" w:rsidRPr="00B421E6">
        <w:rPr>
          <w:szCs w:val="22"/>
        </w:rPr>
        <w:t xml:space="preserve">ational </w:t>
      </w:r>
      <w:r w:rsidR="00C337AC">
        <w:rPr>
          <w:szCs w:val="22"/>
        </w:rPr>
        <w:t>e</w:t>
      </w:r>
      <w:r w:rsidR="00C337AC" w:rsidRPr="00B421E6">
        <w:rPr>
          <w:szCs w:val="22"/>
        </w:rPr>
        <w:t xml:space="preserve">fficient </w:t>
      </w:r>
      <w:r w:rsidR="00C337AC">
        <w:rPr>
          <w:szCs w:val="22"/>
        </w:rPr>
        <w:t>p</w:t>
      </w:r>
      <w:r w:rsidR="00C337AC" w:rsidRPr="00B421E6">
        <w:rPr>
          <w:szCs w:val="22"/>
        </w:rPr>
        <w:t>rice (NEP)</w:t>
      </w:r>
      <w:r w:rsidR="00C337AC" w:rsidRPr="0062460C">
        <w:t>.</w:t>
      </w:r>
      <w:r w:rsidR="00C337AC">
        <w:t xml:space="preserve"> </w:t>
      </w:r>
    </w:p>
    <w:p w14:paraId="1C527B5C" w14:textId="3FED4CD6" w:rsidR="00C62141" w:rsidRPr="00BD6BC6" w:rsidRDefault="00C62141" w:rsidP="000775C8">
      <w:pPr>
        <w:pStyle w:val="Heading2"/>
        <w:rPr>
          <w:caps/>
        </w:rPr>
      </w:pPr>
      <w:bookmarkStart w:id="250" w:name="_Toc482364331"/>
      <w:bookmarkStart w:id="251" w:name="_Toc507599197"/>
      <w:bookmarkStart w:id="252" w:name="_Toc507611960"/>
      <w:bookmarkStart w:id="253" w:name="_Toc507612176"/>
      <w:bookmarkStart w:id="254" w:name="_Toc507612259"/>
      <w:bookmarkStart w:id="255" w:name="_Toc507613272"/>
      <w:bookmarkStart w:id="256" w:name="_Toc507613377"/>
      <w:bookmarkStart w:id="257" w:name="_Toc507613785"/>
      <w:bookmarkStart w:id="258" w:name="_Toc507614030"/>
      <w:bookmarkStart w:id="259" w:name="_Toc507614157"/>
      <w:bookmarkStart w:id="260" w:name="_Toc507614317"/>
      <w:bookmarkStart w:id="261" w:name="_Toc507614393"/>
      <w:bookmarkStart w:id="262" w:name="_Toc507614505"/>
      <w:bookmarkStart w:id="263" w:name="_Toc91157730"/>
      <w:r w:rsidRPr="00BD6BC6">
        <w:t>4.</w:t>
      </w:r>
      <w:r w:rsidR="00F62FE2" w:rsidRPr="00BD6BC6">
        <w:t>3</w:t>
      </w:r>
      <w:r w:rsidRPr="00BD6BC6">
        <w:tab/>
        <w:t>Proces</w:t>
      </w:r>
      <w:r w:rsidR="00E30897" w:rsidRPr="00BD6BC6">
        <w:t>s</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23533FE8" w14:textId="7DC8FE6F" w:rsidR="00C62141" w:rsidRPr="00BD6BC6" w:rsidRDefault="00C62141" w:rsidP="006D55BD">
      <w:r w:rsidRPr="00BD6BC6">
        <w:t xml:space="preserve">The </w:t>
      </w:r>
      <w:r w:rsidR="00FC1617" w:rsidRPr="00BD6BC6">
        <w:t xml:space="preserve">six </w:t>
      </w:r>
      <w:r w:rsidRPr="00BD6BC6">
        <w:t xml:space="preserve">key stages in the cross-border dispute resolution process </w:t>
      </w:r>
      <w:r w:rsidR="00FC1617" w:rsidRPr="00BD6BC6">
        <w:t>are detailed</w:t>
      </w:r>
      <w:r w:rsidR="00145E0A" w:rsidRPr="00BD6BC6">
        <w:t xml:space="preserve"> in </w:t>
      </w:r>
      <w:r w:rsidR="00145E0A" w:rsidRPr="0065266D">
        <w:rPr>
          <w:b/>
        </w:rPr>
        <w:t>Table 3</w:t>
      </w:r>
      <w:r w:rsidR="00FC1617" w:rsidRPr="00BD6BC6">
        <w:t xml:space="preserve"> below.</w:t>
      </w:r>
    </w:p>
    <w:p w14:paraId="4BC765B2" w14:textId="22D5E861" w:rsidR="00C62141" w:rsidRDefault="00920601" w:rsidP="008D7E17">
      <w:pPr>
        <w:pStyle w:val="TableHeading"/>
      </w:pPr>
      <w:r w:rsidRPr="00BD6BC6">
        <w:t xml:space="preserve">Table 3. </w:t>
      </w:r>
      <w:r w:rsidR="00C62141" w:rsidRPr="00BD6BC6">
        <w:t>Overview of cross-border dispute resolution process</w:t>
      </w:r>
    </w:p>
    <w:tbl>
      <w:tblPr>
        <w:tblStyle w:val="TableGrid"/>
        <w:tblW w:w="0" w:type="auto"/>
        <w:tblLook w:val="04A0" w:firstRow="1" w:lastRow="0" w:firstColumn="1" w:lastColumn="0" w:noHBand="0" w:noVBand="1"/>
      </w:tblPr>
      <w:tblGrid>
        <w:gridCol w:w="2122"/>
        <w:gridCol w:w="7313"/>
      </w:tblGrid>
      <w:tr w:rsidR="001B38E3" w14:paraId="071E0D7F" w14:textId="77777777" w:rsidTr="001B38E3">
        <w:tc>
          <w:tcPr>
            <w:tcW w:w="2122" w:type="dxa"/>
            <w:vMerge w:val="restart"/>
            <w:vAlign w:val="center"/>
          </w:tcPr>
          <w:p w14:paraId="1D919F4A" w14:textId="77777777" w:rsidR="001B38E3" w:rsidRPr="001B38E3" w:rsidRDefault="001B38E3" w:rsidP="001B38E3">
            <w:pPr>
              <w:rPr>
                <w:b/>
              </w:rPr>
            </w:pPr>
            <w:r w:rsidRPr="001B38E3">
              <w:rPr>
                <w:b/>
              </w:rPr>
              <w:t>Stage 1:</w:t>
            </w:r>
          </w:p>
          <w:p w14:paraId="0E4D6CBD" w14:textId="5FA2D5F5" w:rsidR="001B38E3" w:rsidRPr="001B38E3" w:rsidRDefault="001B38E3" w:rsidP="00570D9C">
            <w:pPr>
              <w:rPr>
                <w:b/>
              </w:rPr>
            </w:pPr>
            <w:r w:rsidRPr="001B38E3">
              <w:rPr>
                <w:b/>
              </w:rPr>
              <w:t>Request for</w:t>
            </w:r>
            <w:r w:rsidRPr="001B38E3">
              <w:rPr>
                <w:b/>
              </w:rPr>
              <w:br/>
            </w:r>
            <w:r w:rsidR="00570D9C">
              <w:rPr>
                <w:b/>
              </w:rPr>
              <w:t>recommendations</w:t>
            </w:r>
          </w:p>
        </w:tc>
        <w:tc>
          <w:tcPr>
            <w:tcW w:w="7313" w:type="dxa"/>
          </w:tcPr>
          <w:p w14:paraId="4B514056" w14:textId="254E963A" w:rsidR="001B38E3" w:rsidRPr="001B38E3" w:rsidRDefault="001B38E3" w:rsidP="001B38E3">
            <w:r w:rsidRPr="001B38E3">
              <w:t xml:space="preserve">(1a) Jurisdictions undertake reasonable efforts to resolve </w:t>
            </w:r>
            <w:r w:rsidR="00570D9C">
              <w:t xml:space="preserve">the </w:t>
            </w:r>
            <w:r w:rsidRPr="001B38E3">
              <w:t>dispute</w:t>
            </w:r>
          </w:p>
        </w:tc>
      </w:tr>
      <w:tr w:rsidR="001B38E3" w14:paraId="4E13316A" w14:textId="77777777" w:rsidTr="001B38E3">
        <w:tc>
          <w:tcPr>
            <w:tcW w:w="2122" w:type="dxa"/>
            <w:vMerge/>
            <w:vAlign w:val="center"/>
          </w:tcPr>
          <w:p w14:paraId="26F863FB" w14:textId="5066AE0B" w:rsidR="001B38E3" w:rsidRPr="001B38E3" w:rsidRDefault="001B38E3" w:rsidP="001B38E3">
            <w:pPr>
              <w:rPr>
                <w:b/>
              </w:rPr>
            </w:pPr>
          </w:p>
        </w:tc>
        <w:tc>
          <w:tcPr>
            <w:tcW w:w="7313" w:type="dxa"/>
          </w:tcPr>
          <w:p w14:paraId="2220596B" w14:textId="7A98209E" w:rsidR="001B38E3" w:rsidRPr="001B38E3" w:rsidRDefault="001B38E3" w:rsidP="001B38E3">
            <w:r w:rsidRPr="001B38E3">
              <w:t>(1b) The applicant jurisdiction provides IHPA with a written request for recommendations</w:t>
            </w:r>
          </w:p>
        </w:tc>
      </w:tr>
      <w:tr w:rsidR="001B38E3" w14:paraId="3E0B311F" w14:textId="77777777" w:rsidTr="001B38E3">
        <w:tc>
          <w:tcPr>
            <w:tcW w:w="2122" w:type="dxa"/>
            <w:vMerge w:val="restart"/>
            <w:vAlign w:val="center"/>
          </w:tcPr>
          <w:p w14:paraId="449A4D06" w14:textId="77777777" w:rsidR="001B38E3" w:rsidRPr="001B38E3" w:rsidRDefault="001B38E3" w:rsidP="001B38E3">
            <w:pPr>
              <w:rPr>
                <w:b/>
              </w:rPr>
            </w:pPr>
            <w:r w:rsidRPr="001B38E3">
              <w:rPr>
                <w:b/>
              </w:rPr>
              <w:t>Stage 2:</w:t>
            </w:r>
          </w:p>
          <w:p w14:paraId="515B9DA7" w14:textId="35818363" w:rsidR="001B38E3" w:rsidRPr="001B38E3" w:rsidRDefault="001B38E3" w:rsidP="001B38E3">
            <w:pPr>
              <w:rPr>
                <w:b/>
              </w:rPr>
            </w:pPr>
            <w:r w:rsidRPr="001B38E3">
              <w:rPr>
                <w:b/>
              </w:rPr>
              <w:t>Initial assessment</w:t>
            </w:r>
          </w:p>
        </w:tc>
        <w:tc>
          <w:tcPr>
            <w:tcW w:w="7313" w:type="dxa"/>
          </w:tcPr>
          <w:p w14:paraId="42BBE9F5" w14:textId="7CBC2450" w:rsidR="001B38E3" w:rsidRPr="001B38E3" w:rsidRDefault="001B38E3" w:rsidP="001B38E3">
            <w:r w:rsidRPr="001B38E3">
              <w:t>(2a) IHPA undertakes an initial assessment of the dispute</w:t>
            </w:r>
          </w:p>
        </w:tc>
      </w:tr>
      <w:tr w:rsidR="001B38E3" w14:paraId="7FB64C0B" w14:textId="77777777" w:rsidTr="001B38E3">
        <w:tc>
          <w:tcPr>
            <w:tcW w:w="2122" w:type="dxa"/>
            <w:vMerge/>
            <w:vAlign w:val="center"/>
          </w:tcPr>
          <w:p w14:paraId="4E68594A" w14:textId="77777777" w:rsidR="001B38E3" w:rsidRPr="001B38E3" w:rsidRDefault="001B38E3" w:rsidP="001B38E3">
            <w:pPr>
              <w:rPr>
                <w:b/>
              </w:rPr>
            </w:pPr>
          </w:p>
        </w:tc>
        <w:tc>
          <w:tcPr>
            <w:tcW w:w="7313" w:type="dxa"/>
          </w:tcPr>
          <w:p w14:paraId="14363C5C" w14:textId="5A8807C4" w:rsidR="001B38E3" w:rsidRPr="001B38E3" w:rsidRDefault="001B38E3" w:rsidP="001B38E3">
            <w:r w:rsidRPr="001B38E3">
              <w:t>(2b) IHPA provides a written notification of the request for recommendations to the respondent jurisdiction (as soon as practicable)</w:t>
            </w:r>
          </w:p>
        </w:tc>
      </w:tr>
      <w:tr w:rsidR="001B38E3" w14:paraId="25C7809C" w14:textId="77777777" w:rsidTr="001B38E3">
        <w:tc>
          <w:tcPr>
            <w:tcW w:w="2122" w:type="dxa"/>
            <w:vMerge/>
            <w:vAlign w:val="center"/>
          </w:tcPr>
          <w:p w14:paraId="0F902BCC" w14:textId="77777777" w:rsidR="001B38E3" w:rsidRPr="001B38E3" w:rsidRDefault="001B38E3" w:rsidP="001B38E3">
            <w:pPr>
              <w:rPr>
                <w:b/>
              </w:rPr>
            </w:pPr>
          </w:p>
        </w:tc>
        <w:tc>
          <w:tcPr>
            <w:tcW w:w="7313" w:type="dxa"/>
          </w:tcPr>
          <w:p w14:paraId="28ECF6DF" w14:textId="2AC772AF" w:rsidR="001B38E3" w:rsidRPr="001B38E3" w:rsidRDefault="001B38E3" w:rsidP="001B38E3">
            <w:r w:rsidRPr="001B38E3">
              <w:t>(2c) The respondent jurisdiction makes a written submission to IHPA about the dispute within 60 days</w:t>
            </w:r>
          </w:p>
        </w:tc>
      </w:tr>
      <w:tr w:rsidR="001B38E3" w14:paraId="18C08D32" w14:textId="77777777" w:rsidTr="001B38E3">
        <w:tc>
          <w:tcPr>
            <w:tcW w:w="2122" w:type="dxa"/>
            <w:vMerge/>
            <w:vAlign w:val="center"/>
          </w:tcPr>
          <w:p w14:paraId="719DB1F7" w14:textId="77777777" w:rsidR="001B38E3" w:rsidRPr="001B38E3" w:rsidRDefault="001B38E3" w:rsidP="001B38E3">
            <w:pPr>
              <w:rPr>
                <w:b/>
              </w:rPr>
            </w:pPr>
          </w:p>
        </w:tc>
        <w:tc>
          <w:tcPr>
            <w:tcW w:w="7313" w:type="dxa"/>
          </w:tcPr>
          <w:p w14:paraId="49C15401" w14:textId="436399A5" w:rsidR="001B38E3" w:rsidRPr="001B38E3" w:rsidRDefault="001B38E3" w:rsidP="001B38E3">
            <w:r w:rsidRPr="001B38E3">
              <w:t>(2d) IHPA provides a copy of any written response received from the respondent jurisdiction to the applicant jurisdiction</w:t>
            </w:r>
          </w:p>
        </w:tc>
      </w:tr>
      <w:tr w:rsidR="001B38E3" w14:paraId="2BDA08F3" w14:textId="77777777" w:rsidTr="001B38E3">
        <w:tc>
          <w:tcPr>
            <w:tcW w:w="2122" w:type="dxa"/>
            <w:vMerge w:val="restart"/>
            <w:vAlign w:val="center"/>
          </w:tcPr>
          <w:p w14:paraId="169CC965" w14:textId="77777777" w:rsidR="001B38E3" w:rsidRPr="001B38E3" w:rsidRDefault="001B38E3" w:rsidP="001B38E3">
            <w:pPr>
              <w:rPr>
                <w:b/>
              </w:rPr>
            </w:pPr>
            <w:r w:rsidRPr="001B38E3">
              <w:rPr>
                <w:b/>
              </w:rPr>
              <w:t>Stage 3:</w:t>
            </w:r>
          </w:p>
          <w:p w14:paraId="2DF5810B" w14:textId="2845BE28" w:rsidR="001B38E3" w:rsidRPr="001B38E3" w:rsidRDefault="001B38E3" w:rsidP="001B38E3">
            <w:pPr>
              <w:rPr>
                <w:b/>
              </w:rPr>
            </w:pPr>
            <w:r w:rsidRPr="001B38E3">
              <w:rPr>
                <w:b/>
              </w:rPr>
              <w:t>Investigation</w:t>
            </w:r>
          </w:p>
        </w:tc>
        <w:tc>
          <w:tcPr>
            <w:tcW w:w="7313" w:type="dxa"/>
          </w:tcPr>
          <w:p w14:paraId="3E646095" w14:textId="556AA712" w:rsidR="001B38E3" w:rsidRPr="001B38E3" w:rsidRDefault="001B38E3" w:rsidP="001B38E3">
            <w:r w:rsidRPr="001B38E3">
              <w:t>(3a) IHPA undertakes investigation of the dispute</w:t>
            </w:r>
          </w:p>
        </w:tc>
      </w:tr>
      <w:tr w:rsidR="001B38E3" w14:paraId="52C843DC" w14:textId="77777777" w:rsidTr="001B38E3">
        <w:tc>
          <w:tcPr>
            <w:tcW w:w="2122" w:type="dxa"/>
            <w:vMerge/>
            <w:vAlign w:val="center"/>
          </w:tcPr>
          <w:p w14:paraId="66961D6E" w14:textId="77777777" w:rsidR="001B38E3" w:rsidRPr="001B38E3" w:rsidRDefault="001B38E3" w:rsidP="001B38E3">
            <w:pPr>
              <w:rPr>
                <w:b/>
              </w:rPr>
            </w:pPr>
          </w:p>
        </w:tc>
        <w:tc>
          <w:tcPr>
            <w:tcW w:w="7313" w:type="dxa"/>
          </w:tcPr>
          <w:p w14:paraId="27F3E5EC" w14:textId="13895225" w:rsidR="001B38E3" w:rsidRPr="001B38E3" w:rsidRDefault="001B38E3" w:rsidP="001B38E3">
            <w:r w:rsidRPr="001B38E3">
              <w:t>(3b) IHPA requests additional information to assist the investigation (as required)</w:t>
            </w:r>
          </w:p>
        </w:tc>
      </w:tr>
      <w:tr w:rsidR="001B38E3" w14:paraId="69D4D7E3" w14:textId="77777777" w:rsidTr="001B38E3">
        <w:tc>
          <w:tcPr>
            <w:tcW w:w="2122" w:type="dxa"/>
            <w:vMerge w:val="restart"/>
            <w:vAlign w:val="center"/>
          </w:tcPr>
          <w:p w14:paraId="71880B3E" w14:textId="77777777" w:rsidR="001B38E3" w:rsidRPr="001B38E3" w:rsidRDefault="001B38E3" w:rsidP="001B38E3">
            <w:pPr>
              <w:keepNext/>
              <w:keepLines/>
              <w:rPr>
                <w:b/>
              </w:rPr>
            </w:pPr>
            <w:r w:rsidRPr="001B38E3">
              <w:rPr>
                <w:b/>
              </w:rPr>
              <w:lastRenderedPageBreak/>
              <w:t>Stage 4:</w:t>
            </w:r>
          </w:p>
          <w:p w14:paraId="58FB21A4" w14:textId="6C7221D0" w:rsidR="001B38E3" w:rsidRPr="001B38E3" w:rsidRDefault="001B38E3" w:rsidP="001B38E3">
            <w:pPr>
              <w:keepNext/>
              <w:keepLines/>
              <w:rPr>
                <w:b/>
              </w:rPr>
            </w:pPr>
            <w:r w:rsidRPr="001B38E3">
              <w:rPr>
                <w:b/>
              </w:rPr>
              <w:t>Draft recommendations</w:t>
            </w:r>
          </w:p>
        </w:tc>
        <w:tc>
          <w:tcPr>
            <w:tcW w:w="7313" w:type="dxa"/>
          </w:tcPr>
          <w:p w14:paraId="35466D1E" w14:textId="13F02E62" w:rsidR="001B38E3" w:rsidRPr="001B38E3" w:rsidRDefault="001B38E3" w:rsidP="0057690C">
            <w:pPr>
              <w:keepNext/>
            </w:pPr>
            <w:r w:rsidRPr="001B38E3">
              <w:t xml:space="preserve">(4a) IHPA </w:t>
            </w:r>
            <w:r w:rsidR="0057690C">
              <w:t xml:space="preserve">prepares the draft </w:t>
            </w:r>
            <w:r w:rsidRPr="001B38E3">
              <w:t xml:space="preserve">recommendations and provides </w:t>
            </w:r>
            <w:r w:rsidR="00570D9C">
              <w:t xml:space="preserve">it </w:t>
            </w:r>
            <w:r w:rsidRPr="001B38E3">
              <w:t xml:space="preserve">to the health ministers </w:t>
            </w:r>
            <w:r>
              <w:t xml:space="preserve">party to the dispute </w:t>
            </w:r>
            <w:r w:rsidRPr="001B38E3">
              <w:t>for review</w:t>
            </w:r>
          </w:p>
        </w:tc>
      </w:tr>
      <w:tr w:rsidR="001B38E3" w14:paraId="6D208656" w14:textId="77777777" w:rsidTr="001B38E3">
        <w:tc>
          <w:tcPr>
            <w:tcW w:w="2122" w:type="dxa"/>
            <w:vMerge/>
            <w:vAlign w:val="center"/>
          </w:tcPr>
          <w:p w14:paraId="256AFDF4" w14:textId="77777777" w:rsidR="001B38E3" w:rsidRPr="001B38E3" w:rsidRDefault="001B38E3" w:rsidP="001B38E3">
            <w:pPr>
              <w:rPr>
                <w:b/>
              </w:rPr>
            </w:pPr>
          </w:p>
        </w:tc>
        <w:tc>
          <w:tcPr>
            <w:tcW w:w="7313" w:type="dxa"/>
          </w:tcPr>
          <w:p w14:paraId="149D2EFE" w14:textId="003027D8" w:rsidR="001B38E3" w:rsidRPr="001B38E3" w:rsidRDefault="001B38E3" w:rsidP="001B38E3">
            <w:r>
              <w:t>(4b) The</w:t>
            </w:r>
            <w:r w:rsidRPr="001B38E3">
              <w:t xml:space="preserve"> health ministers party to the dispute provide IHPA with written comments within 30 days</w:t>
            </w:r>
          </w:p>
        </w:tc>
      </w:tr>
      <w:tr w:rsidR="001B38E3" w14:paraId="5A47FE28" w14:textId="77777777" w:rsidTr="001B38E3">
        <w:tc>
          <w:tcPr>
            <w:tcW w:w="2122" w:type="dxa"/>
            <w:vMerge/>
            <w:vAlign w:val="center"/>
          </w:tcPr>
          <w:p w14:paraId="13CE76B3" w14:textId="77777777" w:rsidR="001B38E3" w:rsidRPr="001B38E3" w:rsidRDefault="001B38E3" w:rsidP="001B38E3">
            <w:pPr>
              <w:rPr>
                <w:b/>
              </w:rPr>
            </w:pPr>
          </w:p>
        </w:tc>
        <w:tc>
          <w:tcPr>
            <w:tcW w:w="7313" w:type="dxa"/>
          </w:tcPr>
          <w:p w14:paraId="72AC6267" w14:textId="74377E09" w:rsidR="001B38E3" w:rsidRPr="001B38E3" w:rsidRDefault="001B38E3" w:rsidP="001B38E3">
            <w:r w:rsidRPr="001B38E3">
              <w:t xml:space="preserve">(4c) IHPA reviews the written comments </w:t>
            </w:r>
            <w:r>
              <w:t xml:space="preserve">from the health ministers </w:t>
            </w:r>
            <w:r w:rsidRPr="001B38E3">
              <w:t>with regards to the draft recommendations</w:t>
            </w:r>
          </w:p>
        </w:tc>
      </w:tr>
      <w:tr w:rsidR="001B38E3" w14:paraId="27178877" w14:textId="77777777" w:rsidTr="001B38E3">
        <w:tc>
          <w:tcPr>
            <w:tcW w:w="2122" w:type="dxa"/>
            <w:vMerge/>
            <w:vAlign w:val="center"/>
          </w:tcPr>
          <w:p w14:paraId="16EE1E60" w14:textId="77777777" w:rsidR="001B38E3" w:rsidRPr="001B38E3" w:rsidRDefault="001B38E3" w:rsidP="001B38E3">
            <w:pPr>
              <w:rPr>
                <w:b/>
              </w:rPr>
            </w:pPr>
          </w:p>
        </w:tc>
        <w:tc>
          <w:tcPr>
            <w:tcW w:w="7313" w:type="dxa"/>
          </w:tcPr>
          <w:p w14:paraId="480FF42F" w14:textId="0FEB1F53" w:rsidR="001B38E3" w:rsidRPr="001B38E3" w:rsidRDefault="001B38E3" w:rsidP="001B38E3">
            <w:r w:rsidRPr="001B38E3">
              <w:t>(4d) IHPA clarifies the written comments with</w:t>
            </w:r>
            <w:r w:rsidR="00A75EBE">
              <w:t xml:space="preserve"> the health ministers</w:t>
            </w:r>
            <w:r w:rsidRPr="001B38E3">
              <w:t xml:space="preserve">  (if required)</w:t>
            </w:r>
          </w:p>
        </w:tc>
      </w:tr>
      <w:tr w:rsidR="001B38E3" w14:paraId="732097C9" w14:textId="77777777" w:rsidTr="001B38E3">
        <w:tc>
          <w:tcPr>
            <w:tcW w:w="2122" w:type="dxa"/>
            <w:vAlign w:val="center"/>
          </w:tcPr>
          <w:p w14:paraId="107D7A1E" w14:textId="77777777" w:rsidR="001B38E3" w:rsidRPr="001B38E3" w:rsidRDefault="001B38E3" w:rsidP="001B38E3">
            <w:pPr>
              <w:rPr>
                <w:b/>
              </w:rPr>
            </w:pPr>
            <w:r w:rsidRPr="001B38E3">
              <w:rPr>
                <w:b/>
              </w:rPr>
              <w:t>Stage 5:</w:t>
            </w:r>
          </w:p>
          <w:p w14:paraId="7DD33E30" w14:textId="493EFD05" w:rsidR="001B38E3" w:rsidRPr="001B38E3" w:rsidRDefault="001B38E3" w:rsidP="001B38E3">
            <w:pPr>
              <w:rPr>
                <w:b/>
              </w:rPr>
            </w:pPr>
            <w:r w:rsidRPr="001B38E3">
              <w:rPr>
                <w:b/>
              </w:rPr>
              <w:t>Final recommendations</w:t>
            </w:r>
          </w:p>
        </w:tc>
        <w:tc>
          <w:tcPr>
            <w:tcW w:w="7313" w:type="dxa"/>
          </w:tcPr>
          <w:p w14:paraId="2C05BC96" w14:textId="6769A3F7" w:rsidR="001B38E3" w:rsidRPr="001B38E3" w:rsidRDefault="001B38E3" w:rsidP="001B38E3">
            <w:r w:rsidRPr="001B38E3">
              <w:t>(5a) IHPA determines the final recommendation</w:t>
            </w:r>
            <w:r w:rsidR="00570D9C">
              <w:t>s</w:t>
            </w:r>
            <w:r w:rsidRPr="001B38E3">
              <w:t xml:space="preserve"> and provides it to the health ministers</w:t>
            </w:r>
            <w:r>
              <w:t xml:space="preserve"> party to the dispute</w:t>
            </w:r>
          </w:p>
        </w:tc>
      </w:tr>
      <w:tr w:rsidR="001B38E3" w14:paraId="3D260E25" w14:textId="77777777" w:rsidTr="001B38E3">
        <w:tc>
          <w:tcPr>
            <w:tcW w:w="2122" w:type="dxa"/>
            <w:vMerge w:val="restart"/>
            <w:vAlign w:val="center"/>
          </w:tcPr>
          <w:p w14:paraId="097F82E4" w14:textId="77777777" w:rsidR="001B38E3" w:rsidRPr="001B38E3" w:rsidRDefault="001B38E3" w:rsidP="001B38E3">
            <w:pPr>
              <w:rPr>
                <w:b/>
              </w:rPr>
            </w:pPr>
            <w:r w:rsidRPr="001B38E3">
              <w:rPr>
                <w:b/>
              </w:rPr>
              <w:t>Stage 6:</w:t>
            </w:r>
          </w:p>
          <w:p w14:paraId="446BFD4B" w14:textId="516E249D" w:rsidR="001B38E3" w:rsidRPr="001B38E3" w:rsidRDefault="001B38E3" w:rsidP="001B38E3">
            <w:pPr>
              <w:rPr>
                <w:b/>
              </w:rPr>
            </w:pPr>
            <w:r w:rsidRPr="001B38E3">
              <w:rPr>
                <w:b/>
              </w:rPr>
              <w:t>Implementation of</w:t>
            </w:r>
            <w:r w:rsidRPr="001B38E3">
              <w:rPr>
                <w:b/>
              </w:rPr>
              <w:br/>
              <w:t>recommendations</w:t>
            </w:r>
          </w:p>
        </w:tc>
        <w:tc>
          <w:tcPr>
            <w:tcW w:w="7313" w:type="dxa"/>
          </w:tcPr>
          <w:p w14:paraId="7DE10913" w14:textId="3E4543C6" w:rsidR="001B38E3" w:rsidRPr="001B38E3" w:rsidRDefault="001B38E3" w:rsidP="001B38E3">
            <w:r w:rsidRPr="001B38E3">
              <w:t xml:space="preserve">(6a) Jurisdictions </w:t>
            </w:r>
            <w:r w:rsidR="00D52B6D">
              <w:t xml:space="preserve">party to the dispute </w:t>
            </w:r>
            <w:r w:rsidRPr="001B38E3">
              <w:t xml:space="preserve">implement </w:t>
            </w:r>
            <w:r>
              <w:t xml:space="preserve">the </w:t>
            </w:r>
            <w:r w:rsidRPr="001B38E3">
              <w:t>recommendations</w:t>
            </w:r>
          </w:p>
        </w:tc>
      </w:tr>
      <w:tr w:rsidR="001B38E3" w14:paraId="01C002E0" w14:textId="77777777" w:rsidTr="001B38E3">
        <w:tc>
          <w:tcPr>
            <w:tcW w:w="2122" w:type="dxa"/>
            <w:vMerge/>
            <w:vAlign w:val="center"/>
          </w:tcPr>
          <w:p w14:paraId="77F97F2C" w14:textId="77777777" w:rsidR="001B38E3" w:rsidRPr="001B38E3" w:rsidRDefault="001B38E3" w:rsidP="001B38E3">
            <w:pPr>
              <w:rPr>
                <w:b/>
              </w:rPr>
            </w:pPr>
          </w:p>
        </w:tc>
        <w:tc>
          <w:tcPr>
            <w:tcW w:w="7313" w:type="dxa"/>
          </w:tcPr>
          <w:p w14:paraId="3990C41B" w14:textId="5AC42A72" w:rsidR="001B38E3" w:rsidRPr="001B38E3" w:rsidRDefault="001B38E3" w:rsidP="001B38E3">
            <w:r w:rsidRPr="001B38E3">
              <w:t xml:space="preserve">(6b) IHPA monitors compliance with </w:t>
            </w:r>
            <w:r>
              <w:t xml:space="preserve">the </w:t>
            </w:r>
            <w:r w:rsidRPr="001B38E3">
              <w:t>recommendations</w:t>
            </w:r>
          </w:p>
        </w:tc>
      </w:tr>
      <w:tr w:rsidR="001B38E3" w14:paraId="742A4534" w14:textId="77777777" w:rsidTr="001B38E3">
        <w:tc>
          <w:tcPr>
            <w:tcW w:w="2122" w:type="dxa"/>
            <w:vMerge/>
            <w:vAlign w:val="center"/>
          </w:tcPr>
          <w:p w14:paraId="3E3AEE4B" w14:textId="77777777" w:rsidR="001B38E3" w:rsidRPr="001B38E3" w:rsidRDefault="001B38E3" w:rsidP="001B38E3">
            <w:pPr>
              <w:rPr>
                <w:b/>
              </w:rPr>
            </w:pPr>
          </w:p>
        </w:tc>
        <w:tc>
          <w:tcPr>
            <w:tcW w:w="7313" w:type="dxa"/>
          </w:tcPr>
          <w:p w14:paraId="75D47F73" w14:textId="217CD0B1" w:rsidR="001B38E3" w:rsidRPr="001B38E3" w:rsidRDefault="001B38E3" w:rsidP="001B38E3">
            <w:r w:rsidRPr="001B38E3">
              <w:t>(6c) IHPA provides advice to the Commonwealth to adjust funding (if required)</w:t>
            </w:r>
          </w:p>
        </w:tc>
      </w:tr>
    </w:tbl>
    <w:p w14:paraId="103D1B01" w14:textId="589948BE" w:rsidR="00C62141" w:rsidRPr="00BD6BC6" w:rsidRDefault="00C62141" w:rsidP="006D55BD">
      <w:r w:rsidRPr="00BD6BC6">
        <w:t>Further details on each stage are provided below.</w:t>
      </w:r>
    </w:p>
    <w:p w14:paraId="1341BA86" w14:textId="329D50F3" w:rsidR="00C62141" w:rsidRPr="00BD6BC6" w:rsidRDefault="00C62141" w:rsidP="003E6DD4">
      <w:pPr>
        <w:pStyle w:val="Heading3"/>
      </w:pPr>
      <w:bookmarkStart w:id="264" w:name="_Toc507599198"/>
      <w:bookmarkStart w:id="265" w:name="_Toc507611961"/>
      <w:bookmarkStart w:id="266" w:name="_Toc507612177"/>
      <w:bookmarkStart w:id="267" w:name="_Toc507612260"/>
      <w:bookmarkStart w:id="268" w:name="_Toc507613273"/>
      <w:bookmarkStart w:id="269" w:name="_Toc507613378"/>
      <w:bookmarkStart w:id="270" w:name="_Toc507613786"/>
      <w:bookmarkStart w:id="271" w:name="_Toc507614031"/>
      <w:bookmarkStart w:id="272" w:name="_Toc507614158"/>
      <w:bookmarkStart w:id="273" w:name="_Toc507614318"/>
      <w:bookmarkStart w:id="274" w:name="_Toc507614394"/>
      <w:bookmarkStart w:id="275" w:name="_Toc507614506"/>
      <w:bookmarkStart w:id="276" w:name="_Toc2862864"/>
      <w:bookmarkStart w:id="277" w:name="_Toc11232089"/>
      <w:bookmarkStart w:id="278" w:name="_Toc58480955"/>
      <w:bookmarkStart w:id="279" w:name="_Toc58845994"/>
      <w:bookmarkStart w:id="280" w:name="_Toc58846353"/>
      <w:bookmarkStart w:id="281" w:name="_Toc61873534"/>
      <w:bookmarkStart w:id="282" w:name="_Toc61873748"/>
      <w:bookmarkStart w:id="283" w:name="_Toc61950904"/>
      <w:bookmarkStart w:id="284" w:name="_Toc91157731"/>
      <w:r w:rsidRPr="00BD6BC6">
        <w:t xml:space="preserve">Stage 1: Request for </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00F269B2">
        <w:t>recommendations</w:t>
      </w:r>
      <w:bookmarkEnd w:id="284"/>
    </w:p>
    <w:p w14:paraId="5B9D7341" w14:textId="1C1BF07C" w:rsidR="00C62141" w:rsidRPr="00BD6BC6" w:rsidRDefault="00C62141" w:rsidP="00E96CCA">
      <w:pPr>
        <w:pStyle w:val="Heading4"/>
      </w:pPr>
      <w:r w:rsidRPr="00BD6BC6">
        <w:t xml:space="preserve">(1a) Jurisdictions </w:t>
      </w:r>
      <w:r w:rsidR="009C42D6" w:rsidRPr="00BD6BC6">
        <w:t xml:space="preserve">undertake </w:t>
      </w:r>
      <w:r w:rsidRPr="00BD6BC6">
        <w:t xml:space="preserve">reasonable efforts to resolve </w:t>
      </w:r>
      <w:r w:rsidR="00B44A19">
        <w:t xml:space="preserve">the </w:t>
      </w:r>
      <w:r w:rsidRPr="00BD6BC6">
        <w:t>dispute</w:t>
      </w:r>
    </w:p>
    <w:p w14:paraId="425B76E1" w14:textId="7025D330" w:rsidR="00C62141" w:rsidRPr="00BD6BC6" w:rsidRDefault="00C62141" w:rsidP="006D55BD">
      <w:r w:rsidRPr="00BD6BC6">
        <w:t>As part of the submission process, the</w:t>
      </w:r>
      <w:r w:rsidR="004E3E99" w:rsidRPr="00BD6BC6">
        <w:t xml:space="preserve"> applicant</w:t>
      </w:r>
      <w:r w:rsidRPr="00BD6BC6">
        <w:t xml:space="preserve"> jurisdiction </w:t>
      </w:r>
      <w:r w:rsidR="00075EBA" w:rsidRPr="00BD6BC6">
        <w:t xml:space="preserve">must </w:t>
      </w:r>
      <w:r w:rsidRPr="00BD6BC6">
        <w:t xml:space="preserve">include a statement detailing </w:t>
      </w:r>
      <w:r w:rsidR="00075EBA" w:rsidRPr="00BD6BC6">
        <w:t xml:space="preserve">the </w:t>
      </w:r>
      <w:r w:rsidR="0065668D" w:rsidRPr="00BD6BC6">
        <w:t>reasonable effort</w:t>
      </w:r>
      <w:r w:rsidRPr="00BD6BC6">
        <w:t xml:space="preserve"> to resolve the dispute with the </w:t>
      </w:r>
      <w:r w:rsidR="004E3E99" w:rsidRPr="00BD6BC6">
        <w:t xml:space="preserve">respondent </w:t>
      </w:r>
      <w:r w:rsidRPr="00BD6BC6">
        <w:t>jurisdiction, or the reasons why no such steps were taken.</w:t>
      </w:r>
    </w:p>
    <w:p w14:paraId="49EC6FA7" w14:textId="584C1C8C" w:rsidR="00C62141" w:rsidRPr="00BD6BC6" w:rsidRDefault="00C62141" w:rsidP="006D55BD">
      <w:r w:rsidRPr="00BD6BC6">
        <w:t>Some examples of reasonable efforts include:</w:t>
      </w:r>
    </w:p>
    <w:p w14:paraId="0E843250" w14:textId="73A31B85" w:rsidR="00C62141" w:rsidRPr="00BD6BC6" w:rsidRDefault="00C62141" w:rsidP="00593CE6">
      <w:pPr>
        <w:pStyle w:val="ListParagraph"/>
        <w:numPr>
          <w:ilvl w:val="0"/>
          <w:numId w:val="21"/>
        </w:numPr>
        <w:rPr>
          <w:sz w:val="22"/>
          <w:szCs w:val="22"/>
        </w:rPr>
      </w:pPr>
      <w:r w:rsidRPr="00BD6BC6">
        <w:rPr>
          <w:sz w:val="22"/>
          <w:szCs w:val="22"/>
        </w:rPr>
        <w:t>notifying the other party of the issues in dispute and offering to discuss them with a view to resolving the dispute</w:t>
      </w:r>
    </w:p>
    <w:p w14:paraId="008AD5F9" w14:textId="268CD1C6" w:rsidR="00C62141" w:rsidRPr="00BD6BC6" w:rsidRDefault="00C62141" w:rsidP="00593CE6">
      <w:pPr>
        <w:pStyle w:val="ListParagraph"/>
        <w:numPr>
          <w:ilvl w:val="0"/>
          <w:numId w:val="21"/>
        </w:numPr>
        <w:rPr>
          <w:sz w:val="22"/>
          <w:szCs w:val="22"/>
        </w:rPr>
      </w:pPr>
      <w:r w:rsidRPr="00BD6BC6">
        <w:rPr>
          <w:sz w:val="22"/>
          <w:szCs w:val="22"/>
        </w:rPr>
        <w:t>providing relevant information and documents to the other party to enable them to understand the issues involved and how the dispute might be resolved</w:t>
      </w:r>
    </w:p>
    <w:p w14:paraId="693F59B1" w14:textId="42F6177C" w:rsidR="00C62141" w:rsidRPr="00BD6BC6" w:rsidRDefault="00C62141" w:rsidP="00593CE6">
      <w:pPr>
        <w:pStyle w:val="ListParagraph"/>
        <w:numPr>
          <w:ilvl w:val="0"/>
          <w:numId w:val="21"/>
        </w:numPr>
        <w:rPr>
          <w:sz w:val="22"/>
          <w:szCs w:val="22"/>
        </w:rPr>
      </w:pPr>
      <w:r w:rsidRPr="00BD6BC6">
        <w:rPr>
          <w:sz w:val="22"/>
          <w:szCs w:val="22"/>
        </w:rPr>
        <w:t>considering possible resolution through alternative dispute resolution processes</w:t>
      </w:r>
    </w:p>
    <w:p w14:paraId="3E60C9E6" w14:textId="77777777" w:rsidR="00C62141" w:rsidRPr="00BD6BC6" w:rsidRDefault="00C62141" w:rsidP="00593CE6">
      <w:pPr>
        <w:pStyle w:val="ListParagraph"/>
        <w:numPr>
          <w:ilvl w:val="0"/>
          <w:numId w:val="21"/>
        </w:numPr>
        <w:rPr>
          <w:sz w:val="22"/>
          <w:szCs w:val="22"/>
        </w:rPr>
      </w:pPr>
      <w:r w:rsidRPr="00BD6BC6">
        <w:rPr>
          <w:sz w:val="22"/>
          <w:szCs w:val="22"/>
        </w:rPr>
        <w:t>attempting to negotiate with the other party with a view to resolving some or all of the issues in dispute.</w:t>
      </w:r>
    </w:p>
    <w:p w14:paraId="222E3F65" w14:textId="72DBBB37" w:rsidR="00C62141" w:rsidRPr="00BD6BC6" w:rsidRDefault="00C62141" w:rsidP="00E96CCA">
      <w:pPr>
        <w:pStyle w:val="Heading4"/>
      </w:pPr>
      <w:r w:rsidRPr="00BD6BC6">
        <w:t xml:space="preserve">(1b) The </w:t>
      </w:r>
      <w:r w:rsidR="004E3E99" w:rsidRPr="00BD6BC6">
        <w:t xml:space="preserve">applicant </w:t>
      </w:r>
      <w:r w:rsidRPr="00BD6BC6">
        <w:t>jurisdiction provides IHPA with a written request for recommendations</w:t>
      </w:r>
    </w:p>
    <w:p w14:paraId="6342BA11" w14:textId="55F7786A" w:rsidR="007007D6" w:rsidRPr="00BD6BC6" w:rsidRDefault="007007D6" w:rsidP="006D55BD">
      <w:r w:rsidRPr="00BD6BC6">
        <w:t>Following the lapse of the relevant time period (two or six month</w:t>
      </w:r>
      <w:r w:rsidR="005A4023" w:rsidRPr="00BD6BC6">
        <w:t>s</w:t>
      </w:r>
      <w:r w:rsidR="00520674">
        <w:t xml:space="preserve"> as outlined in section 2a</w:t>
      </w:r>
      <w:r w:rsidRPr="00BD6BC6">
        <w:t xml:space="preserve">) where the </w:t>
      </w:r>
      <w:r w:rsidR="004E3E99" w:rsidRPr="00BD6BC6">
        <w:t xml:space="preserve">respondent </w:t>
      </w:r>
      <w:r w:rsidRPr="00BD6BC6">
        <w:t xml:space="preserve">jurisdiction has failed to reimburse the </w:t>
      </w:r>
      <w:r w:rsidR="004E3E99" w:rsidRPr="00BD6BC6">
        <w:t xml:space="preserve">applicant </w:t>
      </w:r>
      <w:r w:rsidRPr="00BD6BC6">
        <w:t xml:space="preserve">jurisdiction, a </w:t>
      </w:r>
      <w:r w:rsidR="005A4023" w:rsidRPr="00BD6BC6">
        <w:t>h</w:t>
      </w:r>
      <w:r w:rsidR="00C62141" w:rsidRPr="00BD6BC6">
        <w:t xml:space="preserve">ealth </w:t>
      </w:r>
      <w:r w:rsidR="005A4023" w:rsidRPr="00BD6BC6">
        <w:t>m</w:t>
      </w:r>
      <w:r w:rsidR="00C62141" w:rsidRPr="00BD6BC6">
        <w:t>inister may re</w:t>
      </w:r>
      <w:r w:rsidRPr="00BD6BC6">
        <w:t xml:space="preserve">fer the dispute to </w:t>
      </w:r>
      <w:r w:rsidR="00C62141" w:rsidRPr="00BD6BC6">
        <w:t xml:space="preserve">IHPA </w:t>
      </w:r>
      <w:r w:rsidRPr="00BD6BC6">
        <w:t xml:space="preserve">for </w:t>
      </w:r>
      <w:r w:rsidR="00C62141" w:rsidRPr="00BD6BC6">
        <w:t>recommendation</w:t>
      </w:r>
      <w:r w:rsidRPr="00BD6BC6">
        <w:t>s</w:t>
      </w:r>
      <w:r w:rsidR="00C62141" w:rsidRPr="00BD6BC6">
        <w:t>.</w:t>
      </w:r>
    </w:p>
    <w:p w14:paraId="11E8F6BF" w14:textId="46A39ECB" w:rsidR="00C62141" w:rsidRPr="00BD6BC6" w:rsidRDefault="00C62141" w:rsidP="006D55BD">
      <w:r w:rsidRPr="00BD6BC6">
        <w:t xml:space="preserve">The request must be in writing and </w:t>
      </w:r>
      <w:r w:rsidR="007007D6" w:rsidRPr="00BD6BC6">
        <w:t xml:space="preserve">the </w:t>
      </w:r>
      <w:r w:rsidR="00570D9C">
        <w:t xml:space="preserve">applicant </w:t>
      </w:r>
      <w:r w:rsidR="007007D6" w:rsidRPr="00BD6BC6">
        <w:t xml:space="preserve">jurisdiction is </w:t>
      </w:r>
      <w:r w:rsidRPr="00BD6BC6">
        <w:t xml:space="preserve">encouraged at a minimum to provide the </w:t>
      </w:r>
      <w:r w:rsidR="007007D6" w:rsidRPr="00BD6BC6">
        <w:t>following information to</w:t>
      </w:r>
      <w:r w:rsidRPr="00BD6BC6">
        <w:t xml:space="preserve"> support the request:</w:t>
      </w:r>
    </w:p>
    <w:p w14:paraId="314EA553" w14:textId="7AF014ED" w:rsidR="00C62141" w:rsidRPr="00BD6BC6" w:rsidRDefault="00C62141" w:rsidP="00593CE6">
      <w:pPr>
        <w:pStyle w:val="ListParagraph"/>
        <w:numPr>
          <w:ilvl w:val="0"/>
          <w:numId w:val="22"/>
        </w:numPr>
        <w:rPr>
          <w:sz w:val="22"/>
          <w:szCs w:val="22"/>
        </w:rPr>
      </w:pPr>
      <w:r w:rsidRPr="00BD6BC6">
        <w:rPr>
          <w:sz w:val="22"/>
          <w:szCs w:val="22"/>
        </w:rPr>
        <w:t xml:space="preserve">copies of any intergovernmental agreements, or </w:t>
      </w:r>
      <w:r w:rsidR="0082120D" w:rsidRPr="00BD6BC6">
        <w:rPr>
          <w:sz w:val="22"/>
          <w:szCs w:val="22"/>
        </w:rPr>
        <w:t xml:space="preserve">arrangements </w:t>
      </w:r>
      <w:r w:rsidRPr="00BD6BC6">
        <w:rPr>
          <w:sz w:val="22"/>
          <w:szCs w:val="22"/>
        </w:rPr>
        <w:t xml:space="preserve">between </w:t>
      </w:r>
      <w:r w:rsidR="0082120D" w:rsidRPr="00BD6BC6">
        <w:rPr>
          <w:sz w:val="22"/>
          <w:szCs w:val="22"/>
        </w:rPr>
        <w:t>states</w:t>
      </w:r>
      <w:r w:rsidR="00F30C2C">
        <w:rPr>
          <w:sz w:val="22"/>
          <w:szCs w:val="22"/>
        </w:rPr>
        <w:t xml:space="preserve"> or </w:t>
      </w:r>
      <w:r w:rsidR="0082120D" w:rsidRPr="00BD6BC6">
        <w:rPr>
          <w:sz w:val="22"/>
          <w:szCs w:val="22"/>
        </w:rPr>
        <w:t>t</w:t>
      </w:r>
      <w:r w:rsidRPr="00BD6BC6">
        <w:rPr>
          <w:sz w:val="22"/>
          <w:szCs w:val="22"/>
        </w:rPr>
        <w:t>erritories</w:t>
      </w:r>
    </w:p>
    <w:p w14:paraId="312933E0" w14:textId="762BA84C" w:rsidR="00C62141" w:rsidRPr="00BD6BC6" w:rsidRDefault="00C62141" w:rsidP="00593CE6">
      <w:pPr>
        <w:pStyle w:val="ListParagraph"/>
        <w:numPr>
          <w:ilvl w:val="0"/>
          <w:numId w:val="22"/>
        </w:numPr>
        <w:rPr>
          <w:sz w:val="22"/>
          <w:szCs w:val="22"/>
        </w:rPr>
      </w:pPr>
      <w:r w:rsidRPr="00BD6BC6">
        <w:rPr>
          <w:sz w:val="22"/>
          <w:szCs w:val="22"/>
        </w:rPr>
        <w:lastRenderedPageBreak/>
        <w:t>relevant information, data and documents to enable IHPA to understand the issues involved</w:t>
      </w:r>
    </w:p>
    <w:p w14:paraId="14B7E03C" w14:textId="5F99EEE5" w:rsidR="00C62141" w:rsidRPr="00BD6BC6" w:rsidRDefault="00C62141" w:rsidP="00593CE6">
      <w:pPr>
        <w:pStyle w:val="ListParagraph"/>
        <w:numPr>
          <w:ilvl w:val="0"/>
          <w:numId w:val="22"/>
        </w:numPr>
        <w:rPr>
          <w:sz w:val="22"/>
          <w:szCs w:val="22"/>
        </w:rPr>
      </w:pPr>
      <w:r w:rsidRPr="00BD6BC6">
        <w:rPr>
          <w:sz w:val="22"/>
          <w:szCs w:val="22"/>
        </w:rPr>
        <w:t xml:space="preserve">statement detailing </w:t>
      </w:r>
      <w:r w:rsidR="00DE553F" w:rsidRPr="00BD6BC6">
        <w:rPr>
          <w:sz w:val="22"/>
          <w:szCs w:val="22"/>
        </w:rPr>
        <w:t>the reasonable efforts</w:t>
      </w:r>
      <w:r w:rsidRPr="00BD6BC6">
        <w:rPr>
          <w:sz w:val="22"/>
          <w:szCs w:val="22"/>
        </w:rPr>
        <w:t xml:space="preserve"> taken to resolve the dispute with the </w:t>
      </w:r>
      <w:r w:rsidR="004E3E99" w:rsidRPr="00BD6BC6">
        <w:rPr>
          <w:sz w:val="22"/>
          <w:szCs w:val="22"/>
        </w:rPr>
        <w:t xml:space="preserve">respondent </w:t>
      </w:r>
      <w:r w:rsidRPr="00BD6BC6">
        <w:rPr>
          <w:sz w:val="22"/>
          <w:szCs w:val="22"/>
        </w:rPr>
        <w:t>jurisdiction, including steps in accordance with any applicable agreements, or the reasons why no such steps were taken.</w:t>
      </w:r>
    </w:p>
    <w:p w14:paraId="6D2218B0" w14:textId="5DF12B78" w:rsidR="00C62141" w:rsidRPr="00BD6BC6" w:rsidRDefault="0094054C" w:rsidP="006D55BD">
      <w:r w:rsidRPr="00BD6BC6">
        <w:t xml:space="preserve">IHPA has developed </w:t>
      </w:r>
      <w:r w:rsidR="009C42D6" w:rsidRPr="00BD6BC6">
        <w:t>guidance</w:t>
      </w:r>
      <w:r w:rsidRPr="00BD6BC6">
        <w:t xml:space="preserve"> at </w:t>
      </w:r>
      <w:r w:rsidRPr="00BD6BC6">
        <w:rPr>
          <w:rStyle w:val="Hyperlink"/>
        </w:rPr>
        <w:t>Appendix B</w:t>
      </w:r>
      <w:r w:rsidRPr="00BD6BC6">
        <w:t xml:space="preserve"> t</w:t>
      </w:r>
      <w:r w:rsidR="00C62141" w:rsidRPr="00BD6BC6">
        <w:t xml:space="preserve">o assist jurisdictions in preparing a written submission to request IHPA </w:t>
      </w:r>
      <w:r w:rsidR="00650DE0" w:rsidRPr="00BD6BC6">
        <w:t>resolve disputes</w:t>
      </w:r>
      <w:r w:rsidR="00C62141" w:rsidRPr="00BD6BC6">
        <w:t>.</w:t>
      </w:r>
    </w:p>
    <w:p w14:paraId="501A0F4C" w14:textId="7297F96F" w:rsidR="00C62141" w:rsidRPr="00BD6BC6" w:rsidRDefault="00C62141" w:rsidP="006D55BD">
      <w:r w:rsidRPr="00BD6BC6">
        <w:t xml:space="preserve">The </w:t>
      </w:r>
      <w:r w:rsidR="004E3E99" w:rsidRPr="00BD6BC6">
        <w:t xml:space="preserve">applicant </w:t>
      </w:r>
      <w:r w:rsidRPr="00BD6BC6">
        <w:t xml:space="preserve">jurisdiction may </w:t>
      </w:r>
      <w:r w:rsidR="00304098" w:rsidRPr="00BD6BC6">
        <w:t>provide</w:t>
      </w:r>
      <w:r w:rsidRPr="00BD6BC6">
        <w:t xml:space="preserve"> a copy of its written submission to the </w:t>
      </w:r>
      <w:r w:rsidR="004E3E99" w:rsidRPr="00BD6BC6">
        <w:t xml:space="preserve">respondent </w:t>
      </w:r>
      <w:r w:rsidRPr="00BD6BC6">
        <w:t xml:space="preserve">jurisdiction at the same time that it sends its request and written submission to IHPA. </w:t>
      </w:r>
    </w:p>
    <w:p w14:paraId="608E25E9" w14:textId="77777777" w:rsidR="00C62141" w:rsidRPr="00BD6BC6" w:rsidRDefault="00C62141" w:rsidP="003E6DD4">
      <w:pPr>
        <w:pStyle w:val="Heading3"/>
        <w:rPr>
          <w:rFonts w:cs="Arial"/>
        </w:rPr>
      </w:pPr>
      <w:bookmarkStart w:id="285" w:name="_Toc507599199"/>
      <w:bookmarkStart w:id="286" w:name="_Toc507611962"/>
      <w:bookmarkStart w:id="287" w:name="_Toc507612178"/>
      <w:bookmarkStart w:id="288" w:name="_Toc507612261"/>
      <w:bookmarkStart w:id="289" w:name="_Toc507613274"/>
      <w:bookmarkStart w:id="290" w:name="_Toc507613379"/>
      <w:bookmarkStart w:id="291" w:name="_Toc507613787"/>
      <w:bookmarkStart w:id="292" w:name="_Toc507614032"/>
      <w:bookmarkStart w:id="293" w:name="_Toc507614159"/>
      <w:bookmarkStart w:id="294" w:name="_Toc507614319"/>
      <w:bookmarkStart w:id="295" w:name="_Toc507614395"/>
      <w:bookmarkStart w:id="296" w:name="_Toc507614507"/>
      <w:bookmarkStart w:id="297" w:name="_Toc2862865"/>
      <w:bookmarkStart w:id="298" w:name="_Toc11232090"/>
      <w:bookmarkStart w:id="299" w:name="_Toc58480956"/>
      <w:bookmarkStart w:id="300" w:name="_Toc58845995"/>
      <w:bookmarkStart w:id="301" w:name="_Toc58846354"/>
      <w:bookmarkStart w:id="302" w:name="_Toc61873535"/>
      <w:bookmarkStart w:id="303" w:name="_Toc61873749"/>
      <w:bookmarkStart w:id="304" w:name="_Toc61950905"/>
      <w:bookmarkStart w:id="305" w:name="_Toc91157732"/>
      <w:r w:rsidRPr="00BD6BC6">
        <w:t>Stage 2: Initial assessment</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48514644" w14:textId="77777777" w:rsidR="00C62141" w:rsidRPr="00BD6BC6" w:rsidRDefault="00C62141" w:rsidP="00E96CCA">
      <w:pPr>
        <w:pStyle w:val="Heading4"/>
      </w:pPr>
      <w:r w:rsidRPr="00BD6BC6">
        <w:t xml:space="preserve">(2a) IHPA undertakes an initial assessment of the dispute </w:t>
      </w:r>
    </w:p>
    <w:p w14:paraId="71018ABF" w14:textId="6DA31882" w:rsidR="00C62141" w:rsidRPr="00BD6BC6" w:rsidRDefault="00C62141" w:rsidP="006D55BD">
      <w:r w:rsidRPr="00BD6BC6">
        <w:t xml:space="preserve">IHPA </w:t>
      </w:r>
      <w:r w:rsidR="00FF4CCC" w:rsidRPr="00BD6BC6">
        <w:t xml:space="preserve">assesses whether </w:t>
      </w:r>
      <w:r w:rsidRPr="00BD6BC6">
        <w:t xml:space="preserve">the jurisdictions </w:t>
      </w:r>
      <w:r w:rsidR="00C032A1">
        <w:t xml:space="preserve">party to the dispute </w:t>
      </w:r>
      <w:r w:rsidRPr="00BD6BC6">
        <w:t xml:space="preserve">have satisfied </w:t>
      </w:r>
      <w:r w:rsidR="00F269B2">
        <w:t xml:space="preserve">all of </w:t>
      </w:r>
      <w:r w:rsidRPr="00BD6BC6">
        <w:t>the following conditions:</w:t>
      </w:r>
    </w:p>
    <w:p w14:paraId="1B5ACFCE" w14:textId="07847227" w:rsidR="00116A3B" w:rsidRDefault="00C62141" w:rsidP="00593CE6">
      <w:pPr>
        <w:pStyle w:val="ListParagraph"/>
        <w:numPr>
          <w:ilvl w:val="0"/>
          <w:numId w:val="23"/>
        </w:numPr>
        <w:rPr>
          <w:sz w:val="22"/>
          <w:szCs w:val="22"/>
        </w:rPr>
      </w:pPr>
      <w:r w:rsidRPr="00BD6BC6">
        <w:rPr>
          <w:sz w:val="22"/>
          <w:szCs w:val="22"/>
        </w:rPr>
        <w:t xml:space="preserve">a </w:t>
      </w:r>
      <w:r w:rsidR="009A4834" w:rsidRPr="00BD6BC6">
        <w:rPr>
          <w:sz w:val="22"/>
          <w:szCs w:val="22"/>
        </w:rPr>
        <w:t xml:space="preserve">jurisdictional </w:t>
      </w:r>
      <w:r w:rsidR="005A4023" w:rsidRPr="00BD6BC6">
        <w:rPr>
          <w:sz w:val="22"/>
          <w:szCs w:val="22"/>
        </w:rPr>
        <w:t>h</w:t>
      </w:r>
      <w:r w:rsidRPr="00BD6BC6">
        <w:rPr>
          <w:sz w:val="22"/>
          <w:szCs w:val="22"/>
        </w:rPr>
        <w:t xml:space="preserve">ealth </w:t>
      </w:r>
      <w:r w:rsidR="005A4023" w:rsidRPr="00BD6BC6">
        <w:rPr>
          <w:sz w:val="22"/>
          <w:szCs w:val="22"/>
        </w:rPr>
        <w:t>m</w:t>
      </w:r>
      <w:r w:rsidRPr="00BD6BC6">
        <w:rPr>
          <w:sz w:val="22"/>
          <w:szCs w:val="22"/>
        </w:rPr>
        <w:t>inister believes</w:t>
      </w:r>
      <w:r w:rsidR="00116A3B">
        <w:rPr>
          <w:sz w:val="22"/>
          <w:szCs w:val="22"/>
        </w:rPr>
        <w:t>:</w:t>
      </w:r>
    </w:p>
    <w:p w14:paraId="6334BEBD" w14:textId="2B723303" w:rsidR="00C62141" w:rsidRPr="00BD6BC6" w:rsidRDefault="00C62141" w:rsidP="00570D9C">
      <w:pPr>
        <w:pStyle w:val="ListParagraph"/>
        <w:numPr>
          <w:ilvl w:val="1"/>
          <w:numId w:val="23"/>
        </w:numPr>
        <w:rPr>
          <w:sz w:val="22"/>
          <w:szCs w:val="22"/>
        </w:rPr>
      </w:pPr>
      <w:r w:rsidRPr="00BD6BC6">
        <w:rPr>
          <w:sz w:val="22"/>
          <w:szCs w:val="22"/>
        </w:rPr>
        <w:t xml:space="preserve">that costs to his or her jurisdiction in relation to health care services are attributable to the provision of public hospital services to residents of another jurisdiction (the </w:t>
      </w:r>
      <w:r w:rsidR="004E3E99" w:rsidRPr="00BD6BC6">
        <w:rPr>
          <w:sz w:val="22"/>
          <w:szCs w:val="22"/>
        </w:rPr>
        <w:t xml:space="preserve">respondent </w:t>
      </w:r>
      <w:r w:rsidRPr="00BD6BC6">
        <w:rPr>
          <w:sz w:val="22"/>
          <w:szCs w:val="22"/>
        </w:rPr>
        <w:t>jurisdiction)</w:t>
      </w:r>
    </w:p>
    <w:p w14:paraId="79865483" w14:textId="382C6815" w:rsidR="00FF4CCC" w:rsidRPr="00BD6BC6" w:rsidRDefault="00C62141" w:rsidP="00570D9C">
      <w:pPr>
        <w:pStyle w:val="ListParagraph"/>
        <w:numPr>
          <w:ilvl w:val="1"/>
          <w:numId w:val="23"/>
        </w:numPr>
        <w:rPr>
          <w:sz w:val="22"/>
          <w:szCs w:val="22"/>
        </w:rPr>
      </w:pPr>
      <w:r w:rsidRPr="00BD6BC6">
        <w:rPr>
          <w:sz w:val="22"/>
          <w:szCs w:val="22"/>
        </w:rPr>
        <w:t>an intergovernmental agreement</w:t>
      </w:r>
      <w:r w:rsidR="00C86BDC" w:rsidRPr="00BD6BC6">
        <w:rPr>
          <w:rStyle w:val="FootnoteReference"/>
          <w:sz w:val="22"/>
          <w:szCs w:val="22"/>
        </w:rPr>
        <w:footnoteReference w:id="2"/>
      </w:r>
      <w:r w:rsidRPr="00BD6BC6">
        <w:rPr>
          <w:sz w:val="22"/>
          <w:szCs w:val="22"/>
        </w:rPr>
        <w:t xml:space="preserve">, or an agreement between </w:t>
      </w:r>
      <w:r w:rsidR="00E276D5" w:rsidRPr="00BD6BC6">
        <w:rPr>
          <w:sz w:val="22"/>
          <w:szCs w:val="22"/>
        </w:rPr>
        <w:t>s</w:t>
      </w:r>
      <w:r w:rsidRPr="00BD6BC6">
        <w:rPr>
          <w:sz w:val="22"/>
          <w:szCs w:val="22"/>
        </w:rPr>
        <w:t xml:space="preserve">tates or </w:t>
      </w:r>
      <w:r w:rsidR="00E276D5" w:rsidRPr="00BD6BC6">
        <w:rPr>
          <w:sz w:val="22"/>
          <w:szCs w:val="22"/>
        </w:rPr>
        <w:t>s</w:t>
      </w:r>
      <w:r w:rsidRPr="00BD6BC6">
        <w:rPr>
          <w:sz w:val="22"/>
          <w:szCs w:val="22"/>
        </w:rPr>
        <w:t xml:space="preserve">tates and </w:t>
      </w:r>
      <w:r w:rsidR="00E276D5" w:rsidRPr="00BD6BC6">
        <w:rPr>
          <w:sz w:val="22"/>
          <w:szCs w:val="22"/>
        </w:rPr>
        <w:t>t</w:t>
      </w:r>
      <w:r w:rsidRPr="00BD6BC6">
        <w:rPr>
          <w:sz w:val="22"/>
          <w:szCs w:val="22"/>
        </w:rPr>
        <w:t xml:space="preserve">erritories, provides for those costs to be reimbursed, wholly or partly, by the </w:t>
      </w:r>
      <w:r w:rsidR="004E3E99" w:rsidRPr="00BD6BC6">
        <w:rPr>
          <w:sz w:val="22"/>
          <w:szCs w:val="22"/>
        </w:rPr>
        <w:t xml:space="preserve">respondent </w:t>
      </w:r>
      <w:r w:rsidRPr="00BD6BC6">
        <w:rPr>
          <w:sz w:val="22"/>
          <w:szCs w:val="22"/>
        </w:rPr>
        <w:t>jurisdiction.</w:t>
      </w:r>
    </w:p>
    <w:p w14:paraId="11DA7DBD" w14:textId="1AA1AD3F" w:rsidR="00C62141" w:rsidRPr="00BD6BC6" w:rsidRDefault="00F269B2" w:rsidP="00593CE6">
      <w:pPr>
        <w:pStyle w:val="ListParagraph"/>
        <w:numPr>
          <w:ilvl w:val="0"/>
          <w:numId w:val="23"/>
        </w:numPr>
        <w:rPr>
          <w:sz w:val="22"/>
          <w:szCs w:val="22"/>
        </w:rPr>
      </w:pPr>
      <w:r>
        <w:rPr>
          <w:sz w:val="22"/>
          <w:szCs w:val="22"/>
        </w:rPr>
        <w:t>A</w:t>
      </w:r>
      <w:r w:rsidR="00C62141" w:rsidRPr="00BD6BC6">
        <w:rPr>
          <w:sz w:val="22"/>
          <w:szCs w:val="22"/>
        </w:rPr>
        <w:t xml:space="preserve">fter being requested to do so, the </w:t>
      </w:r>
      <w:r w:rsidR="004E3E99" w:rsidRPr="00BD6BC6">
        <w:rPr>
          <w:sz w:val="22"/>
          <w:szCs w:val="22"/>
        </w:rPr>
        <w:t xml:space="preserve">respondent </w:t>
      </w:r>
      <w:r w:rsidR="00C62141" w:rsidRPr="00BD6BC6">
        <w:rPr>
          <w:sz w:val="22"/>
          <w:szCs w:val="22"/>
        </w:rPr>
        <w:t>jurisdiction</w:t>
      </w:r>
      <w:r w:rsidR="00AC3586" w:rsidRPr="00BD6BC6">
        <w:rPr>
          <w:sz w:val="22"/>
          <w:szCs w:val="22"/>
        </w:rPr>
        <w:t xml:space="preserve"> has not reimbursed those costs</w:t>
      </w:r>
    </w:p>
    <w:p w14:paraId="06167429" w14:textId="5DE889A9" w:rsidR="00C62141" w:rsidRPr="00BD6BC6" w:rsidRDefault="00C62141" w:rsidP="00593CE6">
      <w:pPr>
        <w:pStyle w:val="ListParagraph"/>
        <w:numPr>
          <w:ilvl w:val="1"/>
          <w:numId w:val="23"/>
        </w:numPr>
        <w:rPr>
          <w:sz w:val="22"/>
          <w:szCs w:val="22"/>
        </w:rPr>
      </w:pPr>
      <w:r w:rsidRPr="00BD6BC6">
        <w:rPr>
          <w:sz w:val="22"/>
          <w:szCs w:val="22"/>
        </w:rPr>
        <w:t xml:space="preserve">within </w:t>
      </w:r>
      <w:r w:rsidR="0027402E" w:rsidRPr="00BD6BC6">
        <w:rPr>
          <w:sz w:val="22"/>
          <w:szCs w:val="22"/>
        </w:rPr>
        <w:t>two</w:t>
      </w:r>
      <w:r w:rsidRPr="00BD6BC6">
        <w:rPr>
          <w:sz w:val="22"/>
          <w:szCs w:val="22"/>
        </w:rPr>
        <w:t xml:space="preserve"> months after the jurisdictions </w:t>
      </w:r>
      <w:r w:rsidR="00C032A1">
        <w:rPr>
          <w:sz w:val="22"/>
          <w:szCs w:val="22"/>
        </w:rPr>
        <w:t>party to the dispute</w:t>
      </w:r>
      <w:r w:rsidR="00116A3B" w:rsidRPr="00BD6BC6">
        <w:rPr>
          <w:sz w:val="22"/>
          <w:szCs w:val="22"/>
        </w:rPr>
        <w:t xml:space="preserve"> </w:t>
      </w:r>
      <w:r w:rsidRPr="00BD6BC6">
        <w:rPr>
          <w:sz w:val="22"/>
          <w:szCs w:val="22"/>
        </w:rPr>
        <w:t>agree on the number of health care services involved; or</w:t>
      </w:r>
    </w:p>
    <w:p w14:paraId="24095D08" w14:textId="04DA5943" w:rsidR="00C62141" w:rsidRPr="00BD6BC6" w:rsidRDefault="00C62141" w:rsidP="00593CE6">
      <w:pPr>
        <w:pStyle w:val="ListParagraph"/>
        <w:numPr>
          <w:ilvl w:val="1"/>
          <w:numId w:val="23"/>
        </w:numPr>
        <w:rPr>
          <w:sz w:val="22"/>
          <w:szCs w:val="22"/>
        </w:rPr>
      </w:pPr>
      <w:r w:rsidRPr="00BD6BC6">
        <w:rPr>
          <w:sz w:val="22"/>
          <w:szCs w:val="22"/>
        </w:rPr>
        <w:t xml:space="preserve">within </w:t>
      </w:r>
      <w:r w:rsidR="0027402E" w:rsidRPr="00BD6BC6">
        <w:rPr>
          <w:sz w:val="22"/>
          <w:szCs w:val="22"/>
        </w:rPr>
        <w:t>six</w:t>
      </w:r>
      <w:r w:rsidRPr="00BD6BC6">
        <w:rPr>
          <w:sz w:val="22"/>
          <w:szCs w:val="22"/>
        </w:rPr>
        <w:t xml:space="preserve"> months after the last of those services was provided</w:t>
      </w:r>
      <w:r w:rsidR="00D84362" w:rsidRPr="00BD6BC6">
        <w:rPr>
          <w:sz w:val="22"/>
          <w:szCs w:val="22"/>
        </w:rPr>
        <w:t>.</w:t>
      </w:r>
    </w:p>
    <w:p w14:paraId="1642BCDF" w14:textId="3FCC49A7" w:rsidR="00C62141" w:rsidRPr="00BD6BC6" w:rsidRDefault="00C032A1" w:rsidP="00593CE6">
      <w:pPr>
        <w:pStyle w:val="ListParagraph"/>
        <w:numPr>
          <w:ilvl w:val="0"/>
          <w:numId w:val="23"/>
        </w:numPr>
        <w:rPr>
          <w:sz w:val="22"/>
          <w:szCs w:val="22"/>
        </w:rPr>
      </w:pPr>
      <w:r>
        <w:rPr>
          <w:sz w:val="22"/>
          <w:szCs w:val="22"/>
        </w:rPr>
        <w:t xml:space="preserve">The </w:t>
      </w:r>
      <w:r w:rsidR="00C62141" w:rsidRPr="00BD6BC6">
        <w:rPr>
          <w:sz w:val="22"/>
          <w:szCs w:val="22"/>
        </w:rPr>
        <w:t xml:space="preserve">jurisdictions </w:t>
      </w:r>
      <w:r w:rsidR="008F4DC0">
        <w:rPr>
          <w:sz w:val="22"/>
          <w:szCs w:val="22"/>
        </w:rPr>
        <w:t xml:space="preserve">party to the dispute </w:t>
      </w:r>
      <w:r w:rsidR="00C62141" w:rsidRPr="00BD6BC6">
        <w:rPr>
          <w:sz w:val="22"/>
          <w:szCs w:val="22"/>
        </w:rPr>
        <w:t xml:space="preserve">have complied with any relevant requirements set out in intergovernmental agreements, or agreements between </w:t>
      </w:r>
      <w:r w:rsidR="00116A3B">
        <w:rPr>
          <w:sz w:val="22"/>
          <w:szCs w:val="22"/>
        </w:rPr>
        <w:t>them</w:t>
      </w:r>
      <w:r w:rsidR="00133CE5">
        <w:rPr>
          <w:sz w:val="22"/>
          <w:szCs w:val="22"/>
        </w:rPr>
        <w:t>.</w:t>
      </w:r>
    </w:p>
    <w:p w14:paraId="19547CFF" w14:textId="30DEDC71" w:rsidR="00C62141" w:rsidRPr="00BD6BC6" w:rsidRDefault="00C032A1" w:rsidP="00593CE6">
      <w:pPr>
        <w:pStyle w:val="ListParagraph"/>
        <w:numPr>
          <w:ilvl w:val="0"/>
          <w:numId w:val="23"/>
        </w:numPr>
        <w:rPr>
          <w:sz w:val="22"/>
          <w:szCs w:val="22"/>
        </w:rPr>
      </w:pPr>
      <w:r>
        <w:rPr>
          <w:sz w:val="22"/>
          <w:szCs w:val="22"/>
        </w:rPr>
        <w:t xml:space="preserve">The </w:t>
      </w:r>
      <w:r w:rsidR="00C62141" w:rsidRPr="00BD6BC6">
        <w:rPr>
          <w:sz w:val="22"/>
          <w:szCs w:val="22"/>
        </w:rPr>
        <w:t>jurisdictions</w:t>
      </w:r>
      <w:r w:rsidR="008F4DC0">
        <w:rPr>
          <w:sz w:val="22"/>
          <w:szCs w:val="22"/>
        </w:rPr>
        <w:t xml:space="preserve"> party to the dispute</w:t>
      </w:r>
      <w:r w:rsidR="00C62141" w:rsidRPr="00BD6BC6">
        <w:rPr>
          <w:sz w:val="22"/>
          <w:szCs w:val="22"/>
        </w:rPr>
        <w:t xml:space="preserve"> have made reasonable efforts to resolve the dispute.</w:t>
      </w:r>
    </w:p>
    <w:p w14:paraId="594C0F23" w14:textId="178696B8" w:rsidR="00C62141" w:rsidRPr="00BD6BC6" w:rsidRDefault="00C62141" w:rsidP="006D55BD">
      <w:r w:rsidRPr="00BD6BC6">
        <w:t>IHPA will only investigat</w:t>
      </w:r>
      <w:r w:rsidR="009F77D5" w:rsidRPr="00BD6BC6">
        <w:t>e</w:t>
      </w:r>
      <w:r w:rsidRPr="00BD6BC6">
        <w:t xml:space="preserve"> and </w:t>
      </w:r>
      <w:r w:rsidR="009F77D5" w:rsidRPr="00BD6BC6">
        <w:t xml:space="preserve">make </w:t>
      </w:r>
      <w:r w:rsidRPr="00BD6BC6">
        <w:t>recommendations where the</w:t>
      </w:r>
      <w:r w:rsidR="004E3E99" w:rsidRPr="00BD6BC6">
        <w:t xml:space="preserve"> applicant</w:t>
      </w:r>
      <w:r w:rsidRPr="00BD6BC6">
        <w:t xml:space="preserve"> jurisdiction outlines in the request how each of the</w:t>
      </w:r>
      <w:r w:rsidR="009F77D5" w:rsidRPr="00BD6BC6">
        <w:t xml:space="preserve"> above</w:t>
      </w:r>
      <w:r w:rsidRPr="00BD6BC6">
        <w:t xml:space="preserve"> conditions have been met and IHPA is satisfied that this information is sufficient. If IHPA is not satisfied that these conditions have been met, the request for assessment will </w:t>
      </w:r>
      <w:r w:rsidR="00CC4D43" w:rsidRPr="00BD6BC6">
        <w:t xml:space="preserve">be </w:t>
      </w:r>
      <w:r w:rsidRPr="00BD6BC6">
        <w:t>refer</w:t>
      </w:r>
      <w:r w:rsidR="00CC4D43" w:rsidRPr="00BD6BC6">
        <w:t>red</w:t>
      </w:r>
      <w:r w:rsidRPr="00BD6BC6">
        <w:t xml:space="preserve"> back to the </w:t>
      </w:r>
      <w:r w:rsidR="005A4023" w:rsidRPr="00BD6BC6">
        <w:t>h</w:t>
      </w:r>
      <w:r w:rsidRPr="00BD6BC6">
        <w:t xml:space="preserve">ealth </w:t>
      </w:r>
      <w:r w:rsidR="005A4023" w:rsidRPr="00BD6BC6">
        <w:t>m</w:t>
      </w:r>
      <w:r w:rsidRPr="00BD6BC6">
        <w:t xml:space="preserve">inister of the </w:t>
      </w:r>
      <w:r w:rsidR="004E3E99" w:rsidRPr="00BD6BC6">
        <w:t xml:space="preserve">applicant </w:t>
      </w:r>
      <w:r w:rsidRPr="00BD6BC6">
        <w:t>jurisdiction:</w:t>
      </w:r>
    </w:p>
    <w:p w14:paraId="55ED9D03" w14:textId="411E5E14" w:rsidR="00C62141" w:rsidRPr="00BD6BC6" w:rsidRDefault="00C62141" w:rsidP="00593CE6">
      <w:pPr>
        <w:pStyle w:val="ListParagraph"/>
        <w:numPr>
          <w:ilvl w:val="0"/>
          <w:numId w:val="24"/>
        </w:numPr>
        <w:rPr>
          <w:sz w:val="22"/>
          <w:szCs w:val="22"/>
        </w:rPr>
      </w:pPr>
      <w:r w:rsidRPr="00BD6BC6">
        <w:rPr>
          <w:sz w:val="22"/>
          <w:szCs w:val="22"/>
        </w:rPr>
        <w:t>explaining that insufficient information has been provided to enable IHPA to determine whether it will investigate the dispute</w:t>
      </w:r>
      <w:r w:rsidR="00B44A19">
        <w:rPr>
          <w:sz w:val="22"/>
          <w:szCs w:val="22"/>
        </w:rPr>
        <w:t>; and</w:t>
      </w:r>
    </w:p>
    <w:p w14:paraId="17AD5A21" w14:textId="1EE757EE" w:rsidR="00C62141" w:rsidRDefault="00C62141" w:rsidP="00593CE6">
      <w:pPr>
        <w:pStyle w:val="ListParagraph"/>
        <w:numPr>
          <w:ilvl w:val="0"/>
          <w:numId w:val="24"/>
        </w:numPr>
        <w:rPr>
          <w:sz w:val="22"/>
          <w:szCs w:val="22"/>
        </w:rPr>
      </w:pPr>
      <w:r w:rsidRPr="00BD6BC6">
        <w:rPr>
          <w:sz w:val="22"/>
          <w:szCs w:val="22"/>
        </w:rPr>
        <w:t>seeking additional information to enable IHPA to make this decision.</w:t>
      </w:r>
    </w:p>
    <w:p w14:paraId="706755E3" w14:textId="438678E1" w:rsidR="00C62141" w:rsidRPr="00BD6BC6" w:rsidRDefault="00C62141" w:rsidP="00E96CCA">
      <w:pPr>
        <w:pStyle w:val="Heading4"/>
      </w:pPr>
      <w:r w:rsidRPr="00BD6BC6">
        <w:lastRenderedPageBreak/>
        <w:t xml:space="preserve">(2b) IHPA provides </w:t>
      </w:r>
      <w:r w:rsidR="00057A6F" w:rsidRPr="00BD6BC6">
        <w:t xml:space="preserve">a </w:t>
      </w:r>
      <w:r w:rsidRPr="00BD6BC6">
        <w:t>written notification of the request for recommendation</w:t>
      </w:r>
      <w:r w:rsidR="00057A6F" w:rsidRPr="00BD6BC6">
        <w:t>s</w:t>
      </w:r>
      <w:r w:rsidRPr="00BD6BC6">
        <w:t xml:space="preserve"> to the </w:t>
      </w:r>
      <w:r w:rsidR="004E3E99" w:rsidRPr="00BD6BC6">
        <w:t xml:space="preserve">respondent </w:t>
      </w:r>
      <w:r w:rsidRPr="00BD6BC6">
        <w:t>jurisdiction (as soon as practicable)</w:t>
      </w:r>
    </w:p>
    <w:p w14:paraId="4756E49E" w14:textId="07BE959E" w:rsidR="00C62141" w:rsidRPr="00BD6BC6" w:rsidRDefault="00C62141" w:rsidP="006D55BD">
      <w:r w:rsidRPr="00BD6BC6">
        <w:t xml:space="preserve">Once IHPA </w:t>
      </w:r>
      <w:r w:rsidR="00753707" w:rsidRPr="00BD6BC6">
        <w:t xml:space="preserve">starts </w:t>
      </w:r>
      <w:r w:rsidRPr="00BD6BC6">
        <w:t xml:space="preserve">to investigate the dispute and as soon as practicable after starting the investigation, IHPA must give the </w:t>
      </w:r>
      <w:r w:rsidR="005A4023" w:rsidRPr="00BD6BC6">
        <w:t>h</w:t>
      </w:r>
      <w:r w:rsidRPr="00BD6BC6">
        <w:t xml:space="preserve">ealth </w:t>
      </w:r>
      <w:r w:rsidR="005A4023" w:rsidRPr="00BD6BC6">
        <w:t>m</w:t>
      </w:r>
      <w:r w:rsidRPr="00BD6BC6">
        <w:t xml:space="preserve">inister of the </w:t>
      </w:r>
      <w:r w:rsidR="004E3E99" w:rsidRPr="00BD6BC6">
        <w:t xml:space="preserve">respondent </w:t>
      </w:r>
      <w:r w:rsidRPr="00BD6BC6">
        <w:t>jurisdiction (in writing):</w:t>
      </w:r>
    </w:p>
    <w:p w14:paraId="6B8D64AD" w14:textId="3E6C8973" w:rsidR="00753707" w:rsidRPr="00BD6BC6" w:rsidRDefault="00C62141" w:rsidP="00145E0A">
      <w:pPr>
        <w:pStyle w:val="ListParagraph"/>
        <w:numPr>
          <w:ilvl w:val="0"/>
          <w:numId w:val="39"/>
        </w:numPr>
        <w:rPr>
          <w:sz w:val="22"/>
          <w:szCs w:val="22"/>
        </w:rPr>
      </w:pPr>
      <w:r w:rsidRPr="00BD6BC6">
        <w:rPr>
          <w:sz w:val="22"/>
          <w:szCs w:val="22"/>
        </w:rPr>
        <w:t>notice of the request</w:t>
      </w:r>
      <w:r w:rsidR="00753707" w:rsidRPr="00BD6BC6">
        <w:rPr>
          <w:sz w:val="22"/>
          <w:szCs w:val="22"/>
        </w:rPr>
        <w:t>, including a copy of the submission</w:t>
      </w:r>
    </w:p>
    <w:p w14:paraId="2A5C348A" w14:textId="69B97C3F" w:rsidR="00C62141" w:rsidRPr="00BD6BC6" w:rsidRDefault="00C62141" w:rsidP="00145E0A">
      <w:pPr>
        <w:pStyle w:val="ListParagraph"/>
        <w:numPr>
          <w:ilvl w:val="0"/>
          <w:numId w:val="39"/>
        </w:numPr>
        <w:rPr>
          <w:sz w:val="22"/>
          <w:szCs w:val="22"/>
        </w:rPr>
      </w:pPr>
      <w:r w:rsidRPr="00BD6BC6">
        <w:rPr>
          <w:sz w:val="22"/>
          <w:szCs w:val="22"/>
        </w:rPr>
        <w:t xml:space="preserve">an invitation to make a written submission about the dispute within 60 days </w:t>
      </w:r>
      <w:r w:rsidR="00753707" w:rsidRPr="00BD6BC6">
        <w:rPr>
          <w:sz w:val="22"/>
          <w:szCs w:val="22"/>
        </w:rPr>
        <w:t xml:space="preserve">of </w:t>
      </w:r>
      <w:r w:rsidRPr="00BD6BC6">
        <w:rPr>
          <w:sz w:val="22"/>
          <w:szCs w:val="22"/>
        </w:rPr>
        <w:t>receiving the invitation</w:t>
      </w:r>
    </w:p>
    <w:p w14:paraId="50E4613E" w14:textId="714103F6" w:rsidR="003D4318" w:rsidRPr="00BD6BC6" w:rsidRDefault="003D4318" w:rsidP="00145E0A">
      <w:pPr>
        <w:pStyle w:val="ListParagraph"/>
        <w:numPr>
          <w:ilvl w:val="0"/>
          <w:numId w:val="39"/>
        </w:numPr>
        <w:rPr>
          <w:sz w:val="22"/>
          <w:szCs w:val="22"/>
        </w:rPr>
      </w:pPr>
      <w:r w:rsidRPr="00BD6BC6">
        <w:rPr>
          <w:color w:val="000000"/>
          <w:sz w:val="22"/>
          <w:szCs w:val="22"/>
          <w:shd w:val="clear" w:color="auto" w:fill="FFFFFF"/>
        </w:rPr>
        <w:t>a copy of the submission that accompanied the request.</w:t>
      </w:r>
    </w:p>
    <w:p w14:paraId="2E5856FE" w14:textId="66AE193F" w:rsidR="00C62141" w:rsidRPr="00BD6BC6" w:rsidRDefault="00C62141" w:rsidP="00E96CCA">
      <w:pPr>
        <w:pStyle w:val="Heading4"/>
      </w:pPr>
      <w:r w:rsidRPr="00BD6BC6">
        <w:t>(2c) The</w:t>
      </w:r>
      <w:r w:rsidR="00E30897" w:rsidRPr="00BD6BC6">
        <w:t xml:space="preserve"> </w:t>
      </w:r>
      <w:r w:rsidR="004E3E99" w:rsidRPr="00BD6BC6">
        <w:t>respondent</w:t>
      </w:r>
      <w:r w:rsidRPr="00BD6BC6">
        <w:t xml:space="preserve"> jurisdiction makes a written submission to IHPA about the dispute within 60 days</w:t>
      </w:r>
    </w:p>
    <w:p w14:paraId="4FBB56FE" w14:textId="44E0F75D" w:rsidR="00C67138" w:rsidRPr="00BD6BC6" w:rsidRDefault="003D4318" w:rsidP="006D55BD">
      <w:r w:rsidRPr="00BD6BC6">
        <w:t>I</w:t>
      </w:r>
      <w:r w:rsidR="006171E4" w:rsidRPr="00BD6BC6">
        <w:t>f</w:t>
      </w:r>
      <w:r w:rsidR="00C62141" w:rsidRPr="00BD6BC6">
        <w:t xml:space="preserve"> the </w:t>
      </w:r>
      <w:r w:rsidR="004E3E99" w:rsidRPr="00BD6BC6">
        <w:t xml:space="preserve">respondent </w:t>
      </w:r>
      <w:r w:rsidR="00C62141" w:rsidRPr="00BD6BC6">
        <w:t xml:space="preserve">jurisdiction </w:t>
      </w:r>
      <w:r w:rsidR="00C67138" w:rsidRPr="00BD6BC6">
        <w:t xml:space="preserve">declines the </w:t>
      </w:r>
      <w:r w:rsidR="00797AED" w:rsidRPr="00BD6BC6">
        <w:t>invitation</w:t>
      </w:r>
      <w:r w:rsidR="00C67138" w:rsidRPr="00BD6BC6">
        <w:t xml:space="preserve"> to provide a written submission, this must be advised in writing.</w:t>
      </w:r>
    </w:p>
    <w:p w14:paraId="610526B0" w14:textId="5DBF8369" w:rsidR="003F5C81" w:rsidRPr="00BD6BC6" w:rsidRDefault="00C67138" w:rsidP="006D55BD">
      <w:r w:rsidRPr="00BD6BC6">
        <w:t xml:space="preserve">If the </w:t>
      </w:r>
      <w:r w:rsidR="004E3E99" w:rsidRPr="00BD6BC6">
        <w:t xml:space="preserve">respondent </w:t>
      </w:r>
      <w:r w:rsidRPr="00BD6BC6">
        <w:t xml:space="preserve">jurisdiction </w:t>
      </w:r>
      <w:r w:rsidR="00C62141" w:rsidRPr="00BD6BC6">
        <w:t xml:space="preserve">is unable to provide a written submission within 60 days, </w:t>
      </w:r>
      <w:r w:rsidRPr="00BD6BC6">
        <w:t>they may seek an extension. Extensions will be c</w:t>
      </w:r>
      <w:r w:rsidR="00515629" w:rsidRPr="00BD6BC6">
        <w:t>onsidered at IHPA’s discretion.</w:t>
      </w:r>
      <w:r w:rsidRPr="00BD6BC6">
        <w:t xml:space="preserve"> The period of any extension will be as short as is reasonably appropriate in the circumstances.</w:t>
      </w:r>
    </w:p>
    <w:p w14:paraId="1DAA14AB" w14:textId="1B326BE1" w:rsidR="00C62141" w:rsidRPr="00BD6BC6" w:rsidRDefault="003F5C81" w:rsidP="006D55BD">
      <w:r w:rsidRPr="00BD6BC6">
        <w:t>A</w:t>
      </w:r>
      <w:r w:rsidR="00C62141" w:rsidRPr="00BD6BC6">
        <w:t xml:space="preserve">ny request for an extension should be </w:t>
      </w:r>
      <w:r w:rsidR="00515629" w:rsidRPr="00BD6BC6">
        <w:t>made in writing and include</w:t>
      </w:r>
      <w:r w:rsidR="00C62141" w:rsidRPr="00BD6BC6">
        <w:t xml:space="preserve"> reasons for the request. IHPA will consult with the </w:t>
      </w:r>
      <w:r w:rsidR="00C1783E" w:rsidRPr="00BD6BC6">
        <w:t>h</w:t>
      </w:r>
      <w:r w:rsidR="00C62141" w:rsidRPr="00BD6BC6">
        <w:t xml:space="preserve">ealth </w:t>
      </w:r>
      <w:r w:rsidR="00C1783E" w:rsidRPr="00BD6BC6">
        <w:t>m</w:t>
      </w:r>
      <w:r w:rsidR="00C62141" w:rsidRPr="00BD6BC6">
        <w:t xml:space="preserve">inister of the </w:t>
      </w:r>
      <w:r w:rsidR="00C032A1">
        <w:t xml:space="preserve"> </w:t>
      </w:r>
      <w:r w:rsidR="00B44A19">
        <w:t xml:space="preserve">applicant </w:t>
      </w:r>
      <w:r w:rsidR="00C62141" w:rsidRPr="00BD6BC6">
        <w:t xml:space="preserve">jurisdiction (including in </w:t>
      </w:r>
      <w:r w:rsidR="0020233C" w:rsidRPr="00BD6BC6">
        <w:t xml:space="preserve">relation to </w:t>
      </w:r>
      <w:r w:rsidR="00C62141" w:rsidRPr="00BD6BC6">
        <w:t>the proposed length of any extension) when deci</w:t>
      </w:r>
      <w:r w:rsidR="0020233C" w:rsidRPr="00BD6BC6">
        <w:t>ding</w:t>
      </w:r>
      <w:r w:rsidR="00C62141" w:rsidRPr="00BD6BC6">
        <w:t xml:space="preserve"> on the request for extension.</w:t>
      </w:r>
    </w:p>
    <w:p w14:paraId="20E798B9" w14:textId="434C572C" w:rsidR="00C62141" w:rsidRPr="00BD6BC6" w:rsidRDefault="00C62141" w:rsidP="006D55BD">
      <w:r w:rsidRPr="00BD6BC6">
        <w:t>In making its decision on the request for an extension</w:t>
      </w:r>
      <w:r w:rsidR="0020233C" w:rsidRPr="00BD6BC6">
        <w:t xml:space="preserve">, </w:t>
      </w:r>
      <w:r w:rsidRPr="00BD6BC6">
        <w:t xml:space="preserve">IHPA will </w:t>
      </w:r>
      <w:r w:rsidR="003D4318" w:rsidRPr="00BD6BC6">
        <w:t>consider</w:t>
      </w:r>
      <w:r w:rsidRPr="00BD6BC6">
        <w:t>:</w:t>
      </w:r>
    </w:p>
    <w:p w14:paraId="6FDAB850" w14:textId="45F1B69F" w:rsidR="00255BC6" w:rsidRPr="00BD6BC6" w:rsidRDefault="00C62141" w:rsidP="00145E0A">
      <w:pPr>
        <w:pStyle w:val="ListParagraph"/>
        <w:numPr>
          <w:ilvl w:val="0"/>
          <w:numId w:val="24"/>
        </w:numPr>
        <w:rPr>
          <w:sz w:val="22"/>
          <w:szCs w:val="22"/>
        </w:rPr>
      </w:pPr>
      <w:r w:rsidRPr="00BD6BC6">
        <w:rPr>
          <w:sz w:val="22"/>
          <w:szCs w:val="22"/>
        </w:rPr>
        <w:t xml:space="preserve">the reasons given by the </w:t>
      </w:r>
      <w:r w:rsidR="004E3E99" w:rsidRPr="00BD6BC6">
        <w:rPr>
          <w:sz w:val="22"/>
          <w:szCs w:val="22"/>
        </w:rPr>
        <w:t xml:space="preserve">respondent </w:t>
      </w:r>
      <w:r w:rsidRPr="00BD6BC6">
        <w:rPr>
          <w:sz w:val="22"/>
          <w:szCs w:val="22"/>
        </w:rPr>
        <w:t>jurisdiction</w:t>
      </w:r>
      <w:r w:rsidR="00255BC6" w:rsidRPr="00BD6BC6">
        <w:rPr>
          <w:sz w:val="22"/>
          <w:szCs w:val="22"/>
        </w:rPr>
        <w:t>, including whether the extension is requested because of circumstances outside of their control (for example, delays in obtaining information from third parties needed to prepare the submission)</w:t>
      </w:r>
    </w:p>
    <w:p w14:paraId="34DDBD5D" w14:textId="5785B000" w:rsidR="00C62141" w:rsidRPr="00BD6BC6" w:rsidRDefault="00A47AF3" w:rsidP="00145E0A">
      <w:pPr>
        <w:pStyle w:val="ListParagraph"/>
        <w:numPr>
          <w:ilvl w:val="0"/>
          <w:numId w:val="24"/>
        </w:numPr>
        <w:rPr>
          <w:sz w:val="22"/>
          <w:szCs w:val="22"/>
        </w:rPr>
      </w:pPr>
      <w:r w:rsidRPr="00BD6BC6">
        <w:rPr>
          <w:sz w:val="22"/>
          <w:szCs w:val="22"/>
        </w:rPr>
        <w:t xml:space="preserve">the </w:t>
      </w:r>
      <w:r w:rsidR="00C62141" w:rsidRPr="00BD6BC6">
        <w:rPr>
          <w:sz w:val="22"/>
          <w:szCs w:val="22"/>
        </w:rPr>
        <w:t>level of detail provided to enable IHPA to understand the basis of the request</w:t>
      </w:r>
    </w:p>
    <w:p w14:paraId="39B66CA1" w14:textId="78667514" w:rsidR="00C62141" w:rsidRPr="00BD6BC6" w:rsidRDefault="00C62141" w:rsidP="00145E0A">
      <w:pPr>
        <w:pStyle w:val="ListParagraph"/>
        <w:numPr>
          <w:ilvl w:val="0"/>
          <w:numId w:val="24"/>
        </w:numPr>
        <w:rPr>
          <w:sz w:val="22"/>
          <w:szCs w:val="22"/>
        </w:rPr>
      </w:pPr>
      <w:r w:rsidRPr="00BD6BC6">
        <w:rPr>
          <w:sz w:val="22"/>
          <w:szCs w:val="22"/>
        </w:rPr>
        <w:t xml:space="preserve">the terms of the response received from the </w:t>
      </w:r>
      <w:r w:rsidR="004E3E99" w:rsidRPr="00BD6BC6">
        <w:rPr>
          <w:sz w:val="22"/>
          <w:szCs w:val="22"/>
        </w:rPr>
        <w:t xml:space="preserve">applicant </w:t>
      </w:r>
      <w:r w:rsidRPr="00BD6BC6">
        <w:rPr>
          <w:sz w:val="22"/>
          <w:szCs w:val="22"/>
        </w:rPr>
        <w:t>jurisdiction</w:t>
      </w:r>
    </w:p>
    <w:p w14:paraId="26724025" w14:textId="4ADE3DA3" w:rsidR="00C62141" w:rsidRPr="00BD6BC6" w:rsidRDefault="00C62141" w:rsidP="00145E0A">
      <w:pPr>
        <w:pStyle w:val="ListParagraph"/>
        <w:numPr>
          <w:ilvl w:val="0"/>
          <w:numId w:val="24"/>
        </w:numPr>
        <w:rPr>
          <w:sz w:val="22"/>
          <w:szCs w:val="22"/>
        </w:rPr>
      </w:pPr>
      <w:r w:rsidRPr="00BD6BC6">
        <w:rPr>
          <w:sz w:val="22"/>
          <w:szCs w:val="22"/>
        </w:rPr>
        <w:t>what is fair and reasonable to both parties in the circumstances of the particular case</w:t>
      </w:r>
    </w:p>
    <w:p w14:paraId="08139540" w14:textId="77777777" w:rsidR="00C62141" w:rsidRPr="00BD6BC6" w:rsidRDefault="00C62141" w:rsidP="00145E0A">
      <w:pPr>
        <w:pStyle w:val="ListParagraph"/>
        <w:numPr>
          <w:ilvl w:val="0"/>
          <w:numId w:val="24"/>
        </w:numPr>
        <w:rPr>
          <w:sz w:val="22"/>
          <w:szCs w:val="22"/>
        </w:rPr>
      </w:pPr>
      <w:r w:rsidRPr="00BD6BC6">
        <w:rPr>
          <w:sz w:val="22"/>
          <w:szCs w:val="22"/>
        </w:rPr>
        <w:t>any other matters IHPA considers relevant.</w:t>
      </w:r>
    </w:p>
    <w:p w14:paraId="084B4BBC" w14:textId="786152E7" w:rsidR="00E96CCA" w:rsidRPr="00BD6BC6" w:rsidRDefault="00C62141" w:rsidP="006D55BD">
      <w:r w:rsidRPr="00BD6BC6">
        <w:t>Where IHPA grant</w:t>
      </w:r>
      <w:r w:rsidR="009F6BD6" w:rsidRPr="00BD6BC6">
        <w:t>s</w:t>
      </w:r>
      <w:r w:rsidRPr="00BD6BC6">
        <w:t xml:space="preserve"> an extension, </w:t>
      </w:r>
      <w:r w:rsidR="009F6BD6" w:rsidRPr="00BD6BC6">
        <w:t>both jurisdictions will be advised in writing.</w:t>
      </w:r>
      <w:r w:rsidRPr="00BD6BC6">
        <w:t xml:space="preserve"> </w:t>
      </w:r>
    </w:p>
    <w:p w14:paraId="303CAAB1" w14:textId="2AC7EE02" w:rsidR="00C62141" w:rsidRPr="00BD6BC6" w:rsidRDefault="00C62141" w:rsidP="00E96CCA">
      <w:pPr>
        <w:pStyle w:val="Heading4"/>
      </w:pPr>
      <w:r w:rsidRPr="00BD6BC6">
        <w:t xml:space="preserve">(2d) IHPA provides a copy of any written response received </w:t>
      </w:r>
      <w:r w:rsidR="00CD7380" w:rsidRPr="00BD6BC6">
        <w:t xml:space="preserve">from </w:t>
      </w:r>
      <w:r w:rsidRPr="00BD6BC6">
        <w:t xml:space="preserve">the </w:t>
      </w:r>
      <w:r w:rsidR="004E3E99" w:rsidRPr="00BD6BC6">
        <w:t xml:space="preserve">respondent </w:t>
      </w:r>
      <w:r w:rsidRPr="00BD6BC6">
        <w:t xml:space="preserve">jurisdiction to the </w:t>
      </w:r>
      <w:r w:rsidR="004E3E99" w:rsidRPr="00BD6BC6">
        <w:t xml:space="preserve">applicant </w:t>
      </w:r>
      <w:r w:rsidRPr="00BD6BC6">
        <w:t>jurisdiction</w:t>
      </w:r>
    </w:p>
    <w:p w14:paraId="226D0D63" w14:textId="48B662A6" w:rsidR="00C62141" w:rsidRPr="00BD6BC6" w:rsidRDefault="00C62141" w:rsidP="006D55BD">
      <w:r w:rsidRPr="00BD6BC6">
        <w:t xml:space="preserve">IHPA will provide a copy of the response </w:t>
      </w:r>
      <w:r w:rsidR="00CD7940">
        <w:t>received from</w:t>
      </w:r>
      <w:r w:rsidR="009F6BD6" w:rsidRPr="00BD6BC6">
        <w:t xml:space="preserve"> the </w:t>
      </w:r>
      <w:r w:rsidR="004E3E99" w:rsidRPr="00BD6BC6">
        <w:t>respondent</w:t>
      </w:r>
      <w:r w:rsidR="009F6BD6" w:rsidRPr="00BD6BC6">
        <w:t xml:space="preserve"> jurisdiction </w:t>
      </w:r>
      <w:r w:rsidRPr="00BD6BC6">
        <w:t xml:space="preserve">to the </w:t>
      </w:r>
      <w:r w:rsidR="004E3E99" w:rsidRPr="00BD6BC6">
        <w:t xml:space="preserve">applicant </w:t>
      </w:r>
      <w:r w:rsidRPr="00BD6BC6">
        <w:t>jurisdiction.</w:t>
      </w:r>
    </w:p>
    <w:p w14:paraId="4CA75493" w14:textId="77777777" w:rsidR="00C62141" w:rsidRPr="00BD6BC6" w:rsidRDefault="00C62141" w:rsidP="003E6DD4">
      <w:pPr>
        <w:pStyle w:val="Heading3"/>
      </w:pPr>
      <w:bookmarkStart w:id="306" w:name="_Toc507599200"/>
      <w:bookmarkStart w:id="307" w:name="_Toc507611963"/>
      <w:bookmarkStart w:id="308" w:name="_Toc507612179"/>
      <w:bookmarkStart w:id="309" w:name="_Toc507612262"/>
      <w:bookmarkStart w:id="310" w:name="_Toc507613275"/>
      <w:bookmarkStart w:id="311" w:name="_Toc507613380"/>
      <w:bookmarkStart w:id="312" w:name="_Toc507613788"/>
      <w:bookmarkStart w:id="313" w:name="_Toc507614033"/>
      <w:bookmarkStart w:id="314" w:name="_Toc507614160"/>
      <w:bookmarkStart w:id="315" w:name="_Toc507614320"/>
      <w:bookmarkStart w:id="316" w:name="_Toc507614396"/>
      <w:bookmarkStart w:id="317" w:name="_Toc507614508"/>
      <w:bookmarkStart w:id="318" w:name="_Toc2862866"/>
      <w:bookmarkStart w:id="319" w:name="_Toc11232091"/>
      <w:bookmarkStart w:id="320" w:name="_Toc58480957"/>
      <w:bookmarkStart w:id="321" w:name="_Toc58845996"/>
      <w:bookmarkStart w:id="322" w:name="_Toc58846355"/>
      <w:bookmarkStart w:id="323" w:name="_Toc61873536"/>
      <w:bookmarkStart w:id="324" w:name="_Toc61873750"/>
      <w:bookmarkStart w:id="325" w:name="_Toc61950906"/>
      <w:bookmarkStart w:id="326" w:name="_Toc91157733"/>
      <w:r w:rsidRPr="00BD6BC6">
        <w:t>Stage 3: Investigation</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4A645B6D" w14:textId="77777777" w:rsidR="00C62141" w:rsidRPr="00BD6BC6" w:rsidRDefault="00C62141" w:rsidP="00E96CCA">
      <w:pPr>
        <w:pStyle w:val="Heading4"/>
      </w:pPr>
      <w:r w:rsidRPr="00BD6BC6">
        <w:t>(3a) IHPA undertakes investigation of the dispute</w:t>
      </w:r>
    </w:p>
    <w:p w14:paraId="07143E24" w14:textId="4D79212E" w:rsidR="00C62141" w:rsidRPr="00BD6BC6" w:rsidRDefault="00C62141" w:rsidP="006D55BD">
      <w:r w:rsidRPr="00BD6BC6">
        <w:t>In undertaking the investigation, IHPA will</w:t>
      </w:r>
      <w:r w:rsidR="008D529B" w:rsidRPr="00BD6BC6">
        <w:t xml:space="preserve"> </w:t>
      </w:r>
      <w:r w:rsidRPr="00BD6BC6">
        <w:t>assess submissions received from the jurisdictions</w:t>
      </w:r>
      <w:r w:rsidR="008F4DC0">
        <w:t xml:space="preserve"> </w:t>
      </w:r>
      <w:r w:rsidR="00CD7940">
        <w:t>party to the dispute</w:t>
      </w:r>
      <w:r w:rsidR="008D529B" w:rsidRPr="00BD6BC6">
        <w:t>.</w:t>
      </w:r>
    </w:p>
    <w:p w14:paraId="2EA0A0E1" w14:textId="77777777" w:rsidR="00C62141" w:rsidRPr="00BD6BC6" w:rsidRDefault="00C62141" w:rsidP="00E96CCA">
      <w:pPr>
        <w:pStyle w:val="Heading4"/>
      </w:pPr>
      <w:r w:rsidRPr="00BD6BC6">
        <w:t>(3b) IHPA requests additional information to assist the investigation (as required)</w:t>
      </w:r>
    </w:p>
    <w:p w14:paraId="63489B3F" w14:textId="77777777" w:rsidR="00E85B48" w:rsidRPr="00BD6BC6" w:rsidRDefault="00C62141" w:rsidP="006D55BD">
      <w:r w:rsidRPr="00BD6BC6">
        <w:t>Where required, IHPA will</w:t>
      </w:r>
      <w:r w:rsidR="00E85B48" w:rsidRPr="00BD6BC6">
        <w:t>:</w:t>
      </w:r>
    </w:p>
    <w:p w14:paraId="7378B2F9" w14:textId="364F4D48" w:rsidR="008D529B" w:rsidRPr="00BD6BC6" w:rsidRDefault="00E85B48" w:rsidP="00145E0A">
      <w:pPr>
        <w:pStyle w:val="ListParagraph"/>
        <w:numPr>
          <w:ilvl w:val="0"/>
          <w:numId w:val="40"/>
        </w:numPr>
        <w:rPr>
          <w:sz w:val="22"/>
          <w:szCs w:val="22"/>
        </w:rPr>
      </w:pPr>
      <w:r w:rsidRPr="00BD6BC6">
        <w:rPr>
          <w:sz w:val="22"/>
          <w:szCs w:val="22"/>
        </w:rPr>
        <w:t>request additional evidence (</w:t>
      </w:r>
      <w:r w:rsidR="00CD7940">
        <w:rPr>
          <w:sz w:val="22"/>
          <w:szCs w:val="22"/>
        </w:rPr>
        <w:t>for example,</w:t>
      </w:r>
      <w:r w:rsidRPr="00BD6BC6">
        <w:rPr>
          <w:sz w:val="22"/>
          <w:szCs w:val="22"/>
        </w:rPr>
        <w:t xml:space="preserve"> data, information, agreements) to clarify conflicting views</w:t>
      </w:r>
      <w:r w:rsidR="008D529B" w:rsidRPr="00BD6BC6">
        <w:rPr>
          <w:sz w:val="22"/>
          <w:szCs w:val="22"/>
        </w:rPr>
        <w:t>, facts and other ambiguities</w:t>
      </w:r>
      <w:r w:rsidRPr="00BD6BC6">
        <w:rPr>
          <w:sz w:val="22"/>
          <w:szCs w:val="22"/>
        </w:rPr>
        <w:t xml:space="preserve"> and to support the investigation </w:t>
      </w:r>
    </w:p>
    <w:p w14:paraId="7876FAA8" w14:textId="407A4D7D" w:rsidR="008D529B" w:rsidRPr="00BD6BC6" w:rsidRDefault="008D529B" w:rsidP="00145E0A">
      <w:pPr>
        <w:pStyle w:val="ListParagraph"/>
        <w:numPr>
          <w:ilvl w:val="0"/>
          <w:numId w:val="40"/>
        </w:numPr>
        <w:rPr>
          <w:sz w:val="22"/>
          <w:szCs w:val="22"/>
        </w:rPr>
      </w:pPr>
      <w:r w:rsidRPr="00BD6BC6">
        <w:rPr>
          <w:sz w:val="22"/>
          <w:szCs w:val="22"/>
        </w:rPr>
        <w:t>consult further with affected jurisdictions</w:t>
      </w:r>
    </w:p>
    <w:p w14:paraId="077AF725" w14:textId="39897710" w:rsidR="00C62141" w:rsidRPr="00BD6BC6" w:rsidRDefault="00E85B48" w:rsidP="00145E0A">
      <w:pPr>
        <w:pStyle w:val="ListParagraph"/>
        <w:numPr>
          <w:ilvl w:val="0"/>
          <w:numId w:val="40"/>
        </w:numPr>
        <w:rPr>
          <w:sz w:val="22"/>
          <w:szCs w:val="22"/>
        </w:rPr>
      </w:pPr>
      <w:r w:rsidRPr="00BD6BC6">
        <w:rPr>
          <w:sz w:val="22"/>
          <w:szCs w:val="22"/>
        </w:rPr>
        <w:lastRenderedPageBreak/>
        <w:t>seek expert input</w:t>
      </w:r>
      <w:r w:rsidR="00DC39F6">
        <w:rPr>
          <w:sz w:val="22"/>
          <w:szCs w:val="22"/>
        </w:rPr>
        <w:t xml:space="preserve"> or </w:t>
      </w:r>
      <w:r w:rsidRPr="00BD6BC6">
        <w:rPr>
          <w:sz w:val="22"/>
          <w:szCs w:val="22"/>
        </w:rPr>
        <w:t>advice</w:t>
      </w:r>
      <w:r w:rsidR="00C62141" w:rsidRPr="00BD6BC6">
        <w:rPr>
          <w:sz w:val="22"/>
          <w:szCs w:val="22"/>
        </w:rPr>
        <w:t>.</w:t>
      </w:r>
    </w:p>
    <w:p w14:paraId="13680084" w14:textId="5A2A6263" w:rsidR="00C62141" w:rsidRPr="00BD6BC6" w:rsidRDefault="00C62141" w:rsidP="006D55BD">
      <w:r w:rsidRPr="00BD6BC6">
        <w:t xml:space="preserve">To support the timeliness of the investigation, </w:t>
      </w:r>
      <w:r w:rsidR="00084600" w:rsidRPr="00BD6BC6">
        <w:t xml:space="preserve">jurisdictions should provide </w:t>
      </w:r>
      <w:r w:rsidRPr="00BD6BC6">
        <w:t xml:space="preserve">additional information within 30 days </w:t>
      </w:r>
      <w:r w:rsidR="00084600" w:rsidRPr="00BD6BC6">
        <w:t xml:space="preserve">of </w:t>
      </w:r>
      <w:r w:rsidRPr="00BD6BC6">
        <w:t>receiving the written request.</w:t>
      </w:r>
    </w:p>
    <w:p w14:paraId="4B83ABC3" w14:textId="16613DD0" w:rsidR="00C62141" w:rsidRPr="00BD6BC6" w:rsidRDefault="00C62141" w:rsidP="003E6DD4">
      <w:pPr>
        <w:pStyle w:val="Heading3"/>
      </w:pPr>
      <w:bookmarkStart w:id="327" w:name="_Toc507599201"/>
      <w:bookmarkStart w:id="328" w:name="_Toc507611964"/>
      <w:bookmarkStart w:id="329" w:name="_Toc507612180"/>
      <w:bookmarkStart w:id="330" w:name="_Toc507612263"/>
      <w:bookmarkStart w:id="331" w:name="_Toc507613276"/>
      <w:bookmarkStart w:id="332" w:name="_Toc507613381"/>
      <w:bookmarkStart w:id="333" w:name="_Toc507613789"/>
      <w:bookmarkStart w:id="334" w:name="_Toc507614034"/>
      <w:bookmarkStart w:id="335" w:name="_Toc507614161"/>
      <w:bookmarkStart w:id="336" w:name="_Toc507614321"/>
      <w:bookmarkStart w:id="337" w:name="_Toc507614397"/>
      <w:bookmarkStart w:id="338" w:name="_Toc507614509"/>
      <w:bookmarkStart w:id="339" w:name="_Toc2862867"/>
      <w:bookmarkStart w:id="340" w:name="_Toc11232092"/>
      <w:bookmarkStart w:id="341" w:name="_Toc58480958"/>
      <w:bookmarkStart w:id="342" w:name="_Toc58845997"/>
      <w:bookmarkStart w:id="343" w:name="_Toc58846356"/>
      <w:bookmarkStart w:id="344" w:name="_Toc61873537"/>
      <w:bookmarkStart w:id="345" w:name="_Toc61873751"/>
      <w:bookmarkStart w:id="346" w:name="_Toc61950907"/>
      <w:bookmarkStart w:id="347" w:name="_Toc91157734"/>
      <w:r w:rsidRPr="00BD6BC6">
        <w:t>Stage 4: Draft recommendations</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15614709" w14:textId="746C712F" w:rsidR="00C62141" w:rsidRPr="00BD6BC6" w:rsidRDefault="00C62141" w:rsidP="00E96CCA">
      <w:pPr>
        <w:pStyle w:val="Heading4"/>
      </w:pPr>
      <w:r w:rsidRPr="00BD6BC6">
        <w:t xml:space="preserve">(4a) IHPA </w:t>
      </w:r>
      <w:r w:rsidR="0057690C">
        <w:t>prepares the draft</w:t>
      </w:r>
      <w:r w:rsidRPr="00BD6BC6">
        <w:t xml:space="preserve"> recommendation</w:t>
      </w:r>
      <w:r w:rsidR="00057A6F" w:rsidRPr="00BD6BC6">
        <w:t>s</w:t>
      </w:r>
      <w:r w:rsidRPr="00BD6BC6">
        <w:t xml:space="preserve"> and provides </w:t>
      </w:r>
      <w:r w:rsidR="00133CE5">
        <w:t xml:space="preserve">it </w:t>
      </w:r>
      <w:r w:rsidRPr="00BD6BC6">
        <w:t xml:space="preserve">to </w:t>
      </w:r>
      <w:r w:rsidR="00DF134A" w:rsidRPr="00BD6BC6">
        <w:t xml:space="preserve">the </w:t>
      </w:r>
      <w:r w:rsidR="005A4023" w:rsidRPr="00BD6BC6">
        <w:t>h</w:t>
      </w:r>
      <w:r w:rsidRPr="00BD6BC6">
        <w:t xml:space="preserve">ealth </w:t>
      </w:r>
      <w:r w:rsidR="005A4023" w:rsidRPr="00BD6BC6">
        <w:t>m</w:t>
      </w:r>
      <w:r w:rsidRPr="00BD6BC6">
        <w:t xml:space="preserve">inisters </w:t>
      </w:r>
      <w:r w:rsidR="00133CE5">
        <w:t xml:space="preserve">party to the dispute </w:t>
      </w:r>
      <w:r w:rsidRPr="00BD6BC6">
        <w:t>for review</w:t>
      </w:r>
    </w:p>
    <w:p w14:paraId="4FEEED06" w14:textId="77777777" w:rsidR="00C62141" w:rsidRPr="00BD6BC6" w:rsidRDefault="00C62141" w:rsidP="006D55BD">
      <w:r w:rsidRPr="00BD6BC6">
        <w:t xml:space="preserve">Following the investigation, IHPA </w:t>
      </w:r>
      <w:r w:rsidR="00663807" w:rsidRPr="00BD6BC6">
        <w:t>will</w:t>
      </w:r>
      <w:r w:rsidRPr="00BD6BC6">
        <w:t>:</w:t>
      </w:r>
    </w:p>
    <w:p w14:paraId="1C07E755" w14:textId="38B440E4" w:rsidR="00C62141" w:rsidRPr="00BD6BC6" w:rsidRDefault="00C62141" w:rsidP="00593CE6">
      <w:pPr>
        <w:pStyle w:val="ListParagraph"/>
        <w:numPr>
          <w:ilvl w:val="0"/>
          <w:numId w:val="27"/>
        </w:numPr>
        <w:rPr>
          <w:sz w:val="22"/>
          <w:szCs w:val="22"/>
        </w:rPr>
      </w:pPr>
      <w:r w:rsidRPr="00BD6BC6">
        <w:rPr>
          <w:sz w:val="22"/>
          <w:szCs w:val="22"/>
        </w:rPr>
        <w:t xml:space="preserve">prepare draft recommendations and obtain endorsement </w:t>
      </w:r>
      <w:r w:rsidR="00663807" w:rsidRPr="00BD6BC6">
        <w:rPr>
          <w:sz w:val="22"/>
          <w:szCs w:val="22"/>
        </w:rPr>
        <w:t xml:space="preserve">from </w:t>
      </w:r>
      <w:r w:rsidRPr="00BD6BC6">
        <w:rPr>
          <w:sz w:val="22"/>
          <w:szCs w:val="22"/>
        </w:rPr>
        <w:t>the Pricing Authority</w:t>
      </w:r>
    </w:p>
    <w:p w14:paraId="76426DC9" w14:textId="2EDE9838" w:rsidR="00C62141" w:rsidRPr="00BD6BC6" w:rsidRDefault="00C62141" w:rsidP="00593CE6">
      <w:pPr>
        <w:pStyle w:val="ListParagraph"/>
        <w:numPr>
          <w:ilvl w:val="0"/>
          <w:numId w:val="27"/>
        </w:numPr>
        <w:rPr>
          <w:sz w:val="22"/>
          <w:szCs w:val="22"/>
        </w:rPr>
      </w:pPr>
      <w:r w:rsidRPr="00BD6BC6">
        <w:rPr>
          <w:sz w:val="22"/>
          <w:szCs w:val="22"/>
        </w:rPr>
        <w:t xml:space="preserve">provide the draft recommendations to </w:t>
      </w:r>
      <w:r w:rsidR="00484F29" w:rsidRPr="00BD6BC6">
        <w:rPr>
          <w:sz w:val="22"/>
          <w:szCs w:val="22"/>
        </w:rPr>
        <w:t xml:space="preserve">the </w:t>
      </w:r>
      <w:r w:rsidR="005A4023" w:rsidRPr="00BD6BC6">
        <w:rPr>
          <w:sz w:val="22"/>
          <w:szCs w:val="22"/>
        </w:rPr>
        <w:t>h</w:t>
      </w:r>
      <w:r w:rsidRPr="00BD6BC6">
        <w:rPr>
          <w:sz w:val="22"/>
          <w:szCs w:val="22"/>
        </w:rPr>
        <w:t xml:space="preserve">ealth </w:t>
      </w:r>
      <w:r w:rsidR="005A4023" w:rsidRPr="00BD6BC6">
        <w:rPr>
          <w:sz w:val="22"/>
          <w:szCs w:val="22"/>
        </w:rPr>
        <w:t>m</w:t>
      </w:r>
      <w:r w:rsidRPr="00BD6BC6">
        <w:rPr>
          <w:sz w:val="22"/>
          <w:szCs w:val="22"/>
        </w:rPr>
        <w:t>inisters</w:t>
      </w:r>
      <w:r w:rsidR="00133CE5">
        <w:rPr>
          <w:sz w:val="22"/>
          <w:szCs w:val="22"/>
        </w:rPr>
        <w:t xml:space="preserve"> party to the dispute</w:t>
      </w:r>
    </w:p>
    <w:p w14:paraId="6D7AA3EA" w14:textId="21981AA1" w:rsidR="00C62141" w:rsidRPr="00BD6BC6" w:rsidRDefault="00C62141" w:rsidP="00593CE6">
      <w:pPr>
        <w:pStyle w:val="ListParagraph"/>
        <w:numPr>
          <w:ilvl w:val="0"/>
          <w:numId w:val="27"/>
        </w:numPr>
        <w:rPr>
          <w:sz w:val="22"/>
          <w:szCs w:val="22"/>
        </w:rPr>
      </w:pPr>
      <w:r w:rsidRPr="00BD6BC6">
        <w:rPr>
          <w:sz w:val="22"/>
          <w:szCs w:val="22"/>
        </w:rPr>
        <w:t xml:space="preserve">invite the </w:t>
      </w:r>
      <w:r w:rsidR="005A4023" w:rsidRPr="00BD6BC6">
        <w:rPr>
          <w:sz w:val="22"/>
          <w:szCs w:val="22"/>
        </w:rPr>
        <w:t>h</w:t>
      </w:r>
      <w:r w:rsidRPr="00BD6BC6">
        <w:rPr>
          <w:sz w:val="22"/>
          <w:szCs w:val="22"/>
        </w:rPr>
        <w:t xml:space="preserve">ealth </w:t>
      </w:r>
      <w:r w:rsidR="005A4023" w:rsidRPr="00BD6BC6">
        <w:rPr>
          <w:sz w:val="22"/>
          <w:szCs w:val="22"/>
        </w:rPr>
        <w:t>m</w:t>
      </w:r>
      <w:r w:rsidRPr="00BD6BC6">
        <w:rPr>
          <w:sz w:val="22"/>
          <w:szCs w:val="22"/>
        </w:rPr>
        <w:t xml:space="preserve">inisters </w:t>
      </w:r>
      <w:r w:rsidR="00CD7940">
        <w:rPr>
          <w:sz w:val="22"/>
          <w:szCs w:val="22"/>
        </w:rPr>
        <w:t xml:space="preserve">party to the dispute </w:t>
      </w:r>
      <w:r w:rsidRPr="00BD6BC6">
        <w:rPr>
          <w:sz w:val="22"/>
          <w:szCs w:val="22"/>
        </w:rPr>
        <w:t xml:space="preserve">to give IHPA written comments on the draft recommendations within 30 days </w:t>
      </w:r>
      <w:r w:rsidR="002A6F83" w:rsidRPr="00BD6BC6">
        <w:rPr>
          <w:sz w:val="22"/>
          <w:szCs w:val="22"/>
        </w:rPr>
        <w:t xml:space="preserve">of </w:t>
      </w:r>
      <w:r w:rsidRPr="00BD6BC6">
        <w:rPr>
          <w:sz w:val="22"/>
          <w:szCs w:val="22"/>
        </w:rPr>
        <w:t>receiving them.</w:t>
      </w:r>
    </w:p>
    <w:p w14:paraId="14EF376E" w14:textId="77777777" w:rsidR="00C62141" w:rsidRPr="00BD6BC6" w:rsidRDefault="00C62141" w:rsidP="006D55BD">
      <w:r w:rsidRPr="00BD6BC6">
        <w:t>The draft recommendations will include:</w:t>
      </w:r>
    </w:p>
    <w:p w14:paraId="382E2E55" w14:textId="2C8267A6" w:rsidR="00C62141" w:rsidRPr="00BD6BC6" w:rsidRDefault="0063494D" w:rsidP="00593CE6">
      <w:pPr>
        <w:pStyle w:val="ListParagraph"/>
        <w:numPr>
          <w:ilvl w:val="0"/>
          <w:numId w:val="28"/>
        </w:numPr>
        <w:rPr>
          <w:sz w:val="22"/>
          <w:szCs w:val="22"/>
        </w:rPr>
      </w:pPr>
      <w:r w:rsidRPr="00BD6BC6">
        <w:rPr>
          <w:sz w:val="22"/>
          <w:szCs w:val="22"/>
        </w:rPr>
        <w:t xml:space="preserve">a </w:t>
      </w:r>
      <w:r w:rsidR="00C62141" w:rsidRPr="00BD6BC6">
        <w:rPr>
          <w:sz w:val="22"/>
          <w:szCs w:val="22"/>
        </w:rPr>
        <w:t>summary of the cross-border dispute between the jurisdictions</w:t>
      </w:r>
      <w:r w:rsidR="008F4DC0">
        <w:rPr>
          <w:sz w:val="22"/>
          <w:szCs w:val="22"/>
        </w:rPr>
        <w:t xml:space="preserve"> </w:t>
      </w:r>
      <w:r w:rsidR="00133CE5">
        <w:rPr>
          <w:sz w:val="22"/>
          <w:szCs w:val="22"/>
        </w:rPr>
        <w:t>party to the dispute</w:t>
      </w:r>
      <w:r w:rsidR="00C62141" w:rsidRPr="00BD6BC6">
        <w:rPr>
          <w:sz w:val="22"/>
          <w:szCs w:val="22"/>
        </w:rPr>
        <w:t>, including the</w:t>
      </w:r>
      <w:r w:rsidR="00DC39F6">
        <w:rPr>
          <w:sz w:val="22"/>
          <w:szCs w:val="22"/>
        </w:rPr>
        <w:t>ir respective</w:t>
      </w:r>
      <w:r w:rsidR="00C62141" w:rsidRPr="00BD6BC6">
        <w:rPr>
          <w:sz w:val="22"/>
          <w:szCs w:val="22"/>
        </w:rPr>
        <w:t xml:space="preserve"> position</w:t>
      </w:r>
      <w:r w:rsidR="00DC39F6">
        <w:rPr>
          <w:sz w:val="22"/>
          <w:szCs w:val="22"/>
        </w:rPr>
        <w:t xml:space="preserve">s </w:t>
      </w:r>
    </w:p>
    <w:p w14:paraId="5EB455A2" w14:textId="34B501D0" w:rsidR="00C62141" w:rsidRPr="00BD6BC6" w:rsidRDefault="0063494D" w:rsidP="00593CE6">
      <w:pPr>
        <w:pStyle w:val="ListParagraph"/>
        <w:numPr>
          <w:ilvl w:val="0"/>
          <w:numId w:val="28"/>
        </w:numPr>
        <w:rPr>
          <w:sz w:val="22"/>
          <w:szCs w:val="22"/>
        </w:rPr>
      </w:pPr>
      <w:r w:rsidRPr="00BD6BC6">
        <w:rPr>
          <w:sz w:val="22"/>
          <w:szCs w:val="22"/>
        </w:rPr>
        <w:t xml:space="preserve">an </w:t>
      </w:r>
      <w:r w:rsidR="00C62141" w:rsidRPr="00BD6BC6">
        <w:rPr>
          <w:sz w:val="22"/>
          <w:szCs w:val="22"/>
        </w:rPr>
        <w:t>overview of the evidence assessed in undertaking the investigation</w:t>
      </w:r>
    </w:p>
    <w:p w14:paraId="47461120" w14:textId="785904FE" w:rsidR="00C62141" w:rsidRPr="00BD6BC6" w:rsidRDefault="00C62141" w:rsidP="00593CE6">
      <w:pPr>
        <w:pStyle w:val="ListParagraph"/>
        <w:numPr>
          <w:ilvl w:val="0"/>
          <w:numId w:val="28"/>
        </w:numPr>
        <w:rPr>
          <w:sz w:val="22"/>
          <w:szCs w:val="22"/>
        </w:rPr>
      </w:pPr>
      <w:r w:rsidRPr="00BD6BC6">
        <w:rPr>
          <w:sz w:val="22"/>
          <w:szCs w:val="22"/>
        </w:rPr>
        <w:t>limitations to the scope of the investigation</w:t>
      </w:r>
    </w:p>
    <w:p w14:paraId="660BDA54" w14:textId="568570D5" w:rsidR="00C62141" w:rsidRPr="00BD6BC6" w:rsidRDefault="00C62141" w:rsidP="00593CE6">
      <w:pPr>
        <w:pStyle w:val="ListParagraph"/>
        <w:numPr>
          <w:ilvl w:val="0"/>
          <w:numId w:val="28"/>
        </w:numPr>
        <w:rPr>
          <w:sz w:val="22"/>
          <w:szCs w:val="22"/>
        </w:rPr>
      </w:pPr>
      <w:r w:rsidRPr="00BD6BC6">
        <w:rPr>
          <w:sz w:val="22"/>
          <w:szCs w:val="22"/>
        </w:rPr>
        <w:t>IHPA’s recommendations</w:t>
      </w:r>
      <w:r w:rsidR="00133CE5">
        <w:rPr>
          <w:sz w:val="22"/>
          <w:szCs w:val="22"/>
        </w:rPr>
        <w:t xml:space="preserve">, that is, whether the </w:t>
      </w:r>
      <w:r w:rsidRPr="00BD6BC6">
        <w:rPr>
          <w:sz w:val="22"/>
          <w:szCs w:val="22"/>
        </w:rPr>
        <w:t>costs to a jurisdiction are attributable to the provision of public hospital services to residents of another jurisdiction)</w:t>
      </w:r>
    </w:p>
    <w:p w14:paraId="6FC3C352" w14:textId="77777777" w:rsidR="00C62141" w:rsidRPr="00BD6BC6" w:rsidRDefault="00C62141" w:rsidP="00593CE6">
      <w:pPr>
        <w:pStyle w:val="ListParagraph"/>
        <w:numPr>
          <w:ilvl w:val="0"/>
          <w:numId w:val="28"/>
        </w:numPr>
        <w:rPr>
          <w:sz w:val="22"/>
          <w:szCs w:val="22"/>
        </w:rPr>
      </w:pPr>
      <w:r w:rsidRPr="00BD6BC6">
        <w:rPr>
          <w:sz w:val="22"/>
          <w:szCs w:val="22"/>
        </w:rPr>
        <w:t>reasons supporting the recommendation</w:t>
      </w:r>
      <w:r w:rsidR="0063494D" w:rsidRPr="00BD6BC6">
        <w:rPr>
          <w:sz w:val="22"/>
          <w:szCs w:val="22"/>
        </w:rPr>
        <w:t>s</w:t>
      </w:r>
      <w:r w:rsidRPr="00BD6BC6">
        <w:rPr>
          <w:sz w:val="22"/>
          <w:szCs w:val="22"/>
        </w:rPr>
        <w:t>.</w:t>
      </w:r>
    </w:p>
    <w:p w14:paraId="442915D4" w14:textId="3DF67B2F" w:rsidR="00C62141" w:rsidRPr="00BD6BC6" w:rsidRDefault="006D36D2" w:rsidP="006D55BD">
      <w:r w:rsidRPr="00BD6BC6">
        <w:t>T</w:t>
      </w:r>
      <w:r w:rsidR="00C62141" w:rsidRPr="00BD6BC6">
        <w:t xml:space="preserve">he draft recommendations sent to the </w:t>
      </w:r>
      <w:r w:rsidR="00DF134A" w:rsidRPr="00BD6BC6">
        <w:t xml:space="preserve">jurisdictional </w:t>
      </w:r>
      <w:r w:rsidR="005A4023" w:rsidRPr="00BD6BC6">
        <w:t>h</w:t>
      </w:r>
      <w:r w:rsidR="00C62141" w:rsidRPr="00BD6BC6">
        <w:t xml:space="preserve">ealth </w:t>
      </w:r>
      <w:r w:rsidR="005A4023" w:rsidRPr="00BD6BC6">
        <w:t>m</w:t>
      </w:r>
      <w:r w:rsidR="00C62141" w:rsidRPr="00BD6BC6">
        <w:t xml:space="preserve">inisters </w:t>
      </w:r>
      <w:r w:rsidR="00133CE5">
        <w:t xml:space="preserve">party to the dispute </w:t>
      </w:r>
      <w:r w:rsidR="00C62141" w:rsidRPr="00BD6BC6">
        <w:t xml:space="preserve">will </w:t>
      </w:r>
      <w:r w:rsidR="00822566" w:rsidRPr="00BD6BC6">
        <w:t xml:space="preserve">include </w:t>
      </w:r>
      <w:r w:rsidR="00C62141" w:rsidRPr="00BD6BC6">
        <w:t>a copy of any submissions received by IHPA</w:t>
      </w:r>
      <w:r w:rsidR="006C5370" w:rsidRPr="00BD6BC6">
        <w:t xml:space="preserve"> and will </w:t>
      </w:r>
      <w:r w:rsidR="00DF134A" w:rsidRPr="00BD6BC6">
        <w:t xml:space="preserve">be in accordance with </w:t>
      </w:r>
      <w:r w:rsidR="00133CE5">
        <w:t xml:space="preserve">the </w:t>
      </w:r>
      <w:r w:rsidR="00DF134A" w:rsidRPr="00BD6BC6">
        <w:t xml:space="preserve">IHPA </w:t>
      </w:r>
      <w:r w:rsidR="00DF134A" w:rsidRPr="00BD6BC6">
        <w:rPr>
          <w:i/>
        </w:rPr>
        <w:t xml:space="preserve">Confidential </w:t>
      </w:r>
      <w:r w:rsidR="00133CE5">
        <w:rPr>
          <w:i/>
        </w:rPr>
        <w:t>Data Management Policy</w:t>
      </w:r>
      <w:r w:rsidR="00C62141" w:rsidRPr="00BD6BC6">
        <w:t>.</w:t>
      </w:r>
    </w:p>
    <w:p w14:paraId="7737355D" w14:textId="33E07E7C" w:rsidR="00C62141" w:rsidRPr="00BD6BC6" w:rsidRDefault="00C62141" w:rsidP="00E96CCA">
      <w:pPr>
        <w:pStyle w:val="Heading4"/>
      </w:pPr>
      <w:r w:rsidRPr="00BD6BC6">
        <w:t>(4b) The</w:t>
      </w:r>
      <w:r w:rsidR="00133CE5">
        <w:t xml:space="preserve"> </w:t>
      </w:r>
      <w:r w:rsidR="005A4023" w:rsidRPr="00BD6BC6">
        <w:t>h</w:t>
      </w:r>
      <w:r w:rsidRPr="00BD6BC6">
        <w:t xml:space="preserve">ealth </w:t>
      </w:r>
      <w:r w:rsidR="005A4023" w:rsidRPr="00BD6BC6">
        <w:t>m</w:t>
      </w:r>
      <w:r w:rsidRPr="00BD6BC6">
        <w:t xml:space="preserve">inisters </w:t>
      </w:r>
      <w:r w:rsidR="00133CE5">
        <w:t xml:space="preserve">party to the dispute </w:t>
      </w:r>
      <w:r w:rsidRPr="00BD6BC6">
        <w:t>provide IHPA with written comments within 30 days</w:t>
      </w:r>
    </w:p>
    <w:p w14:paraId="1C071857" w14:textId="0FA804DE" w:rsidR="00126886" w:rsidRPr="00BD6BC6" w:rsidRDefault="00F05ECB" w:rsidP="006D55BD">
      <w:r w:rsidRPr="00BD6BC6">
        <w:t>H</w:t>
      </w:r>
      <w:r w:rsidR="00C62141" w:rsidRPr="00BD6BC6">
        <w:t xml:space="preserve">ealth </w:t>
      </w:r>
      <w:r w:rsidR="005A4023" w:rsidRPr="00BD6BC6">
        <w:t>m</w:t>
      </w:r>
      <w:r w:rsidR="00C62141" w:rsidRPr="00BD6BC6">
        <w:t xml:space="preserve">inisters </w:t>
      </w:r>
      <w:r w:rsidR="00126886" w:rsidRPr="00BD6BC6">
        <w:t xml:space="preserve">should aim </w:t>
      </w:r>
      <w:r w:rsidR="00C62141" w:rsidRPr="00BD6BC6">
        <w:t xml:space="preserve">to provide </w:t>
      </w:r>
      <w:r w:rsidR="00126886" w:rsidRPr="00BD6BC6">
        <w:t xml:space="preserve">IHPA with their </w:t>
      </w:r>
      <w:r w:rsidR="00C62141" w:rsidRPr="00BD6BC6">
        <w:t xml:space="preserve">written comments </w:t>
      </w:r>
      <w:r w:rsidRPr="00BD6BC6">
        <w:t xml:space="preserve">on the draft recommendations </w:t>
      </w:r>
      <w:r w:rsidR="00C62141" w:rsidRPr="00BD6BC6">
        <w:t>within 30 days</w:t>
      </w:r>
      <w:r w:rsidR="00126886" w:rsidRPr="00BD6BC6">
        <w:t>. Where they are unable to do so, they may seek an extension.</w:t>
      </w:r>
    </w:p>
    <w:p w14:paraId="573D7647" w14:textId="46612EAB" w:rsidR="00C62141" w:rsidRPr="00BD6BC6" w:rsidRDefault="00D31AB2" w:rsidP="006D55BD">
      <w:r w:rsidRPr="00BD6BC6">
        <w:t>Extensions are considered by IHPA as a matter of discretion</w:t>
      </w:r>
      <w:r w:rsidR="00C62141" w:rsidRPr="00BD6BC6">
        <w:t xml:space="preserve">, following consultation with the </w:t>
      </w:r>
      <w:r w:rsidR="005A4023" w:rsidRPr="00BD6BC6">
        <w:t>h</w:t>
      </w:r>
      <w:r w:rsidR="00C62141" w:rsidRPr="00BD6BC6">
        <w:t xml:space="preserve">ealth </w:t>
      </w:r>
      <w:r w:rsidR="005A4023" w:rsidRPr="00BD6BC6">
        <w:t>m</w:t>
      </w:r>
      <w:r w:rsidR="00C62141" w:rsidRPr="00BD6BC6">
        <w:t xml:space="preserve">inister of the other affected jurisdiction (including the proposed length of any extension). In this instance this extension will be granted to </w:t>
      </w:r>
      <w:r w:rsidR="00DC39F6">
        <w:t>all parties to the dispute</w:t>
      </w:r>
      <w:r w:rsidR="00C62141" w:rsidRPr="00BD6BC6">
        <w:t>.</w:t>
      </w:r>
    </w:p>
    <w:p w14:paraId="6BEF763B" w14:textId="7FBB552D" w:rsidR="00C62141" w:rsidRPr="00BD6BC6" w:rsidRDefault="00C62141" w:rsidP="00E96CCA">
      <w:pPr>
        <w:pStyle w:val="Heading4"/>
      </w:pPr>
      <w:r w:rsidRPr="00BD6BC6">
        <w:t xml:space="preserve">(4c) IHPA reviews the written comments </w:t>
      </w:r>
      <w:r w:rsidR="00500BFD">
        <w:t xml:space="preserve">from the health ministers </w:t>
      </w:r>
      <w:r w:rsidRPr="00BD6BC6">
        <w:t>with regard</w:t>
      </w:r>
      <w:r w:rsidR="00145DAA" w:rsidRPr="00BD6BC6">
        <w:t>s</w:t>
      </w:r>
      <w:r w:rsidRPr="00BD6BC6">
        <w:t xml:space="preserve"> to the draft recommendation</w:t>
      </w:r>
      <w:r w:rsidR="00057A6F" w:rsidRPr="00BD6BC6">
        <w:t>s</w:t>
      </w:r>
    </w:p>
    <w:p w14:paraId="5C97999C" w14:textId="50BF9B34" w:rsidR="00C62141" w:rsidRPr="00BD6BC6" w:rsidRDefault="00C62141" w:rsidP="006D55BD">
      <w:r w:rsidRPr="00BD6BC6">
        <w:t xml:space="preserve">IHPA will review the comments received by </w:t>
      </w:r>
      <w:r w:rsidR="00500BFD">
        <w:t xml:space="preserve">the </w:t>
      </w:r>
      <w:r w:rsidR="005A4023" w:rsidRPr="00BD6BC6">
        <w:t>h</w:t>
      </w:r>
      <w:r w:rsidRPr="00BD6BC6">
        <w:t xml:space="preserve">ealth </w:t>
      </w:r>
      <w:r w:rsidR="005A4023" w:rsidRPr="00BD6BC6">
        <w:t>m</w:t>
      </w:r>
      <w:r w:rsidRPr="00BD6BC6">
        <w:t xml:space="preserve">inisters </w:t>
      </w:r>
      <w:r w:rsidR="00500BFD">
        <w:t xml:space="preserve">party to the dispute </w:t>
      </w:r>
      <w:r w:rsidRPr="00BD6BC6">
        <w:t>with regard to the draft recommendation</w:t>
      </w:r>
      <w:r w:rsidR="00DC22F5">
        <w:t>s</w:t>
      </w:r>
      <w:r w:rsidRPr="00BD6BC6">
        <w:t>, in particular to ensure that the comments provided do not challenge the factual accuracy of the evidence assessed in undertaking the investigation and the reasons supporting the cross-border dispute recommendation.</w:t>
      </w:r>
    </w:p>
    <w:p w14:paraId="3EECF054" w14:textId="61B1FD78" w:rsidR="00C62141" w:rsidRPr="00BD6BC6" w:rsidRDefault="00C62141" w:rsidP="00E96CCA">
      <w:pPr>
        <w:pStyle w:val="Heading4"/>
      </w:pPr>
      <w:r w:rsidRPr="00BD6BC6">
        <w:t xml:space="preserve">(4d) IHPA clarifies the written comments with </w:t>
      </w:r>
      <w:r w:rsidR="00500BFD">
        <w:t xml:space="preserve">the health ministers </w:t>
      </w:r>
      <w:r w:rsidRPr="00BD6BC6">
        <w:t>(if required)</w:t>
      </w:r>
    </w:p>
    <w:p w14:paraId="22CCAD9E" w14:textId="18F2D09D" w:rsidR="00C62141" w:rsidRPr="00BD6BC6" w:rsidRDefault="00C62141" w:rsidP="006D55BD">
      <w:r w:rsidRPr="00BD6BC6">
        <w:t xml:space="preserve">Where there are comments </w:t>
      </w:r>
      <w:r w:rsidR="0086477C" w:rsidRPr="00BD6BC6">
        <w:t xml:space="preserve">that </w:t>
      </w:r>
      <w:r w:rsidRPr="00BD6BC6">
        <w:t>requir</w:t>
      </w:r>
      <w:r w:rsidR="0086477C" w:rsidRPr="00BD6BC6">
        <w:t>e</w:t>
      </w:r>
      <w:r w:rsidRPr="00BD6BC6">
        <w:t xml:space="preserve"> explanation or clarification, IHPA will request this in writing from </w:t>
      </w:r>
      <w:r w:rsidR="00500BFD">
        <w:t xml:space="preserve">the </w:t>
      </w:r>
      <w:r w:rsidR="00C1783E" w:rsidRPr="00BD6BC6">
        <w:t>h</w:t>
      </w:r>
      <w:r w:rsidRPr="00BD6BC6">
        <w:t xml:space="preserve">ealth </w:t>
      </w:r>
      <w:r w:rsidR="00C1783E" w:rsidRPr="00BD6BC6">
        <w:t>m</w:t>
      </w:r>
      <w:r w:rsidRPr="00BD6BC6">
        <w:t>inisters</w:t>
      </w:r>
      <w:r w:rsidR="00500BFD">
        <w:t xml:space="preserve"> party to the dispute</w:t>
      </w:r>
      <w:r w:rsidRPr="00BD6BC6">
        <w:t xml:space="preserve">. To support the timeliness of the final recommendation, </w:t>
      </w:r>
      <w:r w:rsidR="00500BFD">
        <w:t xml:space="preserve">IHPA will request the provision of a response </w:t>
      </w:r>
      <w:r w:rsidRPr="00BD6BC6">
        <w:t xml:space="preserve">within 30 days </w:t>
      </w:r>
      <w:r w:rsidR="005D7C86" w:rsidRPr="00BD6BC6">
        <w:t xml:space="preserve">of </w:t>
      </w:r>
      <w:r w:rsidRPr="00BD6BC6">
        <w:t>receiving the request for clarification.</w:t>
      </w:r>
    </w:p>
    <w:p w14:paraId="212D5DD8" w14:textId="77777777" w:rsidR="00C62141" w:rsidRPr="00BD6BC6" w:rsidRDefault="00C62141" w:rsidP="003E6DD4">
      <w:pPr>
        <w:pStyle w:val="Heading3"/>
      </w:pPr>
      <w:bookmarkStart w:id="348" w:name="_Toc507599202"/>
      <w:bookmarkStart w:id="349" w:name="_Toc507611965"/>
      <w:bookmarkStart w:id="350" w:name="_Toc507612181"/>
      <w:bookmarkStart w:id="351" w:name="_Toc507612264"/>
      <w:bookmarkStart w:id="352" w:name="_Toc507613277"/>
      <w:bookmarkStart w:id="353" w:name="_Toc507613382"/>
      <w:bookmarkStart w:id="354" w:name="_Toc507613790"/>
      <w:bookmarkStart w:id="355" w:name="_Toc507614035"/>
      <w:bookmarkStart w:id="356" w:name="_Toc507614162"/>
      <w:bookmarkStart w:id="357" w:name="_Toc507614322"/>
      <w:bookmarkStart w:id="358" w:name="_Toc507614398"/>
      <w:bookmarkStart w:id="359" w:name="_Toc507614510"/>
      <w:bookmarkStart w:id="360" w:name="_Toc2862868"/>
      <w:bookmarkStart w:id="361" w:name="_Toc11232093"/>
      <w:bookmarkStart w:id="362" w:name="_Toc58480959"/>
      <w:bookmarkStart w:id="363" w:name="_Toc58845998"/>
      <w:bookmarkStart w:id="364" w:name="_Toc58846357"/>
      <w:bookmarkStart w:id="365" w:name="_Toc61873538"/>
      <w:bookmarkStart w:id="366" w:name="_Toc61873752"/>
      <w:bookmarkStart w:id="367" w:name="_Toc61950908"/>
      <w:bookmarkStart w:id="368" w:name="_Toc91157735"/>
      <w:r w:rsidRPr="00BD6BC6">
        <w:lastRenderedPageBreak/>
        <w:t>Stage 5: Final recommendations</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6475D9F8" w14:textId="661FE6F6" w:rsidR="00C62141" w:rsidRPr="00BD6BC6" w:rsidRDefault="00C62141" w:rsidP="00E96CCA">
      <w:pPr>
        <w:pStyle w:val="Heading4"/>
      </w:pPr>
      <w:r w:rsidRPr="00BD6BC6">
        <w:t>(5a) IHPA determines the final recommendation</w:t>
      </w:r>
      <w:r w:rsidR="00500BFD">
        <w:t>s</w:t>
      </w:r>
      <w:r w:rsidRPr="00BD6BC6">
        <w:t xml:space="preserve"> and provides</w:t>
      </w:r>
      <w:r w:rsidR="00DC22F5">
        <w:t xml:space="preserve"> it</w:t>
      </w:r>
      <w:r w:rsidRPr="00BD6BC6">
        <w:t xml:space="preserve"> to the </w:t>
      </w:r>
      <w:r w:rsidR="005A4023" w:rsidRPr="00BD6BC6">
        <w:t>h</w:t>
      </w:r>
      <w:r w:rsidRPr="00BD6BC6">
        <w:t xml:space="preserve">ealth </w:t>
      </w:r>
      <w:r w:rsidR="005A4023" w:rsidRPr="00BD6BC6">
        <w:t>m</w:t>
      </w:r>
      <w:r w:rsidRPr="00BD6BC6">
        <w:t>inisters</w:t>
      </w:r>
      <w:r w:rsidR="00500BFD">
        <w:t xml:space="preserve"> party to the dispute</w:t>
      </w:r>
    </w:p>
    <w:p w14:paraId="33FCBE4E" w14:textId="44CA86E6" w:rsidR="00C62141" w:rsidRPr="00BD6BC6" w:rsidRDefault="00C62141" w:rsidP="006D55BD">
      <w:r w:rsidRPr="00BD6BC6">
        <w:t>IHPA will prepare the final recommendations, obtain endors</w:t>
      </w:r>
      <w:r w:rsidR="00732D27" w:rsidRPr="00BD6BC6">
        <w:t xml:space="preserve">ement </w:t>
      </w:r>
      <w:r w:rsidR="00F72410" w:rsidRPr="00BD6BC6">
        <w:t xml:space="preserve">from </w:t>
      </w:r>
      <w:r w:rsidR="00732D27" w:rsidRPr="00BD6BC6">
        <w:t>the Pricing Authority</w:t>
      </w:r>
      <w:r w:rsidR="009F6BD6" w:rsidRPr="00BD6BC6">
        <w:t xml:space="preserve">, </w:t>
      </w:r>
      <w:r w:rsidRPr="00BD6BC6">
        <w:t xml:space="preserve">and provide it to </w:t>
      </w:r>
      <w:r w:rsidR="00F72410" w:rsidRPr="00BD6BC6">
        <w:t xml:space="preserve">the </w:t>
      </w:r>
      <w:r w:rsidR="005A4023" w:rsidRPr="00BD6BC6">
        <w:t>h</w:t>
      </w:r>
      <w:r w:rsidRPr="00BD6BC6">
        <w:t xml:space="preserve">ealth </w:t>
      </w:r>
      <w:r w:rsidR="005A4023" w:rsidRPr="00BD6BC6">
        <w:t>m</w:t>
      </w:r>
      <w:r w:rsidRPr="00BD6BC6">
        <w:t>inisters</w:t>
      </w:r>
      <w:r w:rsidR="009F6BD6" w:rsidRPr="00BD6BC6">
        <w:t xml:space="preserve"> </w:t>
      </w:r>
      <w:r w:rsidR="00500BFD">
        <w:t xml:space="preserve">party to the dispute, </w:t>
      </w:r>
      <w:r w:rsidR="009F6BD6" w:rsidRPr="00BD6BC6">
        <w:t xml:space="preserve">and </w:t>
      </w:r>
      <w:r w:rsidRPr="00BD6BC6">
        <w:t>the Administrator of the National Health Funding Pool for information only.</w:t>
      </w:r>
    </w:p>
    <w:p w14:paraId="021D7FB2" w14:textId="77777777" w:rsidR="00C62141" w:rsidRPr="00BD6BC6" w:rsidRDefault="00C62141" w:rsidP="003E6DD4">
      <w:pPr>
        <w:pStyle w:val="Heading3"/>
      </w:pPr>
      <w:bookmarkStart w:id="369" w:name="_Toc507599203"/>
      <w:bookmarkStart w:id="370" w:name="_Toc507611966"/>
      <w:bookmarkStart w:id="371" w:name="_Toc507612182"/>
      <w:bookmarkStart w:id="372" w:name="_Toc507612265"/>
      <w:bookmarkStart w:id="373" w:name="_Toc507613278"/>
      <w:bookmarkStart w:id="374" w:name="_Toc507613383"/>
      <w:bookmarkStart w:id="375" w:name="_Toc507613791"/>
      <w:bookmarkStart w:id="376" w:name="_Toc507614036"/>
      <w:bookmarkStart w:id="377" w:name="_Toc507614163"/>
      <w:bookmarkStart w:id="378" w:name="_Toc507614323"/>
      <w:bookmarkStart w:id="379" w:name="_Toc507614399"/>
      <w:bookmarkStart w:id="380" w:name="_Toc507614511"/>
      <w:bookmarkStart w:id="381" w:name="_Toc2862869"/>
      <w:bookmarkStart w:id="382" w:name="_Toc11232094"/>
      <w:bookmarkStart w:id="383" w:name="_Toc58480960"/>
      <w:bookmarkStart w:id="384" w:name="_Toc58845999"/>
      <w:bookmarkStart w:id="385" w:name="_Toc58846358"/>
      <w:bookmarkStart w:id="386" w:name="_Toc61873539"/>
      <w:bookmarkStart w:id="387" w:name="_Toc61873753"/>
      <w:bookmarkStart w:id="388" w:name="_Toc61950909"/>
      <w:bookmarkStart w:id="389" w:name="_Toc91157736"/>
      <w:r w:rsidRPr="00BD6BC6">
        <w:t>Stage 6: Implementation of recommendations</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40B87C79" w14:textId="1D32A615" w:rsidR="00C62141" w:rsidRPr="00BD6BC6" w:rsidRDefault="00C62141" w:rsidP="00E96CCA">
      <w:pPr>
        <w:pStyle w:val="Heading4"/>
      </w:pPr>
      <w:r w:rsidRPr="00BD6BC6">
        <w:t xml:space="preserve">(6a) Jurisdictions implement </w:t>
      </w:r>
      <w:r w:rsidR="00500BFD">
        <w:t xml:space="preserve">the </w:t>
      </w:r>
      <w:r w:rsidRPr="00BD6BC6">
        <w:t>recommendations</w:t>
      </w:r>
    </w:p>
    <w:p w14:paraId="008BF944" w14:textId="25F39F98" w:rsidR="00C736C0" w:rsidRPr="00BD6BC6" w:rsidRDefault="00386816" w:rsidP="006D55BD">
      <w:r w:rsidRPr="00BD6BC6">
        <w:t>The</w:t>
      </w:r>
      <w:r w:rsidR="00E96CCA" w:rsidRPr="00BD6BC6">
        <w:t xml:space="preserve"> </w:t>
      </w:r>
      <w:r w:rsidR="00C62141" w:rsidRPr="00BD6BC6">
        <w:t xml:space="preserve">Commonwealth, </w:t>
      </w:r>
      <w:r w:rsidR="005A4023" w:rsidRPr="00BD6BC6">
        <w:t>s</w:t>
      </w:r>
      <w:r w:rsidR="00C62141" w:rsidRPr="00BD6BC6">
        <w:t xml:space="preserve">tates and </w:t>
      </w:r>
      <w:r w:rsidR="005A4023" w:rsidRPr="00BD6BC6">
        <w:t>t</w:t>
      </w:r>
      <w:r w:rsidR="00C62141" w:rsidRPr="00BD6BC6">
        <w:t>erritories agree that they will</w:t>
      </w:r>
      <w:r w:rsidR="00C736C0" w:rsidRPr="00BD6BC6">
        <w:t>:</w:t>
      </w:r>
    </w:p>
    <w:p w14:paraId="14E65EE0" w14:textId="09FECA43" w:rsidR="001A074C" w:rsidRPr="00BD6BC6" w:rsidRDefault="00C62141">
      <w:pPr>
        <w:pStyle w:val="ListParagraph"/>
        <w:rPr>
          <w:sz w:val="22"/>
          <w:szCs w:val="22"/>
        </w:rPr>
      </w:pPr>
      <w:r w:rsidRPr="00BD6BC6">
        <w:rPr>
          <w:sz w:val="22"/>
          <w:szCs w:val="22"/>
        </w:rPr>
        <w:t>accept and implement any recommendations made by IHPA in relation to cross-border disputes</w:t>
      </w:r>
      <w:r w:rsidR="00B0204A">
        <w:rPr>
          <w:sz w:val="22"/>
          <w:szCs w:val="22"/>
        </w:rPr>
        <w:t>; and</w:t>
      </w:r>
    </w:p>
    <w:p w14:paraId="64D2818E" w14:textId="0998DC26" w:rsidR="00C62141" w:rsidRPr="00BD6BC6" w:rsidRDefault="00C62141">
      <w:pPr>
        <w:pStyle w:val="ListParagraph"/>
        <w:rPr>
          <w:sz w:val="22"/>
          <w:szCs w:val="22"/>
        </w:rPr>
      </w:pPr>
      <w:r w:rsidRPr="00BD6BC6">
        <w:rPr>
          <w:sz w:val="22"/>
          <w:szCs w:val="22"/>
        </w:rPr>
        <w:t>provide additional funding to the other party in a dispute if this is required.</w:t>
      </w:r>
    </w:p>
    <w:p w14:paraId="7AC1032E" w14:textId="28A5F488" w:rsidR="00C62141" w:rsidRPr="00BD6BC6" w:rsidRDefault="00C62141" w:rsidP="00E96CCA">
      <w:pPr>
        <w:pStyle w:val="Heading4"/>
      </w:pPr>
      <w:r w:rsidRPr="00BD6BC6">
        <w:t>(6b) IHPA monitors compliance with</w:t>
      </w:r>
      <w:r w:rsidR="00500BFD">
        <w:t xml:space="preserve"> the</w:t>
      </w:r>
      <w:r w:rsidRPr="00BD6BC6">
        <w:t xml:space="preserve"> recommendations</w:t>
      </w:r>
    </w:p>
    <w:p w14:paraId="59A3F518" w14:textId="01A2CA1F" w:rsidR="00C62141" w:rsidRPr="00BD6BC6" w:rsidRDefault="000539F5" w:rsidP="006D55BD">
      <w:r w:rsidRPr="00BD6BC6">
        <w:t xml:space="preserve">Two months after </w:t>
      </w:r>
      <w:r w:rsidR="00C62141" w:rsidRPr="00BD6BC6">
        <w:t xml:space="preserve">IHPA </w:t>
      </w:r>
      <w:r w:rsidRPr="00BD6BC6">
        <w:t xml:space="preserve">has advised jurisdictions </w:t>
      </w:r>
      <w:r w:rsidR="00500BFD">
        <w:t xml:space="preserve">party to the dispute </w:t>
      </w:r>
      <w:r w:rsidRPr="00BD6BC6">
        <w:t xml:space="preserve">of </w:t>
      </w:r>
      <w:r w:rsidR="00C62141" w:rsidRPr="00BD6BC6">
        <w:t>the final recommendations</w:t>
      </w:r>
      <w:r w:rsidRPr="00BD6BC6">
        <w:t>, it will</w:t>
      </w:r>
      <w:r w:rsidR="00C62141" w:rsidRPr="00BD6BC6">
        <w:t xml:space="preserve"> request an update on </w:t>
      </w:r>
      <w:r w:rsidR="00500BFD">
        <w:t xml:space="preserve">the </w:t>
      </w:r>
      <w:r w:rsidR="00C62141" w:rsidRPr="00BD6BC6">
        <w:t>implementation of the</w:t>
      </w:r>
      <w:r w:rsidRPr="00BD6BC6">
        <w:t>se</w:t>
      </w:r>
      <w:r w:rsidR="00C62141" w:rsidRPr="00BD6BC6">
        <w:t xml:space="preserve"> recommendations. A response by the jurisdictions will be requested within 30 days.</w:t>
      </w:r>
    </w:p>
    <w:p w14:paraId="01FE7D74" w14:textId="77777777" w:rsidR="00C62141" w:rsidRPr="00BD6BC6" w:rsidRDefault="00C62141" w:rsidP="00E96CCA">
      <w:pPr>
        <w:pStyle w:val="Heading4"/>
      </w:pPr>
      <w:r w:rsidRPr="00BD6BC6">
        <w:t>(6c) IHPA provides advice to the Commonwealth to adjust funding (if required)</w:t>
      </w:r>
    </w:p>
    <w:p w14:paraId="1B1F758D" w14:textId="167B9F71" w:rsidR="008208B9" w:rsidRPr="00BD6BC6" w:rsidRDefault="008208B9" w:rsidP="006D55BD">
      <w:r w:rsidRPr="00BD6BC6">
        <w:t xml:space="preserve">Three </w:t>
      </w:r>
      <w:r w:rsidR="00C62141" w:rsidRPr="00BD6BC6">
        <w:t>months after IHPA has made recommendation</w:t>
      </w:r>
      <w:r w:rsidR="0023777F" w:rsidRPr="00BD6BC6">
        <w:t>s</w:t>
      </w:r>
      <w:r w:rsidRPr="00BD6BC6">
        <w:t xml:space="preserve"> </w:t>
      </w:r>
      <w:r w:rsidR="0023777F" w:rsidRPr="00BD6BC6">
        <w:t>and</w:t>
      </w:r>
      <w:r w:rsidR="00C62141" w:rsidRPr="00BD6BC6">
        <w:t xml:space="preserve"> any element of the recommendations</w:t>
      </w:r>
      <w:r w:rsidRPr="00BD6BC6">
        <w:t xml:space="preserve"> have not been complied with</w:t>
      </w:r>
      <w:r w:rsidR="00C62141" w:rsidRPr="00BD6BC6">
        <w:t>, IHPA may</w:t>
      </w:r>
      <w:r w:rsidR="00500BFD">
        <w:t>,</w:t>
      </w:r>
      <w:r w:rsidR="00C62141" w:rsidRPr="00BD6BC6">
        <w:t xml:space="preserve"> at the request of the </w:t>
      </w:r>
      <w:r w:rsidR="004E3E99" w:rsidRPr="00BD6BC6">
        <w:t xml:space="preserve">applicant </w:t>
      </w:r>
      <w:r w:rsidR="00C62141" w:rsidRPr="00BD6BC6">
        <w:t>jurisdiction</w:t>
      </w:r>
      <w:r w:rsidR="00500BFD">
        <w:t>,</w:t>
      </w:r>
      <w:r w:rsidR="00C62141" w:rsidRPr="00BD6BC6">
        <w:t xml:space="preserve"> advise the Commonwealth Treasurer of any adjustments to Commonwealth payments to the National Health Funding Pool required to give effect to the recommendation</w:t>
      </w:r>
      <w:r w:rsidRPr="00BD6BC6">
        <w:t>s</w:t>
      </w:r>
      <w:r w:rsidR="00C62141" w:rsidRPr="00BD6BC6">
        <w:t>.</w:t>
      </w:r>
      <w:r w:rsidR="0023777F" w:rsidRPr="00BD6BC6">
        <w:rPr>
          <w:rStyle w:val="FootnoteReference"/>
          <w:rFonts w:cs="Arial"/>
        </w:rPr>
        <w:footnoteReference w:id="3"/>
      </w:r>
    </w:p>
    <w:p w14:paraId="20ED74B9" w14:textId="50734EDF" w:rsidR="00C62141" w:rsidRPr="00BD6BC6" w:rsidRDefault="00386816" w:rsidP="006D55BD">
      <w:r w:rsidRPr="00BD6BC6">
        <w:t>T</w:t>
      </w:r>
      <w:r w:rsidR="00C62141" w:rsidRPr="00BD6BC6">
        <w:t xml:space="preserve">he </w:t>
      </w:r>
      <w:r w:rsidR="005A4023" w:rsidRPr="00BD6BC6">
        <w:t>s</w:t>
      </w:r>
      <w:r w:rsidR="00C62141" w:rsidRPr="00BD6BC6">
        <w:t xml:space="preserve">tates and </w:t>
      </w:r>
      <w:r w:rsidR="005A4023" w:rsidRPr="00BD6BC6">
        <w:t>t</w:t>
      </w:r>
      <w:r w:rsidR="00C62141" w:rsidRPr="00BD6BC6">
        <w:t xml:space="preserve">erritories agree to fund from their own resources any reduction in Commonwealth payments to </w:t>
      </w:r>
      <w:r w:rsidR="00500BFD">
        <w:t>l</w:t>
      </w:r>
      <w:r w:rsidR="00C62141" w:rsidRPr="00BD6BC6">
        <w:t xml:space="preserve">ocal </w:t>
      </w:r>
      <w:r w:rsidR="00500BFD">
        <w:t>h</w:t>
      </w:r>
      <w:r w:rsidR="00C62141" w:rsidRPr="00BD6BC6">
        <w:t xml:space="preserve">ospital </w:t>
      </w:r>
      <w:r w:rsidR="00500BFD">
        <w:t>n</w:t>
      </w:r>
      <w:r w:rsidR="00C62141" w:rsidRPr="00BD6BC6">
        <w:t>etworks.</w:t>
      </w:r>
    </w:p>
    <w:p w14:paraId="50A3A729" w14:textId="77777777" w:rsidR="00C62141" w:rsidRPr="00BD6BC6" w:rsidRDefault="00C62141" w:rsidP="00C62141">
      <w:pPr>
        <w:spacing w:after="0" w:line="240" w:lineRule="auto"/>
        <w:rPr>
          <w:rFonts w:cs="Arial"/>
        </w:rPr>
      </w:pPr>
      <w:r w:rsidRPr="00BD6BC6">
        <w:rPr>
          <w:rFonts w:cs="Arial"/>
        </w:rPr>
        <w:br w:type="page"/>
      </w:r>
    </w:p>
    <w:p w14:paraId="3150B473" w14:textId="77777777" w:rsidR="00C62141" w:rsidRPr="00BD6BC6" w:rsidRDefault="00C62141" w:rsidP="00D2320A">
      <w:pPr>
        <w:pStyle w:val="Heading1"/>
      </w:pPr>
      <w:bookmarkStart w:id="390" w:name="_Toc482364332"/>
      <w:bookmarkStart w:id="391" w:name="_Toc507599204"/>
      <w:bookmarkStart w:id="392" w:name="_Toc507611967"/>
      <w:bookmarkStart w:id="393" w:name="_Toc507612183"/>
      <w:bookmarkStart w:id="394" w:name="_Toc507612266"/>
      <w:bookmarkStart w:id="395" w:name="_Toc507613279"/>
      <w:bookmarkStart w:id="396" w:name="_Toc507613384"/>
      <w:bookmarkStart w:id="397" w:name="_Toc507613792"/>
      <w:bookmarkStart w:id="398" w:name="_Toc507614037"/>
      <w:bookmarkStart w:id="399" w:name="_Toc507614164"/>
      <w:bookmarkStart w:id="400" w:name="_Toc507614324"/>
      <w:bookmarkStart w:id="401" w:name="_Toc507614400"/>
      <w:bookmarkStart w:id="402" w:name="_Toc507614512"/>
      <w:bookmarkStart w:id="403" w:name="_Toc91157737"/>
      <w:r w:rsidRPr="00BD6BC6">
        <w:lastRenderedPageBreak/>
        <w:t>5.</w:t>
      </w:r>
      <w:r w:rsidRPr="00BD6BC6">
        <w:tab/>
        <w:t>Complaint and enquiry process</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0027707B" w14:textId="1477765A" w:rsidR="00C62141" w:rsidRPr="00BD6BC6" w:rsidRDefault="00C62141" w:rsidP="000775C8">
      <w:pPr>
        <w:pStyle w:val="Heading2"/>
        <w:rPr>
          <w:caps/>
        </w:rPr>
      </w:pPr>
      <w:bookmarkStart w:id="404" w:name="_Toc482364333"/>
      <w:bookmarkStart w:id="405" w:name="_Toc507599205"/>
      <w:bookmarkStart w:id="406" w:name="_Toc507611968"/>
      <w:bookmarkStart w:id="407" w:name="_Toc507612184"/>
      <w:bookmarkStart w:id="408" w:name="_Toc507612267"/>
      <w:bookmarkStart w:id="409" w:name="_Toc507613280"/>
      <w:bookmarkStart w:id="410" w:name="_Toc507613385"/>
      <w:bookmarkStart w:id="411" w:name="_Toc507613793"/>
      <w:bookmarkStart w:id="412" w:name="_Toc507614038"/>
      <w:bookmarkStart w:id="413" w:name="_Toc507614165"/>
      <w:bookmarkStart w:id="414" w:name="_Toc507614325"/>
      <w:bookmarkStart w:id="415" w:name="_Toc507614401"/>
      <w:bookmarkStart w:id="416" w:name="_Toc507614513"/>
      <w:bookmarkStart w:id="417" w:name="_Toc91157738"/>
      <w:r w:rsidRPr="00BD6BC6">
        <w:t>5.1</w:t>
      </w:r>
      <w:r w:rsidRPr="00BD6BC6">
        <w:tab/>
        <w:t>Internal review</w:t>
      </w:r>
      <w:bookmarkEnd w:id="404"/>
      <w:bookmarkEnd w:id="405"/>
      <w:bookmarkEnd w:id="406"/>
      <w:bookmarkEnd w:id="407"/>
      <w:bookmarkEnd w:id="408"/>
      <w:bookmarkEnd w:id="409"/>
      <w:bookmarkEnd w:id="410"/>
      <w:bookmarkEnd w:id="411"/>
      <w:bookmarkEnd w:id="412"/>
      <w:bookmarkEnd w:id="413"/>
      <w:bookmarkEnd w:id="414"/>
      <w:bookmarkEnd w:id="415"/>
      <w:bookmarkEnd w:id="416"/>
      <w:r w:rsidR="00F056A0">
        <w:t xml:space="preserve"> process</w:t>
      </w:r>
      <w:bookmarkEnd w:id="417"/>
    </w:p>
    <w:p w14:paraId="0412C3DA" w14:textId="2CADF7A8" w:rsidR="00C62141" w:rsidRPr="00BD6BC6" w:rsidRDefault="00FD3D3C" w:rsidP="006D55BD">
      <w:r w:rsidRPr="00BD6BC6">
        <w:t xml:space="preserve">The following process should be followed where </w:t>
      </w:r>
      <w:r w:rsidR="00C62141" w:rsidRPr="00BD6BC6">
        <w:t>an affected jurisdiction w</w:t>
      </w:r>
      <w:r w:rsidR="0017246A" w:rsidRPr="00BD6BC6">
        <w:t>ish</w:t>
      </w:r>
      <w:r w:rsidRPr="00BD6BC6">
        <w:t>es</w:t>
      </w:r>
      <w:r w:rsidR="00C62141" w:rsidRPr="00BD6BC6">
        <w:t xml:space="preserve"> to </w:t>
      </w:r>
      <w:r w:rsidRPr="00BD6BC6">
        <w:t>make</w:t>
      </w:r>
      <w:r w:rsidR="00C62141" w:rsidRPr="00BD6BC6">
        <w:t xml:space="preserve"> a complaint or enquire about IHPA’s legislative functions </w:t>
      </w:r>
      <w:r w:rsidRPr="00BD6BC6">
        <w:t>or</w:t>
      </w:r>
      <w:r w:rsidR="00CE6A2D" w:rsidRPr="00BD6BC6">
        <w:t xml:space="preserve"> </w:t>
      </w:r>
      <w:r w:rsidR="00C62141" w:rsidRPr="00BD6BC6">
        <w:t xml:space="preserve">the </w:t>
      </w:r>
      <w:r w:rsidRPr="00BD6BC6">
        <w:t xml:space="preserve">performance of these </w:t>
      </w:r>
      <w:r w:rsidR="00C62141" w:rsidRPr="00BD6BC6">
        <w:t>functions:</w:t>
      </w:r>
    </w:p>
    <w:p w14:paraId="5EF03944" w14:textId="15063000" w:rsidR="00C62141" w:rsidRPr="00BD6BC6" w:rsidRDefault="00C62141" w:rsidP="00F056A0">
      <w:pPr>
        <w:pStyle w:val="ListParagraph"/>
        <w:numPr>
          <w:ilvl w:val="0"/>
          <w:numId w:val="32"/>
        </w:numPr>
        <w:ind w:left="709"/>
        <w:rPr>
          <w:sz w:val="22"/>
          <w:szCs w:val="22"/>
        </w:rPr>
      </w:pPr>
      <w:r w:rsidRPr="00BD6BC6">
        <w:rPr>
          <w:sz w:val="22"/>
          <w:szCs w:val="22"/>
        </w:rPr>
        <w:t xml:space="preserve">jurisdictions </w:t>
      </w:r>
      <w:r w:rsidR="00FD3D3C" w:rsidRPr="00BD6BC6">
        <w:rPr>
          <w:sz w:val="22"/>
          <w:szCs w:val="22"/>
        </w:rPr>
        <w:t>make a</w:t>
      </w:r>
      <w:r w:rsidRPr="00BD6BC6">
        <w:rPr>
          <w:sz w:val="22"/>
          <w:szCs w:val="22"/>
        </w:rPr>
        <w:t xml:space="preserve"> complaint or enquiry in writing to the IHPA CEO and Pricing Authority Chair</w:t>
      </w:r>
    </w:p>
    <w:p w14:paraId="40D1E152" w14:textId="2572DDDD" w:rsidR="00C62141" w:rsidRPr="00BD6BC6" w:rsidRDefault="00C62141" w:rsidP="00F056A0">
      <w:pPr>
        <w:pStyle w:val="ListParagraph"/>
        <w:numPr>
          <w:ilvl w:val="0"/>
          <w:numId w:val="32"/>
        </w:numPr>
        <w:ind w:left="709"/>
        <w:rPr>
          <w:sz w:val="22"/>
          <w:szCs w:val="22"/>
        </w:rPr>
      </w:pPr>
      <w:r w:rsidRPr="00BD6BC6">
        <w:rPr>
          <w:sz w:val="22"/>
          <w:szCs w:val="22"/>
        </w:rPr>
        <w:t xml:space="preserve">IHPA will acknowledge the complaint or enquiry </w:t>
      </w:r>
      <w:r w:rsidR="00234F1D" w:rsidRPr="00BD6BC6">
        <w:rPr>
          <w:sz w:val="22"/>
          <w:szCs w:val="22"/>
        </w:rPr>
        <w:t>in writing</w:t>
      </w:r>
    </w:p>
    <w:p w14:paraId="4EBDE4E6" w14:textId="3927546A" w:rsidR="00C62141" w:rsidRPr="00BD6BC6" w:rsidRDefault="00C62141" w:rsidP="00F056A0">
      <w:pPr>
        <w:pStyle w:val="ListParagraph"/>
        <w:numPr>
          <w:ilvl w:val="0"/>
          <w:numId w:val="32"/>
        </w:numPr>
        <w:ind w:left="709"/>
        <w:rPr>
          <w:sz w:val="22"/>
          <w:szCs w:val="22"/>
        </w:rPr>
      </w:pPr>
      <w:r w:rsidRPr="00BD6BC6">
        <w:rPr>
          <w:sz w:val="22"/>
          <w:szCs w:val="22"/>
        </w:rPr>
        <w:t xml:space="preserve">if </w:t>
      </w:r>
      <w:r w:rsidR="00CE6A2D" w:rsidRPr="00BD6BC6">
        <w:rPr>
          <w:sz w:val="22"/>
          <w:szCs w:val="22"/>
        </w:rPr>
        <w:t xml:space="preserve">an </w:t>
      </w:r>
      <w:r w:rsidRPr="00BD6BC6">
        <w:rPr>
          <w:sz w:val="22"/>
          <w:szCs w:val="22"/>
        </w:rPr>
        <w:t xml:space="preserve">investigation is required by IHPA </w:t>
      </w:r>
      <w:r w:rsidR="00CD7BF5" w:rsidRPr="00BD6BC6">
        <w:rPr>
          <w:sz w:val="22"/>
          <w:szCs w:val="22"/>
        </w:rPr>
        <w:t>about</w:t>
      </w:r>
      <w:r w:rsidRPr="00BD6BC6">
        <w:rPr>
          <w:sz w:val="22"/>
          <w:szCs w:val="22"/>
        </w:rPr>
        <w:t xml:space="preserve"> the performance of its legislative functions, </w:t>
      </w:r>
      <w:r w:rsidR="00CD7BF5" w:rsidRPr="00BD6BC6">
        <w:rPr>
          <w:sz w:val="22"/>
          <w:szCs w:val="22"/>
        </w:rPr>
        <w:t xml:space="preserve">it </w:t>
      </w:r>
      <w:r w:rsidRPr="00BD6BC6">
        <w:rPr>
          <w:sz w:val="22"/>
          <w:szCs w:val="22"/>
        </w:rPr>
        <w:t>will aim to resolve factual issues and consider options for resolution</w:t>
      </w:r>
    </w:p>
    <w:p w14:paraId="66032AC9" w14:textId="2902C013" w:rsidR="00C62141" w:rsidRPr="00BD6BC6" w:rsidRDefault="00C62141" w:rsidP="00F056A0">
      <w:pPr>
        <w:pStyle w:val="ListParagraph"/>
        <w:numPr>
          <w:ilvl w:val="0"/>
          <w:numId w:val="32"/>
        </w:numPr>
        <w:ind w:left="709"/>
        <w:rPr>
          <w:sz w:val="22"/>
          <w:szCs w:val="22"/>
        </w:rPr>
      </w:pPr>
      <w:r w:rsidRPr="00BD6BC6">
        <w:rPr>
          <w:sz w:val="22"/>
          <w:szCs w:val="22"/>
        </w:rPr>
        <w:t xml:space="preserve">if the jurisdiction is not satisfied with the response, external review </w:t>
      </w:r>
      <w:r w:rsidR="00C80744" w:rsidRPr="00BD6BC6">
        <w:rPr>
          <w:sz w:val="22"/>
          <w:szCs w:val="22"/>
        </w:rPr>
        <w:t xml:space="preserve">may </w:t>
      </w:r>
      <w:r w:rsidRPr="00BD6BC6">
        <w:rPr>
          <w:sz w:val="22"/>
          <w:szCs w:val="22"/>
        </w:rPr>
        <w:t xml:space="preserve">be sought </w:t>
      </w:r>
      <w:r w:rsidR="00C16743" w:rsidRPr="00BD6BC6">
        <w:rPr>
          <w:sz w:val="22"/>
          <w:szCs w:val="22"/>
        </w:rPr>
        <w:t>as outline</w:t>
      </w:r>
      <w:r w:rsidR="00386816" w:rsidRPr="00BD6BC6">
        <w:rPr>
          <w:sz w:val="22"/>
          <w:szCs w:val="22"/>
        </w:rPr>
        <w:t>d</w:t>
      </w:r>
      <w:r w:rsidR="00C16743" w:rsidRPr="00BD6BC6">
        <w:rPr>
          <w:sz w:val="22"/>
          <w:szCs w:val="22"/>
        </w:rPr>
        <w:t xml:space="preserve"> in </w:t>
      </w:r>
      <w:r w:rsidR="00F05ECB" w:rsidRPr="00BD6BC6">
        <w:rPr>
          <w:sz w:val="22"/>
          <w:szCs w:val="22"/>
        </w:rPr>
        <w:t>section</w:t>
      </w:r>
      <w:r w:rsidR="00593CE6" w:rsidRPr="00BD6BC6">
        <w:rPr>
          <w:sz w:val="22"/>
          <w:szCs w:val="22"/>
        </w:rPr>
        <w:t xml:space="preserve"> </w:t>
      </w:r>
      <w:r w:rsidR="00C80744" w:rsidRPr="00BD6BC6">
        <w:rPr>
          <w:sz w:val="22"/>
          <w:szCs w:val="22"/>
        </w:rPr>
        <w:t>5.2</w:t>
      </w:r>
      <w:r w:rsidR="00C16743" w:rsidRPr="00BD6BC6">
        <w:rPr>
          <w:sz w:val="22"/>
          <w:szCs w:val="22"/>
        </w:rPr>
        <w:t xml:space="preserve"> of this </w:t>
      </w:r>
      <w:r w:rsidR="00F056A0">
        <w:rPr>
          <w:sz w:val="22"/>
          <w:szCs w:val="22"/>
        </w:rPr>
        <w:t>Policy</w:t>
      </w:r>
    </w:p>
    <w:p w14:paraId="228D5C0E" w14:textId="77777777" w:rsidR="00C62141" w:rsidRPr="00BD6BC6" w:rsidRDefault="00C62141" w:rsidP="00F056A0">
      <w:pPr>
        <w:pStyle w:val="ListParagraph"/>
        <w:numPr>
          <w:ilvl w:val="0"/>
          <w:numId w:val="32"/>
        </w:numPr>
        <w:ind w:left="709"/>
        <w:rPr>
          <w:sz w:val="22"/>
          <w:szCs w:val="22"/>
        </w:rPr>
      </w:pPr>
      <w:r w:rsidRPr="00BD6BC6">
        <w:rPr>
          <w:sz w:val="22"/>
          <w:szCs w:val="22"/>
        </w:rPr>
        <w:t>any systemic issues that arise as a result of the complaint or enquiry will be considered by IHPA.</w:t>
      </w:r>
    </w:p>
    <w:p w14:paraId="2411424E" w14:textId="66C7AF02" w:rsidR="00C62141" w:rsidRPr="00BD6BC6" w:rsidRDefault="00C62141" w:rsidP="000775C8">
      <w:pPr>
        <w:pStyle w:val="Heading2"/>
        <w:rPr>
          <w:caps/>
        </w:rPr>
      </w:pPr>
      <w:bookmarkStart w:id="418" w:name="_Toc482364334"/>
      <w:bookmarkStart w:id="419" w:name="_Toc507599206"/>
      <w:bookmarkStart w:id="420" w:name="_Toc507611969"/>
      <w:bookmarkStart w:id="421" w:name="_Toc507612185"/>
      <w:bookmarkStart w:id="422" w:name="_Toc507612268"/>
      <w:bookmarkStart w:id="423" w:name="_Toc507613281"/>
      <w:bookmarkStart w:id="424" w:name="_Toc507613386"/>
      <w:bookmarkStart w:id="425" w:name="_Toc507613794"/>
      <w:bookmarkStart w:id="426" w:name="_Toc507614039"/>
      <w:bookmarkStart w:id="427" w:name="_Toc507614166"/>
      <w:bookmarkStart w:id="428" w:name="_Toc507614326"/>
      <w:bookmarkStart w:id="429" w:name="_Toc507614402"/>
      <w:bookmarkStart w:id="430" w:name="_Toc507614514"/>
      <w:bookmarkStart w:id="431" w:name="_Toc91157739"/>
      <w:r w:rsidRPr="00BD6BC6">
        <w:t>5.2</w:t>
      </w:r>
      <w:r w:rsidRPr="00BD6BC6">
        <w:tab/>
        <w:t>External review options</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45296D2C" w14:textId="77777777" w:rsidR="00C62141" w:rsidRPr="00BD6BC6" w:rsidRDefault="00C62141" w:rsidP="006D55BD">
      <w:r w:rsidRPr="00BD6BC6">
        <w:t>The external review options which may be available to affected jurisdictions are summarised below.</w:t>
      </w:r>
    </w:p>
    <w:p w14:paraId="614E0BB9" w14:textId="77777777" w:rsidR="00C62141" w:rsidRPr="00BD6BC6" w:rsidRDefault="00C62141" w:rsidP="003E6DD4">
      <w:pPr>
        <w:pStyle w:val="Heading3"/>
      </w:pPr>
      <w:bookmarkStart w:id="432" w:name="_Toc2862873"/>
      <w:bookmarkStart w:id="433" w:name="_Toc11232098"/>
      <w:bookmarkStart w:id="434" w:name="_Toc58480964"/>
      <w:bookmarkStart w:id="435" w:name="_Toc58846003"/>
      <w:bookmarkStart w:id="436" w:name="_Toc58846362"/>
      <w:bookmarkStart w:id="437" w:name="_Toc61873543"/>
      <w:bookmarkStart w:id="438" w:name="_Toc61873757"/>
      <w:bookmarkStart w:id="439" w:name="_Toc61950913"/>
      <w:bookmarkStart w:id="440" w:name="_Toc91157740"/>
      <w:r w:rsidRPr="00BD6BC6">
        <w:t>Commonwealth Ombudsman</w:t>
      </w:r>
      <w:bookmarkEnd w:id="432"/>
      <w:bookmarkEnd w:id="433"/>
      <w:bookmarkEnd w:id="434"/>
      <w:bookmarkEnd w:id="435"/>
      <w:bookmarkEnd w:id="436"/>
      <w:bookmarkEnd w:id="437"/>
      <w:bookmarkEnd w:id="438"/>
      <w:bookmarkEnd w:id="439"/>
      <w:bookmarkEnd w:id="440"/>
    </w:p>
    <w:p w14:paraId="0A2490C7" w14:textId="698F5CC9" w:rsidR="00C62141" w:rsidRPr="00BD6BC6" w:rsidRDefault="00C62141" w:rsidP="006D55BD">
      <w:r w:rsidRPr="00BD6BC6">
        <w:t xml:space="preserve">The performance of functions by IHPA and actions reasonably incidental to the performance of such functions could be subject to an investigation by the </w:t>
      </w:r>
      <w:r w:rsidR="00F056A0">
        <w:t xml:space="preserve">Commonwealth </w:t>
      </w:r>
      <w:r w:rsidRPr="00BD6BC6">
        <w:t xml:space="preserve">Ombudsman under the </w:t>
      </w:r>
      <w:r w:rsidRPr="00BD6BC6">
        <w:rPr>
          <w:i/>
        </w:rPr>
        <w:t>Ombudsman Act</w:t>
      </w:r>
      <w:r w:rsidR="005B3AAE">
        <w:rPr>
          <w:i/>
        </w:rPr>
        <w:t> </w:t>
      </w:r>
      <w:r w:rsidRPr="00BD6BC6">
        <w:rPr>
          <w:i/>
        </w:rPr>
        <w:t>1976</w:t>
      </w:r>
      <w:r w:rsidRPr="00BD6BC6">
        <w:t>, should a review be requested by an affected jurisdiction.</w:t>
      </w:r>
    </w:p>
    <w:p w14:paraId="37D2CA3B" w14:textId="77777777" w:rsidR="00C62141" w:rsidRPr="00BD6BC6" w:rsidRDefault="00C62141" w:rsidP="003E6DD4">
      <w:pPr>
        <w:pStyle w:val="Heading3"/>
      </w:pPr>
      <w:bookmarkStart w:id="441" w:name="_Toc2862874"/>
      <w:bookmarkStart w:id="442" w:name="_Toc11232099"/>
      <w:bookmarkStart w:id="443" w:name="_Toc58480965"/>
      <w:bookmarkStart w:id="444" w:name="_Toc58846004"/>
      <w:bookmarkStart w:id="445" w:name="_Toc58846363"/>
      <w:bookmarkStart w:id="446" w:name="_Toc61873544"/>
      <w:bookmarkStart w:id="447" w:name="_Toc61873758"/>
      <w:bookmarkStart w:id="448" w:name="_Toc61950914"/>
      <w:bookmarkStart w:id="449" w:name="_Toc91157741"/>
      <w:r w:rsidRPr="00BD6BC6">
        <w:t>Judicial review</w:t>
      </w:r>
      <w:bookmarkEnd w:id="441"/>
      <w:bookmarkEnd w:id="442"/>
      <w:bookmarkEnd w:id="443"/>
      <w:bookmarkEnd w:id="444"/>
      <w:bookmarkEnd w:id="445"/>
      <w:bookmarkEnd w:id="446"/>
      <w:bookmarkEnd w:id="447"/>
      <w:bookmarkEnd w:id="448"/>
      <w:bookmarkEnd w:id="449"/>
    </w:p>
    <w:p w14:paraId="2CA50C28" w14:textId="72A5A437" w:rsidR="00C62141" w:rsidRPr="00BD6BC6" w:rsidRDefault="00C62141" w:rsidP="006D55BD">
      <w:r w:rsidRPr="00BD6BC6">
        <w:t xml:space="preserve">Judicial review options may be available under the </w:t>
      </w:r>
      <w:r w:rsidRPr="00BD6BC6">
        <w:rPr>
          <w:i/>
        </w:rPr>
        <w:t>Administrative Decisions (Judicial Review) Act</w:t>
      </w:r>
      <w:r w:rsidR="005B3AAE">
        <w:rPr>
          <w:i/>
        </w:rPr>
        <w:t> </w:t>
      </w:r>
      <w:r w:rsidRPr="00BD6BC6">
        <w:rPr>
          <w:i/>
        </w:rPr>
        <w:t>1977</w:t>
      </w:r>
      <w:r w:rsidRPr="00BD6BC6">
        <w:t xml:space="preserve"> </w:t>
      </w:r>
      <w:r w:rsidR="005A3E71" w:rsidRPr="00BD6BC6">
        <w:t>and</w:t>
      </w:r>
      <w:r w:rsidRPr="00BD6BC6">
        <w:t xml:space="preserve"> under common law.</w:t>
      </w:r>
    </w:p>
    <w:p w14:paraId="4762928B" w14:textId="77777777" w:rsidR="00462D21" w:rsidRPr="00BD6BC6" w:rsidRDefault="00462D21" w:rsidP="00C62141">
      <w:pPr>
        <w:spacing w:before="240"/>
        <w:ind w:right="-188"/>
        <w:rPr>
          <w:rFonts w:cs="Arial"/>
        </w:rPr>
      </w:pPr>
    </w:p>
    <w:p w14:paraId="3F90EBC2" w14:textId="2DA8AE5F" w:rsidR="00FF18C0" w:rsidRPr="00BD6BC6" w:rsidRDefault="000775C8" w:rsidP="00D2320A">
      <w:pPr>
        <w:pStyle w:val="AppendixH1"/>
      </w:pPr>
      <w:r w:rsidRPr="00BD6BC6">
        <w:rPr>
          <w:rFonts w:ascii="Arial" w:hAnsi="Arial" w:cs="Arial"/>
          <w:b w:val="0"/>
          <w:color w:val="auto"/>
          <w:sz w:val="22"/>
          <w:szCs w:val="24"/>
          <w:lang w:eastAsia="en-AU"/>
        </w:rPr>
        <w:br w:type="page"/>
      </w:r>
      <w:bookmarkStart w:id="450" w:name="_Toc482364336"/>
      <w:bookmarkStart w:id="451" w:name="_Toc507599208"/>
      <w:bookmarkStart w:id="452" w:name="_Toc507611971"/>
      <w:bookmarkStart w:id="453" w:name="_Toc507612187"/>
      <w:bookmarkStart w:id="454" w:name="_Toc507612270"/>
      <w:bookmarkStart w:id="455" w:name="_Toc507613283"/>
      <w:bookmarkStart w:id="456" w:name="_Toc507613388"/>
      <w:bookmarkStart w:id="457" w:name="_Toc507613796"/>
      <w:bookmarkStart w:id="458" w:name="_Toc507614041"/>
      <w:bookmarkStart w:id="459" w:name="_Toc507614168"/>
      <w:bookmarkStart w:id="460" w:name="_Toc507614328"/>
      <w:bookmarkStart w:id="461" w:name="_Toc507614404"/>
      <w:bookmarkStart w:id="462" w:name="_Toc507614516"/>
      <w:bookmarkStart w:id="463" w:name="_Toc91157742"/>
      <w:r w:rsidR="00FF18C0" w:rsidRPr="00B74D4F">
        <w:rPr>
          <w:color w:val="000000" w:themeColor="text1"/>
        </w:rPr>
        <w:lastRenderedPageBreak/>
        <w:t>Appendix A: Cost-shifting</w:t>
      </w:r>
      <w:r w:rsidR="00E30897" w:rsidRPr="00B74D4F">
        <w:rPr>
          <w:rFonts w:cstheme="majorHAnsi"/>
          <w:color w:val="000000" w:themeColor="text1"/>
        </w:rPr>
        <w:t xml:space="preserve"> – </w:t>
      </w:r>
      <w:r w:rsidR="00FF18C0" w:rsidRPr="00B74D4F">
        <w:rPr>
          <w:color w:val="000000" w:themeColor="text1"/>
        </w:rPr>
        <w:t xml:space="preserve">Guidance on </w:t>
      </w:r>
      <w:r w:rsidR="0014739F" w:rsidRPr="00B74D4F">
        <w:rPr>
          <w:color w:val="000000" w:themeColor="text1"/>
        </w:rPr>
        <w:t xml:space="preserve">the </w:t>
      </w:r>
      <w:r w:rsidR="00FF18C0" w:rsidRPr="00B74D4F">
        <w:rPr>
          <w:color w:val="000000" w:themeColor="text1"/>
        </w:rPr>
        <w:t>evidence</w:t>
      </w:r>
      <w:bookmarkEnd w:id="450"/>
      <w:bookmarkEnd w:id="451"/>
      <w:bookmarkEnd w:id="452"/>
      <w:bookmarkEnd w:id="453"/>
      <w:bookmarkEnd w:id="454"/>
      <w:bookmarkEnd w:id="455"/>
      <w:bookmarkEnd w:id="456"/>
      <w:bookmarkEnd w:id="457"/>
      <w:bookmarkEnd w:id="458"/>
      <w:bookmarkEnd w:id="459"/>
      <w:bookmarkEnd w:id="460"/>
      <w:bookmarkEnd w:id="461"/>
      <w:bookmarkEnd w:id="462"/>
      <w:r w:rsidR="0014739F" w:rsidRPr="00B74D4F">
        <w:rPr>
          <w:color w:val="000000" w:themeColor="text1"/>
        </w:rPr>
        <w:t xml:space="preserve"> required to support an application</w:t>
      </w:r>
      <w:r w:rsidR="002E63A4" w:rsidRPr="00B74D4F">
        <w:rPr>
          <w:color w:val="000000" w:themeColor="text1"/>
        </w:rPr>
        <w:t xml:space="preserve"> for dispute resolution</w:t>
      </w:r>
      <w:bookmarkEnd w:id="463"/>
    </w:p>
    <w:p w14:paraId="35B13E6E" w14:textId="427DE9B7" w:rsidR="00FF18C0" w:rsidRPr="00BD6BC6" w:rsidRDefault="00FF18C0" w:rsidP="006D55BD">
      <w:r w:rsidRPr="00BD6BC6">
        <w:t>To assist jurisdictions in preparing a</w:t>
      </w:r>
      <w:r w:rsidR="0014739F" w:rsidRPr="00BD6BC6">
        <w:t xml:space="preserve">n application </w:t>
      </w:r>
      <w:r w:rsidRPr="00BD6BC6">
        <w:t>for assessment</w:t>
      </w:r>
      <w:r w:rsidR="0014739F" w:rsidRPr="00BD6BC6">
        <w:t xml:space="preserve"> </w:t>
      </w:r>
      <w:r w:rsidR="002E63A4" w:rsidRPr="00BD6BC6">
        <w:t>and resolution of</w:t>
      </w:r>
      <w:r w:rsidR="0014739F" w:rsidRPr="00BD6BC6">
        <w:t xml:space="preserve"> a cost-shifting dispute</w:t>
      </w:r>
      <w:r w:rsidRPr="00BD6BC6">
        <w:t xml:space="preserve">, IHPA has developed </w:t>
      </w:r>
      <w:r w:rsidR="0014739F" w:rsidRPr="00BD6BC6">
        <w:t xml:space="preserve">the </w:t>
      </w:r>
      <w:r w:rsidRPr="00BD6BC6">
        <w:t xml:space="preserve">guidance </w:t>
      </w:r>
      <w:r w:rsidR="0014739F" w:rsidRPr="00BD6BC6">
        <w:t xml:space="preserve">in </w:t>
      </w:r>
      <w:r w:rsidR="0014739F" w:rsidRPr="00B74D4F">
        <w:rPr>
          <w:b/>
        </w:rPr>
        <w:t xml:space="preserve">Table </w:t>
      </w:r>
      <w:r w:rsidR="00A707FF" w:rsidRPr="00B74D4F">
        <w:rPr>
          <w:b/>
        </w:rPr>
        <w:t>4</w:t>
      </w:r>
      <w:r w:rsidRPr="00BD6BC6">
        <w:t>.</w:t>
      </w:r>
    </w:p>
    <w:p w14:paraId="6BB4CA57" w14:textId="5799BEB3" w:rsidR="00FF18C0" w:rsidRPr="00BD6BC6" w:rsidRDefault="00FF18C0" w:rsidP="008D7E17">
      <w:pPr>
        <w:pStyle w:val="TableHeading"/>
      </w:pPr>
      <w:r w:rsidRPr="00BD6BC6">
        <w:t xml:space="preserve">Table </w:t>
      </w:r>
      <w:r w:rsidR="00A707FF" w:rsidRPr="00BD6BC6">
        <w:t>4</w:t>
      </w:r>
      <w:r w:rsidR="00F056A0">
        <w:t>.</w:t>
      </w:r>
      <w:r w:rsidRPr="00BD6BC6">
        <w:t xml:space="preserve"> Guidance on </w:t>
      </w:r>
      <w:r w:rsidR="0014739F" w:rsidRPr="00BD6BC6">
        <w:t xml:space="preserve">the </w:t>
      </w:r>
      <w:r w:rsidRPr="00BD6BC6">
        <w:t xml:space="preserve">evidence </w:t>
      </w:r>
      <w:r w:rsidR="002E63A4" w:rsidRPr="00BD6BC6">
        <w:t>required to support</w:t>
      </w:r>
      <w:r w:rsidRPr="00BD6BC6">
        <w:t xml:space="preserve"> </w:t>
      </w:r>
      <w:r w:rsidR="0014739F" w:rsidRPr="00BD6BC6">
        <w:t xml:space="preserve">an application </w:t>
      </w:r>
      <w:r w:rsidRPr="00BD6BC6">
        <w:t xml:space="preserve">for assessment </w:t>
      </w:r>
      <w:r w:rsidR="002E63A4" w:rsidRPr="00BD6BC6">
        <w:t>of a cost-shifting dispute</w:t>
      </w:r>
    </w:p>
    <w:tbl>
      <w:tblPr>
        <w:tblW w:w="9072" w:type="dxa"/>
        <w:tblInd w:w="5" w:type="dxa"/>
        <w:tblLayout w:type="fixed"/>
        <w:tblCellMar>
          <w:left w:w="0" w:type="dxa"/>
          <w:right w:w="0" w:type="dxa"/>
        </w:tblCellMar>
        <w:tblLook w:val="0000" w:firstRow="0" w:lastRow="0" w:firstColumn="0" w:lastColumn="0" w:noHBand="0" w:noVBand="0"/>
        <w:tblDescription w:val="Table 1 is a checklist with topic's and key evidences when needing to prepare a request for cost shifting disputes assessments."/>
      </w:tblPr>
      <w:tblGrid>
        <w:gridCol w:w="1985"/>
        <w:gridCol w:w="7087"/>
      </w:tblGrid>
      <w:tr w:rsidR="006228D9" w:rsidRPr="00BD6BC6" w14:paraId="01F28F3C" w14:textId="77777777" w:rsidTr="006228D9">
        <w:trPr>
          <w:tblHeader/>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1C35748" w14:textId="4035C872" w:rsidR="006228D9" w:rsidRPr="00B74D4F" w:rsidRDefault="00F056A0" w:rsidP="004D0F7C">
            <w:pPr>
              <w:pStyle w:val="NormalArial"/>
              <w:spacing w:before="60" w:after="120" w:line="264" w:lineRule="auto"/>
              <w:ind w:left="79"/>
              <w:rPr>
                <w:b/>
              </w:rPr>
            </w:pPr>
            <w:r w:rsidRPr="00B74D4F">
              <w:rPr>
                <w:b/>
              </w:rPr>
              <w:t>Item</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DF81962" w14:textId="77777777" w:rsidR="006228D9" w:rsidRPr="00B74D4F" w:rsidRDefault="006228D9" w:rsidP="004D0F7C">
            <w:pPr>
              <w:pStyle w:val="NormalArial"/>
              <w:spacing w:before="60" w:after="120" w:line="264" w:lineRule="auto"/>
              <w:ind w:left="79" w:right="180"/>
              <w:rPr>
                <w:b/>
              </w:rPr>
            </w:pPr>
            <w:r w:rsidRPr="00B74D4F">
              <w:rPr>
                <w:b/>
              </w:rPr>
              <w:t>Evidence</w:t>
            </w:r>
          </w:p>
        </w:tc>
      </w:tr>
      <w:tr w:rsidR="006228D9" w:rsidRPr="00BD6BC6" w14:paraId="315219A6" w14:textId="77777777" w:rsidTr="000A1523">
        <w:trPr>
          <w:trHeight w:val="716"/>
        </w:trPr>
        <w:tc>
          <w:tcPr>
            <w:tcW w:w="1985" w:type="dxa"/>
            <w:tcBorders>
              <w:top w:val="single" w:sz="4" w:space="0" w:color="000000"/>
              <w:left w:val="single" w:sz="4" w:space="0" w:color="000000"/>
              <w:bottom w:val="single" w:sz="4" w:space="0" w:color="000000"/>
              <w:right w:val="single" w:sz="4" w:space="0" w:color="000000"/>
            </w:tcBorders>
          </w:tcPr>
          <w:p w14:paraId="516DA0FA" w14:textId="77777777" w:rsidR="006228D9" w:rsidRPr="00B74D4F" w:rsidRDefault="006228D9" w:rsidP="00C2236D">
            <w:pPr>
              <w:pStyle w:val="NormalArial"/>
              <w:spacing w:before="160" w:after="120"/>
              <w:ind w:left="79" w:right="181"/>
            </w:pPr>
            <w:r w:rsidRPr="00B74D4F">
              <w:t>Contact details</w:t>
            </w:r>
          </w:p>
        </w:tc>
        <w:tc>
          <w:tcPr>
            <w:tcW w:w="7087" w:type="dxa"/>
            <w:tcBorders>
              <w:top w:val="single" w:sz="4" w:space="0" w:color="000000"/>
              <w:left w:val="single" w:sz="4" w:space="0" w:color="000000"/>
              <w:bottom w:val="single" w:sz="4" w:space="0" w:color="000000"/>
              <w:right w:val="single" w:sz="4" w:space="0" w:color="000000"/>
            </w:tcBorders>
          </w:tcPr>
          <w:p w14:paraId="75C568CB" w14:textId="6A579B12" w:rsidR="006228D9" w:rsidRPr="00BD6BC6" w:rsidRDefault="007F198A" w:rsidP="00B74D4F">
            <w:pPr>
              <w:ind w:left="134"/>
            </w:pPr>
            <w:r>
              <w:t>K</w:t>
            </w:r>
            <w:r w:rsidR="006228D9" w:rsidRPr="00BD6BC6">
              <w:t>ey person contact details to allow for clarification of any matters relating to the dispute.</w:t>
            </w:r>
          </w:p>
        </w:tc>
      </w:tr>
      <w:tr w:rsidR="006228D9" w:rsidRPr="00BD6BC6" w14:paraId="26DB14C3" w14:textId="77777777" w:rsidTr="006228D9">
        <w:tc>
          <w:tcPr>
            <w:tcW w:w="1985" w:type="dxa"/>
            <w:tcBorders>
              <w:top w:val="single" w:sz="4" w:space="0" w:color="000000"/>
              <w:left w:val="single" w:sz="4" w:space="0" w:color="000000"/>
              <w:bottom w:val="single" w:sz="4" w:space="0" w:color="000000"/>
              <w:right w:val="single" w:sz="4" w:space="0" w:color="000000"/>
            </w:tcBorders>
          </w:tcPr>
          <w:p w14:paraId="35AED058" w14:textId="77777777" w:rsidR="006228D9" w:rsidRPr="00B74D4F" w:rsidRDefault="006228D9" w:rsidP="00C2236D">
            <w:pPr>
              <w:pStyle w:val="NormalArial"/>
              <w:spacing w:before="160" w:after="120"/>
              <w:ind w:left="79" w:right="181"/>
            </w:pPr>
            <w:r w:rsidRPr="00B74D4F">
              <w:t xml:space="preserve">Dispute particulars </w:t>
            </w:r>
          </w:p>
        </w:tc>
        <w:tc>
          <w:tcPr>
            <w:tcW w:w="7087" w:type="dxa"/>
            <w:tcBorders>
              <w:top w:val="single" w:sz="4" w:space="0" w:color="000000"/>
              <w:left w:val="single" w:sz="4" w:space="0" w:color="000000"/>
              <w:bottom w:val="single" w:sz="4" w:space="0" w:color="000000"/>
              <w:right w:val="single" w:sz="4" w:space="0" w:color="000000"/>
            </w:tcBorders>
          </w:tcPr>
          <w:p w14:paraId="0E7B8E0C" w14:textId="3DE503B1" w:rsidR="006228D9" w:rsidRPr="00BD6BC6" w:rsidRDefault="007F198A" w:rsidP="00B74D4F">
            <w:pPr>
              <w:ind w:left="134"/>
            </w:pPr>
            <w:r>
              <w:t>P</w:t>
            </w:r>
            <w:r w:rsidR="006228D9" w:rsidRPr="00BD6BC6">
              <w:t>articulars of the cost-shifting dispute, including scope, key dates and any positions of the jurisdiction</w:t>
            </w:r>
            <w:r>
              <w:t>.</w:t>
            </w:r>
            <w:r w:rsidR="006228D9" w:rsidRPr="00BD6BC6">
              <w:t xml:space="preserve"> </w:t>
            </w:r>
          </w:p>
          <w:p w14:paraId="3505202D" w14:textId="36D4F236" w:rsidR="006228D9" w:rsidRPr="00BD6BC6" w:rsidRDefault="007F198A" w:rsidP="00B74D4F">
            <w:pPr>
              <w:ind w:left="134"/>
            </w:pPr>
            <w:r>
              <w:t>O</w:t>
            </w:r>
            <w:r w:rsidR="006228D9" w:rsidRPr="00BD6BC6">
              <w:t>verview of any intergovernmental agreements or agreements between states</w:t>
            </w:r>
            <w:r w:rsidR="00F056A0">
              <w:t xml:space="preserve"> or </w:t>
            </w:r>
            <w:r w:rsidR="006228D9" w:rsidRPr="00BD6BC6">
              <w:t>territories</w:t>
            </w:r>
            <w:r>
              <w:t>.</w:t>
            </w:r>
          </w:p>
          <w:p w14:paraId="20B03292" w14:textId="225CD996" w:rsidR="006228D9" w:rsidRPr="00BD6BC6" w:rsidRDefault="007F198A" w:rsidP="00B74D4F">
            <w:pPr>
              <w:ind w:left="134"/>
            </w:pPr>
            <w:r>
              <w:t>R</w:t>
            </w:r>
            <w:r w:rsidR="006228D9" w:rsidRPr="00BD6BC6">
              <w:t>elevant background/contextual information to support IHPA in understanding the issues involved</w:t>
            </w:r>
            <w:r>
              <w:t>.</w:t>
            </w:r>
          </w:p>
          <w:p w14:paraId="2290C4D0" w14:textId="5F140C68" w:rsidR="006228D9" w:rsidRPr="007F198A" w:rsidRDefault="007F198A" w:rsidP="00B74D4F">
            <w:pPr>
              <w:ind w:left="134"/>
              <w:rPr>
                <w:color w:val="000000"/>
              </w:rPr>
            </w:pPr>
            <w:r>
              <w:t>D</w:t>
            </w:r>
            <w:r w:rsidR="006228D9" w:rsidRPr="00BD6BC6">
              <w:t>etails of any risks identified.</w:t>
            </w:r>
          </w:p>
        </w:tc>
      </w:tr>
      <w:tr w:rsidR="006228D9" w:rsidRPr="00BD6BC6" w14:paraId="346D9F76" w14:textId="77777777" w:rsidTr="006228D9">
        <w:trPr>
          <w:trHeight w:val="972"/>
        </w:trPr>
        <w:tc>
          <w:tcPr>
            <w:tcW w:w="1985" w:type="dxa"/>
            <w:tcBorders>
              <w:top w:val="single" w:sz="4" w:space="0" w:color="000000"/>
              <w:left w:val="single" w:sz="4" w:space="0" w:color="000000"/>
              <w:bottom w:val="single" w:sz="4" w:space="0" w:color="000000"/>
              <w:right w:val="single" w:sz="4" w:space="0" w:color="000000"/>
            </w:tcBorders>
          </w:tcPr>
          <w:p w14:paraId="3DB85555" w14:textId="1F2CE579" w:rsidR="006228D9" w:rsidRPr="00B74D4F" w:rsidRDefault="006228D9" w:rsidP="00F056A0">
            <w:pPr>
              <w:pStyle w:val="NormalArial"/>
              <w:spacing w:before="160" w:after="120"/>
              <w:ind w:left="79" w:right="181"/>
            </w:pPr>
            <w:r w:rsidRPr="00B74D4F">
              <w:t>Compliance with agreement</w:t>
            </w:r>
            <w:r w:rsidR="00F056A0" w:rsidRPr="00B74D4F">
              <w:t>(s)</w:t>
            </w:r>
          </w:p>
        </w:tc>
        <w:tc>
          <w:tcPr>
            <w:tcW w:w="7087" w:type="dxa"/>
            <w:tcBorders>
              <w:top w:val="single" w:sz="4" w:space="0" w:color="000000"/>
              <w:left w:val="single" w:sz="4" w:space="0" w:color="000000"/>
              <w:bottom w:val="single" w:sz="4" w:space="0" w:color="000000"/>
              <w:right w:val="single" w:sz="4" w:space="0" w:color="000000"/>
            </w:tcBorders>
          </w:tcPr>
          <w:p w14:paraId="63AE6535" w14:textId="05DA83FF" w:rsidR="006228D9" w:rsidRPr="00BD6BC6" w:rsidRDefault="007F198A" w:rsidP="00B74D4F">
            <w:pPr>
              <w:ind w:left="134"/>
            </w:pPr>
            <w:r>
              <w:t>E</w:t>
            </w:r>
            <w:r w:rsidR="006228D9" w:rsidRPr="00BD6BC6">
              <w:t>vidence to support compliance with relevant requirements set out in intergovernmental agreements or agreements between the Commonwealth, states</w:t>
            </w:r>
            <w:r w:rsidR="00F056A0">
              <w:t xml:space="preserve"> or </w:t>
            </w:r>
            <w:r w:rsidR="006228D9" w:rsidRPr="00BD6BC6">
              <w:t>territories.</w:t>
            </w:r>
          </w:p>
        </w:tc>
      </w:tr>
      <w:tr w:rsidR="006228D9" w:rsidRPr="00BD6BC6" w14:paraId="0B127B4D" w14:textId="77777777" w:rsidTr="006228D9">
        <w:tc>
          <w:tcPr>
            <w:tcW w:w="1985" w:type="dxa"/>
            <w:tcBorders>
              <w:top w:val="single" w:sz="4" w:space="0" w:color="000000"/>
              <w:left w:val="single" w:sz="4" w:space="0" w:color="000000"/>
              <w:bottom w:val="single" w:sz="4" w:space="0" w:color="000000"/>
              <w:right w:val="single" w:sz="4" w:space="0" w:color="000000"/>
            </w:tcBorders>
          </w:tcPr>
          <w:p w14:paraId="6C8B3959" w14:textId="77777777" w:rsidR="006228D9" w:rsidRPr="00B74D4F" w:rsidRDefault="006228D9" w:rsidP="00C2236D">
            <w:pPr>
              <w:pStyle w:val="NormalArial"/>
              <w:spacing w:before="160" w:after="120"/>
              <w:ind w:left="79" w:right="181"/>
            </w:pPr>
            <w:r w:rsidRPr="00B74D4F">
              <w:t xml:space="preserve">Prior efforts to resolve the dispute </w:t>
            </w:r>
          </w:p>
        </w:tc>
        <w:tc>
          <w:tcPr>
            <w:tcW w:w="7087" w:type="dxa"/>
            <w:tcBorders>
              <w:top w:val="single" w:sz="4" w:space="0" w:color="000000"/>
              <w:left w:val="single" w:sz="4" w:space="0" w:color="000000"/>
              <w:bottom w:val="single" w:sz="4" w:space="0" w:color="000000"/>
              <w:right w:val="single" w:sz="4" w:space="0" w:color="000000"/>
            </w:tcBorders>
          </w:tcPr>
          <w:p w14:paraId="3423F01D" w14:textId="763F65EC" w:rsidR="006228D9" w:rsidRPr="00BD6BC6" w:rsidRDefault="007F198A" w:rsidP="00B74D4F">
            <w:pPr>
              <w:ind w:left="134"/>
            </w:pPr>
            <w:r>
              <w:t>S</w:t>
            </w:r>
            <w:r w:rsidR="006228D9" w:rsidRPr="00BD6BC6">
              <w:t xml:space="preserve">tatement detailing what genuine steps have been taken to resolve the dispute with the </w:t>
            </w:r>
            <w:r w:rsidR="004E3E99" w:rsidRPr="00BD6BC6">
              <w:t xml:space="preserve">respondent </w:t>
            </w:r>
            <w:r w:rsidR="006228D9" w:rsidRPr="00BD6BC6">
              <w:t>jurisdiction, or the reasons why no such steps were taken.</w:t>
            </w:r>
          </w:p>
          <w:p w14:paraId="61BF47D9" w14:textId="7936100F" w:rsidR="006228D9" w:rsidRPr="00BD6BC6" w:rsidRDefault="007F198A" w:rsidP="00B74D4F">
            <w:pPr>
              <w:ind w:left="134"/>
            </w:pPr>
            <w:r>
              <w:t>E</w:t>
            </w:r>
            <w:r w:rsidR="006228D9" w:rsidRPr="00BD6BC6">
              <w:t>xamples of ‘reasonable efforts’ that parties may outline in the statement may include:</w:t>
            </w:r>
          </w:p>
          <w:p w14:paraId="02343C55" w14:textId="77777777" w:rsidR="006228D9" w:rsidRPr="00B74D4F" w:rsidRDefault="006228D9" w:rsidP="00593CE6">
            <w:pPr>
              <w:pStyle w:val="ListParagraph"/>
              <w:numPr>
                <w:ilvl w:val="0"/>
                <w:numId w:val="29"/>
              </w:numPr>
              <w:rPr>
                <w:sz w:val="22"/>
                <w:szCs w:val="22"/>
              </w:rPr>
            </w:pPr>
            <w:r w:rsidRPr="00B74D4F">
              <w:rPr>
                <w:sz w:val="22"/>
                <w:szCs w:val="22"/>
              </w:rPr>
              <w:t>notifying the other party of the issues in dispute and offering to discuss them with a view to resolving the dispute</w:t>
            </w:r>
          </w:p>
          <w:p w14:paraId="28FB3CF5" w14:textId="448B6F78" w:rsidR="006228D9" w:rsidRPr="00B74D4F" w:rsidRDefault="006228D9" w:rsidP="00593CE6">
            <w:pPr>
              <w:pStyle w:val="ListParagraph"/>
              <w:numPr>
                <w:ilvl w:val="0"/>
                <w:numId w:val="29"/>
              </w:numPr>
              <w:rPr>
                <w:sz w:val="22"/>
                <w:szCs w:val="22"/>
              </w:rPr>
            </w:pPr>
            <w:r w:rsidRPr="00B74D4F">
              <w:rPr>
                <w:sz w:val="22"/>
                <w:szCs w:val="22"/>
              </w:rPr>
              <w:t>providing relevant information and documents to the other party to enable them to understand the issues involved and how the dispute might be resolved</w:t>
            </w:r>
            <w:r w:rsidR="005B3AAE" w:rsidRPr="00B74D4F">
              <w:rPr>
                <w:sz w:val="22"/>
                <w:szCs w:val="22"/>
              </w:rPr>
              <w:t>.</w:t>
            </w:r>
          </w:p>
          <w:p w14:paraId="495E3FB3" w14:textId="074F178C" w:rsidR="006228D9" w:rsidRPr="00B74D4F" w:rsidRDefault="006228D9" w:rsidP="00593CE6">
            <w:pPr>
              <w:pStyle w:val="ListParagraph"/>
              <w:numPr>
                <w:ilvl w:val="0"/>
                <w:numId w:val="29"/>
              </w:numPr>
              <w:rPr>
                <w:sz w:val="22"/>
                <w:szCs w:val="22"/>
              </w:rPr>
            </w:pPr>
            <w:r w:rsidRPr="00B74D4F">
              <w:rPr>
                <w:sz w:val="22"/>
                <w:szCs w:val="22"/>
              </w:rPr>
              <w:t>considering possible resolution through alternative dispute resolution processes</w:t>
            </w:r>
            <w:r w:rsidR="007F198A">
              <w:rPr>
                <w:sz w:val="22"/>
                <w:szCs w:val="22"/>
              </w:rPr>
              <w:t>.</w:t>
            </w:r>
          </w:p>
          <w:p w14:paraId="3FBE8574" w14:textId="2A12FD12" w:rsidR="006228D9" w:rsidRPr="00BD6BC6" w:rsidRDefault="007F198A" w:rsidP="00B74D4F">
            <w:pPr>
              <w:ind w:left="134"/>
            </w:pPr>
            <w:r>
              <w:t>A</w:t>
            </w:r>
            <w:r w:rsidR="006228D9" w:rsidRPr="00BD6BC6">
              <w:t xml:space="preserve">ttempting to negotiate with the other party with a view </w:t>
            </w:r>
            <w:r w:rsidR="00421C62" w:rsidRPr="00BD6BC6">
              <w:t>to resolving some or all of the issues in dispute</w:t>
            </w:r>
            <w:r w:rsidR="00FE3C0B" w:rsidRPr="00BD6BC6">
              <w:t>.</w:t>
            </w:r>
          </w:p>
        </w:tc>
      </w:tr>
      <w:tr w:rsidR="006228D9" w:rsidRPr="00BD6BC6" w14:paraId="0C651F89" w14:textId="77777777" w:rsidTr="006228D9">
        <w:tc>
          <w:tcPr>
            <w:tcW w:w="1985" w:type="dxa"/>
            <w:tcBorders>
              <w:top w:val="single" w:sz="4" w:space="0" w:color="000000"/>
              <w:left w:val="single" w:sz="4" w:space="0" w:color="000000"/>
              <w:bottom w:val="single" w:sz="4" w:space="0" w:color="000000"/>
              <w:right w:val="single" w:sz="4" w:space="0" w:color="000000"/>
            </w:tcBorders>
          </w:tcPr>
          <w:p w14:paraId="5F10E960" w14:textId="77777777" w:rsidR="006228D9" w:rsidRPr="00BD6BC6" w:rsidRDefault="006228D9" w:rsidP="00C2236D">
            <w:pPr>
              <w:pStyle w:val="NormalArial"/>
              <w:spacing w:before="160" w:after="120"/>
              <w:ind w:left="79" w:right="181"/>
              <w:rPr>
                <w:sz w:val="20"/>
                <w:szCs w:val="20"/>
              </w:rPr>
            </w:pPr>
            <w:r w:rsidRPr="00BD6BC6">
              <w:rPr>
                <w:sz w:val="20"/>
                <w:szCs w:val="20"/>
              </w:rPr>
              <w:t>Supporting documentation</w:t>
            </w:r>
          </w:p>
        </w:tc>
        <w:tc>
          <w:tcPr>
            <w:tcW w:w="7087" w:type="dxa"/>
            <w:tcBorders>
              <w:top w:val="single" w:sz="4" w:space="0" w:color="000000"/>
              <w:left w:val="single" w:sz="4" w:space="0" w:color="000000"/>
              <w:bottom w:val="single" w:sz="4" w:space="0" w:color="000000"/>
              <w:right w:val="single" w:sz="4" w:space="0" w:color="000000"/>
            </w:tcBorders>
          </w:tcPr>
          <w:p w14:paraId="783524A6" w14:textId="0DBF6CFC" w:rsidR="006228D9" w:rsidRPr="00BD6BC6" w:rsidRDefault="007F198A" w:rsidP="00B74D4F">
            <w:pPr>
              <w:ind w:left="134"/>
            </w:pPr>
            <w:r>
              <w:t>A</w:t>
            </w:r>
            <w:r w:rsidR="006228D9" w:rsidRPr="00BD6BC6">
              <w:t>ny evidence which may support IHPA in its investigation</w:t>
            </w:r>
            <w:r w:rsidR="00FE3C0B" w:rsidRPr="00BD6BC6">
              <w:t xml:space="preserve"> </w:t>
            </w:r>
            <w:r w:rsidR="006228D9" w:rsidRPr="00BD6BC6">
              <w:t>of the dispute (</w:t>
            </w:r>
            <w:r w:rsidR="005B3AAE">
              <w:t>for example,</w:t>
            </w:r>
            <w:r w:rsidR="006228D9" w:rsidRPr="00BD6BC6">
              <w:t xml:space="preserve"> data, information, agreements)</w:t>
            </w:r>
            <w:r>
              <w:t>.</w:t>
            </w:r>
          </w:p>
          <w:p w14:paraId="29CBD989" w14:textId="03C4B978" w:rsidR="006228D9" w:rsidRPr="007F198A" w:rsidRDefault="007F198A" w:rsidP="00B74D4F">
            <w:pPr>
              <w:ind w:left="134"/>
              <w:rPr>
                <w:color w:val="000000"/>
              </w:rPr>
            </w:pPr>
            <w:r>
              <w:lastRenderedPageBreak/>
              <w:t>C</w:t>
            </w:r>
            <w:r w:rsidR="006228D9" w:rsidRPr="00BD6BC6">
              <w:t xml:space="preserve">opies of any intergovernmental agreements or agreements between the Commonwealth, </w:t>
            </w:r>
            <w:r w:rsidR="005A4023" w:rsidRPr="00BD6BC6">
              <w:t>s</w:t>
            </w:r>
            <w:r w:rsidR="006228D9" w:rsidRPr="00BD6BC6">
              <w:t xml:space="preserve">tates and </w:t>
            </w:r>
            <w:r w:rsidR="005A4023" w:rsidRPr="00BD6BC6">
              <w:t>t</w:t>
            </w:r>
            <w:r w:rsidR="006228D9" w:rsidRPr="00BD6BC6">
              <w:t>erritories.</w:t>
            </w:r>
          </w:p>
        </w:tc>
      </w:tr>
    </w:tbl>
    <w:p w14:paraId="1CB1E92A" w14:textId="77777777" w:rsidR="007F198A" w:rsidRDefault="007F198A" w:rsidP="00593CE6">
      <w:pPr>
        <w:pStyle w:val="AppendixH1"/>
        <w:rPr>
          <w:color w:val="000000" w:themeColor="text1"/>
        </w:rPr>
      </w:pPr>
      <w:bookmarkStart w:id="464" w:name="_Toc482364337"/>
      <w:bookmarkStart w:id="465" w:name="_Toc507599209"/>
      <w:bookmarkStart w:id="466" w:name="_Toc507611972"/>
      <w:bookmarkStart w:id="467" w:name="_Toc507612188"/>
      <w:bookmarkStart w:id="468" w:name="_Toc507612271"/>
      <w:bookmarkStart w:id="469" w:name="_Toc507613284"/>
      <w:bookmarkStart w:id="470" w:name="_Toc507613389"/>
      <w:bookmarkStart w:id="471" w:name="_Toc507613797"/>
      <w:bookmarkStart w:id="472" w:name="_Toc507614042"/>
      <w:bookmarkStart w:id="473" w:name="_Toc507614169"/>
      <w:bookmarkStart w:id="474" w:name="_Toc507614329"/>
      <w:bookmarkStart w:id="475" w:name="_Toc507614405"/>
      <w:bookmarkStart w:id="476" w:name="_Toc507614517"/>
      <w:bookmarkStart w:id="477" w:name="_Toc91157743"/>
    </w:p>
    <w:p w14:paraId="7BAEA700" w14:textId="77777777" w:rsidR="007F198A" w:rsidRDefault="007F198A">
      <w:pPr>
        <w:spacing w:before="0" w:after="0" w:line="240" w:lineRule="auto"/>
        <w:rPr>
          <w:rFonts w:asciiTheme="majorHAnsi" w:hAnsiTheme="majorHAnsi"/>
          <w:b/>
          <w:color w:val="000000" w:themeColor="text1"/>
          <w:sz w:val="44"/>
          <w:szCs w:val="44"/>
          <w:lang w:eastAsia="en-US"/>
        </w:rPr>
      </w:pPr>
      <w:r>
        <w:rPr>
          <w:color w:val="000000" w:themeColor="text1"/>
        </w:rPr>
        <w:br w:type="page"/>
      </w:r>
    </w:p>
    <w:p w14:paraId="0194AE33" w14:textId="704AABD3" w:rsidR="00FF18C0" w:rsidRPr="00BD6BC6" w:rsidRDefault="00FF18C0" w:rsidP="00593CE6">
      <w:pPr>
        <w:pStyle w:val="AppendixH1"/>
      </w:pPr>
      <w:r w:rsidRPr="00B74D4F">
        <w:rPr>
          <w:color w:val="000000" w:themeColor="text1"/>
        </w:rPr>
        <w:lastRenderedPageBreak/>
        <w:t>Appendix B: Cross-border</w:t>
      </w:r>
      <w:r w:rsidR="00E30897" w:rsidRPr="00B74D4F">
        <w:rPr>
          <w:rFonts w:cstheme="majorHAnsi"/>
          <w:color w:val="000000" w:themeColor="text1"/>
        </w:rPr>
        <w:t xml:space="preserve"> – </w:t>
      </w:r>
      <w:r w:rsidRPr="00B74D4F">
        <w:rPr>
          <w:color w:val="000000" w:themeColor="text1"/>
        </w:rPr>
        <w:t xml:space="preserve">Guidance on </w:t>
      </w:r>
      <w:r w:rsidR="00F056A0">
        <w:rPr>
          <w:color w:val="000000" w:themeColor="text1"/>
        </w:rPr>
        <w:t xml:space="preserve">the </w:t>
      </w:r>
      <w:r w:rsidRPr="00B74D4F">
        <w:rPr>
          <w:color w:val="000000" w:themeColor="text1"/>
        </w:rPr>
        <w:t>evidence</w:t>
      </w:r>
      <w:bookmarkEnd w:id="464"/>
      <w:bookmarkEnd w:id="465"/>
      <w:bookmarkEnd w:id="466"/>
      <w:bookmarkEnd w:id="467"/>
      <w:bookmarkEnd w:id="468"/>
      <w:bookmarkEnd w:id="469"/>
      <w:bookmarkEnd w:id="470"/>
      <w:bookmarkEnd w:id="471"/>
      <w:bookmarkEnd w:id="472"/>
      <w:bookmarkEnd w:id="473"/>
      <w:bookmarkEnd w:id="474"/>
      <w:bookmarkEnd w:id="475"/>
      <w:bookmarkEnd w:id="476"/>
      <w:r w:rsidR="0014739F" w:rsidRPr="00B74D4F">
        <w:rPr>
          <w:color w:val="000000" w:themeColor="text1"/>
        </w:rPr>
        <w:t xml:space="preserve"> required to support an application for dispute resolution</w:t>
      </w:r>
      <w:bookmarkEnd w:id="477"/>
    </w:p>
    <w:p w14:paraId="3FEB8A68" w14:textId="2BC3D068" w:rsidR="00FF18C0" w:rsidRPr="00BD6BC6" w:rsidRDefault="00FF18C0" w:rsidP="00FF18C0">
      <w:pPr>
        <w:spacing w:before="240"/>
        <w:ind w:right="-188"/>
        <w:rPr>
          <w:rFonts w:cs="Arial"/>
        </w:rPr>
      </w:pPr>
      <w:r w:rsidRPr="00BD6BC6">
        <w:rPr>
          <w:rFonts w:cs="Arial"/>
        </w:rPr>
        <w:t>To assist jurisdictions in preparing</w:t>
      </w:r>
      <w:r w:rsidR="002E63A4" w:rsidRPr="00BD6BC6">
        <w:rPr>
          <w:rFonts w:cs="Arial"/>
        </w:rPr>
        <w:t xml:space="preserve"> an </w:t>
      </w:r>
      <w:r w:rsidR="0014739F" w:rsidRPr="00BD6BC6">
        <w:rPr>
          <w:rFonts w:cs="Arial"/>
        </w:rPr>
        <w:t>application</w:t>
      </w:r>
      <w:r w:rsidR="002E63A4" w:rsidRPr="00BD6BC6">
        <w:rPr>
          <w:rFonts w:cs="Arial"/>
        </w:rPr>
        <w:t xml:space="preserve"> to resolve a cross-border</w:t>
      </w:r>
      <w:r w:rsidR="00F64D49" w:rsidRPr="00BD6BC6">
        <w:rPr>
          <w:rFonts w:cs="Arial"/>
        </w:rPr>
        <w:t xml:space="preserve"> dispute</w:t>
      </w:r>
      <w:r w:rsidRPr="00BD6BC6">
        <w:rPr>
          <w:rFonts w:cs="Arial"/>
        </w:rPr>
        <w:t xml:space="preserve">, IHPA has developed </w:t>
      </w:r>
      <w:r w:rsidR="002E63A4" w:rsidRPr="00BD6BC6">
        <w:rPr>
          <w:rFonts w:cs="Arial"/>
        </w:rPr>
        <w:t xml:space="preserve">the </w:t>
      </w:r>
      <w:r w:rsidRPr="00BD6BC6">
        <w:rPr>
          <w:rFonts w:cs="Arial"/>
        </w:rPr>
        <w:t xml:space="preserve">guidance </w:t>
      </w:r>
      <w:r w:rsidR="002E63A4" w:rsidRPr="00BD6BC6">
        <w:rPr>
          <w:rFonts w:cs="Arial"/>
        </w:rPr>
        <w:t xml:space="preserve">in </w:t>
      </w:r>
      <w:r w:rsidR="002E63A4" w:rsidRPr="00B74D4F">
        <w:rPr>
          <w:rFonts w:cs="Arial"/>
          <w:b/>
        </w:rPr>
        <w:t xml:space="preserve">Table </w:t>
      </w:r>
      <w:r w:rsidR="00A707FF" w:rsidRPr="00B74D4F">
        <w:rPr>
          <w:rFonts w:cs="Arial"/>
          <w:b/>
        </w:rPr>
        <w:t>5</w:t>
      </w:r>
      <w:r w:rsidR="002E63A4" w:rsidRPr="00BD6BC6">
        <w:rPr>
          <w:rFonts w:cs="Arial"/>
        </w:rPr>
        <w:t>.</w:t>
      </w:r>
    </w:p>
    <w:p w14:paraId="4A29943E" w14:textId="2D0BF3BB" w:rsidR="00FF18C0" w:rsidRPr="00BD6BC6" w:rsidRDefault="00FF18C0" w:rsidP="008D7E17">
      <w:pPr>
        <w:pStyle w:val="TableHeading"/>
      </w:pPr>
      <w:r w:rsidRPr="00BD6BC6">
        <w:t xml:space="preserve">Table </w:t>
      </w:r>
      <w:r w:rsidR="00A707FF" w:rsidRPr="00BD6BC6">
        <w:t>5</w:t>
      </w:r>
      <w:r w:rsidR="00F056A0">
        <w:t>.</w:t>
      </w:r>
      <w:r w:rsidRPr="00BD6BC6">
        <w:t xml:space="preserve"> Guidance on </w:t>
      </w:r>
      <w:r w:rsidR="00F056A0">
        <w:t xml:space="preserve">the </w:t>
      </w:r>
      <w:r w:rsidRPr="00BD6BC6">
        <w:t xml:space="preserve">evidence </w:t>
      </w:r>
      <w:r w:rsidR="002E63A4" w:rsidRPr="00BD6BC6">
        <w:t xml:space="preserve">required </w:t>
      </w:r>
      <w:r w:rsidRPr="00BD6BC6">
        <w:t xml:space="preserve">to </w:t>
      </w:r>
      <w:r w:rsidR="002E63A4" w:rsidRPr="00BD6BC6">
        <w:t xml:space="preserve">support an application </w:t>
      </w:r>
      <w:r w:rsidRPr="00BD6BC6">
        <w:t xml:space="preserve">for </w:t>
      </w:r>
      <w:r w:rsidR="002E63A4" w:rsidRPr="00BD6BC6">
        <w:t xml:space="preserve">cross-border dispute resolution </w:t>
      </w:r>
    </w:p>
    <w:tbl>
      <w:tblPr>
        <w:tblW w:w="9072" w:type="dxa"/>
        <w:tblInd w:w="5" w:type="dxa"/>
        <w:tblLayout w:type="fixed"/>
        <w:tblCellMar>
          <w:left w:w="0" w:type="dxa"/>
          <w:right w:w="0" w:type="dxa"/>
        </w:tblCellMar>
        <w:tblLook w:val="0000" w:firstRow="0" w:lastRow="0" w:firstColumn="0" w:lastColumn="0" w:noHBand="0" w:noVBand="0"/>
        <w:tblDescription w:val="Table 2 is a checklist with topic's and key evidences when needing to prepare a request for cross boarder disputes."/>
      </w:tblPr>
      <w:tblGrid>
        <w:gridCol w:w="1843"/>
        <w:gridCol w:w="7229"/>
      </w:tblGrid>
      <w:tr w:rsidR="00421C62" w:rsidRPr="007F198A" w14:paraId="18528C14" w14:textId="77777777" w:rsidTr="00C2236D">
        <w:trPr>
          <w:tblHeader/>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828F95F" w14:textId="3E921D2F" w:rsidR="00421C62" w:rsidRPr="00B74D4F" w:rsidRDefault="00F056A0" w:rsidP="004D0F7C">
            <w:pPr>
              <w:pStyle w:val="NormalArial"/>
              <w:spacing w:before="60" w:after="120" w:line="264" w:lineRule="auto"/>
              <w:ind w:left="79"/>
              <w:rPr>
                <w:b/>
              </w:rPr>
            </w:pPr>
            <w:r w:rsidRPr="00B74D4F">
              <w:rPr>
                <w:b/>
              </w:rPr>
              <w:t>Item</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16F38C1A" w14:textId="77777777" w:rsidR="00421C62" w:rsidRPr="00B74D4F" w:rsidRDefault="00421C62" w:rsidP="004D0F7C">
            <w:pPr>
              <w:pStyle w:val="NormalArial"/>
              <w:spacing w:before="60" w:after="120" w:line="264" w:lineRule="auto"/>
              <w:ind w:left="79"/>
              <w:rPr>
                <w:b/>
              </w:rPr>
            </w:pPr>
            <w:r w:rsidRPr="00B74D4F">
              <w:rPr>
                <w:b/>
              </w:rPr>
              <w:t>Evidence</w:t>
            </w:r>
          </w:p>
        </w:tc>
      </w:tr>
      <w:tr w:rsidR="00421C62" w:rsidRPr="007F198A" w14:paraId="24C2B2DE" w14:textId="77777777" w:rsidTr="00C2236D">
        <w:trPr>
          <w:trHeight w:val="742"/>
        </w:trPr>
        <w:tc>
          <w:tcPr>
            <w:tcW w:w="1843" w:type="dxa"/>
            <w:tcBorders>
              <w:top w:val="single" w:sz="4" w:space="0" w:color="000000"/>
              <w:left w:val="single" w:sz="4" w:space="0" w:color="000000"/>
              <w:bottom w:val="single" w:sz="4" w:space="0" w:color="000000"/>
              <w:right w:val="single" w:sz="4" w:space="0" w:color="000000"/>
            </w:tcBorders>
          </w:tcPr>
          <w:p w14:paraId="31D48B72" w14:textId="77777777" w:rsidR="00421C62" w:rsidRPr="00B74D4F" w:rsidRDefault="00421C62" w:rsidP="004D0F7C">
            <w:pPr>
              <w:pStyle w:val="NormalArial"/>
              <w:spacing w:before="160" w:after="120"/>
              <w:ind w:left="79" w:right="181"/>
            </w:pPr>
            <w:r w:rsidRPr="00B74D4F">
              <w:t>Contact details</w:t>
            </w:r>
          </w:p>
        </w:tc>
        <w:tc>
          <w:tcPr>
            <w:tcW w:w="7229" w:type="dxa"/>
            <w:tcBorders>
              <w:top w:val="single" w:sz="4" w:space="0" w:color="000000"/>
              <w:left w:val="single" w:sz="4" w:space="0" w:color="000000"/>
              <w:bottom w:val="single" w:sz="4" w:space="0" w:color="000000"/>
              <w:right w:val="single" w:sz="4" w:space="0" w:color="000000"/>
            </w:tcBorders>
          </w:tcPr>
          <w:p w14:paraId="41F66663" w14:textId="06765C29" w:rsidR="00421C62" w:rsidRPr="0084160D" w:rsidRDefault="007F198A" w:rsidP="00B74D4F">
            <w:pPr>
              <w:ind w:left="130"/>
              <w:rPr>
                <w:rFonts w:cs="Arial"/>
                <w:szCs w:val="22"/>
              </w:rPr>
            </w:pPr>
            <w:r>
              <w:rPr>
                <w:szCs w:val="22"/>
              </w:rPr>
              <w:t>K</w:t>
            </w:r>
            <w:r w:rsidR="00421C62" w:rsidRPr="007F198A">
              <w:rPr>
                <w:szCs w:val="22"/>
              </w:rPr>
              <w:t>ey person contact details to allow for clarification of any matters relating to the dispute.</w:t>
            </w:r>
          </w:p>
        </w:tc>
      </w:tr>
      <w:tr w:rsidR="00421C62" w:rsidRPr="007F198A" w14:paraId="6D93C6C6" w14:textId="77777777" w:rsidTr="00C2236D">
        <w:tc>
          <w:tcPr>
            <w:tcW w:w="1843" w:type="dxa"/>
            <w:tcBorders>
              <w:top w:val="single" w:sz="4" w:space="0" w:color="000000"/>
              <w:left w:val="single" w:sz="4" w:space="0" w:color="000000"/>
              <w:bottom w:val="single" w:sz="4" w:space="0" w:color="000000"/>
              <w:right w:val="single" w:sz="4" w:space="0" w:color="000000"/>
            </w:tcBorders>
          </w:tcPr>
          <w:p w14:paraId="5C54AC63" w14:textId="77777777" w:rsidR="00421C62" w:rsidRPr="00B74D4F" w:rsidRDefault="00421C62" w:rsidP="004D0F7C">
            <w:pPr>
              <w:pStyle w:val="NormalArial"/>
              <w:spacing w:before="160" w:after="120"/>
              <w:ind w:left="79" w:right="181"/>
            </w:pPr>
            <w:r w:rsidRPr="00B74D4F">
              <w:t xml:space="preserve">Dispute </w:t>
            </w:r>
            <w:r w:rsidRPr="00B74D4F">
              <w:br/>
              <w:t xml:space="preserve">particulars </w:t>
            </w:r>
          </w:p>
        </w:tc>
        <w:tc>
          <w:tcPr>
            <w:tcW w:w="7229" w:type="dxa"/>
            <w:tcBorders>
              <w:top w:val="single" w:sz="4" w:space="0" w:color="000000"/>
              <w:left w:val="single" w:sz="4" w:space="0" w:color="000000"/>
              <w:bottom w:val="single" w:sz="4" w:space="0" w:color="000000"/>
              <w:right w:val="single" w:sz="4" w:space="0" w:color="000000"/>
            </w:tcBorders>
          </w:tcPr>
          <w:p w14:paraId="37664594" w14:textId="05BA3A55" w:rsidR="00421C62" w:rsidRPr="0084160D" w:rsidRDefault="007F198A" w:rsidP="00B74D4F">
            <w:pPr>
              <w:ind w:left="130"/>
              <w:rPr>
                <w:szCs w:val="22"/>
              </w:rPr>
            </w:pPr>
            <w:r>
              <w:rPr>
                <w:szCs w:val="22"/>
              </w:rPr>
              <w:t>P</w:t>
            </w:r>
            <w:r w:rsidR="00421C62" w:rsidRPr="0080016E">
              <w:rPr>
                <w:szCs w:val="22"/>
              </w:rPr>
              <w:t>articulars of the cross-border dispute, including scope, key dates and any positions of the jurisdiction</w:t>
            </w:r>
            <w:r>
              <w:rPr>
                <w:szCs w:val="22"/>
              </w:rPr>
              <w:t>.</w:t>
            </w:r>
          </w:p>
          <w:p w14:paraId="69882304" w14:textId="545C9383" w:rsidR="00421C62" w:rsidRPr="0084160D" w:rsidRDefault="007F198A" w:rsidP="00B74D4F">
            <w:pPr>
              <w:ind w:left="130"/>
              <w:rPr>
                <w:szCs w:val="22"/>
              </w:rPr>
            </w:pPr>
            <w:r>
              <w:rPr>
                <w:szCs w:val="22"/>
              </w:rPr>
              <w:t>O</w:t>
            </w:r>
            <w:r w:rsidR="00421C62" w:rsidRPr="0080016E">
              <w:rPr>
                <w:szCs w:val="22"/>
              </w:rPr>
              <w:t>verview of any intergovernmental agreements or agreements between states or states and territories</w:t>
            </w:r>
            <w:r>
              <w:rPr>
                <w:szCs w:val="22"/>
              </w:rPr>
              <w:t>.</w:t>
            </w:r>
          </w:p>
          <w:p w14:paraId="26B45202" w14:textId="7E93F11C" w:rsidR="00421C62" w:rsidRPr="0080016E" w:rsidRDefault="007F198A" w:rsidP="00B74D4F">
            <w:pPr>
              <w:ind w:left="130"/>
              <w:rPr>
                <w:szCs w:val="22"/>
              </w:rPr>
            </w:pPr>
            <w:r>
              <w:rPr>
                <w:szCs w:val="22"/>
              </w:rPr>
              <w:t>R</w:t>
            </w:r>
            <w:r w:rsidR="00421C62" w:rsidRPr="0080016E">
              <w:rPr>
                <w:szCs w:val="22"/>
              </w:rPr>
              <w:t>elevant background/contextual information to support IHPA in understanding the issues involved, for example:</w:t>
            </w:r>
          </w:p>
          <w:p w14:paraId="6EBACC5F" w14:textId="77777777" w:rsidR="00421C62" w:rsidRPr="00B74D4F" w:rsidRDefault="00421C62" w:rsidP="00593CE6">
            <w:pPr>
              <w:pStyle w:val="ListParagraph"/>
              <w:numPr>
                <w:ilvl w:val="0"/>
                <w:numId w:val="30"/>
              </w:numPr>
              <w:rPr>
                <w:sz w:val="22"/>
                <w:szCs w:val="22"/>
              </w:rPr>
            </w:pPr>
            <w:r w:rsidRPr="00B74D4F">
              <w:rPr>
                <w:sz w:val="22"/>
                <w:szCs w:val="22"/>
              </w:rPr>
              <w:t>cost and activity data, estimates and analysis of variations</w:t>
            </w:r>
          </w:p>
          <w:p w14:paraId="0F3F5AD1" w14:textId="77777777" w:rsidR="00421C62" w:rsidRPr="00B74D4F" w:rsidRDefault="00421C62" w:rsidP="00593CE6">
            <w:pPr>
              <w:pStyle w:val="ListParagraph"/>
              <w:numPr>
                <w:ilvl w:val="0"/>
                <w:numId w:val="30"/>
              </w:numPr>
              <w:rPr>
                <w:sz w:val="22"/>
                <w:szCs w:val="22"/>
              </w:rPr>
            </w:pPr>
            <w:r w:rsidRPr="00B74D4F">
              <w:rPr>
                <w:sz w:val="22"/>
                <w:szCs w:val="22"/>
              </w:rPr>
              <w:t>evidence of where patients reside</w:t>
            </w:r>
          </w:p>
          <w:p w14:paraId="0C8BB29C" w14:textId="77777777" w:rsidR="00421C62" w:rsidRPr="00B74D4F" w:rsidRDefault="00421C62" w:rsidP="00593CE6">
            <w:pPr>
              <w:pStyle w:val="ListParagraph"/>
              <w:numPr>
                <w:ilvl w:val="0"/>
                <w:numId w:val="30"/>
              </w:numPr>
              <w:rPr>
                <w:sz w:val="22"/>
                <w:szCs w:val="22"/>
              </w:rPr>
            </w:pPr>
            <w:r w:rsidRPr="00B74D4F">
              <w:rPr>
                <w:sz w:val="22"/>
                <w:szCs w:val="22"/>
              </w:rPr>
              <w:t>resident jurisdictions contribution to capital funding</w:t>
            </w:r>
          </w:p>
          <w:p w14:paraId="664FC45D" w14:textId="77777777" w:rsidR="00421C62" w:rsidRPr="00B74D4F" w:rsidRDefault="00421C62" w:rsidP="00593CE6">
            <w:pPr>
              <w:pStyle w:val="ListParagraph"/>
              <w:numPr>
                <w:ilvl w:val="0"/>
                <w:numId w:val="30"/>
              </w:numPr>
              <w:rPr>
                <w:sz w:val="22"/>
                <w:szCs w:val="22"/>
              </w:rPr>
            </w:pPr>
            <w:r w:rsidRPr="00B74D4F">
              <w:rPr>
                <w:sz w:val="22"/>
                <w:szCs w:val="22"/>
              </w:rPr>
              <w:t>patient pathways</w:t>
            </w:r>
          </w:p>
          <w:p w14:paraId="1D2D1EBF" w14:textId="77777777" w:rsidR="00421C62" w:rsidRPr="00B74D4F" w:rsidRDefault="00421C62" w:rsidP="00593CE6">
            <w:pPr>
              <w:pStyle w:val="ListParagraph"/>
              <w:numPr>
                <w:ilvl w:val="0"/>
                <w:numId w:val="30"/>
              </w:numPr>
              <w:rPr>
                <w:sz w:val="22"/>
                <w:szCs w:val="22"/>
              </w:rPr>
            </w:pPr>
            <w:r w:rsidRPr="00B74D4F">
              <w:rPr>
                <w:sz w:val="22"/>
                <w:szCs w:val="22"/>
              </w:rPr>
              <w:t>planning for cross-border activity</w:t>
            </w:r>
          </w:p>
          <w:p w14:paraId="67013BA2" w14:textId="77777777" w:rsidR="00421C62" w:rsidRPr="00B74D4F" w:rsidRDefault="00421C62" w:rsidP="00593CE6">
            <w:pPr>
              <w:pStyle w:val="ListParagraph"/>
              <w:numPr>
                <w:ilvl w:val="0"/>
                <w:numId w:val="30"/>
              </w:numPr>
              <w:rPr>
                <w:sz w:val="22"/>
                <w:szCs w:val="22"/>
              </w:rPr>
            </w:pPr>
            <w:r w:rsidRPr="00B74D4F">
              <w:rPr>
                <w:sz w:val="22"/>
                <w:szCs w:val="22"/>
              </w:rPr>
              <w:t>cross-border payment arrangements</w:t>
            </w:r>
          </w:p>
          <w:p w14:paraId="3559A32C" w14:textId="77777777" w:rsidR="00421C62" w:rsidRPr="00B74D4F" w:rsidRDefault="00421C62" w:rsidP="00593CE6">
            <w:pPr>
              <w:pStyle w:val="ListParagraph"/>
              <w:numPr>
                <w:ilvl w:val="0"/>
                <w:numId w:val="30"/>
              </w:numPr>
              <w:rPr>
                <w:sz w:val="22"/>
                <w:szCs w:val="22"/>
              </w:rPr>
            </w:pPr>
            <w:r w:rsidRPr="00B74D4F">
              <w:rPr>
                <w:sz w:val="22"/>
                <w:szCs w:val="22"/>
              </w:rPr>
              <w:t>health service plans</w:t>
            </w:r>
          </w:p>
          <w:p w14:paraId="4AD5A959" w14:textId="77777777" w:rsidR="00421C62" w:rsidRPr="00B74D4F" w:rsidRDefault="00421C62" w:rsidP="00593CE6">
            <w:pPr>
              <w:pStyle w:val="ListParagraph"/>
              <w:numPr>
                <w:ilvl w:val="0"/>
                <w:numId w:val="30"/>
              </w:numPr>
              <w:rPr>
                <w:sz w:val="22"/>
                <w:szCs w:val="22"/>
              </w:rPr>
            </w:pPr>
            <w:r w:rsidRPr="00B74D4F">
              <w:rPr>
                <w:sz w:val="22"/>
                <w:szCs w:val="22"/>
              </w:rPr>
              <w:t xml:space="preserve">precedents based on previous agreements </w:t>
            </w:r>
          </w:p>
          <w:p w14:paraId="01CE976C" w14:textId="0C95CE4A" w:rsidR="00421C62" w:rsidRPr="00893A77" w:rsidRDefault="007F198A" w:rsidP="00B74D4F">
            <w:pPr>
              <w:ind w:left="130"/>
              <w:rPr>
                <w:rFonts w:cs="Arial"/>
                <w:szCs w:val="22"/>
              </w:rPr>
            </w:pPr>
            <w:r>
              <w:rPr>
                <w:szCs w:val="22"/>
              </w:rPr>
              <w:t>D</w:t>
            </w:r>
            <w:r w:rsidR="00421C62" w:rsidRPr="0084160D">
              <w:rPr>
                <w:szCs w:val="22"/>
              </w:rPr>
              <w:t>etails of any risks identified.</w:t>
            </w:r>
          </w:p>
        </w:tc>
      </w:tr>
      <w:tr w:rsidR="00421C62" w:rsidRPr="007F198A" w14:paraId="5DCC80FC" w14:textId="77777777" w:rsidTr="00C2236D">
        <w:tc>
          <w:tcPr>
            <w:tcW w:w="1843" w:type="dxa"/>
            <w:tcBorders>
              <w:top w:val="single" w:sz="4" w:space="0" w:color="000000"/>
              <w:left w:val="single" w:sz="4" w:space="0" w:color="000000"/>
              <w:bottom w:val="single" w:sz="4" w:space="0" w:color="000000"/>
              <w:right w:val="single" w:sz="4" w:space="0" w:color="000000"/>
            </w:tcBorders>
          </w:tcPr>
          <w:p w14:paraId="593D9124" w14:textId="6A179DF5" w:rsidR="00421C62" w:rsidRPr="00B74D4F" w:rsidRDefault="00421C62" w:rsidP="00F056A0">
            <w:pPr>
              <w:pStyle w:val="NormalArial"/>
              <w:spacing w:before="160" w:after="120"/>
              <w:ind w:left="79" w:right="181"/>
            </w:pPr>
            <w:r w:rsidRPr="00B74D4F">
              <w:t>Compliance with agreement</w:t>
            </w:r>
            <w:r w:rsidR="00F056A0" w:rsidRPr="00B74D4F">
              <w:t>(s)</w:t>
            </w:r>
          </w:p>
        </w:tc>
        <w:tc>
          <w:tcPr>
            <w:tcW w:w="7229" w:type="dxa"/>
            <w:tcBorders>
              <w:top w:val="single" w:sz="4" w:space="0" w:color="000000"/>
              <w:left w:val="single" w:sz="4" w:space="0" w:color="000000"/>
              <w:bottom w:val="single" w:sz="4" w:space="0" w:color="000000"/>
              <w:right w:val="single" w:sz="4" w:space="0" w:color="000000"/>
            </w:tcBorders>
          </w:tcPr>
          <w:p w14:paraId="29F6028C" w14:textId="2713BF3C" w:rsidR="00421C62" w:rsidRPr="00CD4B30" w:rsidRDefault="0040740E" w:rsidP="00B74D4F">
            <w:pPr>
              <w:ind w:left="130"/>
              <w:rPr>
                <w:rFonts w:cs="Arial"/>
                <w:szCs w:val="22"/>
              </w:rPr>
            </w:pPr>
            <w:r>
              <w:rPr>
                <w:szCs w:val="22"/>
              </w:rPr>
              <w:t>E</w:t>
            </w:r>
            <w:r w:rsidR="00421C62" w:rsidRPr="0084160D">
              <w:rPr>
                <w:szCs w:val="22"/>
              </w:rPr>
              <w:t>vidence to support compliance with any relevant requirements set out in intergovernmental ag</w:t>
            </w:r>
            <w:r w:rsidR="00421C62" w:rsidRPr="00CD4B30">
              <w:rPr>
                <w:szCs w:val="22"/>
              </w:rPr>
              <w:t xml:space="preserve">reements or agreements between </w:t>
            </w:r>
            <w:r w:rsidR="00C2236D" w:rsidRPr="00CD4B30">
              <w:rPr>
                <w:szCs w:val="22"/>
              </w:rPr>
              <w:t>s</w:t>
            </w:r>
            <w:r w:rsidR="00421C62" w:rsidRPr="00CD4B30">
              <w:rPr>
                <w:szCs w:val="22"/>
              </w:rPr>
              <w:t xml:space="preserve">tates or </w:t>
            </w:r>
            <w:r w:rsidR="00C2236D" w:rsidRPr="00CD4B30">
              <w:rPr>
                <w:szCs w:val="22"/>
              </w:rPr>
              <w:t>s</w:t>
            </w:r>
            <w:r w:rsidR="00421C62" w:rsidRPr="00CD4B30">
              <w:rPr>
                <w:szCs w:val="22"/>
              </w:rPr>
              <w:t xml:space="preserve">tates and </w:t>
            </w:r>
            <w:r w:rsidR="00C2236D" w:rsidRPr="00CD4B30">
              <w:rPr>
                <w:szCs w:val="22"/>
              </w:rPr>
              <w:t>t</w:t>
            </w:r>
            <w:r w:rsidR="00421C62" w:rsidRPr="00CD4B30">
              <w:rPr>
                <w:szCs w:val="22"/>
              </w:rPr>
              <w:t>erritories.</w:t>
            </w:r>
          </w:p>
        </w:tc>
      </w:tr>
      <w:tr w:rsidR="00421C62" w:rsidRPr="007F198A" w14:paraId="62EA45FE" w14:textId="77777777" w:rsidTr="00C2236D">
        <w:tc>
          <w:tcPr>
            <w:tcW w:w="1843" w:type="dxa"/>
            <w:tcBorders>
              <w:top w:val="single" w:sz="4" w:space="0" w:color="000000"/>
              <w:left w:val="single" w:sz="4" w:space="0" w:color="000000"/>
              <w:bottom w:val="single" w:sz="4" w:space="0" w:color="000000"/>
              <w:right w:val="single" w:sz="4" w:space="0" w:color="000000"/>
            </w:tcBorders>
          </w:tcPr>
          <w:p w14:paraId="097D325F" w14:textId="77777777" w:rsidR="00421C62" w:rsidRPr="00B74D4F" w:rsidRDefault="00421C62" w:rsidP="004D0F7C">
            <w:pPr>
              <w:pStyle w:val="NormalArial"/>
              <w:spacing w:before="160" w:after="120"/>
              <w:ind w:left="79" w:right="181"/>
            </w:pPr>
            <w:r w:rsidRPr="00B74D4F">
              <w:t xml:space="preserve">Prior efforts to resolve the dispute </w:t>
            </w:r>
          </w:p>
        </w:tc>
        <w:tc>
          <w:tcPr>
            <w:tcW w:w="7229" w:type="dxa"/>
            <w:tcBorders>
              <w:top w:val="single" w:sz="4" w:space="0" w:color="000000"/>
              <w:left w:val="single" w:sz="4" w:space="0" w:color="000000"/>
              <w:bottom w:val="single" w:sz="4" w:space="0" w:color="000000"/>
              <w:right w:val="single" w:sz="4" w:space="0" w:color="000000"/>
            </w:tcBorders>
          </w:tcPr>
          <w:p w14:paraId="23020C6D" w14:textId="44885200" w:rsidR="00421C62" w:rsidRPr="0084160D" w:rsidRDefault="0040740E" w:rsidP="00B74D4F">
            <w:pPr>
              <w:ind w:left="130"/>
              <w:rPr>
                <w:szCs w:val="22"/>
              </w:rPr>
            </w:pPr>
            <w:r>
              <w:rPr>
                <w:szCs w:val="22"/>
              </w:rPr>
              <w:t>S</w:t>
            </w:r>
            <w:r w:rsidR="00421C62" w:rsidRPr="0084160D">
              <w:rPr>
                <w:szCs w:val="22"/>
              </w:rPr>
              <w:t xml:space="preserve">tatement detailing what </w:t>
            </w:r>
            <w:r w:rsidR="00421C62" w:rsidRPr="0080016E">
              <w:rPr>
                <w:szCs w:val="22"/>
              </w:rPr>
              <w:t xml:space="preserve">genuine steps have been taken to resolve the dispute with the </w:t>
            </w:r>
            <w:r w:rsidR="004E3E99" w:rsidRPr="0080016E">
              <w:rPr>
                <w:szCs w:val="22"/>
              </w:rPr>
              <w:t xml:space="preserve">respondent </w:t>
            </w:r>
            <w:r w:rsidR="00421C62" w:rsidRPr="0080016E">
              <w:rPr>
                <w:szCs w:val="22"/>
              </w:rPr>
              <w:t>jurisdiction, or the reasons why no such steps were taken</w:t>
            </w:r>
            <w:r>
              <w:rPr>
                <w:szCs w:val="22"/>
              </w:rPr>
              <w:t>.</w:t>
            </w:r>
          </w:p>
          <w:p w14:paraId="20A387FE" w14:textId="3CBE9D3F" w:rsidR="00421C62" w:rsidRPr="00CD4B30" w:rsidRDefault="0040740E" w:rsidP="00B74D4F">
            <w:pPr>
              <w:ind w:left="130"/>
              <w:rPr>
                <w:szCs w:val="22"/>
              </w:rPr>
            </w:pPr>
            <w:r>
              <w:rPr>
                <w:szCs w:val="22"/>
              </w:rPr>
              <w:t>E</w:t>
            </w:r>
            <w:r w:rsidR="00421C62" w:rsidRPr="0084160D">
              <w:rPr>
                <w:szCs w:val="22"/>
              </w:rPr>
              <w:t>xamples of ‘reasonable efforts’ that parties may outline in the statement may include:</w:t>
            </w:r>
          </w:p>
          <w:p w14:paraId="3CA4DF4F" w14:textId="77777777" w:rsidR="00421C62" w:rsidRPr="00B74D4F" w:rsidRDefault="00421C62" w:rsidP="00593CE6">
            <w:pPr>
              <w:pStyle w:val="ListParagraph"/>
              <w:numPr>
                <w:ilvl w:val="0"/>
                <w:numId w:val="31"/>
              </w:numPr>
              <w:rPr>
                <w:sz w:val="22"/>
                <w:szCs w:val="22"/>
              </w:rPr>
            </w:pPr>
            <w:r w:rsidRPr="00B74D4F">
              <w:rPr>
                <w:sz w:val="22"/>
                <w:szCs w:val="22"/>
              </w:rPr>
              <w:t>notifying the other party of the issues in dispute and offering to discuss them with a view to resolving the dispute</w:t>
            </w:r>
          </w:p>
          <w:p w14:paraId="1C17B0D8" w14:textId="77777777" w:rsidR="00421C62" w:rsidRPr="00B74D4F" w:rsidRDefault="00421C62" w:rsidP="00593CE6">
            <w:pPr>
              <w:pStyle w:val="ListParagraph"/>
              <w:numPr>
                <w:ilvl w:val="0"/>
                <w:numId w:val="31"/>
              </w:numPr>
              <w:rPr>
                <w:sz w:val="22"/>
                <w:szCs w:val="22"/>
              </w:rPr>
            </w:pPr>
            <w:r w:rsidRPr="00B74D4F">
              <w:rPr>
                <w:sz w:val="22"/>
                <w:szCs w:val="22"/>
              </w:rPr>
              <w:lastRenderedPageBreak/>
              <w:t>providing relevant information and documents to the other party to enable them to understand the issues involved and how the dispute might be resolved</w:t>
            </w:r>
          </w:p>
          <w:p w14:paraId="53E80B76" w14:textId="77777777" w:rsidR="00421C62" w:rsidRPr="00B74D4F" w:rsidRDefault="00421C62" w:rsidP="00593CE6">
            <w:pPr>
              <w:pStyle w:val="ListParagraph"/>
              <w:numPr>
                <w:ilvl w:val="0"/>
                <w:numId w:val="31"/>
              </w:numPr>
              <w:ind w:left="1077" w:hanging="357"/>
              <w:rPr>
                <w:sz w:val="22"/>
                <w:szCs w:val="22"/>
              </w:rPr>
            </w:pPr>
            <w:r w:rsidRPr="00B74D4F">
              <w:rPr>
                <w:sz w:val="22"/>
                <w:szCs w:val="22"/>
              </w:rPr>
              <w:t>considering possible resolution through alternative dispute resolution processes</w:t>
            </w:r>
          </w:p>
          <w:p w14:paraId="080C822A" w14:textId="2975526D" w:rsidR="00421C62" w:rsidRPr="00B74D4F" w:rsidRDefault="00421C62" w:rsidP="00593CE6">
            <w:pPr>
              <w:pStyle w:val="ListParagraph"/>
              <w:numPr>
                <w:ilvl w:val="0"/>
                <w:numId w:val="31"/>
              </w:numPr>
              <w:rPr>
                <w:sz w:val="22"/>
                <w:szCs w:val="22"/>
              </w:rPr>
            </w:pPr>
            <w:r w:rsidRPr="00B74D4F">
              <w:rPr>
                <w:sz w:val="22"/>
                <w:szCs w:val="22"/>
              </w:rPr>
              <w:t>attempting to negotiate with the other party with a view to resolving some or all of the issues in dispute</w:t>
            </w:r>
            <w:r w:rsidR="00FE3C0B" w:rsidRPr="00B74D4F">
              <w:rPr>
                <w:sz w:val="22"/>
                <w:szCs w:val="22"/>
              </w:rPr>
              <w:t>.</w:t>
            </w:r>
          </w:p>
        </w:tc>
      </w:tr>
      <w:tr w:rsidR="00421C62" w:rsidRPr="007F198A" w14:paraId="49152C7F" w14:textId="77777777" w:rsidTr="00C2236D">
        <w:tc>
          <w:tcPr>
            <w:tcW w:w="1843" w:type="dxa"/>
            <w:tcBorders>
              <w:top w:val="single" w:sz="4" w:space="0" w:color="000000"/>
              <w:left w:val="single" w:sz="4" w:space="0" w:color="000000"/>
              <w:bottom w:val="single" w:sz="4" w:space="0" w:color="000000"/>
              <w:right w:val="single" w:sz="4" w:space="0" w:color="000000"/>
            </w:tcBorders>
          </w:tcPr>
          <w:p w14:paraId="508C1F14" w14:textId="77777777" w:rsidR="00421C62" w:rsidRPr="00B74D4F" w:rsidRDefault="00421C62" w:rsidP="004D0F7C">
            <w:pPr>
              <w:pStyle w:val="NormalArial"/>
              <w:spacing w:before="160" w:after="120"/>
              <w:ind w:left="79" w:right="181"/>
            </w:pPr>
            <w:r w:rsidRPr="00B74D4F">
              <w:lastRenderedPageBreak/>
              <w:t>Supporting documentation</w:t>
            </w:r>
          </w:p>
        </w:tc>
        <w:tc>
          <w:tcPr>
            <w:tcW w:w="7229" w:type="dxa"/>
            <w:tcBorders>
              <w:top w:val="single" w:sz="4" w:space="0" w:color="000000"/>
              <w:left w:val="single" w:sz="4" w:space="0" w:color="000000"/>
              <w:bottom w:val="single" w:sz="4" w:space="0" w:color="000000"/>
              <w:right w:val="single" w:sz="4" w:space="0" w:color="000000"/>
            </w:tcBorders>
          </w:tcPr>
          <w:p w14:paraId="2A911B22" w14:textId="4EAD854E" w:rsidR="00421C62" w:rsidRPr="0084160D" w:rsidRDefault="0040740E" w:rsidP="00B74D4F">
            <w:pPr>
              <w:ind w:left="130"/>
              <w:rPr>
                <w:szCs w:val="22"/>
              </w:rPr>
            </w:pPr>
            <w:r>
              <w:rPr>
                <w:szCs w:val="22"/>
              </w:rPr>
              <w:t>A</w:t>
            </w:r>
            <w:r w:rsidR="00421C62" w:rsidRPr="0084160D">
              <w:rPr>
                <w:szCs w:val="22"/>
              </w:rPr>
              <w:t>ny evidence which may support IHPA in its investigation of the dispute (</w:t>
            </w:r>
            <w:r w:rsidR="005B3AAE" w:rsidRPr="00893A77">
              <w:rPr>
                <w:szCs w:val="22"/>
              </w:rPr>
              <w:t>for e</w:t>
            </w:r>
            <w:r w:rsidR="005B3AAE" w:rsidRPr="00CD4B30">
              <w:rPr>
                <w:szCs w:val="22"/>
              </w:rPr>
              <w:t>xample,</w:t>
            </w:r>
            <w:r w:rsidR="00421C62" w:rsidRPr="0080016E">
              <w:rPr>
                <w:szCs w:val="22"/>
              </w:rPr>
              <w:t xml:space="preserve"> data, information, agreements)</w:t>
            </w:r>
            <w:r>
              <w:rPr>
                <w:szCs w:val="22"/>
              </w:rPr>
              <w:t>.</w:t>
            </w:r>
          </w:p>
          <w:p w14:paraId="1BCAAB2A" w14:textId="71DFD507" w:rsidR="00421C62" w:rsidRPr="0080016E" w:rsidRDefault="0040740E" w:rsidP="00B74D4F">
            <w:pPr>
              <w:ind w:left="130"/>
              <w:rPr>
                <w:rFonts w:cs="Arial"/>
                <w:szCs w:val="22"/>
              </w:rPr>
            </w:pPr>
            <w:r>
              <w:rPr>
                <w:szCs w:val="22"/>
              </w:rPr>
              <w:t>C</w:t>
            </w:r>
            <w:r w:rsidR="00421C62" w:rsidRPr="0080016E">
              <w:rPr>
                <w:szCs w:val="22"/>
              </w:rPr>
              <w:t xml:space="preserve">opies of any intergovernmental agreements or agreements between </w:t>
            </w:r>
            <w:r w:rsidR="005A4023" w:rsidRPr="0080016E">
              <w:rPr>
                <w:szCs w:val="22"/>
              </w:rPr>
              <w:t>s</w:t>
            </w:r>
            <w:r w:rsidR="00421C62" w:rsidRPr="0080016E">
              <w:rPr>
                <w:szCs w:val="22"/>
              </w:rPr>
              <w:t xml:space="preserve">tates or </w:t>
            </w:r>
            <w:r w:rsidR="005A4023" w:rsidRPr="0080016E">
              <w:rPr>
                <w:szCs w:val="22"/>
              </w:rPr>
              <w:t>s</w:t>
            </w:r>
            <w:r w:rsidR="00421C62" w:rsidRPr="0080016E">
              <w:rPr>
                <w:szCs w:val="22"/>
              </w:rPr>
              <w:t xml:space="preserve">tates and </w:t>
            </w:r>
            <w:r w:rsidR="005A4023" w:rsidRPr="0080016E">
              <w:rPr>
                <w:szCs w:val="22"/>
              </w:rPr>
              <w:t>t</w:t>
            </w:r>
            <w:r w:rsidR="00421C62" w:rsidRPr="0080016E">
              <w:rPr>
                <w:szCs w:val="22"/>
              </w:rPr>
              <w:t>erritories.</w:t>
            </w:r>
          </w:p>
        </w:tc>
      </w:tr>
    </w:tbl>
    <w:p w14:paraId="4C58CD7E" w14:textId="77777777" w:rsidR="0009465A" w:rsidRPr="00BD6BC6" w:rsidRDefault="0009465A" w:rsidP="00D07C6D">
      <w:pPr>
        <w:pStyle w:val="FigureHeading"/>
      </w:pPr>
      <w:r w:rsidRPr="00BD6BC6">
        <w:br w:type="page"/>
      </w:r>
    </w:p>
    <w:p w14:paraId="0A05815A" w14:textId="77777777" w:rsidR="006A6D50" w:rsidRPr="00BD6BC6" w:rsidRDefault="006A6D50">
      <w:pPr>
        <w:pStyle w:val="ListParagraph"/>
        <w:sectPr w:rsidR="006A6D50" w:rsidRPr="00BD6BC6" w:rsidSect="00EF74E9">
          <w:pgSz w:w="11906" w:h="16838" w:code="9"/>
          <w:pgMar w:top="2041" w:right="1440" w:bottom="709" w:left="1021" w:header="680" w:footer="510" w:gutter="0"/>
          <w:cols w:space="708"/>
          <w:docGrid w:linePitch="360"/>
        </w:sectPr>
      </w:pPr>
    </w:p>
    <w:p w14:paraId="1040018F" w14:textId="77777777" w:rsidR="00562759" w:rsidRDefault="00043CF6" w:rsidP="00350852">
      <w:r w:rsidRPr="00BD6BC6">
        <w:rPr>
          <w:noProof/>
        </w:rPr>
        <w:lastRenderedPageBreak/>
        <w:drawing>
          <wp:anchor distT="0" distB="0" distL="114300" distR="114300" simplePos="0" relativeHeight="251678720" behindDoc="1" locked="1" layoutInCell="0" allowOverlap="1" wp14:anchorId="3FC46C8A" wp14:editId="273B4E13">
            <wp:simplePos x="0" y="0"/>
            <wp:positionH relativeFrom="page">
              <wp:align>left</wp:align>
            </wp:positionH>
            <wp:positionV relativeFrom="page">
              <wp:align>top</wp:align>
            </wp:positionV>
            <wp:extent cx="7592060" cy="10738485"/>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92060" cy="10738485"/>
                    </a:xfrm>
                    <a:prstGeom prst="rect">
                      <a:avLst/>
                    </a:prstGeom>
                  </pic:spPr>
                </pic:pic>
              </a:graphicData>
            </a:graphic>
            <wp14:sizeRelH relativeFrom="margin">
              <wp14:pctWidth>0</wp14:pctWidth>
            </wp14:sizeRelH>
            <wp14:sizeRelV relativeFrom="margin">
              <wp14:pctHeight>0</wp14:pctHeight>
            </wp14:sizeRelV>
          </wp:anchor>
        </w:drawing>
      </w:r>
      <w:r w:rsidR="00562759" w:rsidRPr="00BD6BC6">
        <w:rPr>
          <w:noProof/>
        </w:rPr>
        <mc:AlternateContent>
          <mc:Choice Requires="wps">
            <w:drawing>
              <wp:anchor distT="0" distB="0" distL="114300" distR="114300" simplePos="0" relativeHeight="251670528" behindDoc="0" locked="0" layoutInCell="1" allowOverlap="1" wp14:anchorId="17486830" wp14:editId="4FD1C916">
                <wp:simplePos x="0" y="0"/>
                <wp:positionH relativeFrom="column">
                  <wp:posOffset>152400</wp:posOffset>
                </wp:positionH>
                <wp:positionV relativeFrom="margin">
                  <wp:posOffset>7630160</wp:posOffset>
                </wp:positionV>
                <wp:extent cx="1943280" cy="1257480"/>
                <wp:effectExtent l="0" t="0" r="127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3E3899" w14:textId="77777777" w:rsidR="00155967" w:rsidRPr="00996126" w:rsidRDefault="00155967" w:rsidP="00562759">
                            <w:pPr>
                              <w:pStyle w:val="Address"/>
                              <w:rPr>
                                <w:color w:val="auto"/>
                              </w:rPr>
                            </w:pPr>
                            <w:r w:rsidRPr="00996126">
                              <w:rPr>
                                <w:color w:val="auto"/>
                              </w:rPr>
                              <w:t>Independent Hospital Pricing Authority</w:t>
                            </w:r>
                          </w:p>
                          <w:p w14:paraId="600E1800" w14:textId="77777777" w:rsidR="00155967" w:rsidRPr="00996126" w:rsidRDefault="00155967" w:rsidP="00562759">
                            <w:pPr>
                              <w:pStyle w:val="Address"/>
                              <w:rPr>
                                <w:color w:val="auto"/>
                              </w:rPr>
                            </w:pPr>
                          </w:p>
                          <w:p w14:paraId="17BBB0B6" w14:textId="6A9FDC03" w:rsidR="00155967" w:rsidRPr="00996126" w:rsidRDefault="00155967" w:rsidP="00562759">
                            <w:pPr>
                              <w:pStyle w:val="Address"/>
                              <w:rPr>
                                <w:color w:val="008542" w:themeColor="accent2"/>
                              </w:rPr>
                            </w:pPr>
                            <w:r>
                              <w:rPr>
                                <w:color w:val="008542" w:themeColor="accent2"/>
                              </w:rPr>
                              <w:t>Eora Nation, Level 12</w:t>
                            </w:r>
                            <w:r w:rsidRPr="00996126">
                              <w:rPr>
                                <w:color w:val="008542" w:themeColor="accent2"/>
                              </w:rPr>
                              <w:t>, 1 Oxford Street</w:t>
                            </w:r>
                          </w:p>
                          <w:p w14:paraId="1677017F" w14:textId="77777777" w:rsidR="00155967" w:rsidRPr="00996126" w:rsidRDefault="00155967" w:rsidP="00562759">
                            <w:pPr>
                              <w:pStyle w:val="Address"/>
                              <w:rPr>
                                <w:color w:val="008542" w:themeColor="accent2"/>
                              </w:rPr>
                            </w:pPr>
                            <w:r w:rsidRPr="00996126">
                              <w:rPr>
                                <w:color w:val="008542" w:themeColor="accent2"/>
                              </w:rPr>
                              <w:t>Sydney NSW 2000</w:t>
                            </w:r>
                          </w:p>
                          <w:p w14:paraId="6E8134A2" w14:textId="77777777" w:rsidR="00155967" w:rsidRPr="00562759" w:rsidRDefault="00155967" w:rsidP="00562759">
                            <w:pPr>
                              <w:pStyle w:val="Address"/>
                            </w:pPr>
                          </w:p>
                          <w:p w14:paraId="6DCD2056" w14:textId="77777777" w:rsidR="00155967" w:rsidRPr="00996126" w:rsidRDefault="00155967" w:rsidP="00562759">
                            <w:pPr>
                              <w:pStyle w:val="Address"/>
                              <w:rPr>
                                <w:color w:val="008542" w:themeColor="accent2"/>
                              </w:rPr>
                            </w:pPr>
                            <w:r w:rsidRPr="00996126">
                              <w:rPr>
                                <w:color w:val="auto"/>
                              </w:rPr>
                              <w:t xml:space="preserve">Phone </w:t>
                            </w:r>
                            <w:r w:rsidRPr="00996126">
                              <w:rPr>
                                <w:color w:val="008542" w:themeColor="accent2"/>
                              </w:rPr>
                              <w:t>02 8215 1100</w:t>
                            </w:r>
                          </w:p>
                          <w:p w14:paraId="715E7C40" w14:textId="77777777" w:rsidR="00155967" w:rsidRPr="00996126" w:rsidRDefault="00155967" w:rsidP="00562759">
                            <w:pPr>
                              <w:pStyle w:val="Address"/>
                              <w:rPr>
                                <w:color w:val="008542" w:themeColor="accent2"/>
                              </w:rPr>
                            </w:pPr>
                            <w:r w:rsidRPr="00996126">
                              <w:rPr>
                                <w:color w:val="auto"/>
                              </w:rPr>
                              <w:t xml:space="preserve">Email </w:t>
                            </w:r>
                            <w:r w:rsidRPr="00996126">
                              <w:rPr>
                                <w:color w:val="008542" w:themeColor="accent2"/>
                              </w:rPr>
                              <w:t>enquiries.ihpa@ihpa.gov.au</w:t>
                            </w:r>
                          </w:p>
                          <w:p w14:paraId="50D18A93" w14:textId="77777777" w:rsidR="00155967" w:rsidRPr="00996126" w:rsidRDefault="00155967" w:rsidP="00562759">
                            <w:pPr>
                              <w:pStyle w:val="Address"/>
                              <w:rPr>
                                <w:color w:val="008542" w:themeColor="accent2"/>
                              </w:rPr>
                            </w:pPr>
                            <w:r w:rsidRPr="00996126">
                              <w:rPr>
                                <w:color w:val="auto"/>
                              </w:rPr>
                              <w:t xml:space="preserve">Twitter </w:t>
                            </w:r>
                            <w:r w:rsidRPr="00996126">
                              <w:rPr>
                                <w:color w:val="008542" w:themeColor="accent2"/>
                              </w:rPr>
                              <w:t>@IHPAnews</w:t>
                            </w:r>
                          </w:p>
                          <w:p w14:paraId="11BE15D4" w14:textId="77777777" w:rsidR="00155967" w:rsidRPr="00562759" w:rsidRDefault="00155967" w:rsidP="00562759">
                            <w:pPr>
                              <w:pStyle w:val="Address"/>
                            </w:pPr>
                          </w:p>
                          <w:p w14:paraId="4458131F" w14:textId="77777777" w:rsidR="00155967" w:rsidRPr="00996126" w:rsidRDefault="00155967" w:rsidP="00562759">
                            <w:pPr>
                              <w:pStyle w:val="Address"/>
                              <w:rPr>
                                <w:color w:val="auto"/>
                              </w:rPr>
                            </w:pPr>
                            <w:r w:rsidRPr="00996126">
                              <w:rPr>
                                <w:color w:val="auto"/>
                              </w:rPr>
                              <w:t>www.ihpa.gov.au</w:t>
                            </w:r>
                          </w:p>
                          <w:p w14:paraId="01E27371" w14:textId="77777777" w:rsidR="00155967" w:rsidRPr="0098702F" w:rsidRDefault="00155967" w:rsidP="00562759">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86830" id="_x0000_t202" coordsize="21600,21600" o:spt="202" path="m,l,21600r21600,l21600,xe">
                <v:stroke joinstyle="miter"/>
                <v:path gradientshapeok="t" o:connecttype="rect"/>
              </v:shapetype>
              <v:shape id="Text Box 14" o:spid="_x0000_s1026" type="#_x0000_t202" style="position:absolute;margin-left:12pt;margin-top:600.8pt;width:153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" filled="f" stroked="f">
                <v:textbox inset="0,0,0,0">
                  <w:txbxContent>
                    <w:p w14:paraId="1A3E3899" w14:textId="77777777" w:rsidR="00155967" w:rsidRPr="00996126" w:rsidRDefault="00155967" w:rsidP="00562759">
                      <w:pPr>
                        <w:pStyle w:val="Address"/>
                        <w:rPr>
                          <w:color w:val="auto"/>
                        </w:rPr>
                      </w:pPr>
                      <w:r w:rsidRPr="00996126">
                        <w:rPr>
                          <w:color w:val="auto"/>
                        </w:rPr>
                        <w:t>Independent Hospital Pricing Authority</w:t>
                      </w:r>
                    </w:p>
                    <w:p w14:paraId="600E1800" w14:textId="77777777" w:rsidR="00155967" w:rsidRPr="00996126" w:rsidRDefault="00155967" w:rsidP="00562759">
                      <w:pPr>
                        <w:pStyle w:val="Address"/>
                        <w:rPr>
                          <w:color w:val="auto"/>
                        </w:rPr>
                      </w:pPr>
                    </w:p>
                    <w:p w14:paraId="17BBB0B6" w14:textId="6A9FDC03" w:rsidR="00155967" w:rsidRPr="00996126" w:rsidRDefault="00155967" w:rsidP="00562759">
                      <w:pPr>
                        <w:pStyle w:val="Address"/>
                        <w:rPr>
                          <w:color w:val="008542" w:themeColor="accent2"/>
                        </w:rPr>
                      </w:pPr>
                      <w:r>
                        <w:rPr>
                          <w:color w:val="008542" w:themeColor="accent2"/>
                        </w:rPr>
                        <w:t>Eora Nation, Level 12</w:t>
                      </w:r>
                      <w:r w:rsidRPr="00996126">
                        <w:rPr>
                          <w:color w:val="008542" w:themeColor="accent2"/>
                        </w:rPr>
                        <w:t>, 1 Oxford Street</w:t>
                      </w:r>
                    </w:p>
                    <w:p w14:paraId="1677017F" w14:textId="77777777" w:rsidR="00155967" w:rsidRPr="00996126" w:rsidRDefault="00155967" w:rsidP="00562759">
                      <w:pPr>
                        <w:pStyle w:val="Address"/>
                        <w:rPr>
                          <w:color w:val="008542" w:themeColor="accent2"/>
                        </w:rPr>
                      </w:pPr>
                      <w:r w:rsidRPr="00996126">
                        <w:rPr>
                          <w:color w:val="008542" w:themeColor="accent2"/>
                        </w:rPr>
                        <w:t>Sydney NSW 2000</w:t>
                      </w:r>
                    </w:p>
                    <w:p w14:paraId="6E8134A2" w14:textId="77777777" w:rsidR="00155967" w:rsidRPr="00562759" w:rsidRDefault="00155967" w:rsidP="00562759">
                      <w:pPr>
                        <w:pStyle w:val="Address"/>
                      </w:pPr>
                    </w:p>
                    <w:p w14:paraId="6DCD2056" w14:textId="77777777" w:rsidR="00155967" w:rsidRPr="00996126" w:rsidRDefault="00155967" w:rsidP="00562759">
                      <w:pPr>
                        <w:pStyle w:val="Address"/>
                        <w:rPr>
                          <w:color w:val="008542" w:themeColor="accent2"/>
                        </w:rPr>
                      </w:pPr>
                      <w:r w:rsidRPr="00996126">
                        <w:rPr>
                          <w:color w:val="auto"/>
                        </w:rPr>
                        <w:t xml:space="preserve">Phone </w:t>
                      </w:r>
                      <w:r w:rsidRPr="00996126">
                        <w:rPr>
                          <w:color w:val="008542" w:themeColor="accent2"/>
                        </w:rPr>
                        <w:t>02 8215 1100</w:t>
                      </w:r>
                    </w:p>
                    <w:p w14:paraId="715E7C40" w14:textId="77777777" w:rsidR="00155967" w:rsidRPr="00996126" w:rsidRDefault="00155967" w:rsidP="00562759">
                      <w:pPr>
                        <w:pStyle w:val="Address"/>
                        <w:rPr>
                          <w:color w:val="008542" w:themeColor="accent2"/>
                        </w:rPr>
                      </w:pPr>
                      <w:r w:rsidRPr="00996126">
                        <w:rPr>
                          <w:color w:val="auto"/>
                        </w:rPr>
                        <w:t xml:space="preserve">Email </w:t>
                      </w:r>
                      <w:r w:rsidRPr="00996126">
                        <w:rPr>
                          <w:color w:val="008542" w:themeColor="accent2"/>
                        </w:rPr>
                        <w:t>enquiries.ihpa@ihpa.gov.au</w:t>
                      </w:r>
                    </w:p>
                    <w:p w14:paraId="50D18A93" w14:textId="77777777" w:rsidR="00155967" w:rsidRPr="00996126" w:rsidRDefault="00155967" w:rsidP="00562759">
                      <w:pPr>
                        <w:pStyle w:val="Address"/>
                        <w:rPr>
                          <w:color w:val="008542" w:themeColor="accent2"/>
                        </w:rPr>
                      </w:pPr>
                      <w:r w:rsidRPr="00996126">
                        <w:rPr>
                          <w:color w:val="auto"/>
                        </w:rPr>
                        <w:t xml:space="preserve">Twitter </w:t>
                      </w:r>
                      <w:r w:rsidRPr="00996126">
                        <w:rPr>
                          <w:color w:val="008542" w:themeColor="accent2"/>
                        </w:rPr>
                        <w:t>@IHPAnews</w:t>
                      </w:r>
                    </w:p>
                    <w:p w14:paraId="11BE15D4" w14:textId="77777777" w:rsidR="00155967" w:rsidRPr="00562759" w:rsidRDefault="00155967" w:rsidP="00562759">
                      <w:pPr>
                        <w:pStyle w:val="Address"/>
                      </w:pPr>
                    </w:p>
                    <w:p w14:paraId="4458131F" w14:textId="77777777" w:rsidR="00155967" w:rsidRPr="00996126" w:rsidRDefault="00155967" w:rsidP="00562759">
                      <w:pPr>
                        <w:pStyle w:val="Address"/>
                        <w:rPr>
                          <w:color w:val="auto"/>
                        </w:rPr>
                      </w:pPr>
                      <w:r w:rsidRPr="00996126">
                        <w:rPr>
                          <w:color w:val="auto"/>
                        </w:rPr>
                        <w:t>www.ihpa.gov.au</w:t>
                      </w:r>
                    </w:p>
                    <w:p w14:paraId="01E27371" w14:textId="77777777" w:rsidR="00155967" w:rsidRPr="0098702F" w:rsidRDefault="00155967" w:rsidP="00562759">
                      <w:pPr>
                        <w:pStyle w:val="Address"/>
                      </w:pPr>
                    </w:p>
                  </w:txbxContent>
                </v:textbox>
                <w10:wrap type="square" anchory="margin"/>
              </v:shape>
            </w:pict>
          </mc:Fallback>
        </mc:AlternateContent>
      </w:r>
    </w:p>
    <w:sectPr w:rsidR="00562759" w:rsidSect="008C2111">
      <w:pgSz w:w="11906" w:h="16838" w:code="9"/>
      <w:pgMar w:top="2041" w:right="1440" w:bottom="1021" w:left="1021" w:header="68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B455A" w14:textId="77777777" w:rsidR="00E961F3" w:rsidRDefault="00E961F3">
      <w:r>
        <w:separator/>
      </w:r>
    </w:p>
  </w:endnote>
  <w:endnote w:type="continuationSeparator" w:id="0">
    <w:p w14:paraId="002447F4" w14:textId="77777777" w:rsidR="00E961F3" w:rsidRDefault="00E9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2EEB1" w14:textId="77777777" w:rsidR="00E961F3" w:rsidRDefault="00E961F3">
      <w:r>
        <w:separator/>
      </w:r>
    </w:p>
  </w:footnote>
  <w:footnote w:type="continuationSeparator" w:id="0">
    <w:p w14:paraId="4959DD29" w14:textId="77777777" w:rsidR="00E961F3" w:rsidRDefault="00E961F3">
      <w:r>
        <w:continuationSeparator/>
      </w:r>
    </w:p>
  </w:footnote>
  <w:footnote w:id="1">
    <w:p w14:paraId="0FC69C2B" w14:textId="62D2CC5F" w:rsidR="00155967" w:rsidRPr="00300A61" w:rsidRDefault="00155967" w:rsidP="00300A61">
      <w:pPr>
        <w:pStyle w:val="FootnoteText"/>
        <w:rPr>
          <w:sz w:val="18"/>
          <w:szCs w:val="18"/>
        </w:rPr>
      </w:pPr>
      <w:r w:rsidRPr="00300A61">
        <w:rPr>
          <w:rStyle w:val="FootnoteReference"/>
          <w:sz w:val="18"/>
          <w:szCs w:val="18"/>
        </w:rPr>
        <w:footnoteRef/>
      </w:r>
      <w:r w:rsidRPr="00300A61">
        <w:rPr>
          <w:sz w:val="18"/>
          <w:szCs w:val="18"/>
        </w:rPr>
        <w:t xml:space="preserve"> As outlined in clause 8 of the Addendum, states and territories will provide health and emergency services through the public hospital system, based on the following Medicare Principles:</w:t>
      </w:r>
    </w:p>
    <w:p w14:paraId="4BF74FF2" w14:textId="759FB3F5" w:rsidR="00155967" w:rsidRPr="00300A61" w:rsidRDefault="00155967" w:rsidP="00300A61">
      <w:pPr>
        <w:pStyle w:val="FootnoteText"/>
        <w:numPr>
          <w:ilvl w:val="0"/>
          <w:numId w:val="42"/>
        </w:numPr>
        <w:rPr>
          <w:sz w:val="18"/>
          <w:szCs w:val="18"/>
        </w:rPr>
      </w:pPr>
      <w:r w:rsidRPr="00300A61">
        <w:rPr>
          <w:sz w:val="18"/>
          <w:szCs w:val="18"/>
        </w:rPr>
        <w:t>eligible persons must be given the choice to receive public hospital services free of charge as public patients;</w:t>
      </w:r>
    </w:p>
    <w:p w14:paraId="0AC7B944" w14:textId="2CC2DBF9" w:rsidR="00155967" w:rsidRPr="00300A61" w:rsidRDefault="00155967" w:rsidP="00300A61">
      <w:pPr>
        <w:pStyle w:val="FootnoteText"/>
        <w:numPr>
          <w:ilvl w:val="0"/>
          <w:numId w:val="42"/>
        </w:numPr>
        <w:rPr>
          <w:sz w:val="18"/>
          <w:szCs w:val="18"/>
        </w:rPr>
      </w:pPr>
      <w:r w:rsidRPr="00300A61">
        <w:rPr>
          <w:sz w:val="18"/>
          <w:szCs w:val="18"/>
        </w:rPr>
        <w:t>access to public hospital services is to be on the basis of clinical need and within a clinically appropriate period; and</w:t>
      </w:r>
    </w:p>
    <w:p w14:paraId="4A7DB3E7" w14:textId="4E2D263F" w:rsidR="00155967" w:rsidRDefault="00155967" w:rsidP="00300A61">
      <w:pPr>
        <w:pStyle w:val="FootnoteText"/>
        <w:numPr>
          <w:ilvl w:val="0"/>
          <w:numId w:val="42"/>
        </w:numPr>
      </w:pPr>
      <w:r w:rsidRPr="00300A61">
        <w:rPr>
          <w:sz w:val="18"/>
          <w:szCs w:val="18"/>
        </w:rPr>
        <w:t>arrangements are to be in place to ensure equitable access to such services for all eligible persons, regardless of their geographic location.</w:t>
      </w:r>
    </w:p>
  </w:footnote>
  <w:footnote w:id="2">
    <w:p w14:paraId="37E903D9" w14:textId="7362393F" w:rsidR="00155967" w:rsidRPr="00386816" w:rsidRDefault="00155967" w:rsidP="0080016E">
      <w:pPr>
        <w:spacing w:before="0" w:after="0" w:line="240" w:lineRule="auto"/>
        <w:rPr>
          <w:sz w:val="18"/>
          <w:szCs w:val="18"/>
        </w:rPr>
      </w:pPr>
      <w:r>
        <w:rPr>
          <w:rStyle w:val="FootnoteReference"/>
        </w:rPr>
        <w:footnoteRef/>
      </w:r>
      <w:r>
        <w:t xml:space="preserve"> </w:t>
      </w:r>
      <w:r w:rsidRPr="00AC3586">
        <w:rPr>
          <w:sz w:val="18"/>
          <w:szCs w:val="18"/>
        </w:rPr>
        <w:t xml:space="preserve">An </w:t>
      </w:r>
      <w:r w:rsidRPr="00386816">
        <w:rPr>
          <w:sz w:val="18"/>
          <w:szCs w:val="18"/>
        </w:rPr>
        <w:t>‘</w:t>
      </w:r>
      <w:r>
        <w:rPr>
          <w:sz w:val="18"/>
          <w:szCs w:val="18"/>
        </w:rPr>
        <w:t>i</w:t>
      </w:r>
      <w:r w:rsidRPr="00386816">
        <w:rPr>
          <w:sz w:val="18"/>
          <w:szCs w:val="18"/>
        </w:rPr>
        <w:t>ntergovernmental agreement’ as it appears in section 138(2)(a)(ii) of the Act includes the Addendum. In addition, as IHPA is able to calculate funding contributions that need to be made by a resident state following IHPA’s receipt of the quarterly submissions detailing actual activity, then the Addendum itself meets the requirement set out in section 138(2)(a)(ii) of the Act.</w:t>
      </w:r>
    </w:p>
    <w:p w14:paraId="647AB592" w14:textId="2A2F810F" w:rsidR="00155967" w:rsidRDefault="00155967" w:rsidP="00300A61">
      <w:pPr>
        <w:pStyle w:val="FootnoteText"/>
      </w:pPr>
    </w:p>
  </w:footnote>
  <w:footnote w:id="3">
    <w:p w14:paraId="55D1A84E" w14:textId="1B12EC82" w:rsidR="00155967" w:rsidRPr="00B74D4F" w:rsidRDefault="00155967" w:rsidP="00300A61">
      <w:pPr>
        <w:pStyle w:val="FootnoteText"/>
        <w:rPr>
          <w:sz w:val="18"/>
          <w:szCs w:val="18"/>
        </w:rPr>
      </w:pPr>
      <w:r w:rsidRPr="00B74D4F">
        <w:rPr>
          <w:rStyle w:val="FootnoteReference"/>
          <w:sz w:val="18"/>
          <w:szCs w:val="18"/>
        </w:rPr>
        <w:footnoteRef/>
      </w:r>
      <w:r w:rsidRPr="00B74D4F">
        <w:rPr>
          <w:sz w:val="18"/>
          <w:szCs w:val="18"/>
        </w:rPr>
        <w:t xml:space="preserve"> As stipulated in section 141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04D5F" w14:textId="4D862351" w:rsidR="00155967" w:rsidRPr="00CC2138" w:rsidRDefault="00155967" w:rsidP="00CC2138">
    <w:pPr>
      <w:pStyle w:val="Header"/>
      <w:rPr>
        <w:color w:val="008542" w:themeColor="accent2"/>
      </w:rPr>
    </w:pPr>
    <w:r>
      <w:rPr>
        <w:noProof/>
        <w:color w:val="FFFFFF" w:themeColor="background1"/>
      </w:rPr>
      <w:drawing>
        <wp:anchor distT="0" distB="0" distL="114300" distR="114300" simplePos="0" relativeHeight="251657216" behindDoc="1" locked="0" layoutInCell="0" allowOverlap="1" wp14:anchorId="40AB0EC6" wp14:editId="0CBFBB9E">
          <wp:simplePos x="0" y="0"/>
          <wp:positionH relativeFrom="page">
            <wp:align>left</wp:align>
          </wp:positionH>
          <wp:positionV relativeFrom="page">
            <wp:align>top</wp:align>
          </wp:positionV>
          <wp:extent cx="6080400" cy="918140"/>
          <wp:effectExtent l="0" t="0" r="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bookmarkStart w:id="0" w:name="_Hlk90392132"/>
    <w:r>
      <w:rPr>
        <w:noProof/>
        <w:color w:val="FFFFFF" w:themeColor="background1"/>
      </w:rPr>
      <w:t>Cost-Shifting and Cross-</w:t>
    </w:r>
    <w:r w:rsidRPr="00C035EA">
      <w:rPr>
        <w:noProof/>
        <w:color w:val="FFFFFF" w:themeColor="background1"/>
      </w:rPr>
      <w:t>Border Dispute Resolution</w:t>
    </w:r>
    <w:r>
      <w:rPr>
        <w:noProof/>
        <w:color w:val="FFFFFF" w:themeColor="background1"/>
      </w:rPr>
      <w:t xml:space="preserve"> Policy</w:t>
    </w:r>
    <w:r w:rsidRPr="00C035EA">
      <w:rPr>
        <w:noProof/>
        <w:color w:val="FFFFFF" w:themeColor="background1"/>
      </w:rPr>
      <w:t xml:space="preserve"> </w:t>
    </w:r>
    <w:bookmarkEnd w:id="0"/>
    <w:r>
      <w:rPr>
        <w:color w:val="FFFFFF" w:themeColor="background1"/>
      </w:rPr>
      <w:tab/>
    </w:r>
    <w:r w:rsidRPr="005F219D">
      <w:rPr>
        <w:color w:val="008542" w:themeColor="accent2"/>
      </w:rPr>
      <w:fldChar w:fldCharType="begin"/>
    </w:r>
    <w:r w:rsidRPr="005F219D">
      <w:rPr>
        <w:color w:val="008542" w:themeColor="accent2"/>
      </w:rPr>
      <w:instrText xml:space="preserve"> PAGE   \* MERGEFORMAT </w:instrText>
    </w:r>
    <w:r w:rsidRPr="005F219D">
      <w:rPr>
        <w:color w:val="008542" w:themeColor="accent2"/>
      </w:rPr>
      <w:fldChar w:fldCharType="separate"/>
    </w:r>
    <w:r>
      <w:rPr>
        <w:noProof/>
        <w:color w:val="008542" w:themeColor="accent2"/>
      </w:rPr>
      <w:t>20</w:t>
    </w:r>
    <w:r w:rsidRPr="005F219D">
      <w:rPr>
        <w:noProof/>
        <w:color w:val="008542" w:themeColor="accen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F486AFA"/>
    <w:lvl w:ilvl="0">
      <w:start w:val="1"/>
      <w:numFmt w:val="decimal"/>
      <w:pStyle w:val="ListNumber5"/>
      <w:lvlText w:val="%1."/>
      <w:lvlJc w:val="left"/>
      <w:pPr>
        <w:tabs>
          <w:tab w:val="num" w:pos="1045"/>
        </w:tabs>
        <w:ind w:left="1045"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E53A4"/>
    <w:multiLevelType w:val="hybridMultilevel"/>
    <w:tmpl w:val="49989A42"/>
    <w:lvl w:ilvl="0" w:tplc="0C09001B">
      <w:start w:val="1"/>
      <w:numFmt w:val="lowerRoman"/>
      <w:lvlText w:val="%1."/>
      <w:lvlJc w:val="right"/>
      <w:pPr>
        <w:ind w:left="1262" w:hanging="360"/>
      </w:pPr>
    </w:lvl>
    <w:lvl w:ilvl="1" w:tplc="0C09001B">
      <w:start w:val="1"/>
      <w:numFmt w:val="lowerRoman"/>
      <w:lvlText w:val="%2."/>
      <w:lvlJc w:val="right"/>
      <w:pPr>
        <w:ind w:left="1982" w:hanging="360"/>
      </w:pPr>
    </w:lvl>
    <w:lvl w:ilvl="2" w:tplc="832CB296">
      <w:start w:val="1"/>
      <w:numFmt w:val="decimal"/>
      <w:lvlText w:val="%3."/>
      <w:lvlJc w:val="left"/>
      <w:pPr>
        <w:ind w:left="2882" w:hanging="360"/>
      </w:pPr>
      <w:rPr>
        <w:rFonts w:hint="default"/>
      </w:rPr>
    </w:lvl>
    <w:lvl w:ilvl="3" w:tplc="7B784DF4">
      <w:start w:val="1"/>
      <w:numFmt w:val="lowerLetter"/>
      <w:lvlText w:val="%4)"/>
      <w:lvlJc w:val="left"/>
      <w:pPr>
        <w:ind w:left="3422" w:hanging="360"/>
      </w:pPr>
      <w:rPr>
        <w:rFonts w:hint="default"/>
      </w:rPr>
    </w:lvl>
    <w:lvl w:ilvl="4" w:tplc="557E46AE">
      <w:start w:val="1"/>
      <w:numFmt w:val="lowerLetter"/>
      <w:lvlText w:val="(%5)"/>
      <w:lvlJc w:val="left"/>
      <w:pPr>
        <w:ind w:left="4142" w:hanging="360"/>
      </w:pPr>
      <w:rPr>
        <w:rFonts w:hint="default"/>
      </w:rPr>
    </w:lvl>
    <w:lvl w:ilvl="5" w:tplc="3DE87356">
      <w:start w:val="1"/>
      <w:numFmt w:val="decimal"/>
      <w:lvlText w:val="(%6)"/>
      <w:lvlJc w:val="left"/>
      <w:pPr>
        <w:ind w:left="5042" w:hanging="360"/>
      </w:pPr>
      <w:rPr>
        <w:rFonts w:hint="default"/>
      </w:rPr>
    </w:lvl>
    <w:lvl w:ilvl="6" w:tplc="0C09000F" w:tentative="1">
      <w:start w:val="1"/>
      <w:numFmt w:val="decimal"/>
      <w:lvlText w:val="%7."/>
      <w:lvlJc w:val="left"/>
      <w:pPr>
        <w:ind w:left="5582" w:hanging="360"/>
      </w:pPr>
    </w:lvl>
    <w:lvl w:ilvl="7" w:tplc="0C090019" w:tentative="1">
      <w:start w:val="1"/>
      <w:numFmt w:val="lowerLetter"/>
      <w:lvlText w:val="%8."/>
      <w:lvlJc w:val="left"/>
      <w:pPr>
        <w:ind w:left="6302" w:hanging="360"/>
      </w:pPr>
    </w:lvl>
    <w:lvl w:ilvl="8" w:tplc="0C09001B" w:tentative="1">
      <w:start w:val="1"/>
      <w:numFmt w:val="lowerRoman"/>
      <w:lvlText w:val="%9."/>
      <w:lvlJc w:val="right"/>
      <w:pPr>
        <w:ind w:left="7022" w:hanging="180"/>
      </w:pPr>
    </w:lvl>
  </w:abstractNum>
  <w:abstractNum w:abstractNumId="11" w15:restartNumberingAfterBreak="0">
    <w:nsid w:val="079B7B00"/>
    <w:multiLevelType w:val="hybridMultilevel"/>
    <w:tmpl w:val="00701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E75B8C"/>
    <w:multiLevelType w:val="hybridMultilevel"/>
    <w:tmpl w:val="733A09DA"/>
    <w:lvl w:ilvl="0" w:tplc="42169D48">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4F0A35"/>
    <w:multiLevelType w:val="hybridMultilevel"/>
    <w:tmpl w:val="9D6A88A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0D0A5C5A"/>
    <w:multiLevelType w:val="hybridMultilevel"/>
    <w:tmpl w:val="7B9A20BA"/>
    <w:lvl w:ilvl="0" w:tplc="0C09001B">
      <w:start w:val="1"/>
      <w:numFmt w:val="lowerRoman"/>
      <w:lvlText w:val="%1."/>
      <w:lvlJc w:val="right"/>
      <w:pPr>
        <w:ind w:left="1262" w:hanging="360"/>
      </w:pPr>
    </w:lvl>
    <w:lvl w:ilvl="1" w:tplc="0C09001B">
      <w:start w:val="1"/>
      <w:numFmt w:val="lowerRoman"/>
      <w:lvlText w:val="%2."/>
      <w:lvlJc w:val="right"/>
      <w:pPr>
        <w:ind w:left="1982" w:hanging="360"/>
      </w:pPr>
    </w:lvl>
    <w:lvl w:ilvl="2" w:tplc="0C09001B" w:tentative="1">
      <w:start w:val="1"/>
      <w:numFmt w:val="lowerRoman"/>
      <w:lvlText w:val="%3."/>
      <w:lvlJc w:val="right"/>
      <w:pPr>
        <w:ind w:left="2702" w:hanging="180"/>
      </w:pPr>
    </w:lvl>
    <w:lvl w:ilvl="3" w:tplc="0C09000F" w:tentative="1">
      <w:start w:val="1"/>
      <w:numFmt w:val="decimal"/>
      <w:lvlText w:val="%4."/>
      <w:lvlJc w:val="left"/>
      <w:pPr>
        <w:ind w:left="3422" w:hanging="360"/>
      </w:pPr>
    </w:lvl>
    <w:lvl w:ilvl="4" w:tplc="0C090019" w:tentative="1">
      <w:start w:val="1"/>
      <w:numFmt w:val="lowerLetter"/>
      <w:lvlText w:val="%5."/>
      <w:lvlJc w:val="left"/>
      <w:pPr>
        <w:ind w:left="4142" w:hanging="360"/>
      </w:pPr>
    </w:lvl>
    <w:lvl w:ilvl="5" w:tplc="0C09001B" w:tentative="1">
      <w:start w:val="1"/>
      <w:numFmt w:val="lowerRoman"/>
      <w:lvlText w:val="%6."/>
      <w:lvlJc w:val="right"/>
      <w:pPr>
        <w:ind w:left="4862" w:hanging="180"/>
      </w:pPr>
    </w:lvl>
    <w:lvl w:ilvl="6" w:tplc="0C09000F" w:tentative="1">
      <w:start w:val="1"/>
      <w:numFmt w:val="decimal"/>
      <w:lvlText w:val="%7."/>
      <w:lvlJc w:val="left"/>
      <w:pPr>
        <w:ind w:left="5582" w:hanging="360"/>
      </w:pPr>
    </w:lvl>
    <w:lvl w:ilvl="7" w:tplc="0C090019" w:tentative="1">
      <w:start w:val="1"/>
      <w:numFmt w:val="lowerLetter"/>
      <w:lvlText w:val="%8."/>
      <w:lvlJc w:val="left"/>
      <w:pPr>
        <w:ind w:left="6302" w:hanging="360"/>
      </w:pPr>
    </w:lvl>
    <w:lvl w:ilvl="8" w:tplc="0C09001B" w:tentative="1">
      <w:start w:val="1"/>
      <w:numFmt w:val="lowerRoman"/>
      <w:lvlText w:val="%9."/>
      <w:lvlJc w:val="right"/>
      <w:pPr>
        <w:ind w:left="7022" w:hanging="180"/>
      </w:pPr>
    </w:lvl>
  </w:abstractNum>
  <w:abstractNum w:abstractNumId="15" w15:restartNumberingAfterBreak="0">
    <w:nsid w:val="111875DA"/>
    <w:multiLevelType w:val="hybridMultilevel"/>
    <w:tmpl w:val="E09EC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5B5119"/>
    <w:multiLevelType w:val="hybridMultilevel"/>
    <w:tmpl w:val="ECBC8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B719DA"/>
    <w:multiLevelType w:val="hybridMultilevel"/>
    <w:tmpl w:val="C812F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481D2B"/>
    <w:multiLevelType w:val="hybridMultilevel"/>
    <w:tmpl w:val="4050902E"/>
    <w:lvl w:ilvl="0" w:tplc="592A243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55273DF"/>
    <w:multiLevelType w:val="hybridMultilevel"/>
    <w:tmpl w:val="19182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DE783B"/>
    <w:multiLevelType w:val="hybridMultilevel"/>
    <w:tmpl w:val="6568B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43595F"/>
    <w:multiLevelType w:val="hybridMultilevel"/>
    <w:tmpl w:val="A58A4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8508EC"/>
    <w:multiLevelType w:val="hybridMultilevel"/>
    <w:tmpl w:val="5F7692E8"/>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F285AD8"/>
    <w:multiLevelType w:val="hybridMultilevel"/>
    <w:tmpl w:val="97122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836DAD"/>
    <w:multiLevelType w:val="hybridMultilevel"/>
    <w:tmpl w:val="A0289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1C7EE0"/>
    <w:multiLevelType w:val="hybridMultilevel"/>
    <w:tmpl w:val="71203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9E1474"/>
    <w:multiLevelType w:val="hybridMultilevel"/>
    <w:tmpl w:val="FD08E84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5F4E1F"/>
    <w:multiLevelType w:val="hybridMultilevel"/>
    <w:tmpl w:val="9E629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947105"/>
    <w:multiLevelType w:val="hybridMultilevel"/>
    <w:tmpl w:val="1F9C145A"/>
    <w:lvl w:ilvl="0" w:tplc="592A243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DE22321"/>
    <w:multiLevelType w:val="hybridMultilevel"/>
    <w:tmpl w:val="DEE0D7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FFC3A35"/>
    <w:multiLevelType w:val="hybridMultilevel"/>
    <w:tmpl w:val="A822B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9B5A99"/>
    <w:multiLevelType w:val="hybridMultilevel"/>
    <w:tmpl w:val="F54AA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473AC3"/>
    <w:multiLevelType w:val="hybridMultilevel"/>
    <w:tmpl w:val="1ED2AC08"/>
    <w:lvl w:ilvl="0" w:tplc="241C95B4">
      <w:start w:val="1"/>
      <w:numFmt w:val="lowerLetter"/>
      <w:lvlText w:val="%1."/>
      <w:lvlJc w:val="left"/>
      <w:pPr>
        <w:ind w:left="720" w:hanging="360"/>
      </w:pPr>
      <w:rPr>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ED739F"/>
    <w:multiLevelType w:val="hybridMultilevel"/>
    <w:tmpl w:val="DC6E2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3F78B3"/>
    <w:multiLevelType w:val="hybridMultilevel"/>
    <w:tmpl w:val="7AF8E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63447E"/>
    <w:multiLevelType w:val="hybridMultilevel"/>
    <w:tmpl w:val="D2FCC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EC2918"/>
    <w:multiLevelType w:val="hybridMultilevel"/>
    <w:tmpl w:val="63287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46050E"/>
    <w:multiLevelType w:val="hybridMultilevel"/>
    <w:tmpl w:val="35DA3680"/>
    <w:lvl w:ilvl="0" w:tplc="592A243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8CD4239"/>
    <w:multiLevelType w:val="hybridMultilevel"/>
    <w:tmpl w:val="7F16D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007C18"/>
    <w:multiLevelType w:val="hybridMultilevel"/>
    <w:tmpl w:val="6AEE9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812A3E"/>
    <w:multiLevelType w:val="hybridMultilevel"/>
    <w:tmpl w:val="AD705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53559A"/>
    <w:multiLevelType w:val="hybridMultilevel"/>
    <w:tmpl w:val="91AC1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31"/>
  </w:num>
  <w:num w:numId="13">
    <w:abstractNumId w:val="20"/>
  </w:num>
  <w:num w:numId="14">
    <w:abstractNumId w:val="38"/>
  </w:num>
  <w:num w:numId="15">
    <w:abstractNumId w:val="12"/>
  </w:num>
  <w:num w:numId="16">
    <w:abstractNumId w:val="11"/>
  </w:num>
  <w:num w:numId="17">
    <w:abstractNumId w:val="15"/>
  </w:num>
  <w:num w:numId="18">
    <w:abstractNumId w:val="30"/>
  </w:num>
  <w:num w:numId="19">
    <w:abstractNumId w:val="16"/>
  </w:num>
  <w:num w:numId="20">
    <w:abstractNumId w:val="24"/>
  </w:num>
  <w:num w:numId="21">
    <w:abstractNumId w:val="40"/>
  </w:num>
  <w:num w:numId="22">
    <w:abstractNumId w:val="19"/>
  </w:num>
  <w:num w:numId="23">
    <w:abstractNumId w:val="22"/>
  </w:num>
  <w:num w:numId="24">
    <w:abstractNumId w:val="39"/>
  </w:num>
  <w:num w:numId="25">
    <w:abstractNumId w:val="25"/>
  </w:num>
  <w:num w:numId="26">
    <w:abstractNumId w:val="17"/>
  </w:num>
  <w:num w:numId="27">
    <w:abstractNumId w:val="41"/>
  </w:num>
  <w:num w:numId="28">
    <w:abstractNumId w:val="33"/>
  </w:num>
  <w:num w:numId="29">
    <w:abstractNumId w:val="37"/>
  </w:num>
  <w:num w:numId="30">
    <w:abstractNumId w:val="18"/>
  </w:num>
  <w:num w:numId="31">
    <w:abstractNumId w:val="28"/>
  </w:num>
  <w:num w:numId="32">
    <w:abstractNumId w:val="13"/>
  </w:num>
  <w:num w:numId="33">
    <w:abstractNumId w:val="35"/>
  </w:num>
  <w:num w:numId="34">
    <w:abstractNumId w:val="34"/>
  </w:num>
  <w:num w:numId="35">
    <w:abstractNumId w:val="27"/>
  </w:num>
  <w:num w:numId="36">
    <w:abstractNumId w:val="29"/>
  </w:num>
  <w:num w:numId="37">
    <w:abstractNumId w:val="10"/>
  </w:num>
  <w:num w:numId="38">
    <w:abstractNumId w:val="14"/>
  </w:num>
  <w:num w:numId="39">
    <w:abstractNumId w:val="23"/>
  </w:num>
  <w:num w:numId="40">
    <w:abstractNumId w:val="21"/>
  </w:num>
  <w:num w:numId="41">
    <w:abstractNumId w:val="26"/>
  </w:num>
  <w:num w:numId="42">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637"/>
    <w:rsid w:val="000006F6"/>
    <w:rsid w:val="00002BA4"/>
    <w:rsid w:val="00005785"/>
    <w:rsid w:val="00006876"/>
    <w:rsid w:val="00006AF6"/>
    <w:rsid w:val="00006E5E"/>
    <w:rsid w:val="00006F43"/>
    <w:rsid w:val="00007626"/>
    <w:rsid w:val="000079AD"/>
    <w:rsid w:val="00007D1F"/>
    <w:rsid w:val="00010482"/>
    <w:rsid w:val="00010D84"/>
    <w:rsid w:val="00010F15"/>
    <w:rsid w:val="0001185C"/>
    <w:rsid w:val="00011CE3"/>
    <w:rsid w:val="000135B9"/>
    <w:rsid w:val="000144C1"/>
    <w:rsid w:val="0001600C"/>
    <w:rsid w:val="0001667B"/>
    <w:rsid w:val="00022AED"/>
    <w:rsid w:val="00022E9C"/>
    <w:rsid w:val="000235EC"/>
    <w:rsid w:val="00024EF0"/>
    <w:rsid w:val="00025631"/>
    <w:rsid w:val="000267B7"/>
    <w:rsid w:val="00027B26"/>
    <w:rsid w:val="00030705"/>
    <w:rsid w:val="00032861"/>
    <w:rsid w:val="00032B77"/>
    <w:rsid w:val="000351ED"/>
    <w:rsid w:val="000371FE"/>
    <w:rsid w:val="00040F73"/>
    <w:rsid w:val="00042285"/>
    <w:rsid w:val="000422AE"/>
    <w:rsid w:val="00043256"/>
    <w:rsid w:val="00043CF6"/>
    <w:rsid w:val="00044508"/>
    <w:rsid w:val="00045A89"/>
    <w:rsid w:val="00046DE9"/>
    <w:rsid w:val="00046F8E"/>
    <w:rsid w:val="00047524"/>
    <w:rsid w:val="00047764"/>
    <w:rsid w:val="0005040E"/>
    <w:rsid w:val="0005087D"/>
    <w:rsid w:val="00050935"/>
    <w:rsid w:val="00050F9E"/>
    <w:rsid w:val="0005306B"/>
    <w:rsid w:val="000539F5"/>
    <w:rsid w:val="000547EF"/>
    <w:rsid w:val="00056004"/>
    <w:rsid w:val="00057038"/>
    <w:rsid w:val="000578F2"/>
    <w:rsid w:val="00057A6F"/>
    <w:rsid w:val="0006075A"/>
    <w:rsid w:val="00060AD2"/>
    <w:rsid w:val="00061C84"/>
    <w:rsid w:val="00062484"/>
    <w:rsid w:val="00063129"/>
    <w:rsid w:val="00064E27"/>
    <w:rsid w:val="00064EE9"/>
    <w:rsid w:val="00065022"/>
    <w:rsid w:val="00065A5E"/>
    <w:rsid w:val="00066320"/>
    <w:rsid w:val="0006672D"/>
    <w:rsid w:val="00066A51"/>
    <w:rsid w:val="00070681"/>
    <w:rsid w:val="00075EBA"/>
    <w:rsid w:val="000775C8"/>
    <w:rsid w:val="00080A09"/>
    <w:rsid w:val="000810D7"/>
    <w:rsid w:val="00081CEB"/>
    <w:rsid w:val="00083082"/>
    <w:rsid w:val="00084600"/>
    <w:rsid w:val="00084E06"/>
    <w:rsid w:val="000879F2"/>
    <w:rsid w:val="00087B2C"/>
    <w:rsid w:val="00087DBD"/>
    <w:rsid w:val="00090718"/>
    <w:rsid w:val="00091B4E"/>
    <w:rsid w:val="00091CD7"/>
    <w:rsid w:val="00092E75"/>
    <w:rsid w:val="00093DD5"/>
    <w:rsid w:val="0009465A"/>
    <w:rsid w:val="000A03DD"/>
    <w:rsid w:val="000A0681"/>
    <w:rsid w:val="000A0791"/>
    <w:rsid w:val="000A1523"/>
    <w:rsid w:val="000A1A09"/>
    <w:rsid w:val="000A47A8"/>
    <w:rsid w:val="000A4CBB"/>
    <w:rsid w:val="000A57C7"/>
    <w:rsid w:val="000A6DAC"/>
    <w:rsid w:val="000A6E48"/>
    <w:rsid w:val="000A73FB"/>
    <w:rsid w:val="000B0E24"/>
    <w:rsid w:val="000B15D1"/>
    <w:rsid w:val="000B218A"/>
    <w:rsid w:val="000B21C5"/>
    <w:rsid w:val="000B3FDB"/>
    <w:rsid w:val="000B645A"/>
    <w:rsid w:val="000B6678"/>
    <w:rsid w:val="000B6B6B"/>
    <w:rsid w:val="000C014D"/>
    <w:rsid w:val="000C0F9F"/>
    <w:rsid w:val="000C29B4"/>
    <w:rsid w:val="000C549A"/>
    <w:rsid w:val="000C5CD8"/>
    <w:rsid w:val="000C71E1"/>
    <w:rsid w:val="000C7A69"/>
    <w:rsid w:val="000D1158"/>
    <w:rsid w:val="000D1653"/>
    <w:rsid w:val="000D4703"/>
    <w:rsid w:val="000D7A9E"/>
    <w:rsid w:val="000E12D4"/>
    <w:rsid w:val="000E15AC"/>
    <w:rsid w:val="000E39EF"/>
    <w:rsid w:val="000E620E"/>
    <w:rsid w:val="000E6A78"/>
    <w:rsid w:val="000F2063"/>
    <w:rsid w:val="000F3D28"/>
    <w:rsid w:val="000F63C4"/>
    <w:rsid w:val="0010019E"/>
    <w:rsid w:val="00100200"/>
    <w:rsid w:val="00101877"/>
    <w:rsid w:val="0010263D"/>
    <w:rsid w:val="00102824"/>
    <w:rsid w:val="0010300A"/>
    <w:rsid w:val="00103F16"/>
    <w:rsid w:val="00107908"/>
    <w:rsid w:val="00111814"/>
    <w:rsid w:val="001131F0"/>
    <w:rsid w:val="00113762"/>
    <w:rsid w:val="001139C7"/>
    <w:rsid w:val="00114EBC"/>
    <w:rsid w:val="00116A3B"/>
    <w:rsid w:val="0012427E"/>
    <w:rsid w:val="001247E0"/>
    <w:rsid w:val="00124AF7"/>
    <w:rsid w:val="00124CE8"/>
    <w:rsid w:val="00125046"/>
    <w:rsid w:val="00126750"/>
    <w:rsid w:val="00126886"/>
    <w:rsid w:val="001271A1"/>
    <w:rsid w:val="0013004D"/>
    <w:rsid w:val="00131C0F"/>
    <w:rsid w:val="001325BF"/>
    <w:rsid w:val="00132F0D"/>
    <w:rsid w:val="00133713"/>
    <w:rsid w:val="00133CE5"/>
    <w:rsid w:val="00135B7E"/>
    <w:rsid w:val="00136960"/>
    <w:rsid w:val="00136EB7"/>
    <w:rsid w:val="00136F09"/>
    <w:rsid w:val="00140391"/>
    <w:rsid w:val="00140FC9"/>
    <w:rsid w:val="001413C5"/>
    <w:rsid w:val="0014231B"/>
    <w:rsid w:val="00142956"/>
    <w:rsid w:val="00142D10"/>
    <w:rsid w:val="00143314"/>
    <w:rsid w:val="00144868"/>
    <w:rsid w:val="001452BC"/>
    <w:rsid w:val="00145DAA"/>
    <w:rsid w:val="00145E0A"/>
    <w:rsid w:val="0014739F"/>
    <w:rsid w:val="00150D2A"/>
    <w:rsid w:val="00150E25"/>
    <w:rsid w:val="00150EA9"/>
    <w:rsid w:val="00151650"/>
    <w:rsid w:val="00152BF6"/>
    <w:rsid w:val="00155967"/>
    <w:rsid w:val="00155B98"/>
    <w:rsid w:val="00157001"/>
    <w:rsid w:val="00157709"/>
    <w:rsid w:val="00160E91"/>
    <w:rsid w:val="00160EB1"/>
    <w:rsid w:val="00163C84"/>
    <w:rsid w:val="00165626"/>
    <w:rsid w:val="00167CF4"/>
    <w:rsid w:val="0017018F"/>
    <w:rsid w:val="0017147C"/>
    <w:rsid w:val="0017194E"/>
    <w:rsid w:val="0017246A"/>
    <w:rsid w:val="0017249B"/>
    <w:rsid w:val="001727A4"/>
    <w:rsid w:val="00173EA0"/>
    <w:rsid w:val="0017554D"/>
    <w:rsid w:val="00176244"/>
    <w:rsid w:val="001764FB"/>
    <w:rsid w:val="00177EC4"/>
    <w:rsid w:val="00181533"/>
    <w:rsid w:val="001824C8"/>
    <w:rsid w:val="00182698"/>
    <w:rsid w:val="001864FD"/>
    <w:rsid w:val="00190D4C"/>
    <w:rsid w:val="00192BB2"/>
    <w:rsid w:val="001943DD"/>
    <w:rsid w:val="00194BCE"/>
    <w:rsid w:val="00196BAC"/>
    <w:rsid w:val="001972D8"/>
    <w:rsid w:val="001A074C"/>
    <w:rsid w:val="001A13F6"/>
    <w:rsid w:val="001A2262"/>
    <w:rsid w:val="001A2D78"/>
    <w:rsid w:val="001A2FF3"/>
    <w:rsid w:val="001A5668"/>
    <w:rsid w:val="001A7249"/>
    <w:rsid w:val="001B385A"/>
    <w:rsid w:val="001B38E3"/>
    <w:rsid w:val="001B3904"/>
    <w:rsid w:val="001B3AEC"/>
    <w:rsid w:val="001B3E8D"/>
    <w:rsid w:val="001B5259"/>
    <w:rsid w:val="001B60D4"/>
    <w:rsid w:val="001B6F28"/>
    <w:rsid w:val="001C1F68"/>
    <w:rsid w:val="001C2D5A"/>
    <w:rsid w:val="001C4F4F"/>
    <w:rsid w:val="001C6BA1"/>
    <w:rsid w:val="001D0DBD"/>
    <w:rsid w:val="001D141C"/>
    <w:rsid w:val="001D2904"/>
    <w:rsid w:val="001D652D"/>
    <w:rsid w:val="001D693F"/>
    <w:rsid w:val="001D6F9E"/>
    <w:rsid w:val="001E38FB"/>
    <w:rsid w:val="001E3FEC"/>
    <w:rsid w:val="001E4927"/>
    <w:rsid w:val="001E52C2"/>
    <w:rsid w:val="001E68FC"/>
    <w:rsid w:val="001F0BE1"/>
    <w:rsid w:val="001F101A"/>
    <w:rsid w:val="001F1DF8"/>
    <w:rsid w:val="001F24EF"/>
    <w:rsid w:val="001F3E9E"/>
    <w:rsid w:val="001F56C7"/>
    <w:rsid w:val="0020233C"/>
    <w:rsid w:val="00202F41"/>
    <w:rsid w:val="00203039"/>
    <w:rsid w:val="00204B17"/>
    <w:rsid w:val="002051AC"/>
    <w:rsid w:val="002069D2"/>
    <w:rsid w:val="00207341"/>
    <w:rsid w:val="00211DA2"/>
    <w:rsid w:val="00213693"/>
    <w:rsid w:val="00215CCB"/>
    <w:rsid w:val="00216935"/>
    <w:rsid w:val="00216A99"/>
    <w:rsid w:val="00216CF5"/>
    <w:rsid w:val="0022037B"/>
    <w:rsid w:val="0022072A"/>
    <w:rsid w:val="00222C8D"/>
    <w:rsid w:val="00223163"/>
    <w:rsid w:val="002256A8"/>
    <w:rsid w:val="00230E6B"/>
    <w:rsid w:val="00232B97"/>
    <w:rsid w:val="00233AD7"/>
    <w:rsid w:val="00234F1D"/>
    <w:rsid w:val="0023523A"/>
    <w:rsid w:val="0023757C"/>
    <w:rsid w:val="0023777F"/>
    <w:rsid w:val="00237C47"/>
    <w:rsid w:val="00237C4D"/>
    <w:rsid w:val="002402E4"/>
    <w:rsid w:val="00240EC8"/>
    <w:rsid w:val="00241BA5"/>
    <w:rsid w:val="002421A0"/>
    <w:rsid w:val="002427AE"/>
    <w:rsid w:val="00242B98"/>
    <w:rsid w:val="002437F8"/>
    <w:rsid w:val="002445A1"/>
    <w:rsid w:val="00246FE6"/>
    <w:rsid w:val="002470E3"/>
    <w:rsid w:val="00251C2A"/>
    <w:rsid w:val="0025207D"/>
    <w:rsid w:val="00253E27"/>
    <w:rsid w:val="00254DE9"/>
    <w:rsid w:val="00255BC6"/>
    <w:rsid w:val="002560CC"/>
    <w:rsid w:val="002615D3"/>
    <w:rsid w:val="00262488"/>
    <w:rsid w:val="00263825"/>
    <w:rsid w:val="00264088"/>
    <w:rsid w:val="00265C0B"/>
    <w:rsid w:val="002672F1"/>
    <w:rsid w:val="00271414"/>
    <w:rsid w:val="00271451"/>
    <w:rsid w:val="00271922"/>
    <w:rsid w:val="00273412"/>
    <w:rsid w:val="0027373F"/>
    <w:rsid w:val="0027402E"/>
    <w:rsid w:val="00274ACF"/>
    <w:rsid w:val="00276F66"/>
    <w:rsid w:val="0028159B"/>
    <w:rsid w:val="00282671"/>
    <w:rsid w:val="00282861"/>
    <w:rsid w:val="002843E2"/>
    <w:rsid w:val="00285D14"/>
    <w:rsid w:val="00287BAA"/>
    <w:rsid w:val="00292751"/>
    <w:rsid w:val="002933BC"/>
    <w:rsid w:val="00293489"/>
    <w:rsid w:val="00293BF6"/>
    <w:rsid w:val="0029573D"/>
    <w:rsid w:val="00296F5E"/>
    <w:rsid w:val="002A265B"/>
    <w:rsid w:val="002A2AEE"/>
    <w:rsid w:val="002A30F0"/>
    <w:rsid w:val="002A656D"/>
    <w:rsid w:val="002A6DF5"/>
    <w:rsid w:val="002A6F83"/>
    <w:rsid w:val="002B6406"/>
    <w:rsid w:val="002B6809"/>
    <w:rsid w:val="002B74FD"/>
    <w:rsid w:val="002B7F9D"/>
    <w:rsid w:val="002C4231"/>
    <w:rsid w:val="002C7080"/>
    <w:rsid w:val="002C7B2C"/>
    <w:rsid w:val="002D00B0"/>
    <w:rsid w:val="002D2364"/>
    <w:rsid w:val="002D244F"/>
    <w:rsid w:val="002D2E16"/>
    <w:rsid w:val="002D7F71"/>
    <w:rsid w:val="002E45F0"/>
    <w:rsid w:val="002E63A4"/>
    <w:rsid w:val="002E7778"/>
    <w:rsid w:val="002F0497"/>
    <w:rsid w:val="002F5E34"/>
    <w:rsid w:val="002F7E1C"/>
    <w:rsid w:val="00300159"/>
    <w:rsid w:val="00300A61"/>
    <w:rsid w:val="00301CBB"/>
    <w:rsid w:val="003023F2"/>
    <w:rsid w:val="00303A64"/>
    <w:rsid w:val="00303EE6"/>
    <w:rsid w:val="00304098"/>
    <w:rsid w:val="00304B3E"/>
    <w:rsid w:val="00304D97"/>
    <w:rsid w:val="00306B2D"/>
    <w:rsid w:val="00310F7A"/>
    <w:rsid w:val="0031180A"/>
    <w:rsid w:val="00312971"/>
    <w:rsid w:val="00313127"/>
    <w:rsid w:val="00313304"/>
    <w:rsid w:val="003155F4"/>
    <w:rsid w:val="003163E8"/>
    <w:rsid w:val="00320309"/>
    <w:rsid w:val="00321D1E"/>
    <w:rsid w:val="00323719"/>
    <w:rsid w:val="003239F4"/>
    <w:rsid w:val="0032530E"/>
    <w:rsid w:val="00325A61"/>
    <w:rsid w:val="0032673C"/>
    <w:rsid w:val="00326862"/>
    <w:rsid w:val="00326976"/>
    <w:rsid w:val="003311D7"/>
    <w:rsid w:val="00332B8B"/>
    <w:rsid w:val="0033521E"/>
    <w:rsid w:val="003359C1"/>
    <w:rsid w:val="00337CA2"/>
    <w:rsid w:val="003404A4"/>
    <w:rsid w:val="00347104"/>
    <w:rsid w:val="00350852"/>
    <w:rsid w:val="0035096E"/>
    <w:rsid w:val="0035219F"/>
    <w:rsid w:val="00355D01"/>
    <w:rsid w:val="00360168"/>
    <w:rsid w:val="00360B81"/>
    <w:rsid w:val="00362941"/>
    <w:rsid w:val="00363EF2"/>
    <w:rsid w:val="00366283"/>
    <w:rsid w:val="0036777E"/>
    <w:rsid w:val="003701FA"/>
    <w:rsid w:val="00372A26"/>
    <w:rsid w:val="0037401F"/>
    <w:rsid w:val="0037484C"/>
    <w:rsid w:val="003749CD"/>
    <w:rsid w:val="00374A6C"/>
    <w:rsid w:val="00380391"/>
    <w:rsid w:val="00382718"/>
    <w:rsid w:val="00382B3B"/>
    <w:rsid w:val="00385ED2"/>
    <w:rsid w:val="00386816"/>
    <w:rsid w:val="00391F86"/>
    <w:rsid w:val="003923FB"/>
    <w:rsid w:val="00393F00"/>
    <w:rsid w:val="003945C0"/>
    <w:rsid w:val="00394E52"/>
    <w:rsid w:val="00394FC2"/>
    <w:rsid w:val="00395C2E"/>
    <w:rsid w:val="003A1DEA"/>
    <w:rsid w:val="003A25A7"/>
    <w:rsid w:val="003A683A"/>
    <w:rsid w:val="003B3380"/>
    <w:rsid w:val="003B3E0A"/>
    <w:rsid w:val="003B535C"/>
    <w:rsid w:val="003C09AC"/>
    <w:rsid w:val="003C2120"/>
    <w:rsid w:val="003C327B"/>
    <w:rsid w:val="003C5C75"/>
    <w:rsid w:val="003C7A71"/>
    <w:rsid w:val="003D030E"/>
    <w:rsid w:val="003D040D"/>
    <w:rsid w:val="003D1570"/>
    <w:rsid w:val="003D1BC0"/>
    <w:rsid w:val="003D1F49"/>
    <w:rsid w:val="003D2061"/>
    <w:rsid w:val="003D2F9E"/>
    <w:rsid w:val="003D4318"/>
    <w:rsid w:val="003E17B1"/>
    <w:rsid w:val="003E1FE3"/>
    <w:rsid w:val="003E32A7"/>
    <w:rsid w:val="003E367D"/>
    <w:rsid w:val="003E6DD4"/>
    <w:rsid w:val="003F1A33"/>
    <w:rsid w:val="003F22DF"/>
    <w:rsid w:val="003F2D99"/>
    <w:rsid w:val="003F3072"/>
    <w:rsid w:val="003F596B"/>
    <w:rsid w:val="003F5C81"/>
    <w:rsid w:val="00400BF9"/>
    <w:rsid w:val="004024E4"/>
    <w:rsid w:val="00406289"/>
    <w:rsid w:val="00406578"/>
    <w:rsid w:val="00407071"/>
    <w:rsid w:val="0040740E"/>
    <w:rsid w:val="004074EF"/>
    <w:rsid w:val="004102C3"/>
    <w:rsid w:val="004116A2"/>
    <w:rsid w:val="0041307C"/>
    <w:rsid w:val="00413699"/>
    <w:rsid w:val="0041494F"/>
    <w:rsid w:val="0041663E"/>
    <w:rsid w:val="004167B4"/>
    <w:rsid w:val="004167BC"/>
    <w:rsid w:val="0042032D"/>
    <w:rsid w:val="00421C62"/>
    <w:rsid w:val="004225DC"/>
    <w:rsid w:val="00423A41"/>
    <w:rsid w:val="00425FBA"/>
    <w:rsid w:val="00430D7E"/>
    <w:rsid w:val="00432332"/>
    <w:rsid w:val="00432368"/>
    <w:rsid w:val="00433B04"/>
    <w:rsid w:val="00434753"/>
    <w:rsid w:val="00435CD2"/>
    <w:rsid w:val="0043784D"/>
    <w:rsid w:val="00440256"/>
    <w:rsid w:val="00440E22"/>
    <w:rsid w:val="0044109B"/>
    <w:rsid w:val="004429CF"/>
    <w:rsid w:val="00442BFB"/>
    <w:rsid w:val="00442EAD"/>
    <w:rsid w:val="0044547D"/>
    <w:rsid w:val="00446F93"/>
    <w:rsid w:val="00447847"/>
    <w:rsid w:val="00451A74"/>
    <w:rsid w:val="004551DC"/>
    <w:rsid w:val="004552AB"/>
    <w:rsid w:val="0045622C"/>
    <w:rsid w:val="00456F6B"/>
    <w:rsid w:val="004622C9"/>
    <w:rsid w:val="00462D21"/>
    <w:rsid w:val="00463B78"/>
    <w:rsid w:val="00464FB1"/>
    <w:rsid w:val="00465398"/>
    <w:rsid w:val="004667E3"/>
    <w:rsid w:val="00467185"/>
    <w:rsid w:val="00467736"/>
    <w:rsid w:val="00467A22"/>
    <w:rsid w:val="0047050C"/>
    <w:rsid w:val="00471260"/>
    <w:rsid w:val="00473AFE"/>
    <w:rsid w:val="004750DB"/>
    <w:rsid w:val="00477F8B"/>
    <w:rsid w:val="00480F21"/>
    <w:rsid w:val="0048108E"/>
    <w:rsid w:val="00484F29"/>
    <w:rsid w:val="0048537F"/>
    <w:rsid w:val="00485D15"/>
    <w:rsid w:val="004874E5"/>
    <w:rsid w:val="00487885"/>
    <w:rsid w:val="00490A65"/>
    <w:rsid w:val="0049116C"/>
    <w:rsid w:val="004930C9"/>
    <w:rsid w:val="00493F62"/>
    <w:rsid w:val="00494832"/>
    <w:rsid w:val="004957C2"/>
    <w:rsid w:val="00495AF1"/>
    <w:rsid w:val="00497A89"/>
    <w:rsid w:val="004A4C18"/>
    <w:rsid w:val="004A4CED"/>
    <w:rsid w:val="004A685C"/>
    <w:rsid w:val="004A6BE6"/>
    <w:rsid w:val="004A754C"/>
    <w:rsid w:val="004B0828"/>
    <w:rsid w:val="004B3304"/>
    <w:rsid w:val="004B3D4A"/>
    <w:rsid w:val="004B3DF1"/>
    <w:rsid w:val="004B4858"/>
    <w:rsid w:val="004B4BC0"/>
    <w:rsid w:val="004B5555"/>
    <w:rsid w:val="004B58D9"/>
    <w:rsid w:val="004B70CD"/>
    <w:rsid w:val="004C0484"/>
    <w:rsid w:val="004C0EB7"/>
    <w:rsid w:val="004C777E"/>
    <w:rsid w:val="004D0F7C"/>
    <w:rsid w:val="004D16A4"/>
    <w:rsid w:val="004D69FE"/>
    <w:rsid w:val="004E2C29"/>
    <w:rsid w:val="004E3E99"/>
    <w:rsid w:val="004E4FF2"/>
    <w:rsid w:val="004E6682"/>
    <w:rsid w:val="004E6D8A"/>
    <w:rsid w:val="004F15EF"/>
    <w:rsid w:val="004F1C75"/>
    <w:rsid w:val="004F22FE"/>
    <w:rsid w:val="004F774D"/>
    <w:rsid w:val="00500418"/>
    <w:rsid w:val="00500BFD"/>
    <w:rsid w:val="005013B0"/>
    <w:rsid w:val="005015E4"/>
    <w:rsid w:val="005017A6"/>
    <w:rsid w:val="0050291D"/>
    <w:rsid w:val="005064CD"/>
    <w:rsid w:val="00506C00"/>
    <w:rsid w:val="00511016"/>
    <w:rsid w:val="005137E0"/>
    <w:rsid w:val="00514D88"/>
    <w:rsid w:val="00515629"/>
    <w:rsid w:val="005159B3"/>
    <w:rsid w:val="00515AA4"/>
    <w:rsid w:val="00520674"/>
    <w:rsid w:val="00522C03"/>
    <w:rsid w:val="0052342B"/>
    <w:rsid w:val="00525EA4"/>
    <w:rsid w:val="0052791F"/>
    <w:rsid w:val="00532CFF"/>
    <w:rsid w:val="00533E90"/>
    <w:rsid w:val="005343A6"/>
    <w:rsid w:val="00535D8F"/>
    <w:rsid w:val="00536880"/>
    <w:rsid w:val="00540AD0"/>
    <w:rsid w:val="00542FB2"/>
    <w:rsid w:val="00543A76"/>
    <w:rsid w:val="005523D1"/>
    <w:rsid w:val="005535C5"/>
    <w:rsid w:val="0055532E"/>
    <w:rsid w:val="00555915"/>
    <w:rsid w:val="00555BC3"/>
    <w:rsid w:val="00557C8E"/>
    <w:rsid w:val="00557CA2"/>
    <w:rsid w:val="00561B2B"/>
    <w:rsid w:val="00561B76"/>
    <w:rsid w:val="00562759"/>
    <w:rsid w:val="0056357E"/>
    <w:rsid w:val="00564469"/>
    <w:rsid w:val="00564952"/>
    <w:rsid w:val="0056645F"/>
    <w:rsid w:val="005669A1"/>
    <w:rsid w:val="00570D9C"/>
    <w:rsid w:val="00571AB1"/>
    <w:rsid w:val="0057690C"/>
    <w:rsid w:val="00577E1C"/>
    <w:rsid w:val="00580DB1"/>
    <w:rsid w:val="005814AC"/>
    <w:rsid w:val="00582E0E"/>
    <w:rsid w:val="00583BB2"/>
    <w:rsid w:val="00584676"/>
    <w:rsid w:val="005854B7"/>
    <w:rsid w:val="00585A96"/>
    <w:rsid w:val="00587AB1"/>
    <w:rsid w:val="00587E89"/>
    <w:rsid w:val="0059070B"/>
    <w:rsid w:val="00591FC9"/>
    <w:rsid w:val="0059283C"/>
    <w:rsid w:val="005937F0"/>
    <w:rsid w:val="00593CE6"/>
    <w:rsid w:val="00594F2B"/>
    <w:rsid w:val="005956D0"/>
    <w:rsid w:val="005A0D95"/>
    <w:rsid w:val="005A224B"/>
    <w:rsid w:val="005A3552"/>
    <w:rsid w:val="005A3E71"/>
    <w:rsid w:val="005A4023"/>
    <w:rsid w:val="005A4B3F"/>
    <w:rsid w:val="005A4BFD"/>
    <w:rsid w:val="005A506A"/>
    <w:rsid w:val="005A72E7"/>
    <w:rsid w:val="005A73B0"/>
    <w:rsid w:val="005A7B5E"/>
    <w:rsid w:val="005B1225"/>
    <w:rsid w:val="005B17D8"/>
    <w:rsid w:val="005B1D82"/>
    <w:rsid w:val="005B3AAE"/>
    <w:rsid w:val="005B4077"/>
    <w:rsid w:val="005C1819"/>
    <w:rsid w:val="005C28B0"/>
    <w:rsid w:val="005C2F01"/>
    <w:rsid w:val="005C3354"/>
    <w:rsid w:val="005C5F3C"/>
    <w:rsid w:val="005D01BE"/>
    <w:rsid w:val="005D1177"/>
    <w:rsid w:val="005D1D13"/>
    <w:rsid w:val="005D1F15"/>
    <w:rsid w:val="005D5127"/>
    <w:rsid w:val="005D5460"/>
    <w:rsid w:val="005D7AE0"/>
    <w:rsid w:val="005D7C86"/>
    <w:rsid w:val="005E08CD"/>
    <w:rsid w:val="005E37E8"/>
    <w:rsid w:val="005E74C5"/>
    <w:rsid w:val="005F1406"/>
    <w:rsid w:val="005F219D"/>
    <w:rsid w:val="005F2437"/>
    <w:rsid w:val="005F318A"/>
    <w:rsid w:val="005F703C"/>
    <w:rsid w:val="005F7710"/>
    <w:rsid w:val="006004F7"/>
    <w:rsid w:val="00601891"/>
    <w:rsid w:val="00603261"/>
    <w:rsid w:val="00607597"/>
    <w:rsid w:val="00610F93"/>
    <w:rsid w:val="00611C5A"/>
    <w:rsid w:val="00612325"/>
    <w:rsid w:val="006127CC"/>
    <w:rsid w:val="00613F1F"/>
    <w:rsid w:val="00616039"/>
    <w:rsid w:val="006171E4"/>
    <w:rsid w:val="006228D9"/>
    <w:rsid w:val="00622DD0"/>
    <w:rsid w:val="006243C6"/>
    <w:rsid w:val="0062460C"/>
    <w:rsid w:val="00624F75"/>
    <w:rsid w:val="006259FC"/>
    <w:rsid w:val="006273BC"/>
    <w:rsid w:val="00630593"/>
    <w:rsid w:val="00630AFB"/>
    <w:rsid w:val="00630E57"/>
    <w:rsid w:val="00631BC3"/>
    <w:rsid w:val="00632009"/>
    <w:rsid w:val="0063248D"/>
    <w:rsid w:val="00632B09"/>
    <w:rsid w:val="00633ABD"/>
    <w:rsid w:val="00633CF1"/>
    <w:rsid w:val="0063494D"/>
    <w:rsid w:val="00635A6C"/>
    <w:rsid w:val="00637091"/>
    <w:rsid w:val="00642839"/>
    <w:rsid w:val="00642E18"/>
    <w:rsid w:val="006457F8"/>
    <w:rsid w:val="00645CCB"/>
    <w:rsid w:val="0064613B"/>
    <w:rsid w:val="0064700E"/>
    <w:rsid w:val="00647382"/>
    <w:rsid w:val="006478CB"/>
    <w:rsid w:val="00650B88"/>
    <w:rsid w:val="00650DE0"/>
    <w:rsid w:val="0065266D"/>
    <w:rsid w:val="00652C58"/>
    <w:rsid w:val="006530EF"/>
    <w:rsid w:val="0065329C"/>
    <w:rsid w:val="006554DD"/>
    <w:rsid w:val="0065668D"/>
    <w:rsid w:val="00660951"/>
    <w:rsid w:val="00661457"/>
    <w:rsid w:val="00662937"/>
    <w:rsid w:val="006636E2"/>
    <w:rsid w:val="00663807"/>
    <w:rsid w:val="00665E9A"/>
    <w:rsid w:val="00666273"/>
    <w:rsid w:val="00667FA9"/>
    <w:rsid w:val="0067233D"/>
    <w:rsid w:val="00672B2E"/>
    <w:rsid w:val="006745AE"/>
    <w:rsid w:val="0067488D"/>
    <w:rsid w:val="00676870"/>
    <w:rsid w:val="00676AF3"/>
    <w:rsid w:val="00677895"/>
    <w:rsid w:val="00677BEF"/>
    <w:rsid w:val="006814A3"/>
    <w:rsid w:val="00682AFC"/>
    <w:rsid w:val="00683344"/>
    <w:rsid w:val="00684FC9"/>
    <w:rsid w:val="00685F8C"/>
    <w:rsid w:val="0069072B"/>
    <w:rsid w:val="0069174B"/>
    <w:rsid w:val="00692C17"/>
    <w:rsid w:val="00693340"/>
    <w:rsid w:val="00693B79"/>
    <w:rsid w:val="00694DC3"/>
    <w:rsid w:val="006A04C7"/>
    <w:rsid w:val="006A557C"/>
    <w:rsid w:val="006A6D50"/>
    <w:rsid w:val="006B05E3"/>
    <w:rsid w:val="006B09BC"/>
    <w:rsid w:val="006B2BCA"/>
    <w:rsid w:val="006B54D0"/>
    <w:rsid w:val="006B6D5D"/>
    <w:rsid w:val="006B7B5A"/>
    <w:rsid w:val="006C0801"/>
    <w:rsid w:val="006C0C2C"/>
    <w:rsid w:val="006C1EAA"/>
    <w:rsid w:val="006C216F"/>
    <w:rsid w:val="006C45D4"/>
    <w:rsid w:val="006C4B05"/>
    <w:rsid w:val="006C5370"/>
    <w:rsid w:val="006C6DFD"/>
    <w:rsid w:val="006D14F6"/>
    <w:rsid w:val="006D1548"/>
    <w:rsid w:val="006D2042"/>
    <w:rsid w:val="006D36D2"/>
    <w:rsid w:val="006D55BD"/>
    <w:rsid w:val="006D5D13"/>
    <w:rsid w:val="006D66E3"/>
    <w:rsid w:val="006D7855"/>
    <w:rsid w:val="006E010C"/>
    <w:rsid w:val="006E1003"/>
    <w:rsid w:val="006E1497"/>
    <w:rsid w:val="006E16BF"/>
    <w:rsid w:val="006E18F0"/>
    <w:rsid w:val="006E38AF"/>
    <w:rsid w:val="006E42C0"/>
    <w:rsid w:val="006E4F93"/>
    <w:rsid w:val="006F0CA1"/>
    <w:rsid w:val="006F0E20"/>
    <w:rsid w:val="006F1174"/>
    <w:rsid w:val="006F247C"/>
    <w:rsid w:val="006F3EBE"/>
    <w:rsid w:val="006F440A"/>
    <w:rsid w:val="00700135"/>
    <w:rsid w:val="007007D6"/>
    <w:rsid w:val="00705180"/>
    <w:rsid w:val="00706CBF"/>
    <w:rsid w:val="00707507"/>
    <w:rsid w:val="00711605"/>
    <w:rsid w:val="00711DF6"/>
    <w:rsid w:val="0071276C"/>
    <w:rsid w:val="00715AF0"/>
    <w:rsid w:val="00716FBC"/>
    <w:rsid w:val="00717090"/>
    <w:rsid w:val="0072040C"/>
    <w:rsid w:val="00720739"/>
    <w:rsid w:val="007219E3"/>
    <w:rsid w:val="0072253E"/>
    <w:rsid w:val="0072280D"/>
    <w:rsid w:val="00723E1F"/>
    <w:rsid w:val="0072443D"/>
    <w:rsid w:val="007247E5"/>
    <w:rsid w:val="007248B7"/>
    <w:rsid w:val="007254CA"/>
    <w:rsid w:val="00725635"/>
    <w:rsid w:val="00725713"/>
    <w:rsid w:val="00730CF8"/>
    <w:rsid w:val="00731A90"/>
    <w:rsid w:val="00732608"/>
    <w:rsid w:val="00732D27"/>
    <w:rsid w:val="00733251"/>
    <w:rsid w:val="007339F0"/>
    <w:rsid w:val="00736DCA"/>
    <w:rsid w:val="00740570"/>
    <w:rsid w:val="00744650"/>
    <w:rsid w:val="0074496A"/>
    <w:rsid w:val="00745AC2"/>
    <w:rsid w:val="00745C47"/>
    <w:rsid w:val="00747F43"/>
    <w:rsid w:val="0075003D"/>
    <w:rsid w:val="00751D97"/>
    <w:rsid w:val="00752A75"/>
    <w:rsid w:val="00752C55"/>
    <w:rsid w:val="00753707"/>
    <w:rsid w:val="00755093"/>
    <w:rsid w:val="007562D4"/>
    <w:rsid w:val="00756978"/>
    <w:rsid w:val="007573FA"/>
    <w:rsid w:val="00761DBF"/>
    <w:rsid w:val="00761FCF"/>
    <w:rsid w:val="00765503"/>
    <w:rsid w:val="00765AB7"/>
    <w:rsid w:val="007674F4"/>
    <w:rsid w:val="00767B7E"/>
    <w:rsid w:val="007705EC"/>
    <w:rsid w:val="00771AC4"/>
    <w:rsid w:val="00771D7D"/>
    <w:rsid w:val="007745B7"/>
    <w:rsid w:val="0077497C"/>
    <w:rsid w:val="00774F32"/>
    <w:rsid w:val="007750C8"/>
    <w:rsid w:val="0077593B"/>
    <w:rsid w:val="00776538"/>
    <w:rsid w:val="007802BE"/>
    <w:rsid w:val="00780EEF"/>
    <w:rsid w:val="0078134C"/>
    <w:rsid w:val="00781C47"/>
    <w:rsid w:val="007837C7"/>
    <w:rsid w:val="00784B44"/>
    <w:rsid w:val="00785465"/>
    <w:rsid w:val="00785A69"/>
    <w:rsid w:val="007861B1"/>
    <w:rsid w:val="00787656"/>
    <w:rsid w:val="00787793"/>
    <w:rsid w:val="00790F07"/>
    <w:rsid w:val="00791767"/>
    <w:rsid w:val="0079268A"/>
    <w:rsid w:val="00794859"/>
    <w:rsid w:val="00797AED"/>
    <w:rsid w:val="00797C88"/>
    <w:rsid w:val="007A1013"/>
    <w:rsid w:val="007A1F6F"/>
    <w:rsid w:val="007A4CA9"/>
    <w:rsid w:val="007A4D79"/>
    <w:rsid w:val="007A6165"/>
    <w:rsid w:val="007A748D"/>
    <w:rsid w:val="007A7D19"/>
    <w:rsid w:val="007A7EC2"/>
    <w:rsid w:val="007B042D"/>
    <w:rsid w:val="007B05BB"/>
    <w:rsid w:val="007B3EE3"/>
    <w:rsid w:val="007B6E0A"/>
    <w:rsid w:val="007B764C"/>
    <w:rsid w:val="007C118A"/>
    <w:rsid w:val="007C2C71"/>
    <w:rsid w:val="007C4F3A"/>
    <w:rsid w:val="007C635E"/>
    <w:rsid w:val="007C636F"/>
    <w:rsid w:val="007C7BB9"/>
    <w:rsid w:val="007D0637"/>
    <w:rsid w:val="007D39EB"/>
    <w:rsid w:val="007E2D63"/>
    <w:rsid w:val="007E31D5"/>
    <w:rsid w:val="007E5DA0"/>
    <w:rsid w:val="007E74E1"/>
    <w:rsid w:val="007E77A8"/>
    <w:rsid w:val="007F198A"/>
    <w:rsid w:val="007F480D"/>
    <w:rsid w:val="007F491C"/>
    <w:rsid w:val="0080016E"/>
    <w:rsid w:val="0080134A"/>
    <w:rsid w:val="0080325C"/>
    <w:rsid w:val="00803BF8"/>
    <w:rsid w:val="008061C9"/>
    <w:rsid w:val="008066D8"/>
    <w:rsid w:val="00810088"/>
    <w:rsid w:val="00811A18"/>
    <w:rsid w:val="00813711"/>
    <w:rsid w:val="00813744"/>
    <w:rsid w:val="008208B9"/>
    <w:rsid w:val="0082120D"/>
    <w:rsid w:val="00821E64"/>
    <w:rsid w:val="0082214E"/>
    <w:rsid w:val="00822566"/>
    <w:rsid w:val="00823D3A"/>
    <w:rsid w:val="008263C2"/>
    <w:rsid w:val="00826669"/>
    <w:rsid w:val="00830611"/>
    <w:rsid w:val="008307DB"/>
    <w:rsid w:val="00833398"/>
    <w:rsid w:val="00835D9D"/>
    <w:rsid w:val="00835F7D"/>
    <w:rsid w:val="00835FC9"/>
    <w:rsid w:val="008368F8"/>
    <w:rsid w:val="008370E3"/>
    <w:rsid w:val="0084160D"/>
    <w:rsid w:val="008418FA"/>
    <w:rsid w:val="00842959"/>
    <w:rsid w:val="00843390"/>
    <w:rsid w:val="00845B5A"/>
    <w:rsid w:val="00850E65"/>
    <w:rsid w:val="00851E98"/>
    <w:rsid w:val="0085235A"/>
    <w:rsid w:val="00854138"/>
    <w:rsid w:val="00854410"/>
    <w:rsid w:val="008544DF"/>
    <w:rsid w:val="00860AAD"/>
    <w:rsid w:val="00861AA6"/>
    <w:rsid w:val="00862121"/>
    <w:rsid w:val="0086419B"/>
    <w:rsid w:val="0086477C"/>
    <w:rsid w:val="00866365"/>
    <w:rsid w:val="0086693F"/>
    <w:rsid w:val="00866CBE"/>
    <w:rsid w:val="008677DD"/>
    <w:rsid w:val="008701F8"/>
    <w:rsid w:val="008708F3"/>
    <w:rsid w:val="008710D6"/>
    <w:rsid w:val="00871354"/>
    <w:rsid w:val="00873611"/>
    <w:rsid w:val="00873C8F"/>
    <w:rsid w:val="00874FB3"/>
    <w:rsid w:val="008800CB"/>
    <w:rsid w:val="00880BE3"/>
    <w:rsid w:val="00881359"/>
    <w:rsid w:val="00881F90"/>
    <w:rsid w:val="00882093"/>
    <w:rsid w:val="00882588"/>
    <w:rsid w:val="00882DDA"/>
    <w:rsid w:val="00884ADE"/>
    <w:rsid w:val="008856CF"/>
    <w:rsid w:val="00885864"/>
    <w:rsid w:val="00890980"/>
    <w:rsid w:val="00890A1D"/>
    <w:rsid w:val="0089383B"/>
    <w:rsid w:val="00893A77"/>
    <w:rsid w:val="00893D76"/>
    <w:rsid w:val="0089534B"/>
    <w:rsid w:val="0089616F"/>
    <w:rsid w:val="008A0232"/>
    <w:rsid w:val="008A229F"/>
    <w:rsid w:val="008A3BD6"/>
    <w:rsid w:val="008A3F07"/>
    <w:rsid w:val="008A5FAD"/>
    <w:rsid w:val="008B0470"/>
    <w:rsid w:val="008B06C5"/>
    <w:rsid w:val="008B0A54"/>
    <w:rsid w:val="008B0EC7"/>
    <w:rsid w:val="008B164E"/>
    <w:rsid w:val="008B502A"/>
    <w:rsid w:val="008B57D8"/>
    <w:rsid w:val="008B6503"/>
    <w:rsid w:val="008B6BEE"/>
    <w:rsid w:val="008B7A65"/>
    <w:rsid w:val="008C1219"/>
    <w:rsid w:val="008C123E"/>
    <w:rsid w:val="008C137D"/>
    <w:rsid w:val="008C2111"/>
    <w:rsid w:val="008C22DD"/>
    <w:rsid w:val="008C34A5"/>
    <w:rsid w:val="008C3ED0"/>
    <w:rsid w:val="008C5E94"/>
    <w:rsid w:val="008C767F"/>
    <w:rsid w:val="008D196A"/>
    <w:rsid w:val="008D1F62"/>
    <w:rsid w:val="008D2318"/>
    <w:rsid w:val="008D529B"/>
    <w:rsid w:val="008D7E17"/>
    <w:rsid w:val="008E3EF2"/>
    <w:rsid w:val="008E51C9"/>
    <w:rsid w:val="008E5BEB"/>
    <w:rsid w:val="008E6306"/>
    <w:rsid w:val="008E7077"/>
    <w:rsid w:val="008F4DC0"/>
    <w:rsid w:val="008F59D9"/>
    <w:rsid w:val="008F5A8B"/>
    <w:rsid w:val="008F61D9"/>
    <w:rsid w:val="008F68F7"/>
    <w:rsid w:val="009005A6"/>
    <w:rsid w:val="009006CF"/>
    <w:rsid w:val="009009DF"/>
    <w:rsid w:val="00900C71"/>
    <w:rsid w:val="00902A1C"/>
    <w:rsid w:val="009037B6"/>
    <w:rsid w:val="00906CBE"/>
    <w:rsid w:val="00910024"/>
    <w:rsid w:val="00910384"/>
    <w:rsid w:val="00914089"/>
    <w:rsid w:val="00914FE6"/>
    <w:rsid w:val="0091643D"/>
    <w:rsid w:val="00916E33"/>
    <w:rsid w:val="00920601"/>
    <w:rsid w:val="0092093B"/>
    <w:rsid w:val="00921694"/>
    <w:rsid w:val="00925FD2"/>
    <w:rsid w:val="00930669"/>
    <w:rsid w:val="00932C33"/>
    <w:rsid w:val="00935ED5"/>
    <w:rsid w:val="0094054C"/>
    <w:rsid w:val="009407A1"/>
    <w:rsid w:val="009408D7"/>
    <w:rsid w:val="009427A1"/>
    <w:rsid w:val="00942FFE"/>
    <w:rsid w:val="00944462"/>
    <w:rsid w:val="00944A9A"/>
    <w:rsid w:val="0095459B"/>
    <w:rsid w:val="009551E0"/>
    <w:rsid w:val="0095654E"/>
    <w:rsid w:val="00956F3C"/>
    <w:rsid w:val="00957AEB"/>
    <w:rsid w:val="00960EBF"/>
    <w:rsid w:val="00965F62"/>
    <w:rsid w:val="00967014"/>
    <w:rsid w:val="009670E4"/>
    <w:rsid w:val="00971C34"/>
    <w:rsid w:val="009723AA"/>
    <w:rsid w:val="00972488"/>
    <w:rsid w:val="009726D0"/>
    <w:rsid w:val="009736B0"/>
    <w:rsid w:val="0097421D"/>
    <w:rsid w:val="0097596A"/>
    <w:rsid w:val="00976117"/>
    <w:rsid w:val="0097612F"/>
    <w:rsid w:val="00976A23"/>
    <w:rsid w:val="009773C4"/>
    <w:rsid w:val="009800BC"/>
    <w:rsid w:val="009816F6"/>
    <w:rsid w:val="00982734"/>
    <w:rsid w:val="009842CF"/>
    <w:rsid w:val="009848D0"/>
    <w:rsid w:val="0098702F"/>
    <w:rsid w:val="00987411"/>
    <w:rsid w:val="009900F0"/>
    <w:rsid w:val="00990B9B"/>
    <w:rsid w:val="00991769"/>
    <w:rsid w:val="00993236"/>
    <w:rsid w:val="00993D8C"/>
    <w:rsid w:val="00994510"/>
    <w:rsid w:val="00994B53"/>
    <w:rsid w:val="00994BB0"/>
    <w:rsid w:val="00994E3D"/>
    <w:rsid w:val="00996126"/>
    <w:rsid w:val="009A0659"/>
    <w:rsid w:val="009A297E"/>
    <w:rsid w:val="009A4834"/>
    <w:rsid w:val="009A5683"/>
    <w:rsid w:val="009A6127"/>
    <w:rsid w:val="009A7164"/>
    <w:rsid w:val="009B0CC1"/>
    <w:rsid w:val="009B12B8"/>
    <w:rsid w:val="009B1B37"/>
    <w:rsid w:val="009B70CB"/>
    <w:rsid w:val="009B713C"/>
    <w:rsid w:val="009C0F18"/>
    <w:rsid w:val="009C12C6"/>
    <w:rsid w:val="009C189F"/>
    <w:rsid w:val="009C2555"/>
    <w:rsid w:val="009C31AA"/>
    <w:rsid w:val="009C42D6"/>
    <w:rsid w:val="009C7778"/>
    <w:rsid w:val="009D06AE"/>
    <w:rsid w:val="009D08B6"/>
    <w:rsid w:val="009D0984"/>
    <w:rsid w:val="009D09E2"/>
    <w:rsid w:val="009D1E42"/>
    <w:rsid w:val="009D1EB0"/>
    <w:rsid w:val="009D2531"/>
    <w:rsid w:val="009D66B7"/>
    <w:rsid w:val="009D7148"/>
    <w:rsid w:val="009D73B5"/>
    <w:rsid w:val="009D7AF2"/>
    <w:rsid w:val="009E02FD"/>
    <w:rsid w:val="009E4C74"/>
    <w:rsid w:val="009E612A"/>
    <w:rsid w:val="009E62B6"/>
    <w:rsid w:val="009F0554"/>
    <w:rsid w:val="009F0821"/>
    <w:rsid w:val="009F264A"/>
    <w:rsid w:val="009F35DA"/>
    <w:rsid w:val="009F4092"/>
    <w:rsid w:val="009F43D0"/>
    <w:rsid w:val="009F6BD6"/>
    <w:rsid w:val="009F6EA0"/>
    <w:rsid w:val="009F77D5"/>
    <w:rsid w:val="00A00568"/>
    <w:rsid w:val="00A00884"/>
    <w:rsid w:val="00A02386"/>
    <w:rsid w:val="00A02F62"/>
    <w:rsid w:val="00A02FA3"/>
    <w:rsid w:val="00A030C3"/>
    <w:rsid w:val="00A04803"/>
    <w:rsid w:val="00A069CA"/>
    <w:rsid w:val="00A06FC2"/>
    <w:rsid w:val="00A10147"/>
    <w:rsid w:val="00A11331"/>
    <w:rsid w:val="00A131E6"/>
    <w:rsid w:val="00A13840"/>
    <w:rsid w:val="00A13843"/>
    <w:rsid w:val="00A146A5"/>
    <w:rsid w:val="00A1614A"/>
    <w:rsid w:val="00A17466"/>
    <w:rsid w:val="00A204B3"/>
    <w:rsid w:val="00A20576"/>
    <w:rsid w:val="00A21593"/>
    <w:rsid w:val="00A221F7"/>
    <w:rsid w:val="00A22C21"/>
    <w:rsid w:val="00A22D57"/>
    <w:rsid w:val="00A24A22"/>
    <w:rsid w:val="00A2604E"/>
    <w:rsid w:val="00A27DD9"/>
    <w:rsid w:val="00A31CCE"/>
    <w:rsid w:val="00A33C95"/>
    <w:rsid w:val="00A34FF3"/>
    <w:rsid w:val="00A35351"/>
    <w:rsid w:val="00A361C7"/>
    <w:rsid w:val="00A36723"/>
    <w:rsid w:val="00A36C90"/>
    <w:rsid w:val="00A37800"/>
    <w:rsid w:val="00A42679"/>
    <w:rsid w:val="00A46DF5"/>
    <w:rsid w:val="00A47AF3"/>
    <w:rsid w:val="00A50E52"/>
    <w:rsid w:val="00A5149A"/>
    <w:rsid w:val="00A53650"/>
    <w:rsid w:val="00A53CB6"/>
    <w:rsid w:val="00A53E51"/>
    <w:rsid w:val="00A57183"/>
    <w:rsid w:val="00A6019C"/>
    <w:rsid w:val="00A60693"/>
    <w:rsid w:val="00A6196D"/>
    <w:rsid w:val="00A619C0"/>
    <w:rsid w:val="00A61ADF"/>
    <w:rsid w:val="00A61C5F"/>
    <w:rsid w:val="00A624CB"/>
    <w:rsid w:val="00A62AC0"/>
    <w:rsid w:val="00A648E1"/>
    <w:rsid w:val="00A707FF"/>
    <w:rsid w:val="00A710C9"/>
    <w:rsid w:val="00A71BB1"/>
    <w:rsid w:val="00A73281"/>
    <w:rsid w:val="00A73E67"/>
    <w:rsid w:val="00A75EBE"/>
    <w:rsid w:val="00A76BD2"/>
    <w:rsid w:val="00A76F8B"/>
    <w:rsid w:val="00A81B54"/>
    <w:rsid w:val="00A8267D"/>
    <w:rsid w:val="00A82E14"/>
    <w:rsid w:val="00A83C80"/>
    <w:rsid w:val="00A8619B"/>
    <w:rsid w:val="00A865FA"/>
    <w:rsid w:val="00A8688E"/>
    <w:rsid w:val="00A8722B"/>
    <w:rsid w:val="00A901E9"/>
    <w:rsid w:val="00A917B6"/>
    <w:rsid w:val="00A9181B"/>
    <w:rsid w:val="00A91831"/>
    <w:rsid w:val="00A91B3B"/>
    <w:rsid w:val="00A93B4F"/>
    <w:rsid w:val="00A943B5"/>
    <w:rsid w:val="00A94F7A"/>
    <w:rsid w:val="00A95D3B"/>
    <w:rsid w:val="00A97341"/>
    <w:rsid w:val="00A97EE6"/>
    <w:rsid w:val="00AA0081"/>
    <w:rsid w:val="00AA422B"/>
    <w:rsid w:val="00AA4E4D"/>
    <w:rsid w:val="00AA63C0"/>
    <w:rsid w:val="00AA7126"/>
    <w:rsid w:val="00AB07E6"/>
    <w:rsid w:val="00AB09ED"/>
    <w:rsid w:val="00AB116E"/>
    <w:rsid w:val="00AB3DC0"/>
    <w:rsid w:val="00AB4CBB"/>
    <w:rsid w:val="00AC125E"/>
    <w:rsid w:val="00AC3586"/>
    <w:rsid w:val="00AC45DF"/>
    <w:rsid w:val="00AC474D"/>
    <w:rsid w:val="00AC4DFD"/>
    <w:rsid w:val="00AC5663"/>
    <w:rsid w:val="00AC58FD"/>
    <w:rsid w:val="00AD0F6D"/>
    <w:rsid w:val="00AD1166"/>
    <w:rsid w:val="00AD1378"/>
    <w:rsid w:val="00AD19D2"/>
    <w:rsid w:val="00AD1A96"/>
    <w:rsid w:val="00AD2522"/>
    <w:rsid w:val="00AD3042"/>
    <w:rsid w:val="00AD4AD2"/>
    <w:rsid w:val="00AD5C96"/>
    <w:rsid w:val="00AD793A"/>
    <w:rsid w:val="00AE0120"/>
    <w:rsid w:val="00AE3038"/>
    <w:rsid w:val="00AE3D4A"/>
    <w:rsid w:val="00AE4D6C"/>
    <w:rsid w:val="00AE5956"/>
    <w:rsid w:val="00AE619F"/>
    <w:rsid w:val="00AE7A88"/>
    <w:rsid w:val="00AF0032"/>
    <w:rsid w:val="00AF0A72"/>
    <w:rsid w:val="00AF1CB7"/>
    <w:rsid w:val="00AF2A56"/>
    <w:rsid w:val="00AF4049"/>
    <w:rsid w:val="00AF5AA6"/>
    <w:rsid w:val="00AF63AB"/>
    <w:rsid w:val="00AF6541"/>
    <w:rsid w:val="00B00F1A"/>
    <w:rsid w:val="00B01784"/>
    <w:rsid w:val="00B0204A"/>
    <w:rsid w:val="00B0388B"/>
    <w:rsid w:val="00B03BEE"/>
    <w:rsid w:val="00B0429A"/>
    <w:rsid w:val="00B047C3"/>
    <w:rsid w:val="00B0517E"/>
    <w:rsid w:val="00B11314"/>
    <w:rsid w:val="00B113E3"/>
    <w:rsid w:val="00B1156A"/>
    <w:rsid w:val="00B12CAD"/>
    <w:rsid w:val="00B138E3"/>
    <w:rsid w:val="00B13FB5"/>
    <w:rsid w:val="00B15ED0"/>
    <w:rsid w:val="00B178FA"/>
    <w:rsid w:val="00B17C9E"/>
    <w:rsid w:val="00B17D8E"/>
    <w:rsid w:val="00B207C3"/>
    <w:rsid w:val="00B2198A"/>
    <w:rsid w:val="00B229ED"/>
    <w:rsid w:val="00B23267"/>
    <w:rsid w:val="00B23906"/>
    <w:rsid w:val="00B25042"/>
    <w:rsid w:val="00B25532"/>
    <w:rsid w:val="00B257BF"/>
    <w:rsid w:val="00B25F23"/>
    <w:rsid w:val="00B26353"/>
    <w:rsid w:val="00B27149"/>
    <w:rsid w:val="00B31738"/>
    <w:rsid w:val="00B32024"/>
    <w:rsid w:val="00B33843"/>
    <w:rsid w:val="00B35B4D"/>
    <w:rsid w:val="00B362F0"/>
    <w:rsid w:val="00B36652"/>
    <w:rsid w:val="00B422CE"/>
    <w:rsid w:val="00B425AB"/>
    <w:rsid w:val="00B43359"/>
    <w:rsid w:val="00B44A19"/>
    <w:rsid w:val="00B451BC"/>
    <w:rsid w:val="00B47090"/>
    <w:rsid w:val="00B472AB"/>
    <w:rsid w:val="00B5008F"/>
    <w:rsid w:val="00B532D1"/>
    <w:rsid w:val="00B54900"/>
    <w:rsid w:val="00B61E3E"/>
    <w:rsid w:val="00B61EB1"/>
    <w:rsid w:val="00B66471"/>
    <w:rsid w:val="00B66CE9"/>
    <w:rsid w:val="00B67A79"/>
    <w:rsid w:val="00B72122"/>
    <w:rsid w:val="00B72D62"/>
    <w:rsid w:val="00B743DB"/>
    <w:rsid w:val="00B74D4F"/>
    <w:rsid w:val="00B75F8F"/>
    <w:rsid w:val="00B767AF"/>
    <w:rsid w:val="00B77AFA"/>
    <w:rsid w:val="00B80511"/>
    <w:rsid w:val="00B80798"/>
    <w:rsid w:val="00B80876"/>
    <w:rsid w:val="00B82C3C"/>
    <w:rsid w:val="00B82DE6"/>
    <w:rsid w:val="00B831CD"/>
    <w:rsid w:val="00B836CB"/>
    <w:rsid w:val="00B85329"/>
    <w:rsid w:val="00B8709B"/>
    <w:rsid w:val="00B870F6"/>
    <w:rsid w:val="00B8754F"/>
    <w:rsid w:val="00B87C36"/>
    <w:rsid w:val="00B90A27"/>
    <w:rsid w:val="00B911A1"/>
    <w:rsid w:val="00B91B9D"/>
    <w:rsid w:val="00B96EF4"/>
    <w:rsid w:val="00BA261A"/>
    <w:rsid w:val="00BA5A9E"/>
    <w:rsid w:val="00BA5E20"/>
    <w:rsid w:val="00BA607C"/>
    <w:rsid w:val="00BA6734"/>
    <w:rsid w:val="00BB39E3"/>
    <w:rsid w:val="00BB3E2A"/>
    <w:rsid w:val="00BB66C8"/>
    <w:rsid w:val="00BB7121"/>
    <w:rsid w:val="00BC0479"/>
    <w:rsid w:val="00BC1032"/>
    <w:rsid w:val="00BC1651"/>
    <w:rsid w:val="00BC16F5"/>
    <w:rsid w:val="00BC18FF"/>
    <w:rsid w:val="00BC287D"/>
    <w:rsid w:val="00BC2A38"/>
    <w:rsid w:val="00BC34C0"/>
    <w:rsid w:val="00BC46EB"/>
    <w:rsid w:val="00BC5C99"/>
    <w:rsid w:val="00BC643B"/>
    <w:rsid w:val="00BD0FFB"/>
    <w:rsid w:val="00BD32E5"/>
    <w:rsid w:val="00BD34C3"/>
    <w:rsid w:val="00BD36C4"/>
    <w:rsid w:val="00BD6BC6"/>
    <w:rsid w:val="00BD77E3"/>
    <w:rsid w:val="00BE1095"/>
    <w:rsid w:val="00BE150A"/>
    <w:rsid w:val="00BE1D05"/>
    <w:rsid w:val="00BE2269"/>
    <w:rsid w:val="00BE45C8"/>
    <w:rsid w:val="00BE6767"/>
    <w:rsid w:val="00BE78EC"/>
    <w:rsid w:val="00BE7EEC"/>
    <w:rsid w:val="00BF0A65"/>
    <w:rsid w:val="00BF13D9"/>
    <w:rsid w:val="00BF16AB"/>
    <w:rsid w:val="00BF30FE"/>
    <w:rsid w:val="00BF36D2"/>
    <w:rsid w:val="00BF3EE4"/>
    <w:rsid w:val="00BF46EE"/>
    <w:rsid w:val="00C0103C"/>
    <w:rsid w:val="00C01BF1"/>
    <w:rsid w:val="00C032A1"/>
    <w:rsid w:val="00C035EA"/>
    <w:rsid w:val="00C0613C"/>
    <w:rsid w:val="00C06AD8"/>
    <w:rsid w:val="00C10ABD"/>
    <w:rsid w:val="00C10D05"/>
    <w:rsid w:val="00C11613"/>
    <w:rsid w:val="00C14FBA"/>
    <w:rsid w:val="00C15EA1"/>
    <w:rsid w:val="00C16743"/>
    <w:rsid w:val="00C1783E"/>
    <w:rsid w:val="00C17A8E"/>
    <w:rsid w:val="00C2236D"/>
    <w:rsid w:val="00C24F70"/>
    <w:rsid w:val="00C25DC2"/>
    <w:rsid w:val="00C27B1C"/>
    <w:rsid w:val="00C27B64"/>
    <w:rsid w:val="00C33479"/>
    <w:rsid w:val="00C336DE"/>
    <w:rsid w:val="00C337AC"/>
    <w:rsid w:val="00C34118"/>
    <w:rsid w:val="00C35D33"/>
    <w:rsid w:val="00C36295"/>
    <w:rsid w:val="00C40383"/>
    <w:rsid w:val="00C40ED2"/>
    <w:rsid w:val="00C41F10"/>
    <w:rsid w:val="00C432DD"/>
    <w:rsid w:val="00C4423A"/>
    <w:rsid w:val="00C45371"/>
    <w:rsid w:val="00C501FE"/>
    <w:rsid w:val="00C52A48"/>
    <w:rsid w:val="00C55E35"/>
    <w:rsid w:val="00C5784B"/>
    <w:rsid w:val="00C62141"/>
    <w:rsid w:val="00C63184"/>
    <w:rsid w:val="00C639FF"/>
    <w:rsid w:val="00C6442A"/>
    <w:rsid w:val="00C64D15"/>
    <w:rsid w:val="00C66088"/>
    <w:rsid w:val="00C67138"/>
    <w:rsid w:val="00C67C4C"/>
    <w:rsid w:val="00C73521"/>
    <w:rsid w:val="00C736C0"/>
    <w:rsid w:val="00C74B5D"/>
    <w:rsid w:val="00C74F74"/>
    <w:rsid w:val="00C7554B"/>
    <w:rsid w:val="00C80744"/>
    <w:rsid w:val="00C80951"/>
    <w:rsid w:val="00C8205E"/>
    <w:rsid w:val="00C82EB5"/>
    <w:rsid w:val="00C83762"/>
    <w:rsid w:val="00C83B7C"/>
    <w:rsid w:val="00C86BDC"/>
    <w:rsid w:val="00C87966"/>
    <w:rsid w:val="00C902DE"/>
    <w:rsid w:val="00C916AE"/>
    <w:rsid w:val="00C938E6"/>
    <w:rsid w:val="00C93AAA"/>
    <w:rsid w:val="00C95FCD"/>
    <w:rsid w:val="00C97188"/>
    <w:rsid w:val="00CA0639"/>
    <w:rsid w:val="00CA11D0"/>
    <w:rsid w:val="00CA15F5"/>
    <w:rsid w:val="00CA26D1"/>
    <w:rsid w:val="00CA2E02"/>
    <w:rsid w:val="00CA447A"/>
    <w:rsid w:val="00CA47EF"/>
    <w:rsid w:val="00CA583A"/>
    <w:rsid w:val="00CA5BC7"/>
    <w:rsid w:val="00CA5EC6"/>
    <w:rsid w:val="00CA6E37"/>
    <w:rsid w:val="00CB16F2"/>
    <w:rsid w:val="00CB5744"/>
    <w:rsid w:val="00CB7022"/>
    <w:rsid w:val="00CB7BC5"/>
    <w:rsid w:val="00CC18A1"/>
    <w:rsid w:val="00CC2138"/>
    <w:rsid w:val="00CC408C"/>
    <w:rsid w:val="00CC4D43"/>
    <w:rsid w:val="00CC586D"/>
    <w:rsid w:val="00CC5B74"/>
    <w:rsid w:val="00CC7DBC"/>
    <w:rsid w:val="00CD1BA3"/>
    <w:rsid w:val="00CD1D23"/>
    <w:rsid w:val="00CD34B5"/>
    <w:rsid w:val="00CD3612"/>
    <w:rsid w:val="00CD3E69"/>
    <w:rsid w:val="00CD4B30"/>
    <w:rsid w:val="00CD6B7D"/>
    <w:rsid w:val="00CD7380"/>
    <w:rsid w:val="00CD7940"/>
    <w:rsid w:val="00CD7BF5"/>
    <w:rsid w:val="00CD7D29"/>
    <w:rsid w:val="00CE0847"/>
    <w:rsid w:val="00CE0B6C"/>
    <w:rsid w:val="00CE11D0"/>
    <w:rsid w:val="00CE4708"/>
    <w:rsid w:val="00CE4C50"/>
    <w:rsid w:val="00CE6858"/>
    <w:rsid w:val="00CE6A2D"/>
    <w:rsid w:val="00CE7150"/>
    <w:rsid w:val="00CE7450"/>
    <w:rsid w:val="00CE770C"/>
    <w:rsid w:val="00CF3240"/>
    <w:rsid w:val="00CF50BE"/>
    <w:rsid w:val="00CF7625"/>
    <w:rsid w:val="00D0506A"/>
    <w:rsid w:val="00D07C6D"/>
    <w:rsid w:val="00D07D2F"/>
    <w:rsid w:val="00D10525"/>
    <w:rsid w:val="00D1289C"/>
    <w:rsid w:val="00D14208"/>
    <w:rsid w:val="00D14F01"/>
    <w:rsid w:val="00D1666F"/>
    <w:rsid w:val="00D2071A"/>
    <w:rsid w:val="00D2320A"/>
    <w:rsid w:val="00D30F73"/>
    <w:rsid w:val="00D30F97"/>
    <w:rsid w:val="00D313A0"/>
    <w:rsid w:val="00D31AB2"/>
    <w:rsid w:val="00D3297F"/>
    <w:rsid w:val="00D33851"/>
    <w:rsid w:val="00D35490"/>
    <w:rsid w:val="00D36FE0"/>
    <w:rsid w:val="00D40799"/>
    <w:rsid w:val="00D41A06"/>
    <w:rsid w:val="00D42ABF"/>
    <w:rsid w:val="00D42F40"/>
    <w:rsid w:val="00D45160"/>
    <w:rsid w:val="00D45B67"/>
    <w:rsid w:val="00D5034A"/>
    <w:rsid w:val="00D51F49"/>
    <w:rsid w:val="00D52B6D"/>
    <w:rsid w:val="00D54BCA"/>
    <w:rsid w:val="00D552AA"/>
    <w:rsid w:val="00D55EE8"/>
    <w:rsid w:val="00D562CB"/>
    <w:rsid w:val="00D569D1"/>
    <w:rsid w:val="00D56AD8"/>
    <w:rsid w:val="00D56C05"/>
    <w:rsid w:val="00D5785A"/>
    <w:rsid w:val="00D57CE9"/>
    <w:rsid w:val="00D60AC4"/>
    <w:rsid w:val="00D61C0F"/>
    <w:rsid w:val="00D6375F"/>
    <w:rsid w:val="00D638F1"/>
    <w:rsid w:val="00D64C48"/>
    <w:rsid w:val="00D6680B"/>
    <w:rsid w:val="00D712BD"/>
    <w:rsid w:val="00D7290D"/>
    <w:rsid w:val="00D72F4F"/>
    <w:rsid w:val="00D731C4"/>
    <w:rsid w:val="00D74723"/>
    <w:rsid w:val="00D74EB4"/>
    <w:rsid w:val="00D77EC6"/>
    <w:rsid w:val="00D801FC"/>
    <w:rsid w:val="00D84362"/>
    <w:rsid w:val="00D85BE0"/>
    <w:rsid w:val="00D875AA"/>
    <w:rsid w:val="00D87FD7"/>
    <w:rsid w:val="00D9016C"/>
    <w:rsid w:val="00D91126"/>
    <w:rsid w:val="00D91466"/>
    <w:rsid w:val="00D915ED"/>
    <w:rsid w:val="00D92300"/>
    <w:rsid w:val="00D92EF7"/>
    <w:rsid w:val="00D940A0"/>
    <w:rsid w:val="00D94AFC"/>
    <w:rsid w:val="00D950E6"/>
    <w:rsid w:val="00D966D7"/>
    <w:rsid w:val="00D9677C"/>
    <w:rsid w:val="00D97047"/>
    <w:rsid w:val="00DA0167"/>
    <w:rsid w:val="00DA24EF"/>
    <w:rsid w:val="00DA3619"/>
    <w:rsid w:val="00DA4962"/>
    <w:rsid w:val="00DB0B88"/>
    <w:rsid w:val="00DB1652"/>
    <w:rsid w:val="00DB58A6"/>
    <w:rsid w:val="00DB6B99"/>
    <w:rsid w:val="00DC001A"/>
    <w:rsid w:val="00DC1DF9"/>
    <w:rsid w:val="00DC22F5"/>
    <w:rsid w:val="00DC39F6"/>
    <w:rsid w:val="00DC437B"/>
    <w:rsid w:val="00DC6E3D"/>
    <w:rsid w:val="00DD0BC5"/>
    <w:rsid w:val="00DD3776"/>
    <w:rsid w:val="00DD4F44"/>
    <w:rsid w:val="00DD686C"/>
    <w:rsid w:val="00DE0837"/>
    <w:rsid w:val="00DE1104"/>
    <w:rsid w:val="00DE22DC"/>
    <w:rsid w:val="00DE2AC3"/>
    <w:rsid w:val="00DE2E40"/>
    <w:rsid w:val="00DE3598"/>
    <w:rsid w:val="00DE3FBD"/>
    <w:rsid w:val="00DE43F5"/>
    <w:rsid w:val="00DE553F"/>
    <w:rsid w:val="00DE65FB"/>
    <w:rsid w:val="00DE6E9C"/>
    <w:rsid w:val="00DF134A"/>
    <w:rsid w:val="00DF420A"/>
    <w:rsid w:val="00DF5B6F"/>
    <w:rsid w:val="00DF7664"/>
    <w:rsid w:val="00E02472"/>
    <w:rsid w:val="00E03AC7"/>
    <w:rsid w:val="00E041F0"/>
    <w:rsid w:val="00E128D8"/>
    <w:rsid w:val="00E130C3"/>
    <w:rsid w:val="00E13B8C"/>
    <w:rsid w:val="00E14965"/>
    <w:rsid w:val="00E14EEB"/>
    <w:rsid w:val="00E15DE9"/>
    <w:rsid w:val="00E16F7F"/>
    <w:rsid w:val="00E17EDF"/>
    <w:rsid w:val="00E2082D"/>
    <w:rsid w:val="00E21E97"/>
    <w:rsid w:val="00E221E2"/>
    <w:rsid w:val="00E24128"/>
    <w:rsid w:val="00E24303"/>
    <w:rsid w:val="00E276D5"/>
    <w:rsid w:val="00E27A16"/>
    <w:rsid w:val="00E30897"/>
    <w:rsid w:val="00E3298B"/>
    <w:rsid w:val="00E408E5"/>
    <w:rsid w:val="00E40F7B"/>
    <w:rsid w:val="00E42C90"/>
    <w:rsid w:val="00E435AC"/>
    <w:rsid w:val="00E436E5"/>
    <w:rsid w:val="00E44738"/>
    <w:rsid w:val="00E44839"/>
    <w:rsid w:val="00E46D60"/>
    <w:rsid w:val="00E47C33"/>
    <w:rsid w:val="00E47F58"/>
    <w:rsid w:val="00E54BFC"/>
    <w:rsid w:val="00E56D9D"/>
    <w:rsid w:val="00E57C99"/>
    <w:rsid w:val="00E60E2E"/>
    <w:rsid w:val="00E6700B"/>
    <w:rsid w:val="00E67B18"/>
    <w:rsid w:val="00E71A2D"/>
    <w:rsid w:val="00E721AF"/>
    <w:rsid w:val="00E74A73"/>
    <w:rsid w:val="00E76D1F"/>
    <w:rsid w:val="00E77775"/>
    <w:rsid w:val="00E8050B"/>
    <w:rsid w:val="00E823C1"/>
    <w:rsid w:val="00E82DB7"/>
    <w:rsid w:val="00E8579C"/>
    <w:rsid w:val="00E85B48"/>
    <w:rsid w:val="00E865FE"/>
    <w:rsid w:val="00E91408"/>
    <w:rsid w:val="00E91759"/>
    <w:rsid w:val="00E91AC8"/>
    <w:rsid w:val="00E92F12"/>
    <w:rsid w:val="00E93EF5"/>
    <w:rsid w:val="00E961F3"/>
    <w:rsid w:val="00E9654B"/>
    <w:rsid w:val="00E96CCA"/>
    <w:rsid w:val="00EA18DB"/>
    <w:rsid w:val="00EA2FBA"/>
    <w:rsid w:val="00EA4DC5"/>
    <w:rsid w:val="00EA54DB"/>
    <w:rsid w:val="00EA5A49"/>
    <w:rsid w:val="00EA5C79"/>
    <w:rsid w:val="00EA66DF"/>
    <w:rsid w:val="00EA6ADC"/>
    <w:rsid w:val="00EB010B"/>
    <w:rsid w:val="00EB13A7"/>
    <w:rsid w:val="00EB14DF"/>
    <w:rsid w:val="00EB19EA"/>
    <w:rsid w:val="00EB1A4D"/>
    <w:rsid w:val="00EB3A07"/>
    <w:rsid w:val="00EB5539"/>
    <w:rsid w:val="00EC1DCE"/>
    <w:rsid w:val="00EC1ED9"/>
    <w:rsid w:val="00EC3F31"/>
    <w:rsid w:val="00EC52E7"/>
    <w:rsid w:val="00EC6651"/>
    <w:rsid w:val="00ED3698"/>
    <w:rsid w:val="00ED395B"/>
    <w:rsid w:val="00ED4167"/>
    <w:rsid w:val="00ED43F1"/>
    <w:rsid w:val="00ED4794"/>
    <w:rsid w:val="00EE265C"/>
    <w:rsid w:val="00EE2A74"/>
    <w:rsid w:val="00EE2B1D"/>
    <w:rsid w:val="00EE5C63"/>
    <w:rsid w:val="00EE6A77"/>
    <w:rsid w:val="00EF1D0C"/>
    <w:rsid w:val="00EF2129"/>
    <w:rsid w:val="00EF27C5"/>
    <w:rsid w:val="00EF4796"/>
    <w:rsid w:val="00EF47A9"/>
    <w:rsid w:val="00EF55A1"/>
    <w:rsid w:val="00EF74E9"/>
    <w:rsid w:val="00F00605"/>
    <w:rsid w:val="00F0095C"/>
    <w:rsid w:val="00F01129"/>
    <w:rsid w:val="00F01CCA"/>
    <w:rsid w:val="00F01EDF"/>
    <w:rsid w:val="00F01F2C"/>
    <w:rsid w:val="00F02104"/>
    <w:rsid w:val="00F04455"/>
    <w:rsid w:val="00F056A0"/>
    <w:rsid w:val="00F0577B"/>
    <w:rsid w:val="00F05ECB"/>
    <w:rsid w:val="00F06A5D"/>
    <w:rsid w:val="00F06C17"/>
    <w:rsid w:val="00F11D48"/>
    <w:rsid w:val="00F159A8"/>
    <w:rsid w:val="00F1632B"/>
    <w:rsid w:val="00F269B2"/>
    <w:rsid w:val="00F30C2C"/>
    <w:rsid w:val="00F31B41"/>
    <w:rsid w:val="00F334CB"/>
    <w:rsid w:val="00F33671"/>
    <w:rsid w:val="00F33EB1"/>
    <w:rsid w:val="00F3495A"/>
    <w:rsid w:val="00F34E2C"/>
    <w:rsid w:val="00F36638"/>
    <w:rsid w:val="00F36BA0"/>
    <w:rsid w:val="00F370BC"/>
    <w:rsid w:val="00F37143"/>
    <w:rsid w:val="00F37C33"/>
    <w:rsid w:val="00F43253"/>
    <w:rsid w:val="00F50562"/>
    <w:rsid w:val="00F50A92"/>
    <w:rsid w:val="00F50D01"/>
    <w:rsid w:val="00F51A2C"/>
    <w:rsid w:val="00F55844"/>
    <w:rsid w:val="00F56BC1"/>
    <w:rsid w:val="00F618C4"/>
    <w:rsid w:val="00F62FE2"/>
    <w:rsid w:val="00F64CCD"/>
    <w:rsid w:val="00F64D49"/>
    <w:rsid w:val="00F65774"/>
    <w:rsid w:val="00F65A34"/>
    <w:rsid w:val="00F65F4C"/>
    <w:rsid w:val="00F71A60"/>
    <w:rsid w:val="00F72410"/>
    <w:rsid w:val="00F725DA"/>
    <w:rsid w:val="00F7266B"/>
    <w:rsid w:val="00F73ABB"/>
    <w:rsid w:val="00F7443C"/>
    <w:rsid w:val="00F7536E"/>
    <w:rsid w:val="00F75652"/>
    <w:rsid w:val="00F8168B"/>
    <w:rsid w:val="00F81CF2"/>
    <w:rsid w:val="00F81F93"/>
    <w:rsid w:val="00F83F8E"/>
    <w:rsid w:val="00F857D1"/>
    <w:rsid w:val="00F91DCC"/>
    <w:rsid w:val="00F9323F"/>
    <w:rsid w:val="00F943FE"/>
    <w:rsid w:val="00F95814"/>
    <w:rsid w:val="00F95CE9"/>
    <w:rsid w:val="00F961D4"/>
    <w:rsid w:val="00F97100"/>
    <w:rsid w:val="00FA01D9"/>
    <w:rsid w:val="00FA169E"/>
    <w:rsid w:val="00FA23DF"/>
    <w:rsid w:val="00FA528B"/>
    <w:rsid w:val="00FA5E15"/>
    <w:rsid w:val="00FB0401"/>
    <w:rsid w:val="00FB2CF7"/>
    <w:rsid w:val="00FC1617"/>
    <w:rsid w:val="00FC1DFB"/>
    <w:rsid w:val="00FC1EF2"/>
    <w:rsid w:val="00FC3343"/>
    <w:rsid w:val="00FC33BA"/>
    <w:rsid w:val="00FC35AB"/>
    <w:rsid w:val="00FC4352"/>
    <w:rsid w:val="00FC6134"/>
    <w:rsid w:val="00FC654D"/>
    <w:rsid w:val="00FC7311"/>
    <w:rsid w:val="00FC7A4C"/>
    <w:rsid w:val="00FD0555"/>
    <w:rsid w:val="00FD112F"/>
    <w:rsid w:val="00FD146F"/>
    <w:rsid w:val="00FD3D3C"/>
    <w:rsid w:val="00FD5961"/>
    <w:rsid w:val="00FE1822"/>
    <w:rsid w:val="00FE1B54"/>
    <w:rsid w:val="00FE3C0B"/>
    <w:rsid w:val="00FE3EFA"/>
    <w:rsid w:val="00FE5C56"/>
    <w:rsid w:val="00FE5E20"/>
    <w:rsid w:val="00FE62B2"/>
    <w:rsid w:val="00FE6D23"/>
    <w:rsid w:val="00FE7AAC"/>
    <w:rsid w:val="00FE7B06"/>
    <w:rsid w:val="00FE7E98"/>
    <w:rsid w:val="00FF06BC"/>
    <w:rsid w:val="00FF18C0"/>
    <w:rsid w:val="00FF20AC"/>
    <w:rsid w:val="00FF2850"/>
    <w:rsid w:val="00FF3801"/>
    <w:rsid w:val="00FF3A27"/>
    <w:rsid w:val="00FF3B27"/>
    <w:rsid w:val="00FF4CCC"/>
    <w:rsid w:val="00FF5CFA"/>
    <w:rsid w:val="00FF70BD"/>
    <w:rsid w:val="00FF7E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657E8"/>
  <w15:docId w15:val="{6A6470AB-1307-4D48-961E-01A0F33E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4" w:qFormat="1"/>
    <w:lsdException w:name="heading 2" w:qFormat="1"/>
    <w:lsdException w:name="heading 3"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15ED0"/>
    <w:pPr>
      <w:spacing w:before="120" w:after="120" w:line="260" w:lineRule="atLeast"/>
    </w:pPr>
    <w:rPr>
      <w:rFonts w:ascii="Arial" w:hAnsi="Arial"/>
      <w:sz w:val="22"/>
      <w:szCs w:val="24"/>
    </w:rPr>
  </w:style>
  <w:style w:type="paragraph" w:styleId="Heading1">
    <w:name w:val="heading 1"/>
    <w:basedOn w:val="Normal"/>
    <w:next w:val="Normal"/>
    <w:link w:val="Heading1Char"/>
    <w:autoRedefine/>
    <w:uiPriority w:val="4"/>
    <w:qFormat/>
    <w:rsid w:val="00D2320A"/>
    <w:pPr>
      <w:keepNext/>
      <w:keepLines/>
      <w:spacing w:before="0" w:after="1080" w:line="264" w:lineRule="auto"/>
      <w:contextualSpacing/>
      <w:outlineLvl w:val="0"/>
    </w:pPr>
    <w:rPr>
      <w:rFonts w:asciiTheme="majorHAnsi" w:hAnsiTheme="majorHAnsi"/>
      <w:b/>
      <w:sz w:val="64"/>
      <w:szCs w:val="44"/>
      <w:lang w:eastAsia="en-US"/>
    </w:rPr>
  </w:style>
  <w:style w:type="paragraph" w:styleId="Heading2">
    <w:name w:val="heading 2"/>
    <w:basedOn w:val="Normal"/>
    <w:next w:val="Normal"/>
    <w:link w:val="Heading2Char"/>
    <w:autoRedefine/>
    <w:qFormat/>
    <w:rsid w:val="000775C8"/>
    <w:pPr>
      <w:keepNext/>
      <w:keepLines/>
      <w:spacing w:before="360"/>
      <w:contextualSpacing/>
      <w:outlineLvl w:val="1"/>
    </w:pPr>
    <w:rPr>
      <w:rFonts w:asciiTheme="majorHAnsi" w:hAnsiTheme="majorHAnsi"/>
      <w:b/>
      <w:sz w:val="28"/>
      <w:szCs w:val="28"/>
    </w:rPr>
  </w:style>
  <w:style w:type="paragraph" w:styleId="Heading3">
    <w:name w:val="heading 3"/>
    <w:basedOn w:val="Normal"/>
    <w:next w:val="Normal"/>
    <w:autoRedefine/>
    <w:uiPriority w:val="2"/>
    <w:qFormat/>
    <w:rsid w:val="00A36C90"/>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autoRedefine/>
    <w:uiPriority w:val="2"/>
    <w:rsid w:val="00E96CCA"/>
    <w:pPr>
      <w:keepNext/>
      <w:keepLines/>
      <w:spacing w:before="240"/>
      <w:contextualSpacing/>
      <w:outlineLvl w:val="3"/>
    </w:pPr>
    <w:rPr>
      <w:rFonts w:ascii="Arial Bold" w:hAnsi="Arial Bold"/>
    </w:rPr>
  </w:style>
  <w:style w:type="paragraph" w:styleId="Heading5">
    <w:name w:val="heading 5"/>
    <w:basedOn w:val="Normal"/>
    <w:next w:val="Normal"/>
    <w:link w:val="Heading5Char"/>
    <w:autoRedefine/>
    <w:semiHidden/>
    <w:rsid w:val="002672F1"/>
    <w:pPr>
      <w:keepNext/>
      <w:spacing w:before="240"/>
      <w:contextualSpacing/>
      <w:outlineLvl w:val="4"/>
    </w:pPr>
    <w:rPr>
      <w:b/>
      <w:szCs w:val="22"/>
    </w:rPr>
  </w:style>
  <w:style w:type="paragraph" w:styleId="Heading6">
    <w:name w:val="heading 6"/>
    <w:basedOn w:val="Normal"/>
    <w:next w:val="Normal"/>
    <w:link w:val="Heading6Char"/>
    <w:autoRedefine/>
    <w:semiHidden/>
    <w:rsid w:val="002672F1"/>
    <w:pPr>
      <w:keepNext/>
      <w:spacing w:before="240"/>
      <w:contextualSpacing/>
      <w:outlineLvl w:val="5"/>
    </w:pPr>
    <w:rPr>
      <w:b/>
      <w:sz w:val="20"/>
      <w:szCs w:val="22"/>
    </w:rPr>
  </w:style>
  <w:style w:type="paragraph" w:styleId="Heading7">
    <w:name w:val="heading 7"/>
    <w:basedOn w:val="Normal"/>
    <w:next w:val="Normal"/>
    <w:link w:val="Heading7Char"/>
    <w:autoRedefine/>
    <w:semiHidden/>
    <w:unhideWhenUsed/>
    <w:rsid w:val="004653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semiHidden/>
    <w:unhideWhenUsed/>
    <w:rsid w:val="0046539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semiHidden/>
    <w:unhideWhenUsed/>
    <w:rsid w:val="004653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uiPriority w:val="99"/>
    <w:rsid w:val="005F219D"/>
    <w:pPr>
      <w:tabs>
        <w:tab w:val="right" w:pos="10319"/>
      </w:tabs>
      <w:spacing w:before="0" w:after="0" w:line="240" w:lineRule="auto"/>
    </w:pPr>
    <w:rPr>
      <w:b/>
      <w:sz w:val="16"/>
    </w:rPr>
  </w:style>
  <w:style w:type="paragraph" w:styleId="Title">
    <w:name w:val="Title"/>
    <w:basedOn w:val="Normal"/>
    <w:next w:val="Subtitle"/>
    <w:autoRedefine/>
    <w:rsid w:val="00F00605"/>
    <w:pPr>
      <w:spacing w:before="480" w:after="360" w:line="204" w:lineRule="auto"/>
      <w:contextualSpacing/>
    </w:pPr>
    <w:rPr>
      <w:rFonts w:ascii="Arial Bold" w:hAnsi="Arial Bold" w:cs="Arial"/>
      <w:b/>
      <w:bCs/>
      <w:color w:val="004200" w:themeColor="accent1"/>
      <w:kern w:val="28"/>
      <w:sz w:val="84"/>
      <w:szCs w:val="32"/>
    </w:rPr>
  </w:style>
  <w:style w:type="paragraph" w:styleId="ListBullet">
    <w:name w:val="List Bullet"/>
    <w:basedOn w:val="Normal"/>
    <w:autoRedefine/>
    <w:uiPriority w:val="2"/>
    <w:qFormat/>
    <w:rsid w:val="00D91466"/>
    <w:pPr>
      <w:numPr>
        <w:numId w:val="1"/>
      </w:numPr>
      <w:spacing w:before="60" w:after="60"/>
    </w:pPr>
  </w:style>
  <w:style w:type="paragraph" w:styleId="Footer">
    <w:name w:val="footer"/>
    <w:basedOn w:val="Header"/>
    <w:autoRedefine/>
    <w:uiPriority w:val="99"/>
    <w:rsid w:val="00733251"/>
    <w:pPr>
      <w:tabs>
        <w:tab w:val="right" w:pos="9639"/>
      </w:tabs>
    </w:pPr>
  </w:style>
  <w:style w:type="paragraph" w:styleId="Index1">
    <w:name w:val="index 1"/>
    <w:basedOn w:val="Normal"/>
    <w:next w:val="Normal"/>
    <w:autoRedefine/>
    <w:semiHidden/>
    <w:unhideWhenUsed/>
    <w:rsid w:val="00465398"/>
    <w:pPr>
      <w:spacing w:before="0" w:after="0" w:line="240" w:lineRule="auto"/>
      <w:ind w:left="220" w:hanging="220"/>
    </w:p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iPriority w:val="99"/>
    <w:rsid w:val="00300A61"/>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300A61"/>
    <w:rPr>
      <w:rFonts w:ascii="Arial" w:hAnsi="Arial"/>
      <w:sz w:val="22"/>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link w:val="ListParagraphChar"/>
    <w:autoRedefine/>
    <w:uiPriority w:val="34"/>
    <w:qFormat/>
    <w:rsid w:val="001A2262"/>
    <w:pPr>
      <w:numPr>
        <w:numId w:val="15"/>
      </w:numPr>
      <w:spacing w:line="200" w:lineRule="atLeast"/>
      <w:ind w:right="284" w:hanging="295"/>
    </w:pPr>
    <w:rPr>
      <w:sz w:val="20"/>
      <w:szCs w:val="20"/>
    </w:rPr>
  </w:style>
  <w:style w:type="character" w:customStyle="1" w:styleId="Heading2Char">
    <w:name w:val="Heading 2 Char"/>
    <w:basedOn w:val="DefaultParagraphFont"/>
    <w:link w:val="Heading2"/>
    <w:rsid w:val="000775C8"/>
    <w:rPr>
      <w:rFonts w:asciiTheme="majorHAnsi" w:hAnsiTheme="majorHAnsi"/>
      <w:b/>
      <w:sz w:val="28"/>
      <w:szCs w:val="28"/>
    </w:rPr>
  </w:style>
  <w:style w:type="paragraph" w:styleId="TOC1">
    <w:name w:val="toc 1"/>
    <w:basedOn w:val="Normal"/>
    <w:next w:val="Normal"/>
    <w:autoRedefine/>
    <w:uiPriority w:val="39"/>
    <w:rsid w:val="00BD77E3"/>
    <w:pPr>
      <w:spacing w:before="240" w:after="60" w:line="240" w:lineRule="auto"/>
      <w:ind w:right="567"/>
    </w:pPr>
    <w:rPr>
      <w:b/>
      <w:noProof/>
    </w:rPr>
  </w:style>
  <w:style w:type="paragraph" w:styleId="TOC2">
    <w:name w:val="toc 2"/>
    <w:basedOn w:val="Normal"/>
    <w:next w:val="Normal"/>
    <w:autoRedefine/>
    <w:uiPriority w:val="39"/>
    <w:rsid w:val="004551DC"/>
    <w:pPr>
      <w:spacing w:before="60" w:after="60" w:line="240" w:lineRule="auto"/>
      <w:ind w:right="567"/>
    </w:pPr>
    <w:rPr>
      <w:noProof/>
    </w:rPr>
  </w:style>
  <w:style w:type="paragraph" w:customStyle="1" w:styleId="TableText">
    <w:name w:val="Table Text"/>
    <w:basedOn w:val="Normal"/>
    <w:autoRedefine/>
    <w:uiPriority w:val="99"/>
    <w:qFormat/>
    <w:rsid w:val="00D2320A"/>
    <w:pPr>
      <w:spacing w:before="80" w:after="80" w:line="240" w:lineRule="atLeast"/>
      <w:jc w:val="center"/>
    </w:pPr>
    <w:rPr>
      <w:b/>
      <w:sz w:val="20"/>
    </w:rPr>
  </w:style>
  <w:style w:type="character" w:styleId="Emphasis">
    <w:name w:val="Emphasis"/>
    <w:basedOn w:val="DefaultParagraphFon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542"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C27B64"/>
    <w:pPr>
      <w:spacing w:after="0"/>
      <w:outlineLvl w:val="9"/>
    </w:pPr>
    <w:rPr>
      <w:rFonts w:eastAsiaTheme="majorEastAsia" w:cstheme="majorBidi"/>
      <w:bCs/>
      <w:szCs w:val="28"/>
    </w:rPr>
  </w:style>
  <w:style w:type="paragraph" w:customStyle="1" w:styleId="SourceNotesText">
    <w:name w:val="Source/Notes Text"/>
    <w:basedOn w:val="Normal"/>
    <w:autoRedefine/>
    <w:uiPriority w:val="9"/>
    <w:qFormat/>
    <w:rsid w:val="007802BE"/>
    <w:pPr>
      <w:spacing w:line="240" w:lineRule="auto"/>
    </w:pPr>
    <w:rPr>
      <w:sz w:val="18"/>
      <w:szCs w:val="16"/>
    </w:rPr>
  </w:style>
  <w:style w:type="character" w:styleId="Strong">
    <w:name w:val="Strong"/>
    <w:basedOn w:val="DefaultParagraphFont"/>
    <w:qFormat/>
    <w:rsid w:val="00D45B67"/>
    <w:rPr>
      <w:b/>
      <w:bCs/>
    </w:rPr>
  </w:style>
  <w:style w:type="paragraph" w:customStyle="1" w:styleId="Intro">
    <w:name w:val="Intro"/>
    <w:basedOn w:val="Normal"/>
    <w:autoRedefine/>
    <w:uiPriority w:val="2"/>
    <w:qFormat/>
    <w:rsid w:val="00465398"/>
    <w:rPr>
      <w:color w:val="008542" w:themeColor="accent2"/>
      <w:szCs w:val="30"/>
    </w:rPr>
  </w:style>
  <w:style w:type="paragraph" w:styleId="BalloonText">
    <w:name w:val="Balloon Text"/>
    <w:basedOn w:val="Normal"/>
    <w:link w:val="BalloonTextChar"/>
    <w:autoRedefine/>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autoRedefine/>
    <w:qFormat/>
    <w:rsid w:val="00406578"/>
    <w:rPr>
      <w:rFonts w:ascii="Arial" w:hAnsi="Arial"/>
      <w:sz w:val="22"/>
      <w:szCs w:val="24"/>
    </w:rPr>
  </w:style>
  <w:style w:type="paragraph" w:styleId="EndnoteText">
    <w:name w:val="endnote text"/>
    <w:basedOn w:val="Normal"/>
    <w:link w:val="EndnoteTextChar"/>
    <w:autoRedefine/>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link w:val="SubtitleChar"/>
    <w:autoRedefine/>
    <w:rsid w:val="0032673C"/>
    <w:pPr>
      <w:numPr>
        <w:ilvl w:val="1"/>
      </w:numPr>
      <w:spacing w:before="480" w:after="360"/>
    </w:pPr>
    <w:rPr>
      <w:rFonts w:asciiTheme="majorHAnsi" w:eastAsiaTheme="majorEastAsia" w:hAnsiTheme="majorHAnsi" w:cstheme="majorBidi"/>
      <w:b/>
      <w:iCs/>
      <w:color w:val="004200" w:themeColor="accent1"/>
      <w:sz w:val="40"/>
    </w:rPr>
  </w:style>
  <w:style w:type="character" w:customStyle="1" w:styleId="SubtitleChar">
    <w:name w:val="Subtitle Char"/>
    <w:basedOn w:val="DefaultParagraphFont"/>
    <w:link w:val="Subtitle"/>
    <w:rsid w:val="0032673C"/>
    <w:rPr>
      <w:rFonts w:asciiTheme="majorHAnsi" w:eastAsiaTheme="majorEastAsia" w:hAnsiTheme="majorHAnsi" w:cstheme="majorBidi"/>
      <w:b/>
      <w:iCs/>
      <w:color w:val="004200" w:themeColor="accent1"/>
      <w:sz w:val="40"/>
      <w:szCs w:val="24"/>
    </w:rPr>
  </w:style>
  <w:style w:type="paragraph" w:customStyle="1" w:styleId="TableHeading">
    <w:name w:val="Table Heading"/>
    <w:basedOn w:val="Normal"/>
    <w:next w:val="TableText"/>
    <w:autoRedefine/>
    <w:uiPriority w:val="99"/>
    <w:rsid w:val="008D7E17"/>
    <w:pPr>
      <w:keepNext/>
      <w:keepLines/>
      <w:spacing w:before="200"/>
      <w:contextualSpacing/>
    </w:pPr>
    <w:rPr>
      <w:b/>
      <w:szCs w:val="20"/>
    </w:rPr>
  </w:style>
  <w:style w:type="paragraph" w:customStyle="1" w:styleId="FigureHeading">
    <w:name w:val="Figure Heading"/>
    <w:basedOn w:val="Normal"/>
    <w:next w:val="Normal"/>
    <w:autoRedefine/>
    <w:uiPriority w:val="99"/>
    <w:qFormat/>
    <w:rsid w:val="002A2AEE"/>
    <w:pPr>
      <w:keepNext/>
      <w:keepLines/>
      <w:tabs>
        <w:tab w:val="left" w:pos="0"/>
      </w:tabs>
      <w:spacing w:before="240" w:after="240" w:line="240" w:lineRule="auto"/>
    </w:pPr>
    <w:rPr>
      <w:noProof/>
    </w:rPr>
  </w:style>
  <w:style w:type="paragraph" w:customStyle="1" w:styleId="FinancialsH1">
    <w:name w:val="Financials H1"/>
    <w:basedOn w:val="Heading1"/>
    <w:next w:val="Normal"/>
    <w:autoRedefine/>
    <w:uiPriority w:val="1"/>
    <w:semiHidden/>
    <w:rsid w:val="00CC2138"/>
    <w:pPr>
      <w:spacing w:after="360"/>
    </w:pPr>
    <w:rPr>
      <w:color w:val="008542" w:themeColor="accent2"/>
      <w:sz w:val="44"/>
    </w:rPr>
  </w:style>
  <w:style w:type="paragraph" w:customStyle="1" w:styleId="FinancialsH2">
    <w:name w:val="Financials H2"/>
    <w:basedOn w:val="Heading2"/>
    <w:next w:val="Normal"/>
    <w:autoRedefine/>
    <w:uiPriority w:val="1"/>
    <w:semiHidden/>
    <w:rsid w:val="00FC654D"/>
    <w:pPr>
      <w:spacing w:after="0" w:line="240" w:lineRule="auto"/>
    </w:pPr>
    <w:rPr>
      <w:rFonts w:ascii="Arial Bold" w:hAnsi="Arial Bold"/>
      <w:caps/>
      <w:szCs w:val="24"/>
    </w:rPr>
  </w:style>
  <w:style w:type="paragraph" w:customStyle="1" w:styleId="FinancialsH3">
    <w:name w:val="Financials H3"/>
    <w:basedOn w:val="Heading3"/>
    <w:autoRedefine/>
    <w:uiPriority w:val="1"/>
    <w:semiHidden/>
    <w:rsid w:val="00CC2138"/>
    <w:rPr>
      <w:szCs w:val="22"/>
      <w:lang w:val="en-GB"/>
    </w:rPr>
  </w:style>
  <w:style w:type="paragraph" w:customStyle="1" w:styleId="FinancialsH4">
    <w:name w:val="Financials H4"/>
    <w:basedOn w:val="Heading4"/>
    <w:autoRedefine/>
    <w:uiPriority w:val="1"/>
    <w:semiHidden/>
    <w:rsid w:val="00A00568"/>
    <w:pPr>
      <w:spacing w:before="120"/>
    </w:pPr>
    <w:rPr>
      <w:lang w:val="en-GB"/>
    </w:rPr>
  </w:style>
  <w:style w:type="paragraph" w:customStyle="1" w:styleId="FinancialsH5">
    <w:name w:val="Financials H5"/>
    <w:basedOn w:val="Heading5"/>
    <w:autoRedefine/>
    <w:uiPriority w:val="1"/>
    <w:semiHidden/>
    <w:rsid w:val="00A00568"/>
    <w:pPr>
      <w:spacing w:before="120"/>
    </w:pPr>
    <w:rPr>
      <w:bCs/>
      <w:lang w:val="en-GB"/>
    </w:rPr>
  </w:style>
  <w:style w:type="paragraph" w:customStyle="1" w:styleId="FinancialsTableH2">
    <w:name w:val="Financials Table H2"/>
    <w:basedOn w:val="TableText"/>
    <w:autoRedefine/>
    <w:uiPriority w:val="1"/>
    <w:semiHidden/>
    <w:rsid w:val="00660951"/>
    <w:pPr>
      <w:spacing w:before="120" w:after="40" w:line="240" w:lineRule="auto"/>
    </w:pPr>
    <w:rPr>
      <w:b w:val="0"/>
      <w:color w:val="008542" w:themeColor="accent2"/>
    </w:rPr>
  </w:style>
  <w:style w:type="paragraph" w:customStyle="1" w:styleId="FinancialsTableText">
    <w:name w:val="Financials Table Text"/>
    <w:basedOn w:val="TableText"/>
    <w:autoRedefine/>
    <w:uiPriority w:val="1"/>
    <w:semiHidden/>
    <w:rsid w:val="00660951"/>
    <w:pPr>
      <w:spacing w:before="40" w:after="40" w:line="240" w:lineRule="auto"/>
    </w:pPr>
  </w:style>
  <w:style w:type="paragraph" w:customStyle="1" w:styleId="FinancialsTableTextIndented">
    <w:name w:val="Financials Table Text Indented"/>
    <w:basedOn w:val="TableText"/>
    <w:autoRedefine/>
    <w:uiPriority w:val="1"/>
    <w:semiHidden/>
    <w:rsid w:val="00F3495A"/>
    <w:pPr>
      <w:spacing w:before="40" w:after="40" w:line="240" w:lineRule="auto"/>
      <w:ind w:left="170"/>
    </w:pPr>
    <w:rPr>
      <w:i/>
    </w:rPr>
  </w:style>
  <w:style w:type="paragraph" w:customStyle="1" w:styleId="FinancialsTableH1">
    <w:name w:val="Financials Table H1"/>
    <w:basedOn w:val="TableText"/>
    <w:autoRedefine/>
    <w:uiPriority w:val="1"/>
    <w:semiHidden/>
    <w:rsid w:val="007A7D19"/>
    <w:pPr>
      <w:spacing w:before="160" w:after="40" w:line="240" w:lineRule="auto"/>
    </w:pPr>
    <w:rPr>
      <w:rFonts w:ascii="Arial Bold" w:hAnsi="Arial Bold"/>
      <w:b w:val="0"/>
      <w:caps/>
    </w:rPr>
  </w:style>
  <w:style w:type="paragraph" w:customStyle="1" w:styleId="NoParagraphStyle">
    <w:name w:val="[No Paragraph Style]"/>
    <w:autoRedefin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autoRedefine/>
    <w:uiPriority w:val="1"/>
    <w:semiHidden/>
    <w:rsid w:val="00103F16"/>
  </w:style>
  <w:style w:type="paragraph" w:customStyle="1" w:styleId="AppendixH2">
    <w:name w:val="Appendix H2"/>
    <w:basedOn w:val="FinancialsH2"/>
    <w:autoRedefine/>
    <w:uiPriority w:val="1"/>
    <w:semiHidden/>
    <w:rsid w:val="00FC6134"/>
  </w:style>
  <w:style w:type="character" w:styleId="PageNumber">
    <w:name w:val="page number"/>
    <w:basedOn w:val="DefaultParagraphFont"/>
    <w:semiHidden/>
    <w:unhideWhenUsed/>
    <w:rsid w:val="005F219D"/>
    <w:rPr>
      <w:rFonts w:asciiTheme="minorHAnsi" w:hAnsiTheme="minorHAnsi"/>
      <w:b/>
      <w:color w:val="008542" w:themeColor="accent2"/>
      <w:sz w:val="16"/>
    </w:rPr>
  </w:style>
  <w:style w:type="paragraph" w:customStyle="1" w:styleId="Address">
    <w:name w:val="Address"/>
    <w:basedOn w:val="Normal"/>
    <w:autoRedefine/>
    <w:uiPriority w:val="1"/>
    <w:rsid w:val="00562759"/>
    <w:pPr>
      <w:spacing w:before="0" w:after="0" w:line="192" w:lineRule="exact"/>
    </w:pPr>
    <w:rPr>
      <w:b/>
      <w:bCs/>
      <w:color w:val="FFFFFF" w:themeColor="background1"/>
      <w:sz w:val="16"/>
      <w:szCs w:val="16"/>
    </w:rPr>
  </w:style>
  <w:style w:type="paragraph" w:customStyle="1" w:styleId="Organisation">
    <w:name w:val="Organisation"/>
    <w:basedOn w:val="Normal"/>
    <w:next w:val="Title"/>
    <w:autoRedefine/>
    <w:uiPriority w:val="1"/>
    <w:qFormat/>
    <w:rsid w:val="00CA15F5"/>
    <w:pPr>
      <w:spacing w:before="0" w:after="1320"/>
    </w:pPr>
    <w:rPr>
      <w:b/>
      <w:noProof/>
      <w:color w:val="004200" w:themeColor="accent1"/>
      <w:sz w:val="20"/>
      <w:szCs w:val="16"/>
    </w:rPr>
  </w:style>
  <w:style w:type="paragraph" w:customStyle="1" w:styleId="Versionanddate">
    <w:name w:val="Version and date"/>
    <w:basedOn w:val="Subtitle"/>
    <w:next w:val="Normal"/>
    <w:autoRedefine/>
    <w:uiPriority w:val="1"/>
    <w:qFormat/>
    <w:rsid w:val="00C36295"/>
    <w:rPr>
      <w:color w:val="008542" w:themeColor="accent2"/>
      <w:sz w:val="28"/>
    </w:rPr>
  </w:style>
  <w:style w:type="paragraph" w:customStyle="1" w:styleId="Act">
    <w:name w:val="Act"/>
    <w:basedOn w:val="Normal"/>
    <w:next w:val="Normal"/>
    <w:uiPriority w:val="1"/>
    <w:qFormat/>
    <w:rsid w:val="00BC1032"/>
    <w:rPr>
      <w:i/>
    </w:rPr>
  </w:style>
  <w:style w:type="paragraph" w:customStyle="1" w:styleId="Disclaimer">
    <w:name w:val="Disclaimer"/>
    <w:basedOn w:val="Normal"/>
    <w:autoRedefine/>
    <w:uiPriority w:val="1"/>
    <w:rsid w:val="00BC1032"/>
    <w:rPr>
      <w:i/>
    </w:rPr>
  </w:style>
  <w:style w:type="paragraph" w:styleId="Quote">
    <w:name w:val="Quote"/>
    <w:basedOn w:val="Normal"/>
    <w:next w:val="Normal"/>
    <w:link w:val="QuoteChar"/>
    <w:autoRedefine/>
    <w:uiPriority w:val="29"/>
    <w:rsid w:val="00BC1032"/>
    <w:rPr>
      <w:i/>
      <w:iCs/>
      <w:color w:val="000000" w:themeColor="text1"/>
    </w:rPr>
  </w:style>
  <w:style w:type="character" w:customStyle="1" w:styleId="QuoteChar">
    <w:name w:val="Quote Char"/>
    <w:basedOn w:val="DefaultParagraphFont"/>
    <w:link w:val="Quote"/>
    <w:uiPriority w:val="29"/>
    <w:rsid w:val="00BC1032"/>
    <w:rPr>
      <w:rFonts w:ascii="Arial" w:hAnsi="Arial"/>
      <w:i/>
      <w:iCs/>
      <w:color w:val="000000" w:themeColor="text1"/>
      <w:sz w:val="22"/>
      <w:szCs w:val="24"/>
    </w:rPr>
  </w:style>
  <w:style w:type="paragraph" w:customStyle="1" w:styleId="Report">
    <w:name w:val="Report"/>
    <w:basedOn w:val="Normal"/>
    <w:next w:val="Normal"/>
    <w:autoRedefine/>
    <w:uiPriority w:val="1"/>
    <w:qFormat/>
    <w:rsid w:val="00BE1D05"/>
    <w:pPr>
      <w:spacing w:before="4000" w:after="200" w:line="276" w:lineRule="auto"/>
    </w:pPr>
    <w:rPr>
      <w:b/>
    </w:rPr>
  </w:style>
  <w:style w:type="paragraph" w:styleId="NormalIndent">
    <w:name w:val="Normal Indent"/>
    <w:basedOn w:val="Normal"/>
    <w:autoRedefine/>
    <w:unhideWhenUsed/>
    <w:rsid w:val="00BC1032"/>
    <w:pPr>
      <w:ind w:left="720"/>
    </w:pPr>
  </w:style>
  <w:style w:type="paragraph" w:styleId="Bibliography">
    <w:name w:val="Bibliography"/>
    <w:basedOn w:val="Normal"/>
    <w:next w:val="Normal"/>
    <w:autoRedefine/>
    <w:uiPriority w:val="37"/>
    <w:semiHidden/>
    <w:unhideWhenUsed/>
    <w:rsid w:val="00CC2138"/>
  </w:style>
  <w:style w:type="paragraph" w:styleId="BlockText">
    <w:name w:val="Block Text"/>
    <w:basedOn w:val="Normal"/>
    <w:autoRedefine/>
    <w:semiHidden/>
    <w:unhideWhenUsed/>
    <w:rsid w:val="00CC2138"/>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
    <w:name w:val="Body Text"/>
    <w:basedOn w:val="Normal"/>
    <w:link w:val="BodyTextChar"/>
    <w:autoRedefine/>
    <w:semiHidden/>
    <w:unhideWhenUsed/>
    <w:rsid w:val="00CC2138"/>
  </w:style>
  <w:style w:type="character" w:customStyle="1" w:styleId="BodyTextChar">
    <w:name w:val="Body Text Char"/>
    <w:basedOn w:val="DefaultParagraphFont"/>
    <w:link w:val="BodyText"/>
    <w:semiHidden/>
    <w:rsid w:val="00CC2138"/>
    <w:rPr>
      <w:rFonts w:ascii="Arial" w:hAnsi="Arial"/>
      <w:sz w:val="22"/>
      <w:szCs w:val="24"/>
    </w:rPr>
  </w:style>
  <w:style w:type="paragraph" w:styleId="BodyText2">
    <w:name w:val="Body Text 2"/>
    <w:basedOn w:val="Normal"/>
    <w:link w:val="BodyText2Char"/>
    <w:autoRedefine/>
    <w:semiHidden/>
    <w:unhideWhenUsed/>
    <w:rsid w:val="00CC2138"/>
    <w:pPr>
      <w:spacing w:line="480" w:lineRule="auto"/>
    </w:pPr>
  </w:style>
  <w:style w:type="character" w:customStyle="1" w:styleId="BodyText2Char">
    <w:name w:val="Body Text 2 Char"/>
    <w:basedOn w:val="DefaultParagraphFont"/>
    <w:link w:val="BodyText2"/>
    <w:semiHidden/>
    <w:rsid w:val="00CC2138"/>
    <w:rPr>
      <w:rFonts w:ascii="Arial" w:hAnsi="Arial"/>
      <w:sz w:val="22"/>
      <w:szCs w:val="24"/>
    </w:rPr>
  </w:style>
  <w:style w:type="paragraph" w:styleId="BodyText3">
    <w:name w:val="Body Text 3"/>
    <w:basedOn w:val="Normal"/>
    <w:link w:val="BodyText3Char"/>
    <w:autoRedefine/>
    <w:semiHidden/>
    <w:unhideWhenUsed/>
    <w:rsid w:val="00CC2138"/>
    <w:rPr>
      <w:sz w:val="16"/>
      <w:szCs w:val="16"/>
    </w:rPr>
  </w:style>
  <w:style w:type="character" w:customStyle="1" w:styleId="BodyText3Char">
    <w:name w:val="Body Text 3 Char"/>
    <w:basedOn w:val="DefaultParagraphFont"/>
    <w:link w:val="BodyText3"/>
    <w:semiHidden/>
    <w:rsid w:val="00CC2138"/>
    <w:rPr>
      <w:rFonts w:ascii="Arial" w:hAnsi="Arial"/>
      <w:sz w:val="16"/>
      <w:szCs w:val="16"/>
    </w:rPr>
  </w:style>
  <w:style w:type="paragraph" w:styleId="BodyTextFirstIndent">
    <w:name w:val="Body Text First Indent"/>
    <w:basedOn w:val="BodyText"/>
    <w:link w:val="BodyTextFirstIndentChar"/>
    <w:autoRedefine/>
    <w:semiHidden/>
    <w:rsid w:val="00CC2138"/>
    <w:pPr>
      <w:ind w:firstLine="360"/>
    </w:pPr>
  </w:style>
  <w:style w:type="character" w:customStyle="1" w:styleId="BodyTextFirstIndentChar">
    <w:name w:val="Body Text First Indent Char"/>
    <w:basedOn w:val="BodyTextChar"/>
    <w:link w:val="BodyTextFirstIndent"/>
    <w:semiHidden/>
    <w:rsid w:val="00CC2138"/>
    <w:rPr>
      <w:rFonts w:ascii="Arial" w:hAnsi="Arial"/>
      <w:sz w:val="22"/>
      <w:szCs w:val="24"/>
    </w:rPr>
  </w:style>
  <w:style w:type="paragraph" w:styleId="BodyTextIndent">
    <w:name w:val="Body Text Indent"/>
    <w:basedOn w:val="Normal"/>
    <w:link w:val="BodyTextIndentChar"/>
    <w:autoRedefine/>
    <w:semiHidden/>
    <w:unhideWhenUsed/>
    <w:rsid w:val="00CC2138"/>
    <w:pPr>
      <w:ind w:left="283"/>
    </w:pPr>
  </w:style>
  <w:style w:type="character" w:customStyle="1" w:styleId="BodyTextIndentChar">
    <w:name w:val="Body Text Indent Char"/>
    <w:basedOn w:val="DefaultParagraphFont"/>
    <w:link w:val="BodyTextIndent"/>
    <w:semiHidden/>
    <w:rsid w:val="00CC2138"/>
    <w:rPr>
      <w:rFonts w:ascii="Arial" w:hAnsi="Arial"/>
      <w:sz w:val="22"/>
      <w:szCs w:val="24"/>
    </w:rPr>
  </w:style>
  <w:style w:type="paragraph" w:styleId="BodyTextFirstIndent2">
    <w:name w:val="Body Text First Indent 2"/>
    <w:basedOn w:val="BodyTextIndent"/>
    <w:link w:val="BodyTextFirstIndent2Char"/>
    <w:autoRedefine/>
    <w:semiHidden/>
    <w:unhideWhenUsed/>
    <w:rsid w:val="00CC2138"/>
    <w:pPr>
      <w:ind w:left="360" w:firstLine="360"/>
    </w:pPr>
  </w:style>
  <w:style w:type="character" w:customStyle="1" w:styleId="BodyTextFirstIndent2Char">
    <w:name w:val="Body Text First Indent 2 Char"/>
    <w:basedOn w:val="BodyTextIndentChar"/>
    <w:link w:val="BodyTextFirstIndent2"/>
    <w:semiHidden/>
    <w:rsid w:val="00CC2138"/>
    <w:rPr>
      <w:rFonts w:ascii="Arial" w:hAnsi="Arial"/>
      <w:sz w:val="22"/>
      <w:szCs w:val="24"/>
    </w:rPr>
  </w:style>
  <w:style w:type="paragraph" w:styleId="BodyTextIndent2">
    <w:name w:val="Body Text Indent 2"/>
    <w:basedOn w:val="Normal"/>
    <w:link w:val="BodyTextIndent2Char"/>
    <w:autoRedefine/>
    <w:semiHidden/>
    <w:unhideWhenUsed/>
    <w:rsid w:val="00CC2138"/>
    <w:pPr>
      <w:spacing w:line="480" w:lineRule="auto"/>
      <w:ind w:left="283"/>
    </w:pPr>
  </w:style>
  <w:style w:type="character" w:customStyle="1" w:styleId="BodyTextIndent2Char">
    <w:name w:val="Body Text Indent 2 Char"/>
    <w:basedOn w:val="DefaultParagraphFont"/>
    <w:link w:val="BodyTextIndent2"/>
    <w:semiHidden/>
    <w:rsid w:val="00CC2138"/>
    <w:rPr>
      <w:rFonts w:ascii="Arial" w:hAnsi="Arial"/>
      <w:sz w:val="22"/>
      <w:szCs w:val="24"/>
    </w:rPr>
  </w:style>
  <w:style w:type="paragraph" w:styleId="BodyTextIndent3">
    <w:name w:val="Body Text Indent 3"/>
    <w:basedOn w:val="Normal"/>
    <w:link w:val="BodyTextIndent3Char"/>
    <w:autoRedefine/>
    <w:semiHidden/>
    <w:unhideWhenUsed/>
    <w:rsid w:val="00CC2138"/>
    <w:pPr>
      <w:ind w:left="283"/>
    </w:pPr>
    <w:rPr>
      <w:sz w:val="16"/>
      <w:szCs w:val="16"/>
    </w:rPr>
  </w:style>
  <w:style w:type="character" w:customStyle="1" w:styleId="BodyTextIndent3Char">
    <w:name w:val="Body Text Indent 3 Char"/>
    <w:basedOn w:val="DefaultParagraphFont"/>
    <w:link w:val="BodyTextIndent3"/>
    <w:semiHidden/>
    <w:rsid w:val="00CC2138"/>
    <w:rPr>
      <w:rFonts w:ascii="Arial" w:hAnsi="Arial"/>
      <w:sz w:val="16"/>
      <w:szCs w:val="16"/>
    </w:rPr>
  </w:style>
  <w:style w:type="character" w:styleId="BookTitle">
    <w:name w:val="Book Title"/>
    <w:basedOn w:val="DefaultParagraphFont"/>
    <w:uiPriority w:val="33"/>
    <w:rsid w:val="00CC2138"/>
    <w:rPr>
      <w:b/>
      <w:bCs/>
      <w:smallCaps/>
      <w:spacing w:val="5"/>
    </w:rPr>
  </w:style>
  <w:style w:type="paragraph" w:styleId="Caption">
    <w:name w:val="caption"/>
    <w:basedOn w:val="Normal"/>
    <w:next w:val="Normal"/>
    <w:autoRedefine/>
    <w:semiHidden/>
    <w:unhideWhenUsed/>
    <w:rsid w:val="00CC2138"/>
    <w:pPr>
      <w:spacing w:before="0" w:after="200" w:line="240" w:lineRule="auto"/>
    </w:pPr>
    <w:rPr>
      <w:b/>
      <w:bCs/>
      <w:color w:val="004200" w:themeColor="accent1"/>
      <w:sz w:val="18"/>
      <w:szCs w:val="18"/>
    </w:rPr>
  </w:style>
  <w:style w:type="paragraph" w:styleId="Closing">
    <w:name w:val="Closing"/>
    <w:basedOn w:val="Normal"/>
    <w:link w:val="ClosingChar"/>
    <w:autoRedefine/>
    <w:semiHidden/>
    <w:unhideWhenUsed/>
    <w:rsid w:val="00CC2138"/>
    <w:pPr>
      <w:spacing w:before="0" w:after="0" w:line="240" w:lineRule="auto"/>
      <w:ind w:left="4252"/>
    </w:pPr>
  </w:style>
  <w:style w:type="character" w:customStyle="1" w:styleId="ClosingChar">
    <w:name w:val="Closing Char"/>
    <w:basedOn w:val="DefaultParagraphFont"/>
    <w:link w:val="Closing"/>
    <w:semiHidden/>
    <w:rsid w:val="00CC2138"/>
    <w:rPr>
      <w:rFonts w:ascii="Arial" w:hAnsi="Arial"/>
      <w:sz w:val="22"/>
      <w:szCs w:val="24"/>
    </w:rPr>
  </w:style>
  <w:style w:type="character" w:styleId="CommentReference">
    <w:name w:val="annotation reference"/>
    <w:basedOn w:val="DefaultParagraphFont"/>
    <w:semiHidden/>
    <w:unhideWhenUsed/>
    <w:rsid w:val="00CC2138"/>
    <w:rPr>
      <w:sz w:val="16"/>
      <w:szCs w:val="16"/>
    </w:rPr>
  </w:style>
  <w:style w:type="paragraph" w:styleId="CommentText">
    <w:name w:val="annotation text"/>
    <w:basedOn w:val="Normal"/>
    <w:link w:val="CommentTextChar"/>
    <w:autoRedefine/>
    <w:unhideWhenUsed/>
    <w:rsid w:val="00D35490"/>
    <w:pPr>
      <w:spacing w:line="240" w:lineRule="auto"/>
    </w:pPr>
    <w:rPr>
      <w:sz w:val="20"/>
      <w:szCs w:val="20"/>
    </w:rPr>
  </w:style>
  <w:style w:type="character" w:customStyle="1" w:styleId="CommentTextChar">
    <w:name w:val="Comment Text Char"/>
    <w:basedOn w:val="DefaultParagraphFont"/>
    <w:link w:val="CommentText"/>
    <w:rsid w:val="00D35490"/>
    <w:rPr>
      <w:rFonts w:ascii="Arial" w:hAnsi="Arial"/>
    </w:rPr>
  </w:style>
  <w:style w:type="paragraph" w:styleId="CommentSubject">
    <w:name w:val="annotation subject"/>
    <w:basedOn w:val="CommentText"/>
    <w:next w:val="CommentText"/>
    <w:link w:val="CommentSubjectChar"/>
    <w:autoRedefine/>
    <w:semiHidden/>
    <w:unhideWhenUsed/>
    <w:rsid w:val="00CC2138"/>
    <w:rPr>
      <w:b/>
      <w:bCs/>
    </w:rPr>
  </w:style>
  <w:style w:type="character" w:customStyle="1" w:styleId="CommentSubjectChar">
    <w:name w:val="Comment Subject Char"/>
    <w:basedOn w:val="CommentTextChar"/>
    <w:link w:val="CommentSubject"/>
    <w:semiHidden/>
    <w:rsid w:val="00CC2138"/>
    <w:rPr>
      <w:rFonts w:ascii="Arial" w:hAnsi="Arial"/>
      <w:b/>
      <w:bCs/>
    </w:rPr>
  </w:style>
  <w:style w:type="paragraph" w:styleId="Date">
    <w:name w:val="Date"/>
    <w:basedOn w:val="Normal"/>
    <w:next w:val="Normal"/>
    <w:link w:val="DateChar"/>
    <w:autoRedefine/>
    <w:semiHidden/>
    <w:rsid w:val="00CC2138"/>
  </w:style>
  <w:style w:type="character" w:customStyle="1" w:styleId="DateChar">
    <w:name w:val="Date Char"/>
    <w:basedOn w:val="DefaultParagraphFont"/>
    <w:link w:val="Date"/>
    <w:semiHidden/>
    <w:rsid w:val="00CC2138"/>
    <w:rPr>
      <w:rFonts w:ascii="Arial" w:hAnsi="Arial"/>
      <w:sz w:val="22"/>
      <w:szCs w:val="24"/>
    </w:rPr>
  </w:style>
  <w:style w:type="paragraph" w:styleId="DocumentMap">
    <w:name w:val="Document Map"/>
    <w:basedOn w:val="Normal"/>
    <w:link w:val="DocumentMapChar"/>
    <w:autoRedefine/>
    <w:semiHidden/>
    <w:unhideWhenUsed/>
    <w:rsid w:val="00CC213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C2138"/>
    <w:rPr>
      <w:rFonts w:ascii="Tahoma" w:hAnsi="Tahoma" w:cs="Tahoma"/>
      <w:sz w:val="16"/>
      <w:szCs w:val="16"/>
    </w:rPr>
  </w:style>
  <w:style w:type="paragraph" w:styleId="E-mailSignature">
    <w:name w:val="E-mail Signature"/>
    <w:basedOn w:val="Normal"/>
    <w:link w:val="E-mailSignatureChar"/>
    <w:autoRedefine/>
    <w:semiHidden/>
    <w:unhideWhenUsed/>
    <w:rsid w:val="00CC2138"/>
    <w:pPr>
      <w:spacing w:before="0" w:after="0" w:line="240" w:lineRule="auto"/>
    </w:pPr>
  </w:style>
  <w:style w:type="character" w:customStyle="1" w:styleId="E-mailSignatureChar">
    <w:name w:val="E-mail Signature Char"/>
    <w:basedOn w:val="DefaultParagraphFont"/>
    <w:link w:val="E-mailSignature"/>
    <w:semiHidden/>
    <w:rsid w:val="00CC2138"/>
    <w:rPr>
      <w:rFonts w:ascii="Arial" w:hAnsi="Arial"/>
      <w:sz w:val="22"/>
      <w:szCs w:val="24"/>
    </w:rPr>
  </w:style>
  <w:style w:type="paragraph" w:styleId="EnvelopeAddress">
    <w:name w:val="envelope address"/>
    <w:basedOn w:val="Normal"/>
    <w:autoRedefine/>
    <w:semiHidden/>
    <w:unhideWhenUsed/>
    <w:rsid w:val="00CC213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CC2138"/>
    <w:pPr>
      <w:spacing w:before="0"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semiHidden/>
    <w:rsid w:val="00465398"/>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4653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65398"/>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unhideWhenUsed/>
    <w:rsid w:val="00465398"/>
  </w:style>
  <w:style w:type="paragraph" w:styleId="HTMLAddress">
    <w:name w:val="HTML Address"/>
    <w:basedOn w:val="Normal"/>
    <w:link w:val="HTMLAddressChar"/>
    <w:autoRedefine/>
    <w:semiHidden/>
    <w:unhideWhenUsed/>
    <w:rsid w:val="00465398"/>
    <w:pPr>
      <w:spacing w:before="0" w:after="0" w:line="240" w:lineRule="auto"/>
    </w:pPr>
    <w:rPr>
      <w:i/>
      <w:iCs/>
    </w:rPr>
  </w:style>
  <w:style w:type="character" w:customStyle="1" w:styleId="HTMLAddressChar">
    <w:name w:val="HTML Address Char"/>
    <w:basedOn w:val="DefaultParagraphFont"/>
    <w:link w:val="HTMLAddress"/>
    <w:semiHidden/>
    <w:rsid w:val="00465398"/>
    <w:rPr>
      <w:rFonts w:ascii="Arial" w:hAnsi="Arial"/>
      <w:i/>
      <w:iCs/>
      <w:sz w:val="22"/>
      <w:szCs w:val="24"/>
    </w:rPr>
  </w:style>
  <w:style w:type="character" w:styleId="HTMLCite">
    <w:name w:val="HTML Cite"/>
    <w:basedOn w:val="DefaultParagraphFont"/>
    <w:semiHidden/>
    <w:unhideWhenUsed/>
    <w:rsid w:val="00465398"/>
    <w:rPr>
      <w:i/>
      <w:iCs/>
    </w:rPr>
  </w:style>
  <w:style w:type="character" w:styleId="HTMLCode">
    <w:name w:val="HTML Code"/>
    <w:basedOn w:val="DefaultParagraphFont"/>
    <w:semiHidden/>
    <w:unhideWhenUsed/>
    <w:rsid w:val="00465398"/>
    <w:rPr>
      <w:rFonts w:ascii="Consolas" w:hAnsi="Consolas"/>
      <w:sz w:val="20"/>
      <w:szCs w:val="20"/>
    </w:rPr>
  </w:style>
  <w:style w:type="character" w:styleId="HTMLDefinition">
    <w:name w:val="HTML Definition"/>
    <w:basedOn w:val="DefaultParagraphFont"/>
    <w:semiHidden/>
    <w:unhideWhenUsed/>
    <w:rsid w:val="00465398"/>
    <w:rPr>
      <w:i/>
      <w:iCs/>
    </w:rPr>
  </w:style>
  <w:style w:type="character" w:styleId="HTMLKeyboard">
    <w:name w:val="HTML Keyboard"/>
    <w:basedOn w:val="DefaultParagraphFont"/>
    <w:semiHidden/>
    <w:unhideWhenUsed/>
    <w:rsid w:val="00465398"/>
    <w:rPr>
      <w:rFonts w:ascii="Consolas" w:hAnsi="Consolas" w:cs="Consolas"/>
      <w:sz w:val="20"/>
      <w:szCs w:val="20"/>
    </w:rPr>
  </w:style>
  <w:style w:type="paragraph" w:styleId="HTMLPreformatted">
    <w:name w:val="HTML Preformatted"/>
    <w:basedOn w:val="Normal"/>
    <w:link w:val="HTMLPreformattedChar"/>
    <w:autoRedefine/>
    <w:semiHidden/>
    <w:unhideWhenUsed/>
    <w:rsid w:val="0046539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65398"/>
    <w:rPr>
      <w:rFonts w:ascii="Consolas" w:hAnsi="Consolas" w:cs="Consolas"/>
    </w:rPr>
  </w:style>
  <w:style w:type="character" w:styleId="HTMLSample">
    <w:name w:val="HTML Sample"/>
    <w:basedOn w:val="DefaultParagraphFont"/>
    <w:semiHidden/>
    <w:unhideWhenUsed/>
    <w:rsid w:val="00465398"/>
    <w:rPr>
      <w:rFonts w:ascii="Consolas" w:hAnsi="Consolas" w:cs="Consolas"/>
      <w:sz w:val="24"/>
      <w:szCs w:val="24"/>
    </w:rPr>
  </w:style>
  <w:style w:type="character" w:styleId="HTMLTypewriter">
    <w:name w:val="HTML Typewriter"/>
    <w:basedOn w:val="DefaultParagraphFont"/>
    <w:semiHidden/>
    <w:unhideWhenUsed/>
    <w:rsid w:val="00465398"/>
    <w:rPr>
      <w:rFonts w:ascii="Consolas" w:hAnsi="Consolas" w:cs="Consolas"/>
      <w:sz w:val="20"/>
      <w:szCs w:val="20"/>
    </w:rPr>
  </w:style>
  <w:style w:type="character" w:styleId="HTMLVariable">
    <w:name w:val="HTML Variable"/>
    <w:basedOn w:val="DefaultParagraphFont"/>
    <w:semiHidden/>
    <w:unhideWhenUsed/>
    <w:rsid w:val="00465398"/>
    <w:rPr>
      <w:i/>
      <w:iCs/>
    </w:rPr>
  </w:style>
  <w:style w:type="paragraph" w:styleId="Index2">
    <w:name w:val="index 2"/>
    <w:basedOn w:val="Normal"/>
    <w:next w:val="Normal"/>
    <w:autoRedefine/>
    <w:semiHidden/>
    <w:unhideWhenUsed/>
    <w:rsid w:val="00465398"/>
    <w:pPr>
      <w:spacing w:before="0" w:after="0" w:line="240" w:lineRule="auto"/>
      <w:ind w:left="440" w:hanging="220"/>
    </w:pPr>
  </w:style>
  <w:style w:type="paragraph" w:styleId="Index3">
    <w:name w:val="index 3"/>
    <w:basedOn w:val="Normal"/>
    <w:next w:val="Normal"/>
    <w:autoRedefine/>
    <w:semiHidden/>
    <w:unhideWhenUsed/>
    <w:rsid w:val="00465398"/>
    <w:pPr>
      <w:spacing w:before="0" w:after="0" w:line="240" w:lineRule="auto"/>
      <w:ind w:left="660" w:hanging="220"/>
    </w:pPr>
  </w:style>
  <w:style w:type="paragraph" w:styleId="Index4">
    <w:name w:val="index 4"/>
    <w:basedOn w:val="Normal"/>
    <w:next w:val="Normal"/>
    <w:autoRedefine/>
    <w:semiHidden/>
    <w:unhideWhenUsed/>
    <w:rsid w:val="00465398"/>
    <w:pPr>
      <w:spacing w:before="0" w:after="0" w:line="240" w:lineRule="auto"/>
      <w:ind w:left="880" w:hanging="220"/>
    </w:pPr>
  </w:style>
  <w:style w:type="paragraph" w:styleId="Index5">
    <w:name w:val="index 5"/>
    <w:basedOn w:val="Normal"/>
    <w:next w:val="Normal"/>
    <w:autoRedefine/>
    <w:semiHidden/>
    <w:unhideWhenUsed/>
    <w:rsid w:val="00465398"/>
    <w:pPr>
      <w:spacing w:before="0" w:after="0" w:line="240" w:lineRule="auto"/>
      <w:ind w:left="1100" w:hanging="220"/>
    </w:pPr>
  </w:style>
  <w:style w:type="paragraph" w:styleId="Index6">
    <w:name w:val="index 6"/>
    <w:basedOn w:val="Normal"/>
    <w:next w:val="Normal"/>
    <w:autoRedefine/>
    <w:semiHidden/>
    <w:unhideWhenUsed/>
    <w:rsid w:val="00465398"/>
    <w:pPr>
      <w:spacing w:before="0" w:after="0" w:line="240" w:lineRule="auto"/>
      <w:ind w:left="1320" w:hanging="220"/>
    </w:pPr>
  </w:style>
  <w:style w:type="paragraph" w:styleId="Index7">
    <w:name w:val="index 7"/>
    <w:basedOn w:val="Normal"/>
    <w:next w:val="Normal"/>
    <w:autoRedefine/>
    <w:semiHidden/>
    <w:unhideWhenUsed/>
    <w:rsid w:val="00465398"/>
    <w:pPr>
      <w:spacing w:before="0" w:after="0" w:line="240" w:lineRule="auto"/>
      <w:ind w:left="1540" w:hanging="220"/>
    </w:pPr>
  </w:style>
  <w:style w:type="paragraph" w:styleId="Index8">
    <w:name w:val="index 8"/>
    <w:basedOn w:val="Normal"/>
    <w:next w:val="Normal"/>
    <w:autoRedefine/>
    <w:semiHidden/>
    <w:unhideWhenUsed/>
    <w:rsid w:val="00465398"/>
    <w:pPr>
      <w:spacing w:before="0" w:after="0" w:line="240" w:lineRule="auto"/>
      <w:ind w:left="1760" w:hanging="220"/>
    </w:pPr>
  </w:style>
  <w:style w:type="paragraph" w:styleId="Index9">
    <w:name w:val="index 9"/>
    <w:basedOn w:val="Normal"/>
    <w:next w:val="Normal"/>
    <w:autoRedefine/>
    <w:semiHidden/>
    <w:unhideWhenUsed/>
    <w:rsid w:val="00465398"/>
    <w:pPr>
      <w:spacing w:before="0" w:after="0" w:line="240" w:lineRule="auto"/>
      <w:ind w:left="1980" w:hanging="220"/>
    </w:pPr>
  </w:style>
  <w:style w:type="paragraph" w:styleId="IndexHeading">
    <w:name w:val="index heading"/>
    <w:basedOn w:val="Normal"/>
    <w:next w:val="Index1"/>
    <w:autoRedefine/>
    <w:semiHidden/>
    <w:unhideWhenUsed/>
    <w:rsid w:val="00465398"/>
    <w:rPr>
      <w:rFonts w:asciiTheme="majorHAnsi" w:eastAsiaTheme="majorEastAsia" w:hAnsiTheme="majorHAnsi" w:cstheme="majorBidi"/>
      <w:b/>
      <w:bCs/>
    </w:rPr>
  </w:style>
  <w:style w:type="character" w:styleId="IntenseEmphasis">
    <w:name w:val="Intense Emphasis"/>
    <w:basedOn w:val="DefaultParagraphFont"/>
    <w:uiPriority w:val="21"/>
    <w:rsid w:val="00465398"/>
    <w:rPr>
      <w:b/>
      <w:bCs/>
      <w:i/>
      <w:iCs/>
      <w:color w:val="004200" w:themeColor="accent1"/>
    </w:rPr>
  </w:style>
  <w:style w:type="paragraph" w:styleId="IntenseQuote">
    <w:name w:val="Intense Quote"/>
    <w:basedOn w:val="Normal"/>
    <w:next w:val="Normal"/>
    <w:link w:val="IntenseQuoteChar"/>
    <w:autoRedefine/>
    <w:uiPriority w:val="30"/>
    <w:rsid w:val="00465398"/>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465398"/>
    <w:rPr>
      <w:rFonts w:ascii="Arial" w:hAnsi="Arial"/>
      <w:b/>
      <w:bCs/>
      <w:i/>
      <w:iCs/>
      <w:color w:val="004200" w:themeColor="accent1"/>
      <w:sz w:val="22"/>
      <w:szCs w:val="24"/>
    </w:rPr>
  </w:style>
  <w:style w:type="character" w:styleId="IntenseReference">
    <w:name w:val="Intense Reference"/>
    <w:basedOn w:val="DefaultParagraphFont"/>
    <w:uiPriority w:val="32"/>
    <w:rsid w:val="00465398"/>
    <w:rPr>
      <w:b/>
      <w:bCs/>
      <w:smallCaps/>
      <w:color w:val="008542" w:themeColor="accent2"/>
      <w:spacing w:val="5"/>
      <w:u w:val="single"/>
    </w:rPr>
  </w:style>
  <w:style w:type="character" w:styleId="LineNumber">
    <w:name w:val="line number"/>
    <w:basedOn w:val="DefaultParagraphFont"/>
    <w:unhideWhenUsed/>
    <w:rsid w:val="00465398"/>
  </w:style>
  <w:style w:type="paragraph" w:styleId="List">
    <w:name w:val="List"/>
    <w:basedOn w:val="Normal"/>
    <w:autoRedefine/>
    <w:semiHidden/>
    <w:unhideWhenUsed/>
    <w:rsid w:val="00465398"/>
    <w:pPr>
      <w:ind w:left="283" w:hanging="283"/>
      <w:contextualSpacing/>
    </w:pPr>
  </w:style>
  <w:style w:type="paragraph" w:styleId="List2">
    <w:name w:val="List 2"/>
    <w:basedOn w:val="Normal"/>
    <w:autoRedefine/>
    <w:semiHidden/>
    <w:unhideWhenUsed/>
    <w:rsid w:val="00465398"/>
    <w:pPr>
      <w:ind w:left="566" w:hanging="283"/>
      <w:contextualSpacing/>
    </w:pPr>
  </w:style>
  <w:style w:type="paragraph" w:styleId="List3">
    <w:name w:val="List 3"/>
    <w:basedOn w:val="Normal"/>
    <w:autoRedefine/>
    <w:semiHidden/>
    <w:unhideWhenUsed/>
    <w:rsid w:val="00465398"/>
    <w:pPr>
      <w:ind w:left="849" w:hanging="283"/>
      <w:contextualSpacing/>
    </w:pPr>
  </w:style>
  <w:style w:type="paragraph" w:styleId="List4">
    <w:name w:val="List 4"/>
    <w:basedOn w:val="Normal"/>
    <w:autoRedefine/>
    <w:semiHidden/>
    <w:rsid w:val="00465398"/>
    <w:pPr>
      <w:ind w:left="1132" w:hanging="283"/>
      <w:contextualSpacing/>
    </w:pPr>
  </w:style>
  <w:style w:type="paragraph" w:styleId="List5">
    <w:name w:val="List 5"/>
    <w:basedOn w:val="Normal"/>
    <w:autoRedefine/>
    <w:semiHidden/>
    <w:rsid w:val="00465398"/>
    <w:pPr>
      <w:ind w:left="1415" w:hanging="283"/>
      <w:contextualSpacing/>
    </w:pPr>
  </w:style>
  <w:style w:type="paragraph" w:styleId="ListBullet2">
    <w:name w:val="List Bullet 2"/>
    <w:basedOn w:val="Normal"/>
    <w:autoRedefine/>
    <w:uiPriority w:val="3"/>
    <w:semiHidden/>
    <w:unhideWhenUsed/>
    <w:rsid w:val="00465398"/>
    <w:pPr>
      <w:numPr>
        <w:numId w:val="2"/>
      </w:numPr>
      <w:contextualSpacing/>
    </w:pPr>
  </w:style>
  <w:style w:type="paragraph" w:styleId="ListBullet3">
    <w:name w:val="List Bullet 3"/>
    <w:basedOn w:val="Normal"/>
    <w:autoRedefine/>
    <w:uiPriority w:val="3"/>
    <w:semiHidden/>
    <w:unhideWhenUsed/>
    <w:rsid w:val="00465398"/>
    <w:pPr>
      <w:numPr>
        <w:numId w:val="3"/>
      </w:numPr>
      <w:contextualSpacing/>
    </w:pPr>
  </w:style>
  <w:style w:type="paragraph" w:styleId="ListBullet4">
    <w:name w:val="List Bullet 4"/>
    <w:basedOn w:val="Normal"/>
    <w:autoRedefine/>
    <w:uiPriority w:val="3"/>
    <w:semiHidden/>
    <w:unhideWhenUsed/>
    <w:rsid w:val="00465398"/>
    <w:pPr>
      <w:numPr>
        <w:numId w:val="4"/>
      </w:numPr>
      <w:contextualSpacing/>
    </w:pPr>
  </w:style>
  <w:style w:type="paragraph" w:styleId="ListBullet5">
    <w:name w:val="List Bullet 5"/>
    <w:basedOn w:val="Normal"/>
    <w:autoRedefine/>
    <w:uiPriority w:val="3"/>
    <w:semiHidden/>
    <w:unhideWhenUsed/>
    <w:rsid w:val="00465398"/>
    <w:pPr>
      <w:numPr>
        <w:numId w:val="5"/>
      </w:numPr>
      <w:contextualSpacing/>
    </w:pPr>
  </w:style>
  <w:style w:type="paragraph" w:styleId="ListContinue">
    <w:name w:val="List Continue"/>
    <w:basedOn w:val="Normal"/>
    <w:autoRedefine/>
    <w:semiHidden/>
    <w:unhideWhenUsed/>
    <w:rsid w:val="00465398"/>
    <w:pPr>
      <w:ind w:left="283"/>
      <w:contextualSpacing/>
    </w:pPr>
  </w:style>
  <w:style w:type="paragraph" w:styleId="ListContinue2">
    <w:name w:val="List Continue 2"/>
    <w:basedOn w:val="Normal"/>
    <w:autoRedefine/>
    <w:semiHidden/>
    <w:unhideWhenUsed/>
    <w:rsid w:val="00465398"/>
    <w:pPr>
      <w:ind w:left="566"/>
      <w:contextualSpacing/>
    </w:pPr>
  </w:style>
  <w:style w:type="paragraph" w:styleId="ListContinue3">
    <w:name w:val="List Continue 3"/>
    <w:basedOn w:val="Normal"/>
    <w:autoRedefine/>
    <w:semiHidden/>
    <w:unhideWhenUsed/>
    <w:rsid w:val="00465398"/>
    <w:pPr>
      <w:ind w:left="849"/>
      <w:contextualSpacing/>
    </w:pPr>
  </w:style>
  <w:style w:type="paragraph" w:styleId="ListContinue4">
    <w:name w:val="List Continue 4"/>
    <w:basedOn w:val="Normal"/>
    <w:autoRedefine/>
    <w:semiHidden/>
    <w:unhideWhenUsed/>
    <w:rsid w:val="00465398"/>
    <w:pPr>
      <w:ind w:left="1132"/>
      <w:contextualSpacing/>
    </w:pPr>
  </w:style>
  <w:style w:type="paragraph" w:styleId="ListContinue5">
    <w:name w:val="List Continue 5"/>
    <w:basedOn w:val="Normal"/>
    <w:autoRedefine/>
    <w:semiHidden/>
    <w:unhideWhenUsed/>
    <w:rsid w:val="00465398"/>
    <w:pPr>
      <w:ind w:left="1415"/>
      <w:contextualSpacing/>
    </w:pPr>
  </w:style>
  <w:style w:type="paragraph" w:styleId="ListNumber">
    <w:name w:val="List Number"/>
    <w:basedOn w:val="Normal"/>
    <w:autoRedefine/>
    <w:uiPriority w:val="3"/>
    <w:rsid w:val="00465398"/>
    <w:pPr>
      <w:numPr>
        <w:numId w:val="6"/>
      </w:numPr>
      <w:contextualSpacing/>
    </w:pPr>
  </w:style>
  <w:style w:type="paragraph" w:styleId="ListNumber2">
    <w:name w:val="List Number 2"/>
    <w:basedOn w:val="Normal"/>
    <w:autoRedefine/>
    <w:uiPriority w:val="3"/>
    <w:semiHidden/>
    <w:unhideWhenUsed/>
    <w:rsid w:val="00465398"/>
    <w:pPr>
      <w:numPr>
        <w:numId w:val="7"/>
      </w:numPr>
      <w:contextualSpacing/>
    </w:pPr>
  </w:style>
  <w:style w:type="paragraph" w:styleId="ListNumber3">
    <w:name w:val="List Number 3"/>
    <w:basedOn w:val="Normal"/>
    <w:autoRedefine/>
    <w:uiPriority w:val="3"/>
    <w:semiHidden/>
    <w:unhideWhenUsed/>
    <w:rsid w:val="00465398"/>
    <w:pPr>
      <w:numPr>
        <w:numId w:val="8"/>
      </w:numPr>
      <w:contextualSpacing/>
    </w:pPr>
  </w:style>
  <w:style w:type="paragraph" w:styleId="ListNumber4">
    <w:name w:val="List Number 4"/>
    <w:basedOn w:val="Normal"/>
    <w:autoRedefine/>
    <w:uiPriority w:val="3"/>
    <w:semiHidden/>
    <w:unhideWhenUsed/>
    <w:rsid w:val="00465398"/>
    <w:pPr>
      <w:numPr>
        <w:numId w:val="9"/>
      </w:numPr>
      <w:contextualSpacing/>
    </w:pPr>
  </w:style>
  <w:style w:type="paragraph" w:styleId="ListNumber5">
    <w:name w:val="List Number 5"/>
    <w:basedOn w:val="Normal"/>
    <w:autoRedefine/>
    <w:uiPriority w:val="3"/>
    <w:semiHidden/>
    <w:unhideWhenUsed/>
    <w:rsid w:val="00465398"/>
    <w:pPr>
      <w:numPr>
        <w:numId w:val="10"/>
      </w:numPr>
      <w:contextualSpacing/>
    </w:pPr>
  </w:style>
  <w:style w:type="paragraph" w:styleId="MacroText">
    <w:name w:val="macro"/>
    <w:link w:val="MacroTextChar"/>
    <w:autoRedefine/>
    <w:semiHidden/>
    <w:unhideWhenUsed/>
    <w:rsid w:val="00465398"/>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465398"/>
    <w:rPr>
      <w:rFonts w:ascii="Consolas" w:hAnsi="Consolas" w:cs="Consolas"/>
    </w:rPr>
  </w:style>
  <w:style w:type="paragraph" w:styleId="MessageHeader">
    <w:name w:val="Message Header"/>
    <w:basedOn w:val="Normal"/>
    <w:link w:val="MessageHeaderChar"/>
    <w:autoRedefine/>
    <w:semiHidden/>
    <w:unhideWhenUsed/>
    <w:rsid w:val="0046539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65398"/>
    <w:rPr>
      <w:rFonts w:asciiTheme="majorHAnsi" w:eastAsiaTheme="majorEastAsia" w:hAnsiTheme="majorHAnsi" w:cstheme="majorBidi"/>
      <w:sz w:val="24"/>
      <w:szCs w:val="24"/>
      <w:shd w:val="pct20" w:color="auto" w:fill="auto"/>
    </w:rPr>
  </w:style>
  <w:style w:type="paragraph" w:styleId="NormalWeb">
    <w:name w:val="Normal (Web)"/>
    <w:basedOn w:val="Normal"/>
    <w:autoRedefine/>
    <w:uiPriority w:val="99"/>
    <w:semiHidden/>
    <w:unhideWhenUsed/>
    <w:rsid w:val="00465398"/>
    <w:rPr>
      <w:rFonts w:ascii="Times New Roman" w:hAnsi="Times New Roman"/>
      <w:sz w:val="24"/>
    </w:rPr>
  </w:style>
  <w:style w:type="paragraph" w:styleId="NoteHeading">
    <w:name w:val="Note Heading"/>
    <w:basedOn w:val="Normal"/>
    <w:next w:val="Normal"/>
    <w:link w:val="NoteHeadingChar"/>
    <w:autoRedefine/>
    <w:semiHidden/>
    <w:unhideWhenUsed/>
    <w:rsid w:val="00465398"/>
    <w:pPr>
      <w:spacing w:before="0" w:after="0" w:line="240" w:lineRule="auto"/>
    </w:pPr>
  </w:style>
  <w:style w:type="character" w:customStyle="1" w:styleId="NoteHeadingChar">
    <w:name w:val="Note Heading Char"/>
    <w:basedOn w:val="DefaultParagraphFont"/>
    <w:link w:val="NoteHeading"/>
    <w:semiHidden/>
    <w:rsid w:val="00465398"/>
    <w:rPr>
      <w:rFonts w:ascii="Arial" w:hAnsi="Arial"/>
      <w:sz w:val="22"/>
      <w:szCs w:val="24"/>
    </w:rPr>
  </w:style>
  <w:style w:type="character" w:styleId="PlaceholderText">
    <w:name w:val="Placeholder Text"/>
    <w:basedOn w:val="DefaultParagraphFont"/>
    <w:uiPriority w:val="99"/>
    <w:semiHidden/>
    <w:rsid w:val="00465398"/>
    <w:rPr>
      <w:color w:val="808080"/>
    </w:rPr>
  </w:style>
  <w:style w:type="paragraph" w:styleId="PlainText">
    <w:name w:val="Plain Text"/>
    <w:basedOn w:val="Normal"/>
    <w:link w:val="PlainTextChar"/>
    <w:autoRedefine/>
    <w:semiHidden/>
    <w:unhideWhenUsed/>
    <w:rsid w:val="0046539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465398"/>
    <w:rPr>
      <w:rFonts w:ascii="Consolas" w:hAnsi="Consolas" w:cs="Consolas"/>
      <w:sz w:val="21"/>
      <w:szCs w:val="21"/>
    </w:rPr>
  </w:style>
  <w:style w:type="paragraph" w:styleId="Salutation">
    <w:name w:val="Salutation"/>
    <w:basedOn w:val="Normal"/>
    <w:next w:val="Normal"/>
    <w:link w:val="SalutationChar"/>
    <w:autoRedefine/>
    <w:semiHidden/>
    <w:rsid w:val="00465398"/>
  </w:style>
  <w:style w:type="character" w:customStyle="1" w:styleId="SalutationChar">
    <w:name w:val="Salutation Char"/>
    <w:basedOn w:val="DefaultParagraphFont"/>
    <w:link w:val="Salutation"/>
    <w:semiHidden/>
    <w:rsid w:val="00465398"/>
    <w:rPr>
      <w:rFonts w:ascii="Arial" w:hAnsi="Arial"/>
      <w:sz w:val="22"/>
      <w:szCs w:val="24"/>
    </w:rPr>
  </w:style>
  <w:style w:type="paragraph" w:styleId="Signature">
    <w:name w:val="Signature"/>
    <w:basedOn w:val="Normal"/>
    <w:link w:val="SignatureChar"/>
    <w:autoRedefine/>
    <w:semiHidden/>
    <w:unhideWhenUsed/>
    <w:rsid w:val="00465398"/>
    <w:pPr>
      <w:spacing w:before="0" w:after="0" w:line="240" w:lineRule="auto"/>
      <w:ind w:left="4252"/>
    </w:pPr>
  </w:style>
  <w:style w:type="character" w:customStyle="1" w:styleId="SignatureChar">
    <w:name w:val="Signature Char"/>
    <w:basedOn w:val="DefaultParagraphFont"/>
    <w:link w:val="Signature"/>
    <w:semiHidden/>
    <w:rsid w:val="00465398"/>
    <w:rPr>
      <w:rFonts w:ascii="Arial" w:hAnsi="Arial"/>
      <w:sz w:val="22"/>
      <w:szCs w:val="24"/>
    </w:rPr>
  </w:style>
  <w:style w:type="character" w:styleId="SubtleReference">
    <w:name w:val="Subtle Reference"/>
    <w:basedOn w:val="DefaultParagraphFont"/>
    <w:uiPriority w:val="31"/>
    <w:rsid w:val="00465398"/>
    <w:rPr>
      <w:smallCaps/>
      <w:color w:val="008542" w:themeColor="accent2"/>
      <w:u w:val="single"/>
    </w:rPr>
  </w:style>
  <w:style w:type="paragraph" w:styleId="TableofAuthorities">
    <w:name w:val="table of authorities"/>
    <w:basedOn w:val="Normal"/>
    <w:next w:val="Normal"/>
    <w:autoRedefine/>
    <w:semiHidden/>
    <w:unhideWhenUsed/>
    <w:rsid w:val="00465398"/>
    <w:pPr>
      <w:spacing w:after="0"/>
      <w:ind w:left="220" w:hanging="220"/>
    </w:pPr>
  </w:style>
  <w:style w:type="paragraph" w:styleId="TableofFigures">
    <w:name w:val="table of figures"/>
    <w:basedOn w:val="Normal"/>
    <w:next w:val="Normal"/>
    <w:autoRedefine/>
    <w:semiHidden/>
    <w:unhideWhenUsed/>
    <w:rsid w:val="00465398"/>
    <w:pPr>
      <w:spacing w:after="0"/>
    </w:pPr>
  </w:style>
  <w:style w:type="paragraph" w:styleId="TOAHeading">
    <w:name w:val="toa heading"/>
    <w:basedOn w:val="Normal"/>
    <w:next w:val="Normal"/>
    <w:autoRedefine/>
    <w:semiHidden/>
    <w:unhideWhenUsed/>
    <w:rsid w:val="00465398"/>
    <w:rPr>
      <w:rFonts w:asciiTheme="majorHAnsi" w:eastAsiaTheme="majorEastAsia" w:hAnsiTheme="majorHAnsi" w:cstheme="majorBidi"/>
      <w:b/>
      <w:bCs/>
      <w:sz w:val="24"/>
    </w:rPr>
  </w:style>
  <w:style w:type="paragraph" w:styleId="TOC3">
    <w:name w:val="toc 3"/>
    <w:basedOn w:val="Normal"/>
    <w:next w:val="Normal"/>
    <w:autoRedefine/>
    <w:uiPriority w:val="39"/>
    <w:unhideWhenUsed/>
    <w:rsid w:val="00C27B64"/>
    <w:pPr>
      <w:tabs>
        <w:tab w:val="right" w:leader="dot" w:pos="8505"/>
      </w:tabs>
      <w:spacing w:after="100"/>
    </w:pPr>
  </w:style>
  <w:style w:type="paragraph" w:styleId="TOC4">
    <w:name w:val="toc 4"/>
    <w:basedOn w:val="Normal"/>
    <w:next w:val="Normal"/>
    <w:autoRedefine/>
    <w:semiHidden/>
    <w:unhideWhenUsed/>
    <w:rsid w:val="00465398"/>
    <w:pPr>
      <w:spacing w:after="100"/>
      <w:ind w:left="660"/>
    </w:pPr>
  </w:style>
  <w:style w:type="paragraph" w:styleId="TOC5">
    <w:name w:val="toc 5"/>
    <w:basedOn w:val="Normal"/>
    <w:next w:val="Normal"/>
    <w:autoRedefine/>
    <w:unhideWhenUsed/>
    <w:rsid w:val="00465398"/>
    <w:pPr>
      <w:spacing w:after="100"/>
      <w:ind w:left="880"/>
    </w:pPr>
  </w:style>
  <w:style w:type="paragraph" w:styleId="TOC6">
    <w:name w:val="toc 6"/>
    <w:basedOn w:val="Normal"/>
    <w:next w:val="Normal"/>
    <w:autoRedefine/>
    <w:semiHidden/>
    <w:unhideWhenUsed/>
    <w:rsid w:val="00465398"/>
    <w:pPr>
      <w:spacing w:after="100"/>
      <w:ind w:left="1100"/>
    </w:pPr>
  </w:style>
  <w:style w:type="paragraph" w:styleId="TOC7">
    <w:name w:val="toc 7"/>
    <w:basedOn w:val="Normal"/>
    <w:next w:val="Normal"/>
    <w:autoRedefine/>
    <w:semiHidden/>
    <w:unhideWhenUsed/>
    <w:rsid w:val="00465398"/>
    <w:pPr>
      <w:spacing w:after="100"/>
      <w:ind w:left="1320"/>
    </w:pPr>
  </w:style>
  <w:style w:type="paragraph" w:styleId="TOC8">
    <w:name w:val="toc 8"/>
    <w:basedOn w:val="Normal"/>
    <w:next w:val="Normal"/>
    <w:autoRedefine/>
    <w:semiHidden/>
    <w:unhideWhenUsed/>
    <w:rsid w:val="00465398"/>
    <w:pPr>
      <w:spacing w:after="100"/>
      <w:ind w:left="1540"/>
    </w:pPr>
  </w:style>
  <w:style w:type="paragraph" w:styleId="TOC9">
    <w:name w:val="toc 9"/>
    <w:basedOn w:val="Normal"/>
    <w:next w:val="Normal"/>
    <w:autoRedefine/>
    <w:unhideWhenUsed/>
    <w:rsid w:val="00465398"/>
    <w:pPr>
      <w:spacing w:after="100"/>
      <w:ind w:left="1760"/>
    </w:pPr>
  </w:style>
  <w:style w:type="character" w:styleId="Hyperlink">
    <w:name w:val="Hyperlink"/>
    <w:basedOn w:val="DefaultParagraphFont"/>
    <w:uiPriority w:val="99"/>
    <w:unhideWhenUsed/>
    <w:rsid w:val="00562759"/>
    <w:rPr>
      <w:color w:val="000000" w:themeColor="hyperlink"/>
      <w:u w:val="single"/>
    </w:rPr>
  </w:style>
  <w:style w:type="character" w:customStyle="1" w:styleId="Heading1Char">
    <w:name w:val="Heading 1 Char"/>
    <w:basedOn w:val="DefaultParagraphFont"/>
    <w:link w:val="Heading1"/>
    <w:uiPriority w:val="4"/>
    <w:rsid w:val="00D2320A"/>
    <w:rPr>
      <w:rFonts w:asciiTheme="majorHAnsi" w:hAnsiTheme="majorHAnsi"/>
      <w:b/>
      <w:sz w:val="64"/>
      <w:szCs w:val="44"/>
      <w:lang w:eastAsia="en-US"/>
    </w:rPr>
  </w:style>
  <w:style w:type="paragraph" w:customStyle="1" w:styleId="NormalArial">
    <w:name w:val="Normal + Arial"/>
    <w:aliases w:val="11 pt"/>
    <w:basedOn w:val="Normal"/>
    <w:rsid w:val="006A6D50"/>
    <w:pPr>
      <w:spacing w:before="0" w:after="0" w:line="240" w:lineRule="auto"/>
      <w:ind w:left="550"/>
    </w:pPr>
    <w:rPr>
      <w:rFonts w:cs="Arial"/>
      <w:szCs w:val="22"/>
      <w:lang w:eastAsia="zh-CN"/>
    </w:rPr>
  </w:style>
  <w:style w:type="character" w:customStyle="1" w:styleId="ListParagraphChar">
    <w:name w:val="List Paragraph Char"/>
    <w:link w:val="ListParagraph"/>
    <w:uiPriority w:val="34"/>
    <w:locked/>
    <w:rsid w:val="001A2262"/>
    <w:rPr>
      <w:rFonts w:ascii="Arial" w:hAnsi="Arial"/>
    </w:rPr>
  </w:style>
  <w:style w:type="paragraph" w:styleId="Revision">
    <w:name w:val="Revision"/>
    <w:hidden/>
    <w:uiPriority w:val="99"/>
    <w:semiHidden/>
    <w:rsid w:val="006259F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3.0/au/deed.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legalco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reativecommons.org/licenses/by/3.0/au/deed.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lajen\AppData\Local\Microsoft\Windows\Temporary%20Internet%20Files\Content.Outlook\JPSMLDQR\External%20report%20template%20(2).dotx" TargetMode="External"/></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542"/>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B852C-C5B3-4598-BACA-F6F91DB57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report template (2).dotx</Template>
  <TotalTime>1</TotalTime>
  <Pages>28</Pages>
  <Words>6835</Words>
  <Characters>38960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Independent Hospital Pricing Authority</Company>
  <LinksUpToDate>false</LinksUpToDate>
  <CharactersWithSpaces>45704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Jenette</dc:creator>
  <cp:lastModifiedBy>ISSAKHANY, Dabrina</cp:lastModifiedBy>
  <cp:revision>6</cp:revision>
  <cp:lastPrinted>2022-06-07T01:00:00Z</cp:lastPrinted>
  <dcterms:created xsi:type="dcterms:W3CDTF">2022-05-18T05:31:00Z</dcterms:created>
  <dcterms:modified xsi:type="dcterms:W3CDTF">2022-06-07T01:00:00Z</dcterms:modified>
</cp:coreProperties>
</file>