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C1A1" w14:textId="04E785A2" w:rsidR="000C5F0B" w:rsidRPr="00A813F0" w:rsidRDefault="000C5F0B" w:rsidP="000C5F0B">
      <w:pPr>
        <w:pStyle w:val="Organisation"/>
      </w:pPr>
      <w:r w:rsidRPr="00A813F0">
        <w:t>Independent Hospital Pricing Authority</w:t>
      </w:r>
    </w:p>
    <w:p w14:paraId="2E560C3D" w14:textId="11608C66" w:rsidR="000C5F0B" w:rsidRPr="00A813F0" w:rsidRDefault="004E47FD" w:rsidP="0091308D">
      <w:pPr>
        <w:pStyle w:val="Title"/>
        <w:numPr>
          <w:ilvl w:val="1"/>
          <w:numId w:val="0"/>
        </w:numPr>
      </w:pPr>
      <w:bookmarkStart w:id="0" w:name="_Toc91157791"/>
      <w:r>
        <w:rPr>
          <w:bCs w:val="0"/>
          <w:iCs/>
        </w:rPr>
        <w:t>Adjustments to the National Efficient Price Policy</w:t>
      </w:r>
      <w:bookmarkEnd w:id="0"/>
    </w:p>
    <w:p w14:paraId="36205654" w14:textId="3AAED1F8" w:rsidR="00023FFA" w:rsidRPr="00A813F0" w:rsidRDefault="00107D1E" w:rsidP="003112E9">
      <w:pPr>
        <w:pStyle w:val="Versionanddate"/>
        <w:sectPr w:rsidR="00023FFA" w:rsidRPr="00A813F0" w:rsidSect="008C2111">
          <w:headerReference w:type="even" r:id="rId8"/>
          <w:headerReference w:type="default" r:id="rId9"/>
          <w:footerReference w:type="even" r:id="rId10"/>
          <w:footerReference w:type="default" r:id="rId11"/>
          <w:headerReference w:type="first" r:id="rId12"/>
          <w:footerReference w:type="first" r:id="rId13"/>
          <w:pgSz w:w="11906" w:h="16838" w:code="9"/>
          <w:pgMar w:top="2041" w:right="1440" w:bottom="1021" w:left="1021" w:header="680" w:footer="510" w:gutter="0"/>
          <w:pgNumType w:start="1"/>
          <w:cols w:space="708"/>
          <w:docGrid w:linePitch="360"/>
        </w:sectPr>
      </w:pPr>
      <w:r w:rsidRPr="00A813F0">
        <w:rPr>
          <w:noProof/>
          <w:sz w:val="16"/>
          <w:szCs w:val="16"/>
        </w:rPr>
        <w:drawing>
          <wp:anchor distT="0" distB="0" distL="114300" distR="114300" simplePos="0" relativeHeight="251680768" behindDoc="1" locked="1" layoutInCell="0" allowOverlap="1" wp14:anchorId="7CF1F796" wp14:editId="69B41F5D">
            <wp:simplePos x="0" y="0"/>
            <wp:positionH relativeFrom="page">
              <wp:posOffset>0</wp:posOffset>
            </wp:positionH>
            <wp:positionV relativeFrom="page">
              <wp:posOffset>-1905</wp:posOffset>
            </wp:positionV>
            <wp:extent cx="7750810" cy="10963275"/>
            <wp:effectExtent l="0" t="0" r="2540" b="952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50810" cy="10963275"/>
                    </a:xfrm>
                    <a:prstGeom prst="rect">
                      <a:avLst/>
                    </a:prstGeom>
                  </pic:spPr>
                </pic:pic>
              </a:graphicData>
            </a:graphic>
            <wp14:sizeRelH relativeFrom="margin">
              <wp14:pctWidth>0</wp14:pctWidth>
            </wp14:sizeRelH>
            <wp14:sizeRelV relativeFrom="margin">
              <wp14:pctHeight>0</wp14:pctHeight>
            </wp14:sizeRelV>
          </wp:anchor>
        </w:drawing>
      </w:r>
      <w:r w:rsidR="0090452C">
        <w:t>May</w:t>
      </w:r>
      <w:r w:rsidR="00B317A1" w:rsidRPr="00A813F0">
        <w:t xml:space="preserve"> </w:t>
      </w:r>
      <w:r w:rsidR="007F2C66" w:rsidRPr="00A813F0">
        <w:t>202</w:t>
      </w:r>
      <w:r w:rsidR="00E37F9C">
        <w:t>2</w:t>
      </w:r>
    </w:p>
    <w:p w14:paraId="119CAA03" w14:textId="6686B571" w:rsidR="000C5F0B" w:rsidRPr="00A813F0" w:rsidRDefault="004E47FD" w:rsidP="00023FFA">
      <w:pPr>
        <w:pStyle w:val="Report"/>
      </w:pPr>
      <w:r>
        <w:lastRenderedPageBreak/>
        <w:t>Adjustments to the National Efficient Price Policy</w:t>
      </w:r>
      <w:r w:rsidR="000C447D" w:rsidRPr="00A813F0">
        <w:t xml:space="preserve"> </w:t>
      </w:r>
      <w:r w:rsidR="00886245" w:rsidRPr="006C543F">
        <w:t>–</w:t>
      </w:r>
      <w:r w:rsidR="001B13C6" w:rsidRPr="006C543F">
        <w:t xml:space="preserve"> </w:t>
      </w:r>
      <w:r w:rsidR="007F2C66" w:rsidRPr="006C543F">
        <w:t xml:space="preserve">Version </w:t>
      </w:r>
      <w:r w:rsidR="00925578" w:rsidRPr="006C543F">
        <w:t>4.0</w:t>
      </w:r>
      <w:r w:rsidR="006C543F">
        <w:t xml:space="preserve"> </w:t>
      </w:r>
      <w:r w:rsidR="0090452C">
        <w:t>May</w:t>
      </w:r>
      <w:r w:rsidR="0090452C" w:rsidRPr="00A813F0">
        <w:t> </w:t>
      </w:r>
      <w:r w:rsidR="007F2C66" w:rsidRPr="00A813F0">
        <w:t>202</w:t>
      </w:r>
      <w:r w:rsidR="00202B36">
        <w:t>2</w:t>
      </w:r>
    </w:p>
    <w:p w14:paraId="4232F23B" w14:textId="77777777" w:rsidR="00264416" w:rsidRPr="00A813F0" w:rsidRDefault="00264416" w:rsidP="000C5F0B"/>
    <w:p w14:paraId="3783A3AA" w14:textId="366C70C3" w:rsidR="000C5F0B" w:rsidRPr="00A813F0" w:rsidRDefault="000C5F0B" w:rsidP="000C5F0B">
      <w:r w:rsidRPr="00A813F0">
        <w:t xml:space="preserve">© Independent Hospital Pricing Authority </w:t>
      </w:r>
      <w:r w:rsidR="007F2C66" w:rsidRPr="00A813F0">
        <w:t>202</w:t>
      </w:r>
      <w:r w:rsidR="00653A2F">
        <w:t>2</w:t>
      </w:r>
    </w:p>
    <w:p w14:paraId="502A8F9E" w14:textId="77777777" w:rsidR="000C5F0B" w:rsidRPr="00A813F0" w:rsidRDefault="000C5F0B" w:rsidP="000C5F0B">
      <w:r w:rsidRPr="00A813F0">
        <w:t xml:space="preserve">This publication is available for your use under a </w:t>
      </w:r>
      <w:hyperlink r:id="rId15" w:history="1">
        <w:r w:rsidRPr="00A813F0">
          <w:t>Creative Commons BY Attribution 3.0 Australia</w:t>
        </w:r>
      </w:hyperlink>
      <w:r w:rsidRPr="00A813F0">
        <w:t xml:space="preserve"> licence, with the exception of the Independent Hospital Pricing Authority logo, photographs, images, signatures and where otherwise stated. The full licence terms are available from </w:t>
      </w:r>
      <w:hyperlink r:id="rId16" w:history="1">
        <w:r w:rsidRPr="00A813F0">
          <w:t>the Creative Commons website</w:t>
        </w:r>
      </w:hyperlink>
      <w:r w:rsidRPr="00A813F0">
        <w:t>.</w:t>
      </w:r>
    </w:p>
    <w:p w14:paraId="0BD47898" w14:textId="77777777" w:rsidR="000C5F0B" w:rsidRPr="00A813F0" w:rsidRDefault="000C5F0B" w:rsidP="000C5F0B">
      <w:r w:rsidRPr="00A813F0">
        <w:rPr>
          <w:rFonts w:cs="Calibri"/>
          <w:noProof/>
          <w:sz w:val="24"/>
        </w:rPr>
        <w:drawing>
          <wp:inline distT="0" distB="0" distL="0" distR="0" wp14:anchorId="3E2425F3" wp14:editId="0BD0BC17">
            <wp:extent cx="804087" cy="285750"/>
            <wp:effectExtent l="0" t="0" r="0" b="0"/>
            <wp:docPr id="12" name="Picture 12" descr="Licence mark" title="Creative Commons BY Attribution 3.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71230AAD" w14:textId="77777777" w:rsidR="000C5F0B" w:rsidRPr="00A813F0" w:rsidRDefault="000C5F0B" w:rsidP="000C5F0B">
      <w:r w:rsidRPr="00A813F0">
        <w:t xml:space="preserve">Use of Independent Hospital Pricing Authority material under a </w:t>
      </w:r>
      <w:hyperlink r:id="rId18" w:history="1">
        <w:r w:rsidRPr="00A813F0">
          <w:t>Creative Commons BY Attribution 3.0 Australia</w:t>
        </w:r>
      </w:hyperlink>
      <w:r w:rsidRPr="00A813F0">
        <w:t xml:space="preserve"> licence requires you to attribute the work (but not in any way that suggests that the Independent Hospital Pricing Authority endorses you or your use of the work).</w:t>
      </w:r>
    </w:p>
    <w:p w14:paraId="685D762C" w14:textId="77777777" w:rsidR="000C5F0B" w:rsidRPr="00A813F0" w:rsidRDefault="000C5F0B" w:rsidP="000C5F0B">
      <w:pPr>
        <w:rPr>
          <w:i/>
        </w:rPr>
      </w:pPr>
      <w:r w:rsidRPr="00A813F0">
        <w:rPr>
          <w:i/>
        </w:rPr>
        <w:t>Independent Hospital Pricing Authority material used 'as supplied'.</w:t>
      </w:r>
    </w:p>
    <w:p w14:paraId="648B6267" w14:textId="77777777" w:rsidR="000C5F0B" w:rsidRPr="00A813F0" w:rsidRDefault="000C5F0B" w:rsidP="000C5F0B">
      <w:r w:rsidRPr="00A813F0">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24B0340" w14:textId="77777777" w:rsidR="000C5F0B" w:rsidRPr="00A813F0" w:rsidRDefault="000C5F0B" w:rsidP="000C5F0B">
      <w:pPr>
        <w:pStyle w:val="NormalIndent"/>
        <w:rPr>
          <w:i/>
        </w:rPr>
      </w:pPr>
      <w:r w:rsidRPr="00A813F0">
        <w:rPr>
          <w:i/>
        </w:rPr>
        <w:t>Source: The Independent Hospital Pricing Authority</w:t>
      </w:r>
      <w:r w:rsidRPr="00A813F0">
        <w:rPr>
          <w:i/>
        </w:rPr>
        <w:br w:type="page"/>
      </w:r>
    </w:p>
    <w:p w14:paraId="22C8956E" w14:textId="77777777" w:rsidR="000C5F0B" w:rsidRPr="00A813F0" w:rsidRDefault="000C5F0B" w:rsidP="005A42A5">
      <w:pPr>
        <w:pStyle w:val="TOCHeading"/>
      </w:pPr>
      <w:r w:rsidRPr="00A813F0">
        <w:lastRenderedPageBreak/>
        <w:t xml:space="preserve">Table of </w:t>
      </w:r>
      <w:r w:rsidR="001D18CD" w:rsidRPr="00A813F0">
        <w:t>c</w:t>
      </w:r>
      <w:r w:rsidRPr="00A813F0">
        <w:t>ontents</w:t>
      </w:r>
    </w:p>
    <w:p w14:paraId="399527EC" w14:textId="5428EF12" w:rsidR="001B7043" w:rsidRDefault="00023FFA">
      <w:pPr>
        <w:pStyle w:val="TOC1"/>
        <w:rPr>
          <w:rFonts w:asciiTheme="minorHAnsi" w:eastAsiaTheme="minorEastAsia" w:hAnsiTheme="minorHAnsi" w:cstheme="minorBidi"/>
          <w:b w:val="0"/>
          <w:szCs w:val="22"/>
        </w:rPr>
      </w:pPr>
      <w:r w:rsidRPr="00A813F0">
        <w:rPr>
          <w:rFonts w:eastAsiaTheme="minorEastAsia"/>
        </w:rPr>
        <w:fldChar w:fldCharType="begin"/>
      </w:r>
      <w:r w:rsidRPr="00A813F0">
        <w:rPr>
          <w:rFonts w:eastAsiaTheme="minorEastAsia"/>
        </w:rPr>
        <w:instrText xml:space="preserve"> TOC \o "1-3" \h \z \u </w:instrText>
      </w:r>
      <w:r w:rsidRPr="00A813F0">
        <w:rPr>
          <w:rFonts w:eastAsiaTheme="minorEastAsia"/>
        </w:rPr>
        <w:fldChar w:fldCharType="separate"/>
      </w:r>
      <w:hyperlink w:anchor="_Toc91157792" w:history="1">
        <w:r w:rsidR="001B7043" w:rsidRPr="00773995">
          <w:rPr>
            <w:rStyle w:val="Hyperlink"/>
          </w:rPr>
          <w:t>Acronyms and abbreviations</w:t>
        </w:r>
        <w:r w:rsidR="001B7043">
          <w:rPr>
            <w:webHidden/>
          </w:rPr>
          <w:tab/>
        </w:r>
        <w:r w:rsidR="001B7043">
          <w:rPr>
            <w:webHidden/>
          </w:rPr>
          <w:fldChar w:fldCharType="begin"/>
        </w:r>
        <w:r w:rsidR="001B7043">
          <w:rPr>
            <w:webHidden/>
          </w:rPr>
          <w:instrText xml:space="preserve"> PAGEREF _Toc91157792 \h </w:instrText>
        </w:r>
        <w:r w:rsidR="001B7043">
          <w:rPr>
            <w:webHidden/>
          </w:rPr>
        </w:r>
        <w:r w:rsidR="001B7043">
          <w:rPr>
            <w:webHidden/>
          </w:rPr>
          <w:fldChar w:fldCharType="separate"/>
        </w:r>
        <w:r w:rsidR="00A46796">
          <w:rPr>
            <w:webHidden/>
          </w:rPr>
          <w:t>3</w:t>
        </w:r>
        <w:r w:rsidR="001B7043">
          <w:rPr>
            <w:webHidden/>
          </w:rPr>
          <w:fldChar w:fldCharType="end"/>
        </w:r>
      </w:hyperlink>
    </w:p>
    <w:p w14:paraId="2A296652" w14:textId="5FEE5211" w:rsidR="001B7043" w:rsidRDefault="00545A66">
      <w:pPr>
        <w:pStyle w:val="TOC1"/>
        <w:rPr>
          <w:rFonts w:asciiTheme="minorHAnsi" w:eastAsiaTheme="minorEastAsia" w:hAnsiTheme="minorHAnsi" w:cstheme="minorBidi"/>
          <w:b w:val="0"/>
          <w:szCs w:val="22"/>
        </w:rPr>
      </w:pPr>
      <w:hyperlink w:anchor="_Toc91157793" w:history="1">
        <w:r w:rsidR="001B7043" w:rsidRPr="00773995">
          <w:rPr>
            <w:rStyle w:val="Hyperlink"/>
            <w:rFonts w:eastAsia="Arial"/>
            <w:lang w:val="en-US" w:eastAsia="ja-JP"/>
          </w:rPr>
          <w:t>Definitions</w:t>
        </w:r>
        <w:r w:rsidR="001B7043">
          <w:rPr>
            <w:webHidden/>
          </w:rPr>
          <w:tab/>
        </w:r>
        <w:r w:rsidR="001B7043">
          <w:rPr>
            <w:webHidden/>
          </w:rPr>
          <w:fldChar w:fldCharType="begin"/>
        </w:r>
        <w:r w:rsidR="001B7043">
          <w:rPr>
            <w:webHidden/>
          </w:rPr>
          <w:instrText xml:space="preserve"> PAGEREF _Toc91157793 \h </w:instrText>
        </w:r>
        <w:r w:rsidR="001B7043">
          <w:rPr>
            <w:webHidden/>
          </w:rPr>
        </w:r>
        <w:r w:rsidR="001B7043">
          <w:rPr>
            <w:webHidden/>
          </w:rPr>
          <w:fldChar w:fldCharType="separate"/>
        </w:r>
        <w:r w:rsidR="00A46796">
          <w:rPr>
            <w:webHidden/>
          </w:rPr>
          <w:t>4</w:t>
        </w:r>
        <w:r w:rsidR="001B7043">
          <w:rPr>
            <w:webHidden/>
          </w:rPr>
          <w:fldChar w:fldCharType="end"/>
        </w:r>
      </w:hyperlink>
    </w:p>
    <w:p w14:paraId="11472C9C" w14:textId="2EBC153C" w:rsidR="001B7043" w:rsidRDefault="00545A66">
      <w:pPr>
        <w:pStyle w:val="TOC1"/>
        <w:tabs>
          <w:tab w:val="left" w:pos="440"/>
        </w:tabs>
        <w:rPr>
          <w:rFonts w:asciiTheme="minorHAnsi" w:eastAsiaTheme="minorEastAsia" w:hAnsiTheme="minorHAnsi" w:cstheme="minorBidi"/>
          <w:b w:val="0"/>
          <w:szCs w:val="22"/>
        </w:rPr>
      </w:pPr>
      <w:hyperlink w:anchor="_Toc91157794" w:history="1">
        <w:r w:rsidR="001B7043" w:rsidRPr="00773995">
          <w:rPr>
            <w:rStyle w:val="Hyperlink"/>
          </w:rPr>
          <w:t>1.</w:t>
        </w:r>
        <w:r w:rsidR="001B7043">
          <w:rPr>
            <w:rFonts w:asciiTheme="minorHAnsi" w:eastAsiaTheme="minorEastAsia" w:hAnsiTheme="minorHAnsi" w:cstheme="minorBidi"/>
            <w:b w:val="0"/>
            <w:szCs w:val="22"/>
          </w:rPr>
          <w:tab/>
        </w:r>
        <w:r w:rsidR="001B7043" w:rsidRPr="00773995">
          <w:rPr>
            <w:rStyle w:val="Hyperlink"/>
          </w:rPr>
          <w:t>Executive summary</w:t>
        </w:r>
        <w:r w:rsidR="001B7043">
          <w:rPr>
            <w:webHidden/>
          </w:rPr>
          <w:tab/>
        </w:r>
        <w:r w:rsidR="001B7043">
          <w:rPr>
            <w:webHidden/>
          </w:rPr>
          <w:fldChar w:fldCharType="begin"/>
        </w:r>
        <w:r w:rsidR="001B7043">
          <w:rPr>
            <w:webHidden/>
          </w:rPr>
          <w:instrText xml:space="preserve"> PAGEREF _Toc91157794 \h </w:instrText>
        </w:r>
        <w:r w:rsidR="001B7043">
          <w:rPr>
            <w:webHidden/>
          </w:rPr>
        </w:r>
        <w:r w:rsidR="001B7043">
          <w:rPr>
            <w:webHidden/>
          </w:rPr>
          <w:fldChar w:fldCharType="separate"/>
        </w:r>
        <w:r w:rsidR="00A46796">
          <w:rPr>
            <w:webHidden/>
          </w:rPr>
          <w:t>5</w:t>
        </w:r>
        <w:r w:rsidR="001B7043">
          <w:rPr>
            <w:webHidden/>
          </w:rPr>
          <w:fldChar w:fldCharType="end"/>
        </w:r>
      </w:hyperlink>
    </w:p>
    <w:p w14:paraId="728727D2" w14:textId="65601716" w:rsidR="001B7043" w:rsidRDefault="00545A66">
      <w:pPr>
        <w:pStyle w:val="TOC2"/>
        <w:tabs>
          <w:tab w:val="left" w:pos="660"/>
          <w:tab w:val="right" w:leader="dot" w:pos="9435"/>
        </w:tabs>
        <w:rPr>
          <w:rFonts w:asciiTheme="minorHAnsi" w:eastAsiaTheme="minorEastAsia" w:hAnsiTheme="minorHAnsi" w:cstheme="minorBidi"/>
          <w:szCs w:val="22"/>
        </w:rPr>
      </w:pPr>
      <w:hyperlink w:anchor="_Toc91157795" w:history="1">
        <w:r w:rsidR="001B7043" w:rsidRPr="00773995">
          <w:rPr>
            <w:rStyle w:val="Hyperlink"/>
          </w:rPr>
          <w:t>1.1</w:t>
        </w:r>
        <w:r w:rsidR="001B7043">
          <w:rPr>
            <w:rFonts w:asciiTheme="minorHAnsi" w:eastAsiaTheme="minorEastAsia" w:hAnsiTheme="minorHAnsi" w:cstheme="minorBidi"/>
            <w:szCs w:val="22"/>
          </w:rPr>
          <w:tab/>
        </w:r>
        <w:r w:rsidR="001B7043" w:rsidRPr="00773995">
          <w:rPr>
            <w:rStyle w:val="Hyperlink"/>
          </w:rPr>
          <w:t>Background</w:t>
        </w:r>
        <w:r w:rsidR="001B7043">
          <w:rPr>
            <w:webHidden/>
          </w:rPr>
          <w:tab/>
        </w:r>
        <w:r w:rsidR="001B7043">
          <w:rPr>
            <w:webHidden/>
          </w:rPr>
          <w:fldChar w:fldCharType="begin"/>
        </w:r>
        <w:r w:rsidR="001B7043">
          <w:rPr>
            <w:webHidden/>
          </w:rPr>
          <w:instrText xml:space="preserve"> PAGEREF _Toc91157795 \h </w:instrText>
        </w:r>
        <w:r w:rsidR="001B7043">
          <w:rPr>
            <w:webHidden/>
          </w:rPr>
        </w:r>
        <w:r w:rsidR="001B7043">
          <w:rPr>
            <w:webHidden/>
          </w:rPr>
          <w:fldChar w:fldCharType="separate"/>
        </w:r>
        <w:r w:rsidR="00A46796">
          <w:rPr>
            <w:webHidden/>
          </w:rPr>
          <w:t>5</w:t>
        </w:r>
        <w:r w:rsidR="001B7043">
          <w:rPr>
            <w:webHidden/>
          </w:rPr>
          <w:fldChar w:fldCharType="end"/>
        </w:r>
      </w:hyperlink>
    </w:p>
    <w:p w14:paraId="460FAA9C" w14:textId="0C30F7C3" w:rsidR="001B7043" w:rsidRDefault="00545A66">
      <w:pPr>
        <w:pStyle w:val="TOC2"/>
        <w:tabs>
          <w:tab w:val="left" w:pos="660"/>
          <w:tab w:val="right" w:leader="dot" w:pos="9435"/>
        </w:tabs>
        <w:rPr>
          <w:rFonts w:asciiTheme="minorHAnsi" w:eastAsiaTheme="minorEastAsia" w:hAnsiTheme="minorHAnsi" w:cstheme="minorBidi"/>
          <w:szCs w:val="22"/>
        </w:rPr>
      </w:pPr>
      <w:hyperlink w:anchor="_Toc91157796" w:history="1">
        <w:r w:rsidR="001B7043" w:rsidRPr="00773995">
          <w:rPr>
            <w:rStyle w:val="Hyperlink"/>
          </w:rPr>
          <w:t>1.2</w:t>
        </w:r>
        <w:r w:rsidR="001B7043">
          <w:rPr>
            <w:rFonts w:asciiTheme="minorHAnsi" w:eastAsiaTheme="minorEastAsia" w:hAnsiTheme="minorHAnsi" w:cstheme="minorBidi"/>
            <w:szCs w:val="22"/>
          </w:rPr>
          <w:tab/>
        </w:r>
        <w:r w:rsidR="001B7043" w:rsidRPr="00773995">
          <w:rPr>
            <w:rStyle w:val="Hyperlink"/>
          </w:rPr>
          <w:t>Purpose</w:t>
        </w:r>
        <w:r w:rsidR="001B7043">
          <w:rPr>
            <w:webHidden/>
          </w:rPr>
          <w:tab/>
        </w:r>
        <w:r w:rsidR="001B7043">
          <w:rPr>
            <w:webHidden/>
          </w:rPr>
          <w:fldChar w:fldCharType="begin"/>
        </w:r>
        <w:r w:rsidR="001B7043">
          <w:rPr>
            <w:webHidden/>
          </w:rPr>
          <w:instrText xml:space="preserve"> PAGEREF _Toc91157796 \h </w:instrText>
        </w:r>
        <w:r w:rsidR="001B7043">
          <w:rPr>
            <w:webHidden/>
          </w:rPr>
        </w:r>
        <w:r w:rsidR="001B7043">
          <w:rPr>
            <w:webHidden/>
          </w:rPr>
          <w:fldChar w:fldCharType="separate"/>
        </w:r>
        <w:r w:rsidR="00A46796">
          <w:rPr>
            <w:webHidden/>
          </w:rPr>
          <w:t>5</w:t>
        </w:r>
        <w:r w:rsidR="001B7043">
          <w:rPr>
            <w:webHidden/>
          </w:rPr>
          <w:fldChar w:fldCharType="end"/>
        </w:r>
      </w:hyperlink>
    </w:p>
    <w:p w14:paraId="6210FE4F" w14:textId="35C68D7A" w:rsidR="001B7043" w:rsidRDefault="00545A66">
      <w:pPr>
        <w:pStyle w:val="TOC2"/>
        <w:tabs>
          <w:tab w:val="left" w:pos="660"/>
          <w:tab w:val="right" w:leader="dot" w:pos="9435"/>
        </w:tabs>
        <w:rPr>
          <w:rFonts w:asciiTheme="minorHAnsi" w:eastAsiaTheme="minorEastAsia" w:hAnsiTheme="minorHAnsi" w:cstheme="minorBidi"/>
          <w:szCs w:val="22"/>
        </w:rPr>
      </w:pPr>
      <w:hyperlink w:anchor="_Toc91157797" w:history="1">
        <w:r w:rsidR="001B7043" w:rsidRPr="00773995">
          <w:rPr>
            <w:rStyle w:val="Hyperlink"/>
          </w:rPr>
          <w:t>1.3</w:t>
        </w:r>
        <w:r w:rsidR="001B7043">
          <w:rPr>
            <w:rFonts w:asciiTheme="minorHAnsi" w:eastAsiaTheme="minorEastAsia" w:hAnsiTheme="minorHAnsi" w:cstheme="minorBidi"/>
            <w:szCs w:val="22"/>
          </w:rPr>
          <w:tab/>
        </w:r>
        <w:r w:rsidR="001B7043" w:rsidRPr="00773995">
          <w:rPr>
            <w:rStyle w:val="Hyperlink"/>
          </w:rPr>
          <w:t>Review</w:t>
        </w:r>
        <w:r w:rsidR="001B7043">
          <w:rPr>
            <w:webHidden/>
          </w:rPr>
          <w:tab/>
        </w:r>
        <w:r w:rsidR="001B7043">
          <w:rPr>
            <w:webHidden/>
          </w:rPr>
          <w:fldChar w:fldCharType="begin"/>
        </w:r>
        <w:r w:rsidR="001B7043">
          <w:rPr>
            <w:webHidden/>
          </w:rPr>
          <w:instrText xml:space="preserve"> PAGEREF _Toc91157797 \h </w:instrText>
        </w:r>
        <w:r w:rsidR="001B7043">
          <w:rPr>
            <w:webHidden/>
          </w:rPr>
        </w:r>
        <w:r w:rsidR="001B7043">
          <w:rPr>
            <w:webHidden/>
          </w:rPr>
          <w:fldChar w:fldCharType="separate"/>
        </w:r>
        <w:r w:rsidR="00A46796">
          <w:rPr>
            <w:webHidden/>
          </w:rPr>
          <w:t>5</w:t>
        </w:r>
        <w:r w:rsidR="001B7043">
          <w:rPr>
            <w:webHidden/>
          </w:rPr>
          <w:fldChar w:fldCharType="end"/>
        </w:r>
      </w:hyperlink>
    </w:p>
    <w:p w14:paraId="40F8FC28" w14:textId="13A8E562" w:rsidR="001B7043" w:rsidRDefault="00545A66">
      <w:pPr>
        <w:pStyle w:val="TOC1"/>
        <w:tabs>
          <w:tab w:val="left" w:pos="440"/>
        </w:tabs>
        <w:rPr>
          <w:rFonts w:asciiTheme="minorHAnsi" w:eastAsiaTheme="minorEastAsia" w:hAnsiTheme="minorHAnsi" w:cstheme="minorBidi"/>
          <w:b w:val="0"/>
          <w:szCs w:val="22"/>
        </w:rPr>
      </w:pPr>
      <w:hyperlink w:anchor="_Toc91157798" w:history="1">
        <w:r w:rsidR="001B7043" w:rsidRPr="00773995">
          <w:rPr>
            <w:rStyle w:val="Hyperlink"/>
          </w:rPr>
          <w:t>2.</w:t>
        </w:r>
        <w:r w:rsidR="001B7043">
          <w:rPr>
            <w:rFonts w:asciiTheme="minorHAnsi" w:eastAsiaTheme="minorEastAsia" w:hAnsiTheme="minorHAnsi" w:cstheme="minorBidi"/>
            <w:b w:val="0"/>
            <w:szCs w:val="22"/>
          </w:rPr>
          <w:tab/>
        </w:r>
        <w:r w:rsidR="001B7043" w:rsidRPr="00773995">
          <w:rPr>
            <w:rStyle w:val="Hyperlink"/>
          </w:rPr>
          <w:t>What is a legitimate and unavoidable cost variation?</w:t>
        </w:r>
        <w:r w:rsidR="001B7043">
          <w:rPr>
            <w:webHidden/>
          </w:rPr>
          <w:tab/>
        </w:r>
        <w:r w:rsidR="001B7043">
          <w:rPr>
            <w:webHidden/>
          </w:rPr>
          <w:fldChar w:fldCharType="begin"/>
        </w:r>
        <w:r w:rsidR="001B7043">
          <w:rPr>
            <w:webHidden/>
          </w:rPr>
          <w:instrText xml:space="preserve"> PAGEREF _Toc91157798 \h </w:instrText>
        </w:r>
        <w:r w:rsidR="001B7043">
          <w:rPr>
            <w:webHidden/>
          </w:rPr>
        </w:r>
        <w:r w:rsidR="001B7043">
          <w:rPr>
            <w:webHidden/>
          </w:rPr>
          <w:fldChar w:fldCharType="separate"/>
        </w:r>
        <w:r w:rsidR="00A46796">
          <w:rPr>
            <w:webHidden/>
          </w:rPr>
          <w:t>6</w:t>
        </w:r>
        <w:r w:rsidR="001B7043">
          <w:rPr>
            <w:webHidden/>
          </w:rPr>
          <w:fldChar w:fldCharType="end"/>
        </w:r>
      </w:hyperlink>
    </w:p>
    <w:p w14:paraId="2AEE741B" w14:textId="02C2F986" w:rsidR="001B7043" w:rsidRDefault="00545A66">
      <w:pPr>
        <w:pStyle w:val="TOC2"/>
        <w:tabs>
          <w:tab w:val="left" w:pos="660"/>
          <w:tab w:val="right" w:leader="dot" w:pos="9435"/>
        </w:tabs>
        <w:rPr>
          <w:rFonts w:asciiTheme="minorHAnsi" w:eastAsiaTheme="minorEastAsia" w:hAnsiTheme="minorHAnsi" w:cstheme="minorBidi"/>
          <w:szCs w:val="22"/>
        </w:rPr>
      </w:pPr>
      <w:hyperlink w:anchor="_Toc91157799" w:history="1">
        <w:r w:rsidR="001B7043" w:rsidRPr="00773995">
          <w:rPr>
            <w:rStyle w:val="Hyperlink"/>
          </w:rPr>
          <w:t>2.1</w:t>
        </w:r>
        <w:r w:rsidR="001B7043">
          <w:rPr>
            <w:rFonts w:asciiTheme="minorHAnsi" w:eastAsiaTheme="minorEastAsia" w:hAnsiTheme="minorHAnsi" w:cstheme="minorBidi"/>
            <w:szCs w:val="22"/>
          </w:rPr>
          <w:tab/>
        </w:r>
        <w:r w:rsidR="001B7043" w:rsidRPr="00773995">
          <w:rPr>
            <w:rStyle w:val="Hyperlink"/>
          </w:rPr>
          <w:t>Overview</w:t>
        </w:r>
        <w:r w:rsidR="001B7043">
          <w:rPr>
            <w:webHidden/>
          </w:rPr>
          <w:tab/>
        </w:r>
        <w:r w:rsidR="001B7043">
          <w:rPr>
            <w:webHidden/>
          </w:rPr>
          <w:fldChar w:fldCharType="begin"/>
        </w:r>
        <w:r w:rsidR="001B7043">
          <w:rPr>
            <w:webHidden/>
          </w:rPr>
          <w:instrText xml:space="preserve"> PAGEREF _Toc91157799 \h </w:instrText>
        </w:r>
        <w:r w:rsidR="001B7043">
          <w:rPr>
            <w:webHidden/>
          </w:rPr>
        </w:r>
        <w:r w:rsidR="001B7043">
          <w:rPr>
            <w:webHidden/>
          </w:rPr>
          <w:fldChar w:fldCharType="separate"/>
        </w:r>
        <w:r w:rsidR="00A46796">
          <w:rPr>
            <w:webHidden/>
          </w:rPr>
          <w:t>6</w:t>
        </w:r>
        <w:r w:rsidR="001B7043">
          <w:rPr>
            <w:webHidden/>
          </w:rPr>
          <w:fldChar w:fldCharType="end"/>
        </w:r>
      </w:hyperlink>
    </w:p>
    <w:p w14:paraId="18E90707" w14:textId="38D22AFB" w:rsidR="001B7043" w:rsidRDefault="00545A66">
      <w:pPr>
        <w:pStyle w:val="TOC2"/>
        <w:tabs>
          <w:tab w:val="left" w:pos="660"/>
          <w:tab w:val="right" w:leader="dot" w:pos="9435"/>
        </w:tabs>
        <w:rPr>
          <w:rFonts w:asciiTheme="minorHAnsi" w:eastAsiaTheme="minorEastAsia" w:hAnsiTheme="minorHAnsi" w:cstheme="minorBidi"/>
          <w:szCs w:val="22"/>
        </w:rPr>
      </w:pPr>
      <w:hyperlink w:anchor="_Toc91157800" w:history="1">
        <w:r w:rsidR="001B7043" w:rsidRPr="00773995">
          <w:rPr>
            <w:rStyle w:val="Hyperlink"/>
          </w:rPr>
          <w:t>2.2</w:t>
        </w:r>
        <w:r w:rsidR="001B7043">
          <w:rPr>
            <w:rFonts w:asciiTheme="minorHAnsi" w:eastAsiaTheme="minorEastAsia" w:hAnsiTheme="minorHAnsi" w:cstheme="minorBidi"/>
            <w:szCs w:val="22"/>
          </w:rPr>
          <w:tab/>
        </w:r>
        <w:r w:rsidR="001B7043" w:rsidRPr="00773995">
          <w:rPr>
            <w:rStyle w:val="Hyperlink"/>
          </w:rPr>
          <w:t>Eligibility criteria</w:t>
        </w:r>
        <w:r w:rsidR="001B7043">
          <w:rPr>
            <w:webHidden/>
          </w:rPr>
          <w:tab/>
        </w:r>
        <w:r w:rsidR="001B7043">
          <w:rPr>
            <w:webHidden/>
          </w:rPr>
          <w:fldChar w:fldCharType="begin"/>
        </w:r>
        <w:r w:rsidR="001B7043">
          <w:rPr>
            <w:webHidden/>
          </w:rPr>
          <w:instrText xml:space="preserve"> PAGEREF _Toc91157800 \h </w:instrText>
        </w:r>
        <w:r w:rsidR="001B7043">
          <w:rPr>
            <w:webHidden/>
          </w:rPr>
        </w:r>
        <w:r w:rsidR="001B7043">
          <w:rPr>
            <w:webHidden/>
          </w:rPr>
          <w:fldChar w:fldCharType="separate"/>
        </w:r>
        <w:r w:rsidR="00A46796">
          <w:rPr>
            <w:webHidden/>
          </w:rPr>
          <w:t>6</w:t>
        </w:r>
        <w:r w:rsidR="001B7043">
          <w:rPr>
            <w:webHidden/>
          </w:rPr>
          <w:fldChar w:fldCharType="end"/>
        </w:r>
      </w:hyperlink>
    </w:p>
    <w:p w14:paraId="3EBF5B81" w14:textId="14C13FF9" w:rsidR="001B7043" w:rsidRDefault="00545A66">
      <w:pPr>
        <w:pStyle w:val="TOC1"/>
        <w:tabs>
          <w:tab w:val="left" w:pos="440"/>
        </w:tabs>
        <w:rPr>
          <w:rFonts w:asciiTheme="minorHAnsi" w:eastAsiaTheme="minorEastAsia" w:hAnsiTheme="minorHAnsi" w:cstheme="minorBidi"/>
          <w:b w:val="0"/>
          <w:szCs w:val="22"/>
        </w:rPr>
      </w:pPr>
      <w:hyperlink w:anchor="_Toc91157801" w:history="1">
        <w:r w:rsidR="001B7043" w:rsidRPr="00773995">
          <w:rPr>
            <w:rStyle w:val="Hyperlink"/>
          </w:rPr>
          <w:t>3.</w:t>
        </w:r>
        <w:r w:rsidR="001B7043">
          <w:rPr>
            <w:rFonts w:asciiTheme="minorHAnsi" w:eastAsiaTheme="minorEastAsia" w:hAnsiTheme="minorHAnsi" w:cstheme="minorBidi"/>
            <w:b w:val="0"/>
            <w:szCs w:val="22"/>
          </w:rPr>
          <w:tab/>
        </w:r>
        <w:r w:rsidR="001B7043" w:rsidRPr="00773995">
          <w:rPr>
            <w:rStyle w:val="Hyperlink"/>
          </w:rPr>
          <w:t>Assessment process</w:t>
        </w:r>
        <w:r w:rsidR="001B7043">
          <w:rPr>
            <w:webHidden/>
          </w:rPr>
          <w:tab/>
        </w:r>
        <w:r w:rsidR="001B7043">
          <w:rPr>
            <w:webHidden/>
          </w:rPr>
          <w:fldChar w:fldCharType="begin"/>
        </w:r>
        <w:r w:rsidR="001B7043">
          <w:rPr>
            <w:webHidden/>
          </w:rPr>
          <w:instrText xml:space="preserve"> PAGEREF _Toc91157801 \h </w:instrText>
        </w:r>
        <w:r w:rsidR="001B7043">
          <w:rPr>
            <w:webHidden/>
          </w:rPr>
        </w:r>
        <w:r w:rsidR="001B7043">
          <w:rPr>
            <w:webHidden/>
          </w:rPr>
          <w:fldChar w:fldCharType="separate"/>
        </w:r>
        <w:r w:rsidR="00A46796">
          <w:rPr>
            <w:webHidden/>
          </w:rPr>
          <w:t>8</w:t>
        </w:r>
        <w:r w:rsidR="001B7043">
          <w:rPr>
            <w:webHidden/>
          </w:rPr>
          <w:fldChar w:fldCharType="end"/>
        </w:r>
      </w:hyperlink>
    </w:p>
    <w:p w14:paraId="4E263409" w14:textId="63F0CF21" w:rsidR="001B7043" w:rsidRDefault="00545A66">
      <w:pPr>
        <w:pStyle w:val="TOC2"/>
        <w:tabs>
          <w:tab w:val="right" w:leader="dot" w:pos="9435"/>
        </w:tabs>
        <w:rPr>
          <w:rFonts w:asciiTheme="minorHAnsi" w:eastAsiaTheme="minorEastAsia" w:hAnsiTheme="minorHAnsi" w:cstheme="minorBidi"/>
          <w:szCs w:val="22"/>
        </w:rPr>
      </w:pPr>
      <w:hyperlink w:anchor="_Toc91157802" w:history="1">
        <w:r w:rsidR="001B7043" w:rsidRPr="00773995">
          <w:rPr>
            <w:rStyle w:val="Hyperlink"/>
          </w:rPr>
          <w:t>Stage 1: Request for assessment</w:t>
        </w:r>
        <w:r w:rsidR="001B7043">
          <w:rPr>
            <w:webHidden/>
          </w:rPr>
          <w:tab/>
        </w:r>
        <w:r w:rsidR="001B7043">
          <w:rPr>
            <w:webHidden/>
          </w:rPr>
          <w:fldChar w:fldCharType="begin"/>
        </w:r>
        <w:r w:rsidR="001B7043">
          <w:rPr>
            <w:webHidden/>
          </w:rPr>
          <w:instrText xml:space="preserve"> PAGEREF _Toc91157802 \h </w:instrText>
        </w:r>
        <w:r w:rsidR="001B7043">
          <w:rPr>
            <w:webHidden/>
          </w:rPr>
        </w:r>
        <w:r w:rsidR="001B7043">
          <w:rPr>
            <w:webHidden/>
          </w:rPr>
          <w:fldChar w:fldCharType="separate"/>
        </w:r>
        <w:r w:rsidR="00A46796">
          <w:rPr>
            <w:webHidden/>
          </w:rPr>
          <w:t>9</w:t>
        </w:r>
        <w:r w:rsidR="001B7043">
          <w:rPr>
            <w:webHidden/>
          </w:rPr>
          <w:fldChar w:fldCharType="end"/>
        </w:r>
      </w:hyperlink>
    </w:p>
    <w:p w14:paraId="5F08A5F5" w14:textId="483D4A95" w:rsidR="001B7043" w:rsidRDefault="00545A66">
      <w:pPr>
        <w:pStyle w:val="TOC2"/>
        <w:tabs>
          <w:tab w:val="right" w:leader="dot" w:pos="9435"/>
        </w:tabs>
        <w:rPr>
          <w:rFonts w:asciiTheme="minorHAnsi" w:eastAsiaTheme="minorEastAsia" w:hAnsiTheme="minorHAnsi" w:cstheme="minorBidi"/>
          <w:szCs w:val="22"/>
        </w:rPr>
      </w:pPr>
      <w:hyperlink w:anchor="_Toc91157805" w:history="1">
        <w:r w:rsidR="001B7043" w:rsidRPr="00773995">
          <w:rPr>
            <w:rStyle w:val="Hyperlink"/>
          </w:rPr>
          <w:t>Stage 2: Assessment</w:t>
        </w:r>
        <w:r w:rsidR="001B7043">
          <w:rPr>
            <w:webHidden/>
          </w:rPr>
          <w:tab/>
        </w:r>
        <w:r w:rsidR="001B7043">
          <w:rPr>
            <w:webHidden/>
          </w:rPr>
          <w:fldChar w:fldCharType="begin"/>
        </w:r>
        <w:r w:rsidR="001B7043">
          <w:rPr>
            <w:webHidden/>
          </w:rPr>
          <w:instrText xml:space="preserve"> PAGEREF _Toc91157805 \h </w:instrText>
        </w:r>
        <w:r w:rsidR="001B7043">
          <w:rPr>
            <w:webHidden/>
          </w:rPr>
        </w:r>
        <w:r w:rsidR="001B7043">
          <w:rPr>
            <w:webHidden/>
          </w:rPr>
          <w:fldChar w:fldCharType="separate"/>
        </w:r>
        <w:r w:rsidR="00A46796">
          <w:rPr>
            <w:webHidden/>
          </w:rPr>
          <w:t>9</w:t>
        </w:r>
        <w:r w:rsidR="001B7043">
          <w:rPr>
            <w:webHidden/>
          </w:rPr>
          <w:fldChar w:fldCharType="end"/>
        </w:r>
      </w:hyperlink>
    </w:p>
    <w:p w14:paraId="6B37A617" w14:textId="5D1DB220" w:rsidR="001B7043" w:rsidRDefault="00545A66">
      <w:pPr>
        <w:pStyle w:val="TOC2"/>
        <w:tabs>
          <w:tab w:val="right" w:leader="dot" w:pos="9435"/>
        </w:tabs>
        <w:rPr>
          <w:rFonts w:asciiTheme="minorHAnsi" w:eastAsiaTheme="minorEastAsia" w:hAnsiTheme="minorHAnsi" w:cstheme="minorBidi"/>
          <w:szCs w:val="22"/>
        </w:rPr>
      </w:pPr>
      <w:hyperlink w:anchor="_Toc91157809" w:history="1">
        <w:r w:rsidR="001B7043" w:rsidRPr="00773995">
          <w:rPr>
            <w:rStyle w:val="Hyperlink"/>
          </w:rPr>
          <w:t>Stage 3: Draft decision</w:t>
        </w:r>
        <w:r w:rsidR="001B7043">
          <w:rPr>
            <w:webHidden/>
          </w:rPr>
          <w:tab/>
        </w:r>
        <w:r w:rsidR="001B7043">
          <w:rPr>
            <w:webHidden/>
          </w:rPr>
          <w:fldChar w:fldCharType="begin"/>
        </w:r>
        <w:r w:rsidR="001B7043">
          <w:rPr>
            <w:webHidden/>
          </w:rPr>
          <w:instrText xml:space="preserve"> PAGEREF _Toc91157809 \h </w:instrText>
        </w:r>
        <w:r w:rsidR="001B7043">
          <w:rPr>
            <w:webHidden/>
          </w:rPr>
        </w:r>
        <w:r w:rsidR="001B7043">
          <w:rPr>
            <w:webHidden/>
          </w:rPr>
          <w:fldChar w:fldCharType="separate"/>
        </w:r>
        <w:r w:rsidR="00A46796">
          <w:rPr>
            <w:webHidden/>
          </w:rPr>
          <w:t>10</w:t>
        </w:r>
        <w:r w:rsidR="001B7043">
          <w:rPr>
            <w:webHidden/>
          </w:rPr>
          <w:fldChar w:fldCharType="end"/>
        </w:r>
      </w:hyperlink>
    </w:p>
    <w:p w14:paraId="6DC9745E" w14:textId="6A3E262B" w:rsidR="001B7043" w:rsidRDefault="00545A66">
      <w:pPr>
        <w:pStyle w:val="TOC2"/>
        <w:tabs>
          <w:tab w:val="right" w:leader="dot" w:pos="9435"/>
        </w:tabs>
        <w:rPr>
          <w:rFonts w:asciiTheme="minorHAnsi" w:eastAsiaTheme="minorEastAsia" w:hAnsiTheme="minorHAnsi" w:cstheme="minorBidi"/>
          <w:szCs w:val="22"/>
        </w:rPr>
      </w:pPr>
      <w:hyperlink w:anchor="_Toc91157813" w:history="1">
        <w:r w:rsidR="001B7043" w:rsidRPr="00773995">
          <w:rPr>
            <w:rStyle w:val="Hyperlink"/>
          </w:rPr>
          <w:t>Stage 4: Final decision</w:t>
        </w:r>
        <w:r w:rsidR="001B7043">
          <w:rPr>
            <w:webHidden/>
          </w:rPr>
          <w:tab/>
        </w:r>
        <w:r w:rsidR="001B7043">
          <w:rPr>
            <w:webHidden/>
          </w:rPr>
          <w:fldChar w:fldCharType="begin"/>
        </w:r>
        <w:r w:rsidR="001B7043">
          <w:rPr>
            <w:webHidden/>
          </w:rPr>
          <w:instrText xml:space="preserve"> PAGEREF _Toc91157813 \h </w:instrText>
        </w:r>
        <w:r w:rsidR="001B7043">
          <w:rPr>
            <w:webHidden/>
          </w:rPr>
        </w:r>
        <w:r w:rsidR="001B7043">
          <w:rPr>
            <w:webHidden/>
          </w:rPr>
          <w:fldChar w:fldCharType="separate"/>
        </w:r>
        <w:r w:rsidR="00A46796">
          <w:rPr>
            <w:webHidden/>
          </w:rPr>
          <w:t>11</w:t>
        </w:r>
        <w:r w:rsidR="001B7043">
          <w:rPr>
            <w:webHidden/>
          </w:rPr>
          <w:fldChar w:fldCharType="end"/>
        </w:r>
      </w:hyperlink>
    </w:p>
    <w:p w14:paraId="560BF6E2" w14:textId="7AF91207" w:rsidR="001B7043" w:rsidRDefault="00545A66">
      <w:pPr>
        <w:pStyle w:val="TOC1"/>
        <w:rPr>
          <w:rFonts w:asciiTheme="minorHAnsi" w:eastAsiaTheme="minorEastAsia" w:hAnsiTheme="minorHAnsi" w:cstheme="minorBidi"/>
          <w:b w:val="0"/>
          <w:szCs w:val="22"/>
        </w:rPr>
      </w:pPr>
      <w:hyperlink w:anchor="_Toc91157816" w:history="1">
        <w:r w:rsidR="001B7043" w:rsidRPr="00773995">
          <w:rPr>
            <w:rStyle w:val="Hyperlink"/>
            <w:rFonts w:eastAsia="Arial"/>
            <w:lang w:val="en-US" w:eastAsia="ja-JP"/>
          </w:rPr>
          <w:t>Appendix A: Guidance on evidence to be included in the request for assessment</w:t>
        </w:r>
        <w:r w:rsidR="001B7043">
          <w:rPr>
            <w:webHidden/>
          </w:rPr>
          <w:tab/>
        </w:r>
        <w:r w:rsidR="001B7043">
          <w:rPr>
            <w:webHidden/>
          </w:rPr>
          <w:fldChar w:fldCharType="begin"/>
        </w:r>
        <w:r w:rsidR="001B7043">
          <w:rPr>
            <w:webHidden/>
          </w:rPr>
          <w:instrText xml:space="preserve"> PAGEREF _Toc91157816 \h </w:instrText>
        </w:r>
        <w:r w:rsidR="001B7043">
          <w:rPr>
            <w:webHidden/>
          </w:rPr>
        </w:r>
        <w:r w:rsidR="001B7043">
          <w:rPr>
            <w:webHidden/>
          </w:rPr>
          <w:fldChar w:fldCharType="separate"/>
        </w:r>
        <w:r w:rsidR="00A46796">
          <w:rPr>
            <w:webHidden/>
          </w:rPr>
          <w:t>12</w:t>
        </w:r>
        <w:r w:rsidR="001B7043">
          <w:rPr>
            <w:webHidden/>
          </w:rPr>
          <w:fldChar w:fldCharType="end"/>
        </w:r>
      </w:hyperlink>
    </w:p>
    <w:p w14:paraId="5FC09AE5" w14:textId="4FE8A05A" w:rsidR="00D20357" w:rsidRPr="00A813F0" w:rsidRDefault="00023FFA" w:rsidP="00D20357">
      <w:pPr>
        <w:pStyle w:val="TOC1"/>
        <w:rPr>
          <w:rFonts w:eastAsiaTheme="minorEastAsia"/>
        </w:rPr>
      </w:pPr>
      <w:r w:rsidRPr="00A813F0">
        <w:rPr>
          <w:rFonts w:eastAsiaTheme="minorEastAsia"/>
        </w:rPr>
        <w:fldChar w:fldCharType="end"/>
      </w:r>
      <w:bookmarkStart w:id="1" w:name="_Toc311098417"/>
      <w:bookmarkStart w:id="2" w:name="_Toc315686597"/>
      <w:bookmarkStart w:id="3" w:name="_Toc321400845"/>
      <w:bookmarkStart w:id="4" w:name="_Toc335212319"/>
      <w:bookmarkStart w:id="5" w:name="_Toc358984482"/>
      <w:bookmarkStart w:id="6" w:name="_Toc413682847"/>
      <w:bookmarkStart w:id="7" w:name="_Toc413683963"/>
      <w:bookmarkStart w:id="8" w:name="_Toc413843563"/>
    </w:p>
    <w:p w14:paraId="22F3F623" w14:textId="77777777" w:rsidR="002E02D7" w:rsidRPr="00A813F0" w:rsidRDefault="002E02D7">
      <w:pPr>
        <w:spacing w:before="0" w:after="0" w:line="240" w:lineRule="auto"/>
        <w:rPr>
          <w:rFonts w:asciiTheme="majorHAnsi" w:hAnsiTheme="majorHAnsi"/>
          <w:b/>
          <w:sz w:val="64"/>
          <w:szCs w:val="44"/>
        </w:rPr>
      </w:pPr>
      <w:r w:rsidRPr="00A813F0">
        <w:br w:type="page"/>
      </w:r>
    </w:p>
    <w:p w14:paraId="7B0331DB" w14:textId="66DC0D37" w:rsidR="000C5F0B" w:rsidRPr="00A813F0" w:rsidRDefault="000C5F0B" w:rsidP="00D20357">
      <w:pPr>
        <w:pStyle w:val="Heading1"/>
      </w:pPr>
      <w:bookmarkStart w:id="9" w:name="_Toc91157792"/>
      <w:r w:rsidRPr="00A813F0">
        <w:lastRenderedPageBreak/>
        <w:t xml:space="preserve">Acronyms and </w:t>
      </w:r>
      <w:r w:rsidR="001D18CD" w:rsidRPr="00A813F0">
        <w:t>a</w:t>
      </w:r>
      <w:r w:rsidRPr="00A813F0">
        <w:t>bbreviations</w:t>
      </w:r>
      <w:bookmarkEnd w:id="1"/>
      <w:bookmarkEnd w:id="2"/>
      <w:bookmarkEnd w:id="3"/>
      <w:bookmarkEnd w:id="4"/>
      <w:bookmarkEnd w:id="5"/>
      <w:bookmarkEnd w:id="6"/>
      <w:bookmarkEnd w:id="7"/>
      <w:bookmarkEnd w:id="8"/>
      <w:bookmarkEnd w:id="9"/>
    </w:p>
    <w:tbl>
      <w:tblPr>
        <w:tblW w:w="8798" w:type="dxa"/>
        <w:tblLook w:val="01E0" w:firstRow="1" w:lastRow="1" w:firstColumn="1" w:lastColumn="1" w:noHBand="0" w:noVBand="0"/>
        <w:tblDescription w:val="list of acronyms and abbreviations which appear in the Dispute Resolution Framework, version 2.0."/>
      </w:tblPr>
      <w:tblGrid>
        <w:gridCol w:w="2410"/>
        <w:gridCol w:w="6388"/>
      </w:tblGrid>
      <w:tr w:rsidR="00002C94" w:rsidRPr="00A813F0" w14:paraId="0E622521" w14:textId="77777777" w:rsidTr="00101FF5">
        <w:tc>
          <w:tcPr>
            <w:tcW w:w="2410" w:type="dxa"/>
          </w:tcPr>
          <w:p w14:paraId="449CA9A0" w14:textId="77777777" w:rsidR="00002C94" w:rsidRPr="00A813F0" w:rsidRDefault="00002C94" w:rsidP="00023FFA">
            <w:pPr>
              <w:adjustRightInd w:val="0"/>
              <w:snapToGrid w:val="0"/>
              <w:spacing w:line="264" w:lineRule="auto"/>
              <w:rPr>
                <w:rFonts w:cs="Arial"/>
                <w:b/>
              </w:rPr>
            </w:pPr>
            <w:r w:rsidRPr="00A813F0">
              <w:rPr>
                <w:rFonts w:cs="Arial"/>
                <w:b/>
              </w:rPr>
              <w:t xml:space="preserve">CGC </w:t>
            </w:r>
          </w:p>
        </w:tc>
        <w:tc>
          <w:tcPr>
            <w:tcW w:w="6388" w:type="dxa"/>
          </w:tcPr>
          <w:p w14:paraId="49243DC2" w14:textId="77777777" w:rsidR="00002C94" w:rsidRPr="00A813F0" w:rsidRDefault="00002C94" w:rsidP="00023FFA">
            <w:r w:rsidRPr="00A813F0">
              <w:t xml:space="preserve">Commonwealth </w:t>
            </w:r>
            <w:r w:rsidRPr="00A813F0">
              <w:rPr>
                <w:szCs w:val="22"/>
              </w:rPr>
              <w:t>Grants Commission</w:t>
            </w:r>
          </w:p>
        </w:tc>
      </w:tr>
      <w:tr w:rsidR="00002C94" w:rsidRPr="00A813F0" w14:paraId="546808F7" w14:textId="77777777" w:rsidTr="00101FF5">
        <w:tc>
          <w:tcPr>
            <w:tcW w:w="2410" w:type="dxa"/>
          </w:tcPr>
          <w:p w14:paraId="66371ACF" w14:textId="77777777" w:rsidR="00002C94" w:rsidRPr="00A813F0" w:rsidRDefault="00002C94" w:rsidP="00023FFA">
            <w:pPr>
              <w:adjustRightInd w:val="0"/>
              <w:snapToGrid w:val="0"/>
              <w:spacing w:line="264" w:lineRule="auto"/>
              <w:rPr>
                <w:rFonts w:cs="Arial"/>
                <w:b/>
              </w:rPr>
            </w:pPr>
            <w:r w:rsidRPr="00A813F0">
              <w:rPr>
                <w:rFonts w:cs="Arial"/>
                <w:b/>
              </w:rPr>
              <w:t>IHPA</w:t>
            </w:r>
          </w:p>
        </w:tc>
        <w:tc>
          <w:tcPr>
            <w:tcW w:w="6388" w:type="dxa"/>
          </w:tcPr>
          <w:p w14:paraId="6B0C5D66" w14:textId="77777777" w:rsidR="00002C94" w:rsidRPr="00A813F0" w:rsidRDefault="00002C94" w:rsidP="00023FFA">
            <w:r w:rsidRPr="00A813F0">
              <w:rPr>
                <w:szCs w:val="22"/>
              </w:rPr>
              <w:t>Independent Hospital Pricing Authority</w:t>
            </w:r>
          </w:p>
        </w:tc>
      </w:tr>
      <w:tr w:rsidR="00002C94" w:rsidRPr="00A813F0" w14:paraId="442EB7A3" w14:textId="77777777" w:rsidTr="00101FF5">
        <w:tc>
          <w:tcPr>
            <w:tcW w:w="2410" w:type="dxa"/>
          </w:tcPr>
          <w:p w14:paraId="362CCFC3" w14:textId="77777777" w:rsidR="00002C94" w:rsidRPr="00A813F0" w:rsidRDefault="00002C94" w:rsidP="00023FFA">
            <w:pPr>
              <w:adjustRightInd w:val="0"/>
              <w:snapToGrid w:val="0"/>
              <w:spacing w:line="264" w:lineRule="auto"/>
              <w:rPr>
                <w:rFonts w:cs="Arial"/>
                <w:b/>
              </w:rPr>
            </w:pPr>
            <w:r w:rsidRPr="00A813F0">
              <w:rPr>
                <w:rFonts w:cs="Arial"/>
                <w:b/>
              </w:rPr>
              <w:t>NEP</w:t>
            </w:r>
          </w:p>
        </w:tc>
        <w:tc>
          <w:tcPr>
            <w:tcW w:w="6388" w:type="dxa"/>
          </w:tcPr>
          <w:p w14:paraId="702B321F" w14:textId="4FB064D6" w:rsidR="00002C94" w:rsidRPr="00A813F0" w:rsidRDefault="00002C94" w:rsidP="007F2C66">
            <w:r w:rsidRPr="00A813F0">
              <w:rPr>
                <w:szCs w:val="22"/>
              </w:rPr>
              <w:t xml:space="preserve">National </w:t>
            </w:r>
            <w:r w:rsidR="007F2C66" w:rsidRPr="00A813F0">
              <w:rPr>
                <w:szCs w:val="22"/>
              </w:rPr>
              <w:t>efficient price</w:t>
            </w:r>
          </w:p>
        </w:tc>
      </w:tr>
      <w:tr w:rsidR="00214AAE" w:rsidRPr="00A813F0" w14:paraId="53DA308C" w14:textId="77777777" w:rsidTr="00101FF5">
        <w:tc>
          <w:tcPr>
            <w:tcW w:w="2410" w:type="dxa"/>
          </w:tcPr>
          <w:p w14:paraId="6BE8DDC6" w14:textId="77777777" w:rsidR="00214AAE" w:rsidRPr="00A813F0" w:rsidRDefault="00214AAE" w:rsidP="00023FFA">
            <w:pPr>
              <w:adjustRightInd w:val="0"/>
              <w:snapToGrid w:val="0"/>
              <w:spacing w:line="264" w:lineRule="auto"/>
              <w:rPr>
                <w:rFonts w:cs="Arial"/>
                <w:b/>
              </w:rPr>
            </w:pPr>
            <w:r w:rsidRPr="00A813F0">
              <w:rPr>
                <w:rFonts w:cs="Arial"/>
                <w:b/>
              </w:rPr>
              <w:t>Pricing Framework</w:t>
            </w:r>
          </w:p>
        </w:tc>
        <w:tc>
          <w:tcPr>
            <w:tcW w:w="6388" w:type="dxa"/>
          </w:tcPr>
          <w:p w14:paraId="5F90DF7A" w14:textId="77777777" w:rsidR="00214AAE" w:rsidRPr="00991A22" w:rsidRDefault="00214AAE" w:rsidP="0087766C">
            <w:pPr>
              <w:rPr>
                <w:i/>
              </w:rPr>
            </w:pPr>
            <w:r w:rsidRPr="00991A22">
              <w:rPr>
                <w:i/>
              </w:rPr>
              <w:t>Pricing Framework for Australian Public Hospital Services</w:t>
            </w:r>
          </w:p>
        </w:tc>
      </w:tr>
      <w:tr w:rsidR="007F2C66" w:rsidRPr="00A813F0" w14:paraId="1CE22200" w14:textId="77777777" w:rsidTr="00101FF5">
        <w:tc>
          <w:tcPr>
            <w:tcW w:w="2410" w:type="dxa"/>
          </w:tcPr>
          <w:p w14:paraId="2B41D550" w14:textId="3A2E3A7E" w:rsidR="007F2C66" w:rsidRPr="00A813F0" w:rsidRDefault="007F2C66" w:rsidP="007F2C66">
            <w:pPr>
              <w:adjustRightInd w:val="0"/>
              <w:snapToGrid w:val="0"/>
              <w:spacing w:line="264" w:lineRule="auto"/>
              <w:rPr>
                <w:rFonts w:cs="Arial"/>
                <w:b/>
              </w:rPr>
            </w:pPr>
            <w:r w:rsidRPr="00A813F0">
              <w:rPr>
                <w:rFonts w:cs="Arial"/>
                <w:b/>
              </w:rPr>
              <w:t>The Act</w:t>
            </w:r>
          </w:p>
        </w:tc>
        <w:tc>
          <w:tcPr>
            <w:tcW w:w="6388" w:type="dxa"/>
          </w:tcPr>
          <w:p w14:paraId="17A12A58" w14:textId="0A50D3F1" w:rsidR="007F2C66" w:rsidRPr="00A813F0" w:rsidRDefault="007F2C66" w:rsidP="007F2C66">
            <w:pPr>
              <w:rPr>
                <w:i/>
              </w:rPr>
            </w:pPr>
            <w:r w:rsidRPr="00A813F0">
              <w:rPr>
                <w:i/>
              </w:rPr>
              <w:t xml:space="preserve">National Health Reform Act 2011 </w:t>
            </w:r>
            <w:r w:rsidRPr="00A813F0">
              <w:t>(Cwlth)</w:t>
            </w:r>
          </w:p>
        </w:tc>
      </w:tr>
      <w:tr w:rsidR="007F2C66" w:rsidRPr="00A813F0" w14:paraId="656A42CB" w14:textId="77777777" w:rsidTr="00101FF5">
        <w:tc>
          <w:tcPr>
            <w:tcW w:w="2410" w:type="dxa"/>
          </w:tcPr>
          <w:p w14:paraId="16F129F2" w14:textId="634A1F07" w:rsidR="007F2C66" w:rsidRPr="00A813F0" w:rsidDel="007F2C66" w:rsidRDefault="007F2C66" w:rsidP="007F2C66">
            <w:pPr>
              <w:adjustRightInd w:val="0"/>
              <w:snapToGrid w:val="0"/>
              <w:spacing w:line="264" w:lineRule="auto"/>
              <w:rPr>
                <w:rFonts w:cs="Arial"/>
                <w:b/>
              </w:rPr>
            </w:pPr>
            <w:r w:rsidRPr="00A813F0">
              <w:rPr>
                <w:rFonts w:cs="Arial"/>
                <w:b/>
              </w:rPr>
              <w:t>The Addendum</w:t>
            </w:r>
          </w:p>
        </w:tc>
        <w:tc>
          <w:tcPr>
            <w:tcW w:w="6388" w:type="dxa"/>
          </w:tcPr>
          <w:p w14:paraId="3CE2D74C" w14:textId="007D3A85" w:rsidR="007F2C66" w:rsidRPr="00A813F0" w:rsidRDefault="007F2C66" w:rsidP="007F2C66">
            <w:r w:rsidRPr="00A813F0">
              <w:t>Addendum to the National Health Reform Agreement 2020–25</w:t>
            </w:r>
          </w:p>
        </w:tc>
      </w:tr>
      <w:tr w:rsidR="007F2C66" w:rsidRPr="00A813F0" w14:paraId="68929C4B" w14:textId="77777777" w:rsidTr="00101FF5">
        <w:tc>
          <w:tcPr>
            <w:tcW w:w="2410" w:type="dxa"/>
          </w:tcPr>
          <w:p w14:paraId="748553E8" w14:textId="0ED8E273" w:rsidR="007F2C66" w:rsidRPr="00A813F0" w:rsidRDefault="007F2C66" w:rsidP="007F2C66">
            <w:pPr>
              <w:adjustRightInd w:val="0"/>
              <w:snapToGrid w:val="0"/>
              <w:spacing w:line="264" w:lineRule="auto"/>
              <w:rPr>
                <w:rFonts w:cs="Arial"/>
                <w:b/>
              </w:rPr>
            </w:pPr>
            <w:r w:rsidRPr="00A813F0">
              <w:rPr>
                <w:rFonts w:cs="Arial"/>
                <w:b/>
              </w:rPr>
              <w:t>Th</w:t>
            </w:r>
            <w:r w:rsidR="00BC6F7D">
              <w:rPr>
                <w:rFonts w:cs="Arial"/>
                <w:b/>
              </w:rPr>
              <w:t>is</w:t>
            </w:r>
            <w:r w:rsidRPr="00A813F0">
              <w:rPr>
                <w:rFonts w:cs="Arial"/>
                <w:b/>
              </w:rPr>
              <w:t xml:space="preserve"> </w:t>
            </w:r>
            <w:r w:rsidR="004E47FD">
              <w:rPr>
                <w:rFonts w:cs="Arial"/>
                <w:b/>
              </w:rPr>
              <w:t>Policy</w:t>
            </w:r>
          </w:p>
        </w:tc>
        <w:tc>
          <w:tcPr>
            <w:tcW w:w="6388" w:type="dxa"/>
          </w:tcPr>
          <w:p w14:paraId="39F0DE72" w14:textId="31741DA3" w:rsidR="007F2C66" w:rsidRPr="00A813F0" w:rsidRDefault="004E47FD" w:rsidP="007F2C66">
            <w:r>
              <w:t>Adjustment</w:t>
            </w:r>
            <w:r w:rsidR="00BC6F7D">
              <w:t>s</w:t>
            </w:r>
            <w:r>
              <w:t xml:space="preserve"> to the National Efficient Price Policy</w:t>
            </w:r>
          </w:p>
        </w:tc>
      </w:tr>
      <w:tr w:rsidR="007F2C66" w:rsidRPr="00A813F0" w14:paraId="2C3D60EE" w14:textId="77777777" w:rsidTr="00101FF5">
        <w:tc>
          <w:tcPr>
            <w:tcW w:w="2410" w:type="dxa"/>
          </w:tcPr>
          <w:p w14:paraId="5B82E421" w14:textId="5BE88AD7" w:rsidR="007F2C66" w:rsidRPr="00A813F0" w:rsidRDefault="007F2C66" w:rsidP="007F2C66">
            <w:pPr>
              <w:adjustRightInd w:val="0"/>
              <w:snapToGrid w:val="0"/>
              <w:spacing w:line="264" w:lineRule="auto"/>
              <w:rPr>
                <w:rFonts w:cs="Arial"/>
                <w:b/>
              </w:rPr>
            </w:pPr>
          </w:p>
        </w:tc>
        <w:tc>
          <w:tcPr>
            <w:tcW w:w="6388" w:type="dxa"/>
          </w:tcPr>
          <w:p w14:paraId="47769BA2" w14:textId="33E77109" w:rsidR="007F2C66" w:rsidRPr="00A813F0" w:rsidRDefault="007F2C66" w:rsidP="007F2C66"/>
        </w:tc>
      </w:tr>
    </w:tbl>
    <w:p w14:paraId="49BC6473" w14:textId="77777777" w:rsidR="00D50777" w:rsidRPr="00A813F0" w:rsidRDefault="00D50777" w:rsidP="006271CD">
      <w:pPr>
        <w:rPr>
          <w:rFonts w:eastAsia="Arial"/>
        </w:rPr>
      </w:pPr>
      <w:r w:rsidRPr="00A813F0">
        <w:rPr>
          <w:rFonts w:eastAsia="Arial"/>
          <w:lang w:val="en-US" w:eastAsia="ja-JP"/>
        </w:rPr>
        <w:br w:type="page"/>
      </w:r>
    </w:p>
    <w:p w14:paraId="5B666F62" w14:textId="0918995B" w:rsidR="000C5F0B" w:rsidRPr="00A813F0" w:rsidRDefault="000C5F0B" w:rsidP="006D4E9F">
      <w:pPr>
        <w:pStyle w:val="Heading1"/>
        <w:rPr>
          <w:sz w:val="28"/>
        </w:rPr>
      </w:pPr>
      <w:bookmarkStart w:id="10" w:name="_Toc91157793"/>
      <w:r w:rsidRPr="00A813F0">
        <w:rPr>
          <w:rFonts w:eastAsia="Arial"/>
          <w:lang w:val="en-US" w:eastAsia="ja-JP"/>
        </w:rPr>
        <w:lastRenderedPageBreak/>
        <w:t>Definitions</w:t>
      </w:r>
      <w:bookmarkEnd w:id="10"/>
    </w:p>
    <w:tbl>
      <w:tblPr>
        <w:tblW w:w="9288" w:type="dxa"/>
        <w:tblLook w:val="01E0" w:firstRow="1" w:lastRow="1" w:firstColumn="1" w:lastColumn="1" w:noHBand="0" w:noVBand="0"/>
      </w:tblPr>
      <w:tblGrid>
        <w:gridCol w:w="2376"/>
        <w:gridCol w:w="6912"/>
      </w:tblGrid>
      <w:tr w:rsidR="00940083" w:rsidRPr="00A813F0" w14:paraId="448FE21A" w14:textId="0CA01578" w:rsidTr="00023FFA">
        <w:tc>
          <w:tcPr>
            <w:tcW w:w="2376" w:type="dxa"/>
            <w:hideMark/>
          </w:tcPr>
          <w:p w14:paraId="03CBFA1E" w14:textId="210DF1AA" w:rsidR="00940083" w:rsidRPr="00A813F0" w:rsidRDefault="00940083" w:rsidP="00023FFA">
            <w:pPr>
              <w:rPr>
                <w:b/>
              </w:rPr>
            </w:pPr>
            <w:bookmarkStart w:id="11" w:name="_Toc413682849"/>
            <w:bookmarkStart w:id="12" w:name="_Toc391977096"/>
            <w:r w:rsidRPr="00A813F0">
              <w:rPr>
                <w:b/>
              </w:rPr>
              <w:t>Activity based funding</w:t>
            </w:r>
          </w:p>
        </w:tc>
        <w:tc>
          <w:tcPr>
            <w:tcW w:w="6912" w:type="dxa"/>
            <w:hideMark/>
          </w:tcPr>
          <w:p w14:paraId="4346F982" w14:textId="713977EA" w:rsidR="00940083" w:rsidRPr="00A813F0" w:rsidRDefault="007D0033" w:rsidP="00023FFA">
            <w:r w:rsidRPr="00A813F0">
              <w:rPr>
                <w:rFonts w:asciiTheme="minorHAnsi" w:hAnsiTheme="minorHAnsi" w:cstheme="minorHAnsi"/>
              </w:rPr>
              <w:t>Refers to a system for funding public hospital services provided to individual patients using national classifications, cost weights and nationally efficient prices developed by the Independent Hospital Pricing Authority (IHPA), as outlined in the Addendum to the National Health Reform Agreement 2020–25 (the Addendum).</w:t>
            </w:r>
          </w:p>
          <w:p w14:paraId="14DEDB4D" w14:textId="3E20D535" w:rsidR="00940083" w:rsidRPr="00A813F0" w:rsidRDefault="003355EA">
            <w:r w:rsidRPr="00A813F0">
              <w:t>An activity based funding activity may take the form of a separation, presentation or service event.</w:t>
            </w:r>
          </w:p>
        </w:tc>
      </w:tr>
      <w:tr w:rsidR="00940083" w:rsidRPr="00A813F0" w14:paraId="006F9F3A" w14:textId="4B21EB7B" w:rsidTr="00023FFA">
        <w:tc>
          <w:tcPr>
            <w:tcW w:w="2376" w:type="dxa"/>
            <w:hideMark/>
          </w:tcPr>
          <w:p w14:paraId="5EE1E413" w14:textId="46FBF8BD" w:rsidR="00940083" w:rsidRPr="00A813F0" w:rsidRDefault="00940083" w:rsidP="00940083">
            <w:pPr>
              <w:rPr>
                <w:b/>
              </w:rPr>
            </w:pPr>
            <w:r w:rsidRPr="00A813F0">
              <w:rPr>
                <w:b/>
              </w:rPr>
              <w:t>Patient complexity</w:t>
            </w:r>
          </w:p>
          <w:p w14:paraId="1AF78492" w14:textId="4B823AE8" w:rsidR="00940083" w:rsidRPr="00A813F0" w:rsidRDefault="00940083" w:rsidP="00023FFA">
            <w:pPr>
              <w:rPr>
                <w:b/>
              </w:rPr>
            </w:pPr>
          </w:p>
        </w:tc>
        <w:tc>
          <w:tcPr>
            <w:tcW w:w="6912" w:type="dxa"/>
            <w:hideMark/>
          </w:tcPr>
          <w:p w14:paraId="24A59C73" w14:textId="61E316B8" w:rsidR="00940083" w:rsidRPr="00A813F0" w:rsidRDefault="00940083" w:rsidP="00F82DA6">
            <w:r w:rsidRPr="00A813F0">
              <w:t>Patient</w:t>
            </w:r>
            <w:r w:rsidR="00BC6F7D">
              <w:t>-</w:t>
            </w:r>
            <w:r w:rsidRPr="00A813F0">
              <w:t>related factors which impact the cost of providing public hospital services (</w:t>
            </w:r>
            <w:r w:rsidR="008E0FBD">
              <w:t>including</w:t>
            </w:r>
            <w:r w:rsidRPr="00A813F0">
              <w:t xml:space="preserve"> Indigenous status), which are not </w:t>
            </w:r>
            <w:r w:rsidR="00F82DA6">
              <w:t>captured by</w:t>
            </w:r>
            <w:r w:rsidRPr="00A813F0">
              <w:t xml:space="preserve"> the classification</w:t>
            </w:r>
            <w:r w:rsidR="00F82DA6">
              <w:t xml:space="preserve"> </w:t>
            </w:r>
            <w:r w:rsidR="008E0FBD">
              <w:t>s</w:t>
            </w:r>
            <w:r w:rsidR="00F82DA6">
              <w:t>ystem</w:t>
            </w:r>
            <w:r w:rsidRPr="00A813F0">
              <w:t xml:space="preserve">. </w:t>
            </w:r>
          </w:p>
        </w:tc>
      </w:tr>
      <w:tr w:rsidR="00940083" w:rsidRPr="00A813F0" w14:paraId="50FD3119" w14:textId="54E2B72F" w:rsidTr="00023FFA">
        <w:tc>
          <w:tcPr>
            <w:tcW w:w="2376" w:type="dxa"/>
            <w:hideMark/>
          </w:tcPr>
          <w:p w14:paraId="553C376E" w14:textId="76ECD5BF" w:rsidR="00940083" w:rsidRPr="00A813F0" w:rsidRDefault="00940083" w:rsidP="00023FFA">
            <w:pPr>
              <w:rPr>
                <w:b/>
              </w:rPr>
            </w:pPr>
            <w:r w:rsidRPr="00A813F0">
              <w:rPr>
                <w:rFonts w:eastAsia="Arial"/>
                <w:b/>
              </w:rPr>
              <w:t>Public hospital services</w:t>
            </w:r>
          </w:p>
        </w:tc>
        <w:tc>
          <w:tcPr>
            <w:tcW w:w="6912" w:type="dxa"/>
            <w:hideMark/>
          </w:tcPr>
          <w:p w14:paraId="02275C1F" w14:textId="16BD132C" w:rsidR="00940083" w:rsidRPr="00A813F0" w:rsidRDefault="00940083" w:rsidP="00940083">
            <w:r w:rsidRPr="00A813F0">
              <w:t>From 1 July 2013, the scope of public hospital services eligible for Commonwealth funding will be</w:t>
            </w:r>
            <w:r w:rsidRPr="00A813F0">
              <w:rPr>
                <w:rStyle w:val="FootnoteReference"/>
              </w:rPr>
              <w:footnoteReference w:id="1"/>
            </w:r>
            <w:r w:rsidRPr="00A813F0">
              <w:rPr>
                <w:vertAlign w:val="superscript"/>
              </w:rPr>
              <w:t>,</w:t>
            </w:r>
            <w:r w:rsidRPr="00A813F0">
              <w:rPr>
                <w:rStyle w:val="FootnoteReference"/>
              </w:rPr>
              <w:footnoteReference w:id="2"/>
            </w:r>
            <w:r w:rsidR="007D0033" w:rsidRPr="00A813F0">
              <w:t>:</w:t>
            </w:r>
          </w:p>
          <w:p w14:paraId="3B05B215" w14:textId="3D397883" w:rsidR="00940083" w:rsidRPr="00A813F0" w:rsidRDefault="00BC6F7D" w:rsidP="005F61EC">
            <w:pPr>
              <w:pStyle w:val="ListParagraph"/>
              <w:numPr>
                <w:ilvl w:val="0"/>
                <w:numId w:val="26"/>
              </w:numPr>
            </w:pPr>
            <w:r>
              <w:t>a</w:t>
            </w:r>
            <w:r w:rsidR="00940083" w:rsidRPr="00A813F0">
              <w:t>ll admitted programs, including hospital in the home programs</w:t>
            </w:r>
            <w:r w:rsidR="008E0FBD">
              <w:t>;</w:t>
            </w:r>
          </w:p>
          <w:p w14:paraId="648D9889" w14:textId="60D11BF8" w:rsidR="00940083" w:rsidRPr="00A813F0" w:rsidRDefault="00BC6F7D" w:rsidP="005F61EC">
            <w:pPr>
              <w:pStyle w:val="ListParagraph"/>
              <w:numPr>
                <w:ilvl w:val="0"/>
                <w:numId w:val="26"/>
              </w:numPr>
            </w:pPr>
            <w:r>
              <w:t>a</w:t>
            </w:r>
            <w:r w:rsidR="00940083" w:rsidRPr="00A813F0">
              <w:t>ll emergency department services</w:t>
            </w:r>
            <w:r w:rsidR="008E0FBD">
              <w:t>; and</w:t>
            </w:r>
          </w:p>
          <w:p w14:paraId="2721A680" w14:textId="5FEB8D99" w:rsidR="00940083" w:rsidRPr="00A813F0" w:rsidRDefault="00BC6F7D" w:rsidP="00BC6F7D">
            <w:pPr>
              <w:pStyle w:val="ListParagraph"/>
              <w:numPr>
                <w:ilvl w:val="0"/>
                <w:numId w:val="26"/>
              </w:numPr>
            </w:pPr>
            <w:r>
              <w:t>n</w:t>
            </w:r>
            <w:r w:rsidR="00940083" w:rsidRPr="00A813F0">
              <w:t xml:space="preserve">on-admitted services that meet the criteria for inclusion </w:t>
            </w:r>
            <w:r>
              <w:t>on</w:t>
            </w:r>
            <w:r w:rsidRPr="00A813F0">
              <w:t xml:space="preserve"> </w:t>
            </w:r>
            <w:r w:rsidR="00940083" w:rsidRPr="00A813F0">
              <w:t>the IHPA General List</w:t>
            </w:r>
            <w:r>
              <w:t xml:space="preserve"> </w:t>
            </w:r>
            <w:r w:rsidRPr="00BC6F7D">
              <w:t>of In-Scope Public Hospital Services</w:t>
            </w:r>
            <w:r w:rsidR="00940083" w:rsidRPr="00A813F0">
              <w:t>.</w:t>
            </w:r>
          </w:p>
        </w:tc>
      </w:tr>
      <w:tr w:rsidR="00940083" w:rsidRPr="00A813F0" w14:paraId="2D212E87" w14:textId="051C47CE" w:rsidTr="00023FFA">
        <w:tc>
          <w:tcPr>
            <w:tcW w:w="2376" w:type="dxa"/>
          </w:tcPr>
          <w:p w14:paraId="1C51798E" w14:textId="798315F5" w:rsidR="00940083" w:rsidRPr="00A813F0" w:rsidRDefault="00940083" w:rsidP="00023FFA">
            <w:pPr>
              <w:rPr>
                <w:b/>
              </w:rPr>
            </w:pPr>
            <w:r w:rsidRPr="00A813F0">
              <w:rPr>
                <w:rFonts w:eastAsia="Arial"/>
                <w:b/>
              </w:rPr>
              <w:t>Pricing Authority</w:t>
            </w:r>
          </w:p>
        </w:tc>
        <w:tc>
          <w:tcPr>
            <w:tcW w:w="6912" w:type="dxa"/>
          </w:tcPr>
          <w:p w14:paraId="7CB0FE85" w14:textId="312212FC" w:rsidR="00940083" w:rsidRPr="00A813F0" w:rsidRDefault="00940083">
            <w:pPr>
              <w:rPr>
                <w:rFonts w:eastAsia="Arial"/>
              </w:rPr>
            </w:pPr>
            <w:r w:rsidRPr="00A813F0">
              <w:rPr>
                <w:rFonts w:eastAsia="Arial"/>
              </w:rPr>
              <w:t xml:space="preserve">The governing body of IHPA established under the </w:t>
            </w:r>
            <w:r w:rsidRPr="00A813F0">
              <w:rPr>
                <w:rFonts w:eastAsia="Arial"/>
                <w:i/>
                <w:iCs/>
                <w:lang w:eastAsia="en-US"/>
              </w:rPr>
              <w:t>National Health Reform Act 2011</w:t>
            </w:r>
            <w:r w:rsidR="00583797" w:rsidRPr="00A813F0">
              <w:rPr>
                <w:rFonts w:eastAsia="Arial"/>
                <w:i/>
                <w:iCs/>
                <w:lang w:eastAsia="en-US"/>
              </w:rPr>
              <w:t xml:space="preserve"> </w:t>
            </w:r>
            <w:r w:rsidR="00583797" w:rsidRPr="00A813F0">
              <w:rPr>
                <w:rFonts w:eastAsia="Arial"/>
                <w:iCs/>
                <w:lang w:eastAsia="en-US"/>
              </w:rPr>
              <w:t>(Cwlth)</w:t>
            </w:r>
            <w:r w:rsidRPr="00A813F0">
              <w:rPr>
                <w:rFonts w:eastAsia="Arial"/>
              </w:rPr>
              <w:t>.</w:t>
            </w:r>
          </w:p>
        </w:tc>
      </w:tr>
      <w:tr w:rsidR="00940083" w:rsidRPr="00A813F0" w14:paraId="14E78405" w14:textId="36A8645C" w:rsidTr="00023FFA">
        <w:tc>
          <w:tcPr>
            <w:tcW w:w="2376" w:type="dxa"/>
          </w:tcPr>
          <w:p w14:paraId="6D02AE68" w14:textId="57662DCD" w:rsidR="00940083" w:rsidRPr="00A813F0" w:rsidRDefault="00940083" w:rsidP="00023FFA">
            <w:pPr>
              <w:rPr>
                <w:b/>
              </w:rPr>
            </w:pPr>
            <w:r w:rsidRPr="00A813F0">
              <w:rPr>
                <w:b/>
              </w:rPr>
              <w:t>Legitimate and unavoidable costs</w:t>
            </w:r>
            <w:r w:rsidRPr="00A813F0">
              <w:rPr>
                <w:rFonts w:eastAsia="Arial"/>
                <w:b/>
              </w:rPr>
              <w:t xml:space="preserve"> </w:t>
            </w:r>
          </w:p>
        </w:tc>
        <w:tc>
          <w:tcPr>
            <w:tcW w:w="6912" w:type="dxa"/>
          </w:tcPr>
          <w:p w14:paraId="1AE9C2EB" w14:textId="581B9ED0" w:rsidR="00940083" w:rsidRPr="00A813F0" w:rsidRDefault="00940083" w:rsidP="00687A07">
            <w:pPr>
              <w:rPr>
                <w:rFonts w:eastAsia="Arial"/>
              </w:rPr>
            </w:pPr>
            <w:r w:rsidRPr="00A813F0">
              <w:rPr>
                <w:rFonts w:eastAsia="Arial"/>
              </w:rPr>
              <w:t>Costs associated with providing clinically appropriate public hospital services, where there are legitimate differences between patient and provider groups, and which are unavoidable.</w:t>
            </w:r>
          </w:p>
        </w:tc>
      </w:tr>
    </w:tbl>
    <w:p w14:paraId="3724D8F1" w14:textId="77777777" w:rsidR="007D0033" w:rsidRPr="00A813F0" w:rsidRDefault="007D0033">
      <w:pPr>
        <w:spacing w:before="0" w:after="0" w:line="240" w:lineRule="auto"/>
        <w:rPr>
          <w:rFonts w:asciiTheme="majorHAnsi" w:hAnsiTheme="majorHAnsi"/>
          <w:b/>
          <w:sz w:val="64"/>
          <w:szCs w:val="64"/>
        </w:rPr>
      </w:pPr>
      <w:bookmarkStart w:id="13" w:name="_Toc413682854"/>
      <w:bookmarkStart w:id="14" w:name="_Toc413683965"/>
      <w:bookmarkStart w:id="15" w:name="_Toc413843565"/>
      <w:bookmarkEnd w:id="11"/>
      <w:bookmarkEnd w:id="12"/>
      <w:r w:rsidRPr="00A813F0">
        <w:rPr>
          <w:szCs w:val="64"/>
        </w:rPr>
        <w:br w:type="page"/>
      </w:r>
    </w:p>
    <w:p w14:paraId="10C074B5" w14:textId="086F7695" w:rsidR="000C5F0B" w:rsidRPr="00A813F0" w:rsidRDefault="00F01B14" w:rsidP="000C5F0B">
      <w:pPr>
        <w:pStyle w:val="Heading1"/>
        <w:rPr>
          <w:szCs w:val="64"/>
        </w:rPr>
      </w:pPr>
      <w:bookmarkStart w:id="16" w:name="_Toc91157794"/>
      <w:r w:rsidRPr="00A813F0">
        <w:rPr>
          <w:szCs w:val="64"/>
        </w:rPr>
        <w:lastRenderedPageBreak/>
        <w:t>1.</w:t>
      </w:r>
      <w:r w:rsidR="0015706E" w:rsidRPr="00A813F0">
        <w:rPr>
          <w:szCs w:val="64"/>
        </w:rPr>
        <w:tab/>
      </w:r>
      <w:r w:rsidR="000C5F0B" w:rsidRPr="00A813F0">
        <w:rPr>
          <w:szCs w:val="64"/>
        </w:rPr>
        <w:t xml:space="preserve">Executive </w:t>
      </w:r>
      <w:r w:rsidR="001D18CD" w:rsidRPr="00A813F0">
        <w:rPr>
          <w:szCs w:val="64"/>
        </w:rPr>
        <w:t>s</w:t>
      </w:r>
      <w:r w:rsidR="000C5F0B" w:rsidRPr="00A813F0">
        <w:rPr>
          <w:szCs w:val="64"/>
        </w:rPr>
        <w:t>ummary</w:t>
      </w:r>
      <w:bookmarkStart w:id="17" w:name="_Toc413682855"/>
      <w:bookmarkStart w:id="18" w:name="_Toc413683966"/>
      <w:bookmarkStart w:id="19" w:name="_Toc413843566"/>
      <w:bookmarkEnd w:id="13"/>
      <w:bookmarkEnd w:id="14"/>
      <w:bookmarkEnd w:id="15"/>
      <w:bookmarkEnd w:id="16"/>
    </w:p>
    <w:p w14:paraId="424A02C5" w14:textId="77777777" w:rsidR="000C5F0B" w:rsidRPr="00A813F0" w:rsidRDefault="00964712" w:rsidP="000C447D">
      <w:pPr>
        <w:pStyle w:val="Heading2"/>
      </w:pPr>
      <w:bookmarkStart w:id="20" w:name="_Toc91157795"/>
      <w:r w:rsidRPr="00A813F0">
        <w:t>1.1</w:t>
      </w:r>
      <w:r w:rsidR="000C447D" w:rsidRPr="00A813F0">
        <w:tab/>
      </w:r>
      <w:r w:rsidR="000C5F0B" w:rsidRPr="00A813F0">
        <w:t>Background</w:t>
      </w:r>
      <w:bookmarkEnd w:id="17"/>
      <w:bookmarkEnd w:id="18"/>
      <w:bookmarkEnd w:id="19"/>
      <w:bookmarkEnd w:id="20"/>
    </w:p>
    <w:p w14:paraId="0AD171D8" w14:textId="4816938E" w:rsidR="000C5F0B" w:rsidRPr="00A813F0" w:rsidRDefault="00A6002F" w:rsidP="00CE5C02">
      <w:pPr>
        <w:rPr>
          <w:bCs/>
          <w:lang w:eastAsia="ja-JP"/>
        </w:rPr>
      </w:pPr>
      <w:r w:rsidRPr="00A813F0">
        <w:t>Section 131(1)(d) of t</w:t>
      </w:r>
      <w:r w:rsidR="000C5F0B" w:rsidRPr="00A813F0">
        <w:t xml:space="preserve">he </w:t>
      </w:r>
      <w:r w:rsidR="000C5F0B" w:rsidRPr="00A813F0">
        <w:rPr>
          <w:i/>
        </w:rPr>
        <w:t>National Health Reform Act 2011</w:t>
      </w:r>
      <w:r w:rsidR="000C5F0B" w:rsidRPr="00A813F0">
        <w:t xml:space="preserve"> </w:t>
      </w:r>
      <w:r w:rsidR="0052173F" w:rsidRPr="00A813F0">
        <w:t xml:space="preserve">(Cwlth) </w:t>
      </w:r>
      <w:r w:rsidR="000C5F0B" w:rsidRPr="00A813F0">
        <w:t>(the Act)</w:t>
      </w:r>
      <w:r w:rsidRPr="00A813F0">
        <w:t xml:space="preserve"> allows</w:t>
      </w:r>
      <w:r w:rsidR="000C5F0B" w:rsidRPr="00A813F0">
        <w:t xml:space="preserve"> the Independent Hospital Pricing Authority (IHPA) </w:t>
      </w:r>
      <w:r w:rsidRPr="00A813F0">
        <w:t>to</w:t>
      </w:r>
      <w:r w:rsidR="000C5F0B" w:rsidRPr="00A813F0">
        <w:t xml:space="preserve"> determin</w:t>
      </w:r>
      <w:r w:rsidRPr="00A813F0">
        <w:t>e</w:t>
      </w:r>
      <w:r w:rsidR="000C5F0B" w:rsidRPr="00A813F0">
        <w:t xml:space="preserve"> adjustments to the </w:t>
      </w:r>
      <w:r w:rsidR="0052173F" w:rsidRPr="00A813F0">
        <w:t>national efficient price</w:t>
      </w:r>
      <w:r w:rsidR="000C5F0B" w:rsidRPr="00A813F0">
        <w:t xml:space="preserve"> (NEP) to reflect legitimate and unavoidable cost</w:t>
      </w:r>
      <w:r w:rsidR="009657CF">
        <w:t xml:space="preserve"> variation</w:t>
      </w:r>
      <w:r w:rsidR="000C5F0B" w:rsidRPr="00A813F0">
        <w:t xml:space="preserve">s </w:t>
      </w:r>
      <w:r w:rsidR="009657CF">
        <w:t>in the delivery of public hospital services</w:t>
      </w:r>
      <w:r w:rsidR="000C5F0B" w:rsidRPr="00A813F0">
        <w:t xml:space="preserve">. Additionally, </w:t>
      </w:r>
      <w:r w:rsidR="0052173F" w:rsidRPr="00A813F0">
        <w:t>clause A47 of the Addendum to the National Health Reform Agreement 2020–25 (the Addendum)</w:t>
      </w:r>
      <w:r w:rsidR="000C5F0B" w:rsidRPr="00A813F0">
        <w:t xml:space="preserve"> </w:t>
      </w:r>
      <w:r w:rsidRPr="00A813F0">
        <w:t>specifies</w:t>
      </w:r>
      <w:r w:rsidR="000C5F0B" w:rsidRPr="00A813F0">
        <w:t xml:space="preserve"> that </w:t>
      </w:r>
      <w:r w:rsidRPr="00A813F0">
        <w:t xml:space="preserve">when making this assessment, </w:t>
      </w:r>
      <w:r w:rsidR="000C5F0B" w:rsidRPr="00A813F0">
        <w:t>IHPA must have regard to legitimate and unavoidable variations in wage costs and other inputs which affect the costs of service delivery</w:t>
      </w:r>
      <w:r w:rsidRPr="00A813F0">
        <w:t>.</w:t>
      </w:r>
    </w:p>
    <w:p w14:paraId="20092A09" w14:textId="36873932" w:rsidR="000C5F0B" w:rsidRPr="00A813F0" w:rsidRDefault="008E0FBD" w:rsidP="000C5F0B">
      <w:pPr>
        <w:rPr>
          <w:lang w:eastAsia="ja-JP"/>
        </w:rPr>
      </w:pPr>
      <w:r>
        <w:rPr>
          <w:lang w:eastAsia="ja-JP"/>
        </w:rPr>
        <w:t>T</w:t>
      </w:r>
      <w:r w:rsidR="000C5F0B" w:rsidRPr="00A813F0">
        <w:rPr>
          <w:lang w:eastAsia="ja-JP"/>
        </w:rPr>
        <w:t xml:space="preserve">he annual review of adjustments </w:t>
      </w:r>
      <w:r>
        <w:rPr>
          <w:lang w:eastAsia="ja-JP"/>
        </w:rPr>
        <w:t xml:space="preserve">to the NEP </w:t>
      </w:r>
      <w:r w:rsidR="000C5F0B" w:rsidRPr="00A813F0">
        <w:rPr>
          <w:lang w:eastAsia="ja-JP"/>
        </w:rPr>
        <w:t>will include both existing adjustments and potential adjustments. That is, adjustments to the NEP that have been</w:t>
      </w:r>
      <w:r w:rsidR="00830A5B" w:rsidRPr="00A813F0">
        <w:rPr>
          <w:lang w:eastAsia="ja-JP"/>
        </w:rPr>
        <w:t xml:space="preserve"> previously</w:t>
      </w:r>
      <w:r w:rsidR="000C5F0B" w:rsidRPr="00A813F0">
        <w:rPr>
          <w:lang w:eastAsia="ja-JP"/>
        </w:rPr>
        <w:t xml:space="preserve"> approved </w:t>
      </w:r>
      <w:r w:rsidR="00830A5B" w:rsidRPr="00A813F0">
        <w:rPr>
          <w:lang w:eastAsia="ja-JP"/>
        </w:rPr>
        <w:t>may not</w:t>
      </w:r>
      <w:r w:rsidR="000C5F0B" w:rsidRPr="00A813F0">
        <w:rPr>
          <w:lang w:eastAsia="ja-JP"/>
        </w:rPr>
        <w:t xml:space="preserve"> be included on an ongoing basis</w:t>
      </w:r>
      <w:r w:rsidR="00474C2A">
        <w:rPr>
          <w:lang w:eastAsia="ja-JP"/>
        </w:rPr>
        <w:t xml:space="preserve"> or included but not</w:t>
      </w:r>
      <w:r w:rsidR="00F82DA6">
        <w:rPr>
          <w:lang w:eastAsia="ja-JP"/>
        </w:rPr>
        <w:t xml:space="preserve"> at the same quantum</w:t>
      </w:r>
      <w:r w:rsidR="000C5F0B" w:rsidRPr="00A813F0">
        <w:rPr>
          <w:lang w:eastAsia="ja-JP"/>
        </w:rPr>
        <w:t>. I</w:t>
      </w:r>
      <w:r w:rsidR="00F82DA6">
        <w:rPr>
          <w:lang w:eastAsia="ja-JP"/>
        </w:rPr>
        <w:t xml:space="preserve">nstead, IHPA will undertake </w:t>
      </w:r>
      <w:r w:rsidR="000C5F0B" w:rsidRPr="00A813F0">
        <w:rPr>
          <w:lang w:eastAsia="ja-JP"/>
        </w:rPr>
        <w:t xml:space="preserve">a program of ongoing validation, testing and refinement of any adjustments </w:t>
      </w:r>
      <w:r w:rsidR="00F82DA6">
        <w:rPr>
          <w:lang w:eastAsia="ja-JP"/>
        </w:rPr>
        <w:t xml:space="preserve">to the NEP </w:t>
      </w:r>
      <w:r w:rsidR="000C5F0B" w:rsidRPr="00A813F0">
        <w:rPr>
          <w:lang w:eastAsia="ja-JP"/>
        </w:rPr>
        <w:t xml:space="preserve">that it introduces. </w:t>
      </w:r>
    </w:p>
    <w:p w14:paraId="1A9E6873" w14:textId="7CAA0821" w:rsidR="000C5F0B" w:rsidRPr="00A813F0" w:rsidRDefault="000C5F0B" w:rsidP="000C5F0B">
      <w:pPr>
        <w:rPr>
          <w:lang w:eastAsia="ja-JP"/>
        </w:rPr>
      </w:pPr>
      <w:r w:rsidRPr="00A813F0">
        <w:rPr>
          <w:lang w:eastAsia="ja-JP"/>
        </w:rPr>
        <w:t>IHPA will adopt the Pricing Guidelines</w:t>
      </w:r>
      <w:r w:rsidR="00AC1332">
        <w:rPr>
          <w:lang w:eastAsia="ja-JP"/>
        </w:rPr>
        <w:t>,</w:t>
      </w:r>
      <w:r w:rsidR="008E0FBD">
        <w:rPr>
          <w:lang w:eastAsia="ja-JP"/>
        </w:rPr>
        <w:t xml:space="preserve"> </w:t>
      </w:r>
      <w:r w:rsidR="00162360">
        <w:rPr>
          <w:lang w:eastAsia="ja-JP"/>
        </w:rPr>
        <w:t>as</w:t>
      </w:r>
      <w:r w:rsidR="00240E96">
        <w:rPr>
          <w:lang w:eastAsia="ja-JP"/>
        </w:rPr>
        <w:t xml:space="preserve"> set out in the </w:t>
      </w:r>
      <w:hyperlink r:id="rId19" w:history="1">
        <w:r w:rsidR="00240E96" w:rsidRPr="00101FF5">
          <w:rPr>
            <w:rStyle w:val="Hyperlink"/>
          </w:rPr>
          <w:t>Pricing Framework for Australian Public Hospital Services</w:t>
        </w:r>
      </w:hyperlink>
      <w:r w:rsidR="008E0FBD">
        <w:rPr>
          <w:iCs/>
        </w:rPr>
        <w:t xml:space="preserve"> </w:t>
      </w:r>
      <w:r w:rsidR="00C91F70">
        <w:rPr>
          <w:lang w:eastAsia="ja-JP"/>
        </w:rPr>
        <w:t>(</w:t>
      </w:r>
      <w:r w:rsidR="00162360">
        <w:rPr>
          <w:lang w:eastAsia="ja-JP"/>
        </w:rPr>
        <w:t xml:space="preserve">the </w:t>
      </w:r>
      <w:r w:rsidR="00C91F70">
        <w:rPr>
          <w:lang w:eastAsia="ja-JP"/>
        </w:rPr>
        <w:t>Pricing Framework)</w:t>
      </w:r>
      <w:r w:rsidR="00AC1332">
        <w:rPr>
          <w:lang w:eastAsia="ja-JP"/>
        </w:rPr>
        <w:t>,</w:t>
      </w:r>
      <w:r w:rsidR="00240E96">
        <w:rPr>
          <w:lang w:eastAsia="ja-JP"/>
        </w:rPr>
        <w:t xml:space="preserve"> </w:t>
      </w:r>
      <w:r w:rsidRPr="00A813F0">
        <w:rPr>
          <w:lang w:eastAsia="ja-JP"/>
        </w:rPr>
        <w:t>to guide its decision-making, where it is required to exercise policy judgement in undertaking its legislated functions.</w:t>
      </w:r>
    </w:p>
    <w:p w14:paraId="4A19BAB3" w14:textId="2206D972" w:rsidR="00166D4A" w:rsidRPr="00A813F0" w:rsidRDefault="00C91F70" w:rsidP="000C5F0B">
      <w:pPr>
        <w:rPr>
          <w:lang w:eastAsia="ja-JP"/>
        </w:rPr>
      </w:pPr>
      <w:r>
        <w:rPr>
          <w:bCs/>
          <w:lang w:eastAsia="ja-JP"/>
        </w:rPr>
        <w:t>Commonwealth, state or territory governments (jurisdictions)</w:t>
      </w:r>
      <w:r w:rsidR="00166D4A" w:rsidRPr="00A813F0">
        <w:rPr>
          <w:bCs/>
          <w:lang w:eastAsia="ja-JP"/>
        </w:rPr>
        <w:t xml:space="preserve"> may request IHPA to consider any legitimate and unavoidable cost</w:t>
      </w:r>
      <w:r w:rsidR="00240E96">
        <w:rPr>
          <w:bCs/>
          <w:lang w:eastAsia="ja-JP"/>
        </w:rPr>
        <w:t xml:space="preserve"> variation</w:t>
      </w:r>
      <w:r w:rsidR="00166D4A" w:rsidRPr="00A813F0">
        <w:rPr>
          <w:bCs/>
          <w:lang w:eastAsia="ja-JP"/>
        </w:rPr>
        <w:t xml:space="preserve">s in the delivery of public hospital services, based on a detailed submission and </w:t>
      </w:r>
      <w:r w:rsidR="00166D4A" w:rsidRPr="00A813F0">
        <w:rPr>
          <w:lang w:eastAsia="ja-JP"/>
        </w:rPr>
        <w:t>supporting</w:t>
      </w:r>
      <w:r w:rsidR="00166D4A" w:rsidRPr="00A813F0">
        <w:rPr>
          <w:bCs/>
          <w:lang w:eastAsia="ja-JP"/>
        </w:rPr>
        <w:t xml:space="preserve"> evidence. </w:t>
      </w:r>
    </w:p>
    <w:p w14:paraId="581C4456" w14:textId="77777777" w:rsidR="000C5F0B" w:rsidRPr="00A813F0" w:rsidRDefault="000C5F0B" w:rsidP="000C447D">
      <w:pPr>
        <w:pStyle w:val="Heading2"/>
      </w:pPr>
      <w:bookmarkStart w:id="21" w:name="_Toc335212323"/>
      <w:bookmarkStart w:id="22" w:name="_Toc339895530"/>
      <w:bookmarkStart w:id="23" w:name="_Toc358984486"/>
      <w:bookmarkStart w:id="24" w:name="_Toc413682856"/>
      <w:bookmarkStart w:id="25" w:name="_Toc413683967"/>
      <w:bookmarkStart w:id="26" w:name="_Toc413843567"/>
      <w:bookmarkStart w:id="27" w:name="_Toc91157796"/>
      <w:r w:rsidRPr="00A813F0">
        <w:t>1.2</w:t>
      </w:r>
      <w:r w:rsidRPr="00A813F0">
        <w:tab/>
        <w:t>Purpose</w:t>
      </w:r>
      <w:bookmarkEnd w:id="21"/>
      <w:bookmarkEnd w:id="22"/>
      <w:bookmarkEnd w:id="23"/>
      <w:bookmarkEnd w:id="24"/>
      <w:bookmarkEnd w:id="25"/>
      <w:bookmarkEnd w:id="26"/>
      <w:bookmarkEnd w:id="27"/>
    </w:p>
    <w:p w14:paraId="4F7672E1" w14:textId="6989162D" w:rsidR="000C5F0B" w:rsidRPr="00A813F0" w:rsidRDefault="000C5F0B" w:rsidP="000C5F0B">
      <w:pPr>
        <w:rPr>
          <w:lang w:eastAsia="ja-JP"/>
        </w:rPr>
      </w:pPr>
      <w:r w:rsidRPr="00A813F0">
        <w:rPr>
          <w:lang w:eastAsia="ja-JP"/>
        </w:rPr>
        <w:t xml:space="preserve">The purpose of the </w:t>
      </w:r>
      <w:r w:rsidR="004E47FD" w:rsidRPr="00D6661D">
        <w:rPr>
          <w:i/>
          <w:lang w:eastAsia="ja-JP"/>
        </w:rPr>
        <w:t>Adjustments to the National Efficient Price Policy</w:t>
      </w:r>
      <w:r w:rsidRPr="00A813F0">
        <w:rPr>
          <w:lang w:eastAsia="ja-JP"/>
        </w:rPr>
        <w:t xml:space="preserve"> (</w:t>
      </w:r>
      <w:r w:rsidR="009127DB" w:rsidRPr="00A813F0">
        <w:rPr>
          <w:lang w:eastAsia="ja-JP"/>
        </w:rPr>
        <w:t>th</w:t>
      </w:r>
      <w:r w:rsidR="008E0FBD">
        <w:rPr>
          <w:lang w:eastAsia="ja-JP"/>
        </w:rPr>
        <w:t>is</w:t>
      </w:r>
      <w:r w:rsidR="009127DB" w:rsidRPr="00A813F0">
        <w:rPr>
          <w:lang w:eastAsia="ja-JP"/>
        </w:rPr>
        <w:t xml:space="preserve"> </w:t>
      </w:r>
      <w:r w:rsidR="004E47FD">
        <w:rPr>
          <w:lang w:eastAsia="ja-JP"/>
        </w:rPr>
        <w:t>Policy</w:t>
      </w:r>
      <w:r w:rsidRPr="00A813F0">
        <w:rPr>
          <w:lang w:eastAsia="ja-JP"/>
        </w:rPr>
        <w:t xml:space="preserve">) is to assist jurisdictions in making submissions to IHPA </w:t>
      </w:r>
      <w:r w:rsidR="006C543F">
        <w:rPr>
          <w:lang w:eastAsia="ja-JP"/>
        </w:rPr>
        <w:t xml:space="preserve">about </w:t>
      </w:r>
      <w:r w:rsidR="006C543F" w:rsidRPr="00A813F0">
        <w:rPr>
          <w:bCs/>
          <w:lang w:eastAsia="ja-JP"/>
        </w:rPr>
        <w:t>legitimate and unavoidable cost</w:t>
      </w:r>
      <w:r w:rsidR="006C543F">
        <w:rPr>
          <w:bCs/>
          <w:lang w:eastAsia="ja-JP"/>
        </w:rPr>
        <w:t xml:space="preserve"> variation</w:t>
      </w:r>
      <w:r w:rsidR="006C543F" w:rsidRPr="00A813F0">
        <w:rPr>
          <w:bCs/>
          <w:lang w:eastAsia="ja-JP"/>
        </w:rPr>
        <w:t>s in the delivery of public hospital services</w:t>
      </w:r>
      <w:r w:rsidR="006C543F">
        <w:rPr>
          <w:bCs/>
          <w:lang w:eastAsia="ja-JP"/>
        </w:rPr>
        <w:t xml:space="preserve"> </w:t>
      </w:r>
      <w:r w:rsidR="00240E96">
        <w:rPr>
          <w:lang w:eastAsia="ja-JP"/>
        </w:rPr>
        <w:t>and</w:t>
      </w:r>
      <w:r w:rsidRPr="00A813F0">
        <w:rPr>
          <w:lang w:eastAsia="ja-JP"/>
        </w:rPr>
        <w:t xml:space="preserve"> to </w:t>
      </w:r>
      <w:r w:rsidR="00F82DA6">
        <w:rPr>
          <w:lang w:eastAsia="ja-JP"/>
        </w:rPr>
        <w:t>outline</w:t>
      </w:r>
      <w:r w:rsidRPr="00A813F0">
        <w:rPr>
          <w:lang w:eastAsia="ja-JP"/>
        </w:rPr>
        <w:t xml:space="preserve"> the process IHPA will follow </w:t>
      </w:r>
      <w:r w:rsidR="00240E96">
        <w:rPr>
          <w:lang w:eastAsia="ja-JP"/>
        </w:rPr>
        <w:t>to assess</w:t>
      </w:r>
      <w:r w:rsidRPr="00A813F0">
        <w:rPr>
          <w:lang w:eastAsia="ja-JP"/>
        </w:rPr>
        <w:t xml:space="preserve"> such submission</w:t>
      </w:r>
      <w:r w:rsidR="00F82DA6">
        <w:rPr>
          <w:lang w:eastAsia="ja-JP"/>
        </w:rPr>
        <w:t>s</w:t>
      </w:r>
      <w:r w:rsidRPr="00A813F0">
        <w:rPr>
          <w:lang w:eastAsia="ja-JP"/>
        </w:rPr>
        <w:t>, to determine adjustments to the NEP.</w:t>
      </w:r>
    </w:p>
    <w:p w14:paraId="0E220133" w14:textId="77777777" w:rsidR="000C5F0B" w:rsidRPr="00A813F0" w:rsidRDefault="000C5F0B" w:rsidP="000C447D">
      <w:pPr>
        <w:pStyle w:val="Heading2"/>
      </w:pPr>
      <w:bookmarkStart w:id="28" w:name="_Toc315686606"/>
      <w:bookmarkStart w:id="29" w:name="_Toc321400855"/>
      <w:bookmarkStart w:id="30" w:name="_Toc330300385"/>
      <w:bookmarkStart w:id="31" w:name="_Toc335212326"/>
      <w:bookmarkStart w:id="32" w:name="_Toc339895533"/>
      <w:bookmarkStart w:id="33" w:name="_Toc358984489"/>
      <w:bookmarkStart w:id="34" w:name="_Toc413682859"/>
      <w:bookmarkStart w:id="35" w:name="_Toc413683970"/>
      <w:bookmarkStart w:id="36" w:name="_Toc413843570"/>
      <w:bookmarkStart w:id="37" w:name="_Toc91157797"/>
      <w:r w:rsidRPr="00A813F0">
        <w:t>1.</w:t>
      </w:r>
      <w:r w:rsidR="002760FA" w:rsidRPr="00A813F0">
        <w:t>3</w:t>
      </w:r>
      <w:r w:rsidRPr="00A813F0">
        <w:tab/>
        <w:t>Review</w:t>
      </w:r>
      <w:bookmarkEnd w:id="28"/>
      <w:bookmarkEnd w:id="29"/>
      <w:bookmarkEnd w:id="30"/>
      <w:bookmarkEnd w:id="31"/>
      <w:bookmarkEnd w:id="32"/>
      <w:bookmarkEnd w:id="33"/>
      <w:bookmarkEnd w:id="34"/>
      <w:bookmarkEnd w:id="35"/>
      <w:bookmarkEnd w:id="36"/>
      <w:bookmarkEnd w:id="37"/>
    </w:p>
    <w:p w14:paraId="4994C4BD" w14:textId="4B249EA7" w:rsidR="00264416" w:rsidRPr="00A813F0" w:rsidRDefault="000C5F0B" w:rsidP="000C5F0B">
      <w:pPr>
        <w:rPr>
          <w:bCs/>
          <w:lang w:eastAsia="ja-JP"/>
        </w:rPr>
      </w:pPr>
      <w:r w:rsidRPr="00A813F0">
        <w:rPr>
          <w:bCs/>
          <w:lang w:eastAsia="ja-JP"/>
        </w:rPr>
        <w:t>The Pricing Authority and</w:t>
      </w:r>
      <w:r w:rsidR="002760FA" w:rsidRPr="00A813F0">
        <w:rPr>
          <w:bCs/>
          <w:lang w:eastAsia="ja-JP"/>
        </w:rPr>
        <w:t xml:space="preserve"> </w:t>
      </w:r>
      <w:r w:rsidRPr="00A813F0">
        <w:rPr>
          <w:bCs/>
          <w:lang w:eastAsia="ja-JP"/>
        </w:rPr>
        <w:t xml:space="preserve">Chief Executive Officer of IHPA will review this </w:t>
      </w:r>
      <w:r w:rsidR="004E47FD">
        <w:rPr>
          <w:bCs/>
          <w:lang w:eastAsia="ja-JP"/>
        </w:rPr>
        <w:t>Policy</w:t>
      </w:r>
      <w:r w:rsidRPr="00A813F0">
        <w:rPr>
          <w:bCs/>
          <w:lang w:eastAsia="ja-JP"/>
        </w:rPr>
        <w:t xml:space="preserve">, including associated documentation, annually or as required. </w:t>
      </w:r>
    </w:p>
    <w:p w14:paraId="6B4C5DE0" w14:textId="5AF7FCD5" w:rsidR="000C5F0B" w:rsidRPr="00A813F0" w:rsidRDefault="000C5F0B" w:rsidP="000C5F0B">
      <w:pPr>
        <w:rPr>
          <w:bCs/>
          <w:lang w:eastAsia="ja-JP"/>
        </w:rPr>
      </w:pPr>
      <w:r w:rsidRPr="00A813F0">
        <w:rPr>
          <w:bCs/>
          <w:lang w:eastAsia="ja-JP"/>
        </w:rPr>
        <w:t>Th</w:t>
      </w:r>
      <w:r w:rsidR="008E0FBD">
        <w:rPr>
          <w:bCs/>
          <w:lang w:eastAsia="ja-JP"/>
        </w:rPr>
        <w:t>is</w:t>
      </w:r>
      <w:r w:rsidRPr="00A813F0">
        <w:rPr>
          <w:bCs/>
          <w:lang w:eastAsia="ja-JP"/>
        </w:rPr>
        <w:t xml:space="preserve"> </w:t>
      </w:r>
      <w:r w:rsidR="004E47FD">
        <w:rPr>
          <w:bCs/>
          <w:lang w:eastAsia="ja-JP"/>
        </w:rPr>
        <w:t>Policy</w:t>
      </w:r>
      <w:r w:rsidR="004E47FD" w:rsidRPr="00A813F0">
        <w:rPr>
          <w:bCs/>
          <w:lang w:eastAsia="ja-JP"/>
        </w:rPr>
        <w:t xml:space="preserve"> </w:t>
      </w:r>
      <w:r w:rsidR="00264416" w:rsidRPr="00A813F0">
        <w:rPr>
          <w:bCs/>
          <w:lang w:eastAsia="ja-JP"/>
        </w:rPr>
        <w:t xml:space="preserve">was last reviewed in </w:t>
      </w:r>
      <w:r w:rsidR="0090452C">
        <w:rPr>
          <w:bCs/>
          <w:lang w:eastAsia="ja-JP"/>
        </w:rPr>
        <w:t>May</w:t>
      </w:r>
      <w:r w:rsidR="0090452C" w:rsidRPr="00A813F0">
        <w:rPr>
          <w:bCs/>
          <w:lang w:eastAsia="ja-JP"/>
        </w:rPr>
        <w:t xml:space="preserve"> </w:t>
      </w:r>
      <w:r w:rsidR="0052173F" w:rsidRPr="00A813F0">
        <w:rPr>
          <w:bCs/>
          <w:lang w:eastAsia="ja-JP"/>
        </w:rPr>
        <w:t>202</w:t>
      </w:r>
      <w:r w:rsidR="00202B36">
        <w:rPr>
          <w:bCs/>
          <w:lang w:eastAsia="ja-JP"/>
        </w:rPr>
        <w:t>2</w:t>
      </w:r>
      <w:r w:rsidR="00264416" w:rsidRPr="00A813F0">
        <w:rPr>
          <w:bCs/>
          <w:lang w:eastAsia="ja-JP"/>
        </w:rPr>
        <w:t>.</w:t>
      </w:r>
    </w:p>
    <w:p w14:paraId="6BBA44B2" w14:textId="77777777" w:rsidR="000B280E" w:rsidRPr="00A813F0" w:rsidRDefault="000B280E">
      <w:pPr>
        <w:spacing w:before="0" w:after="0" w:line="240" w:lineRule="auto"/>
        <w:rPr>
          <w:rFonts w:asciiTheme="majorHAnsi" w:hAnsiTheme="majorHAnsi"/>
          <w:b/>
          <w:sz w:val="64"/>
          <w:szCs w:val="64"/>
        </w:rPr>
      </w:pPr>
      <w:bookmarkStart w:id="38" w:name="_Toc358984490"/>
      <w:bookmarkStart w:id="39" w:name="_Toc413682860"/>
      <w:bookmarkStart w:id="40" w:name="_Toc413683971"/>
      <w:bookmarkStart w:id="41" w:name="_Toc413843571"/>
      <w:r w:rsidRPr="00A813F0">
        <w:rPr>
          <w:szCs w:val="64"/>
        </w:rPr>
        <w:br w:type="page"/>
      </w:r>
    </w:p>
    <w:p w14:paraId="63EA5746" w14:textId="6C74D91D" w:rsidR="006D4E9F" w:rsidRPr="00A813F0" w:rsidRDefault="0015706E" w:rsidP="006D4E9F">
      <w:pPr>
        <w:pStyle w:val="Heading1"/>
        <w:rPr>
          <w:szCs w:val="64"/>
        </w:rPr>
      </w:pPr>
      <w:bookmarkStart w:id="42" w:name="_2._Eligibility_Criteria"/>
      <w:bookmarkStart w:id="43" w:name="_Toc91157798"/>
      <w:bookmarkEnd w:id="42"/>
      <w:r w:rsidRPr="00A813F0">
        <w:rPr>
          <w:szCs w:val="64"/>
        </w:rPr>
        <w:lastRenderedPageBreak/>
        <w:t>2.</w:t>
      </w:r>
      <w:r w:rsidRPr="00A813F0">
        <w:rPr>
          <w:szCs w:val="64"/>
        </w:rPr>
        <w:tab/>
      </w:r>
      <w:r w:rsidR="00B34C93" w:rsidRPr="00A813F0">
        <w:rPr>
          <w:szCs w:val="64"/>
        </w:rPr>
        <w:t xml:space="preserve">What is a </w:t>
      </w:r>
      <w:r w:rsidR="007F2C66" w:rsidRPr="00A813F0">
        <w:rPr>
          <w:szCs w:val="64"/>
        </w:rPr>
        <w:t>legitimate and unavoidable cost</w:t>
      </w:r>
      <w:r w:rsidR="00CE5C02">
        <w:rPr>
          <w:szCs w:val="64"/>
        </w:rPr>
        <w:t xml:space="preserve"> variation</w:t>
      </w:r>
      <w:r w:rsidR="00B34C93" w:rsidRPr="00A813F0">
        <w:rPr>
          <w:szCs w:val="64"/>
        </w:rPr>
        <w:t>?</w:t>
      </w:r>
      <w:bookmarkEnd w:id="38"/>
      <w:bookmarkEnd w:id="39"/>
      <w:bookmarkEnd w:id="40"/>
      <w:bookmarkEnd w:id="41"/>
      <w:bookmarkEnd w:id="43"/>
    </w:p>
    <w:p w14:paraId="302306F3" w14:textId="77777777" w:rsidR="00E909E4" w:rsidRPr="00A813F0" w:rsidRDefault="002956B2" w:rsidP="00EE64F0">
      <w:pPr>
        <w:pStyle w:val="Heading2"/>
      </w:pPr>
      <w:bookmarkStart w:id="44" w:name="_Toc91157799"/>
      <w:r w:rsidRPr="00A813F0">
        <w:t>2.1</w:t>
      </w:r>
      <w:r w:rsidRPr="00A813F0">
        <w:tab/>
        <w:t>Over</w:t>
      </w:r>
      <w:r w:rsidR="00E909E4" w:rsidRPr="00A813F0">
        <w:t>view</w:t>
      </w:r>
      <w:bookmarkEnd w:id="44"/>
    </w:p>
    <w:p w14:paraId="4ACE6F0B" w14:textId="2870E1A8" w:rsidR="001D28E6" w:rsidRPr="00A813F0" w:rsidRDefault="001D28E6" w:rsidP="001D28E6">
      <w:pPr>
        <w:rPr>
          <w:bCs/>
          <w:lang w:eastAsia="ja-JP"/>
        </w:rPr>
      </w:pPr>
      <w:r w:rsidRPr="00A813F0">
        <w:rPr>
          <w:bCs/>
          <w:lang w:eastAsia="ja-JP"/>
        </w:rPr>
        <w:t>A number of factors may affect the cost of public hospital service delivery</w:t>
      </w:r>
      <w:r w:rsidR="00AC1332">
        <w:rPr>
          <w:bCs/>
          <w:lang w:eastAsia="ja-JP"/>
        </w:rPr>
        <w:t xml:space="preserve">, </w:t>
      </w:r>
      <w:r w:rsidRPr="00A813F0">
        <w:rPr>
          <w:bCs/>
          <w:lang w:eastAsia="ja-JP"/>
        </w:rPr>
        <w:t>for instance:</w:t>
      </w:r>
    </w:p>
    <w:p w14:paraId="6C86DFDF" w14:textId="23717EFE" w:rsidR="001D28E6" w:rsidRPr="00A813F0" w:rsidRDefault="001D28E6" w:rsidP="001D28E6">
      <w:pPr>
        <w:numPr>
          <w:ilvl w:val="0"/>
          <w:numId w:val="13"/>
        </w:numPr>
        <w:spacing w:line="240" w:lineRule="auto"/>
        <w:ind w:left="714" w:hanging="357"/>
        <w:rPr>
          <w:bCs/>
          <w:lang w:eastAsia="ja-JP"/>
        </w:rPr>
      </w:pPr>
      <w:r w:rsidRPr="00A813F0">
        <w:rPr>
          <w:bCs/>
          <w:lang w:eastAsia="ja-JP"/>
        </w:rPr>
        <w:t>hospital type and size</w:t>
      </w:r>
      <w:r w:rsidR="005B6BAD" w:rsidRPr="00A813F0">
        <w:rPr>
          <w:bCs/>
          <w:lang w:eastAsia="ja-JP"/>
        </w:rPr>
        <w:t>;</w:t>
      </w:r>
    </w:p>
    <w:p w14:paraId="0D4756EA" w14:textId="7D7C43A5" w:rsidR="001D28E6" w:rsidRPr="00A813F0" w:rsidRDefault="001D28E6" w:rsidP="001D28E6">
      <w:pPr>
        <w:numPr>
          <w:ilvl w:val="0"/>
          <w:numId w:val="13"/>
        </w:numPr>
        <w:spacing w:line="240" w:lineRule="auto"/>
        <w:ind w:left="714" w:hanging="357"/>
        <w:rPr>
          <w:bCs/>
          <w:lang w:eastAsia="ja-JP"/>
        </w:rPr>
      </w:pPr>
      <w:r w:rsidRPr="00A813F0">
        <w:rPr>
          <w:bCs/>
          <w:lang w:eastAsia="ja-JP"/>
        </w:rPr>
        <w:t>hospital location, including regional and remote status</w:t>
      </w:r>
      <w:r w:rsidR="005B6BAD" w:rsidRPr="00A813F0">
        <w:rPr>
          <w:bCs/>
          <w:lang w:eastAsia="ja-JP"/>
        </w:rPr>
        <w:t>; and</w:t>
      </w:r>
    </w:p>
    <w:p w14:paraId="04DE0DE0" w14:textId="71D697A6" w:rsidR="001D28E6" w:rsidRPr="00A813F0" w:rsidRDefault="001D28E6" w:rsidP="001D28E6">
      <w:pPr>
        <w:numPr>
          <w:ilvl w:val="0"/>
          <w:numId w:val="13"/>
        </w:numPr>
        <w:spacing w:before="0" w:after="0" w:line="240" w:lineRule="auto"/>
        <w:ind w:left="714" w:hanging="357"/>
        <w:rPr>
          <w:bCs/>
          <w:lang w:eastAsia="ja-JP"/>
        </w:rPr>
      </w:pPr>
      <w:r w:rsidRPr="00A813F0">
        <w:rPr>
          <w:bCs/>
          <w:lang w:eastAsia="ja-JP"/>
        </w:rPr>
        <w:t xml:space="preserve">patient complexity, </w:t>
      </w:r>
      <w:r w:rsidR="00F82DA6">
        <w:rPr>
          <w:bCs/>
          <w:lang w:eastAsia="ja-JP"/>
        </w:rPr>
        <w:t>including</w:t>
      </w:r>
      <w:r w:rsidRPr="00A813F0">
        <w:rPr>
          <w:bCs/>
          <w:lang w:eastAsia="ja-JP"/>
        </w:rPr>
        <w:t xml:space="preserve"> Indigenous status, which is not captured by the classification system.</w:t>
      </w:r>
    </w:p>
    <w:p w14:paraId="55C70D0F" w14:textId="101950C9" w:rsidR="001D28E6" w:rsidRPr="00A813F0" w:rsidRDefault="001D28E6" w:rsidP="001D28E6">
      <w:pPr>
        <w:rPr>
          <w:bCs/>
          <w:lang w:eastAsia="ja-JP"/>
        </w:rPr>
      </w:pPr>
      <w:r w:rsidRPr="00A813F0">
        <w:rPr>
          <w:bCs/>
          <w:lang w:eastAsia="ja-JP"/>
        </w:rPr>
        <w:t>There are other factors which m</w:t>
      </w:r>
      <w:r w:rsidR="00B418D1" w:rsidRPr="00A813F0">
        <w:rPr>
          <w:bCs/>
          <w:lang w:eastAsia="ja-JP"/>
        </w:rPr>
        <w:t>ay</w:t>
      </w:r>
      <w:r w:rsidRPr="00A813F0">
        <w:rPr>
          <w:bCs/>
          <w:lang w:eastAsia="ja-JP"/>
        </w:rPr>
        <w:t xml:space="preserve"> lead to legitimate and unavoidable cost</w:t>
      </w:r>
      <w:r w:rsidR="009657CF">
        <w:rPr>
          <w:bCs/>
          <w:lang w:eastAsia="ja-JP"/>
        </w:rPr>
        <w:t xml:space="preserve"> variation</w:t>
      </w:r>
      <w:r w:rsidRPr="00A813F0">
        <w:rPr>
          <w:bCs/>
          <w:lang w:eastAsia="ja-JP"/>
        </w:rPr>
        <w:t xml:space="preserve">s, many of which have already been recognised by the Commonwealth Grants Commission (CGC) in its review of the factors which impact on the costs of service provision. </w:t>
      </w:r>
      <w:r w:rsidR="005B6BAD" w:rsidRPr="00A813F0">
        <w:rPr>
          <w:bCs/>
          <w:lang w:eastAsia="ja-JP"/>
        </w:rPr>
        <w:t>Clause A48 of the Addendum</w:t>
      </w:r>
      <w:r w:rsidRPr="00A813F0">
        <w:rPr>
          <w:bCs/>
          <w:lang w:eastAsia="ja-JP"/>
        </w:rPr>
        <w:t xml:space="preserve"> specifically directs IHPA not to be all encompassing in its consideration of suitable adjustments to the NEP:</w:t>
      </w:r>
    </w:p>
    <w:p w14:paraId="504CEB9D" w14:textId="04C5A17B" w:rsidR="001D28E6" w:rsidRPr="00A813F0" w:rsidRDefault="001D28E6" w:rsidP="001D28E6">
      <w:pPr>
        <w:ind w:left="426"/>
        <w:rPr>
          <w:bCs/>
          <w:lang w:eastAsia="ja-JP"/>
        </w:rPr>
      </w:pPr>
      <w:r w:rsidRPr="00A813F0">
        <w:rPr>
          <w:bCs/>
          <w:lang w:eastAsia="ja-JP"/>
        </w:rPr>
        <w:t>“While these adjustments to the national efficient price should provide a relevant price signal to States and Local Hospital Networks, the IHPA should not seek to duplicate the work of the Commonwealth Grants Commission in determining relativities”</w:t>
      </w:r>
    </w:p>
    <w:p w14:paraId="31F7C6D8" w14:textId="6D4C8977" w:rsidR="001D28E6" w:rsidRPr="00A813F0" w:rsidRDefault="001D28E6" w:rsidP="001D28E6">
      <w:pPr>
        <w:rPr>
          <w:bCs/>
          <w:lang w:eastAsia="ja-JP"/>
        </w:rPr>
      </w:pPr>
      <w:r w:rsidRPr="00A813F0">
        <w:rPr>
          <w:bCs/>
          <w:lang w:eastAsia="ja-JP"/>
        </w:rPr>
        <w:t>In developing the</w:t>
      </w:r>
      <w:r w:rsidR="007E49A9" w:rsidRPr="00A813F0">
        <w:rPr>
          <w:i/>
        </w:rPr>
        <w:t xml:space="preserve"> </w:t>
      </w:r>
      <w:r w:rsidRPr="00A813F0">
        <w:rPr>
          <w:bCs/>
          <w:lang w:eastAsia="ja-JP"/>
        </w:rPr>
        <w:t xml:space="preserve">Pricing Framework and adjustments </w:t>
      </w:r>
      <w:r w:rsidR="00F82DA6">
        <w:rPr>
          <w:bCs/>
          <w:lang w:eastAsia="ja-JP"/>
        </w:rPr>
        <w:t xml:space="preserve">to the NEP </w:t>
      </w:r>
      <w:r w:rsidRPr="00A813F0">
        <w:rPr>
          <w:bCs/>
          <w:lang w:eastAsia="ja-JP"/>
        </w:rPr>
        <w:t>to account for legitimate and unavoidable</w:t>
      </w:r>
      <w:r w:rsidR="00C91F70">
        <w:rPr>
          <w:bCs/>
          <w:lang w:eastAsia="ja-JP"/>
        </w:rPr>
        <w:t xml:space="preserve"> </w:t>
      </w:r>
      <w:r w:rsidRPr="00A813F0">
        <w:rPr>
          <w:bCs/>
          <w:lang w:eastAsia="ja-JP"/>
        </w:rPr>
        <w:t>cost</w:t>
      </w:r>
      <w:r w:rsidR="00C91F70">
        <w:rPr>
          <w:bCs/>
          <w:lang w:eastAsia="ja-JP"/>
        </w:rPr>
        <w:t xml:space="preserve"> variation</w:t>
      </w:r>
      <w:r w:rsidR="00C91F70" w:rsidRPr="00A813F0">
        <w:rPr>
          <w:bCs/>
          <w:lang w:eastAsia="ja-JP"/>
        </w:rPr>
        <w:t>s</w:t>
      </w:r>
      <w:r w:rsidRPr="00A813F0">
        <w:rPr>
          <w:bCs/>
          <w:lang w:eastAsia="ja-JP"/>
        </w:rPr>
        <w:t>, IHPA will consult with the CGC to ensure the proposed adjustments do not duplicate existing grants.</w:t>
      </w:r>
    </w:p>
    <w:p w14:paraId="09941A06" w14:textId="2C427DD0" w:rsidR="001D28E6" w:rsidRPr="00A813F0" w:rsidRDefault="001D28E6" w:rsidP="001D28E6">
      <w:pPr>
        <w:rPr>
          <w:bCs/>
          <w:lang w:eastAsia="ja-JP"/>
        </w:rPr>
      </w:pPr>
      <w:r w:rsidRPr="00A813F0">
        <w:rPr>
          <w:bCs/>
          <w:lang w:eastAsia="ja-JP"/>
        </w:rPr>
        <w:t xml:space="preserve">Adjustments to the NEP </w:t>
      </w:r>
      <w:r w:rsidR="00152458" w:rsidRPr="00A813F0">
        <w:rPr>
          <w:bCs/>
          <w:lang w:eastAsia="ja-JP"/>
        </w:rPr>
        <w:t xml:space="preserve">are made at the patient level and applied nationally to avoid </w:t>
      </w:r>
      <w:r w:rsidR="00F82DA6">
        <w:rPr>
          <w:bCs/>
          <w:lang w:eastAsia="ja-JP"/>
        </w:rPr>
        <w:t xml:space="preserve">state </w:t>
      </w:r>
      <w:r w:rsidR="00623D5F">
        <w:rPr>
          <w:bCs/>
          <w:lang w:eastAsia="ja-JP"/>
        </w:rPr>
        <w:t>and/</w:t>
      </w:r>
      <w:r w:rsidR="00F82DA6">
        <w:rPr>
          <w:bCs/>
          <w:lang w:eastAsia="ja-JP"/>
        </w:rPr>
        <w:t xml:space="preserve">or territory </w:t>
      </w:r>
      <w:r w:rsidRPr="00A813F0">
        <w:rPr>
          <w:bCs/>
          <w:lang w:eastAsia="ja-JP"/>
        </w:rPr>
        <w:t>specific loadings w</w:t>
      </w:r>
      <w:r w:rsidR="00152458" w:rsidRPr="00A813F0">
        <w:rPr>
          <w:bCs/>
          <w:lang w:eastAsia="ja-JP"/>
        </w:rPr>
        <w:t>herever possible</w:t>
      </w:r>
      <w:r w:rsidRPr="00A813F0">
        <w:rPr>
          <w:bCs/>
          <w:lang w:eastAsia="ja-JP"/>
        </w:rPr>
        <w:t>.</w:t>
      </w:r>
    </w:p>
    <w:p w14:paraId="11B70B95" w14:textId="77777777" w:rsidR="001D28E6" w:rsidRPr="00A813F0" w:rsidRDefault="001D28E6" w:rsidP="001D28E6">
      <w:pPr>
        <w:pStyle w:val="Heading2"/>
      </w:pPr>
      <w:bookmarkStart w:id="45" w:name="_Toc91157800"/>
      <w:r w:rsidRPr="00A813F0">
        <w:t>2.2</w:t>
      </w:r>
      <w:r w:rsidRPr="00A813F0">
        <w:tab/>
        <w:t>Eligibility criteria</w:t>
      </w:r>
      <w:bookmarkEnd w:id="45"/>
    </w:p>
    <w:p w14:paraId="36441DD5" w14:textId="44316D32" w:rsidR="00EE64F0" w:rsidRPr="00A813F0" w:rsidRDefault="00B34C93" w:rsidP="00EE64F0">
      <w:pPr>
        <w:rPr>
          <w:bCs/>
          <w:lang w:eastAsia="ja-JP"/>
        </w:rPr>
      </w:pPr>
      <w:r w:rsidRPr="00A813F0">
        <w:rPr>
          <w:bCs/>
          <w:lang w:eastAsia="ja-JP"/>
        </w:rPr>
        <w:t>J</w:t>
      </w:r>
      <w:r w:rsidR="00EE64F0" w:rsidRPr="00A813F0">
        <w:rPr>
          <w:bCs/>
          <w:lang w:eastAsia="ja-JP"/>
        </w:rPr>
        <w:t>urisdiction</w:t>
      </w:r>
      <w:r w:rsidRPr="00A813F0">
        <w:rPr>
          <w:bCs/>
          <w:lang w:eastAsia="ja-JP"/>
        </w:rPr>
        <w:t>s</w:t>
      </w:r>
      <w:r w:rsidR="00EE64F0" w:rsidRPr="00A813F0">
        <w:rPr>
          <w:bCs/>
          <w:lang w:eastAsia="ja-JP"/>
        </w:rPr>
        <w:t xml:space="preserve"> must outline in the written request the evidence or best available information to support </w:t>
      </w:r>
      <w:r w:rsidR="00C91F70">
        <w:rPr>
          <w:bCs/>
          <w:lang w:eastAsia="ja-JP"/>
        </w:rPr>
        <w:t xml:space="preserve">both of </w:t>
      </w:r>
      <w:r w:rsidR="00EE64F0" w:rsidRPr="00A813F0">
        <w:rPr>
          <w:bCs/>
          <w:lang w:eastAsia="ja-JP"/>
        </w:rPr>
        <w:t>the following criteria:</w:t>
      </w:r>
    </w:p>
    <w:p w14:paraId="6E3951E3" w14:textId="5FC92ACA" w:rsidR="00EE64F0" w:rsidRPr="00A813F0" w:rsidRDefault="00EE64F0" w:rsidP="00EE64F0">
      <w:pPr>
        <w:numPr>
          <w:ilvl w:val="0"/>
          <w:numId w:val="15"/>
        </w:numPr>
        <w:spacing w:line="240" w:lineRule="auto"/>
        <w:rPr>
          <w:bCs/>
          <w:lang w:eastAsia="ja-JP"/>
        </w:rPr>
      </w:pPr>
      <w:r w:rsidRPr="00A813F0">
        <w:rPr>
          <w:bCs/>
          <w:lang w:eastAsia="ja-JP"/>
        </w:rPr>
        <w:t>That a difference in costs (between patient</w:t>
      </w:r>
      <w:r w:rsidR="005C5F99" w:rsidRPr="00A813F0">
        <w:rPr>
          <w:bCs/>
          <w:lang w:eastAsia="ja-JP"/>
        </w:rPr>
        <w:t>s</w:t>
      </w:r>
      <w:r w:rsidRPr="00A813F0">
        <w:rPr>
          <w:bCs/>
          <w:lang w:eastAsia="ja-JP"/>
        </w:rPr>
        <w:t xml:space="preserve"> or provider groups) can legitimately be demonstrated</w:t>
      </w:r>
      <w:r w:rsidR="00CE5C02">
        <w:rPr>
          <w:bCs/>
          <w:lang w:eastAsia="ja-JP"/>
        </w:rPr>
        <w:t>;</w:t>
      </w:r>
      <w:r w:rsidR="00653A2F">
        <w:rPr>
          <w:bCs/>
          <w:lang w:eastAsia="ja-JP"/>
        </w:rPr>
        <w:t xml:space="preserve"> and</w:t>
      </w:r>
    </w:p>
    <w:p w14:paraId="280765AE" w14:textId="004FA38C" w:rsidR="00EE64F0" w:rsidRPr="00A813F0" w:rsidRDefault="00EE64F0" w:rsidP="00EE64F0">
      <w:pPr>
        <w:numPr>
          <w:ilvl w:val="0"/>
          <w:numId w:val="15"/>
        </w:numPr>
        <w:spacing w:line="240" w:lineRule="auto"/>
        <w:rPr>
          <w:bCs/>
          <w:lang w:eastAsia="ja-JP"/>
        </w:rPr>
      </w:pPr>
      <w:r w:rsidRPr="00A813F0">
        <w:rPr>
          <w:bCs/>
          <w:lang w:eastAsia="ja-JP"/>
        </w:rPr>
        <w:t>Those differ</w:t>
      </w:r>
      <w:r w:rsidR="005C5F99" w:rsidRPr="00A813F0">
        <w:rPr>
          <w:bCs/>
          <w:lang w:eastAsia="ja-JP"/>
        </w:rPr>
        <w:t>ences in costs are unavoidable.</w:t>
      </w:r>
    </w:p>
    <w:p w14:paraId="3ED4938F" w14:textId="77777777" w:rsidR="00EE64F0" w:rsidRPr="00A813F0" w:rsidRDefault="00EE64F0" w:rsidP="00EE64F0">
      <w:pPr>
        <w:rPr>
          <w:bCs/>
          <w:lang w:eastAsia="ja-JP"/>
        </w:rPr>
      </w:pPr>
      <w:r w:rsidRPr="00A813F0">
        <w:rPr>
          <w:bCs/>
          <w:lang w:eastAsia="ja-JP"/>
        </w:rPr>
        <w:t>In addressing these criteria, jurisdictions should note the following:</w:t>
      </w:r>
    </w:p>
    <w:p w14:paraId="7C2DBC7F" w14:textId="3C04B434" w:rsidR="00EE64F0" w:rsidRPr="00A813F0" w:rsidRDefault="00EE64F0" w:rsidP="007E742E">
      <w:pPr>
        <w:pStyle w:val="ListParagraph"/>
        <w:numPr>
          <w:ilvl w:val="0"/>
          <w:numId w:val="21"/>
        </w:numPr>
        <w:ind w:left="709"/>
        <w:rPr>
          <w:lang w:eastAsia="ja-JP"/>
        </w:rPr>
      </w:pPr>
      <w:r w:rsidRPr="00A813F0">
        <w:rPr>
          <w:lang w:eastAsia="ja-JP"/>
        </w:rPr>
        <w:t>The mere demonstration of cost differences is not sufficient to support legitimate and unavoidable cost variations. Submissions need to identify the contributing factors to any cost difference and</w:t>
      </w:r>
      <w:r w:rsidR="00995135">
        <w:rPr>
          <w:lang w:eastAsia="ja-JP"/>
        </w:rPr>
        <w:t>,</w:t>
      </w:r>
      <w:r w:rsidRPr="00A813F0">
        <w:rPr>
          <w:lang w:eastAsia="ja-JP"/>
        </w:rPr>
        <w:t xml:space="preserve"> where more than one exists, the</w:t>
      </w:r>
      <w:r w:rsidR="00653A2F">
        <w:rPr>
          <w:lang w:eastAsia="ja-JP"/>
        </w:rPr>
        <w:t xml:space="preserve"> submission </w:t>
      </w:r>
      <w:r w:rsidRPr="00A813F0">
        <w:rPr>
          <w:lang w:eastAsia="ja-JP"/>
        </w:rPr>
        <w:t>must</w:t>
      </w:r>
      <w:r w:rsidR="00653A2F">
        <w:rPr>
          <w:lang w:eastAsia="ja-JP"/>
        </w:rPr>
        <w:t xml:space="preserve"> include evidence that</w:t>
      </w:r>
      <w:r w:rsidRPr="00A813F0">
        <w:rPr>
          <w:lang w:eastAsia="ja-JP"/>
        </w:rPr>
        <w:t xml:space="preserve"> support</w:t>
      </w:r>
      <w:r w:rsidR="00653A2F">
        <w:rPr>
          <w:lang w:eastAsia="ja-JP"/>
        </w:rPr>
        <w:t>s</w:t>
      </w:r>
      <w:r w:rsidRPr="00A813F0">
        <w:rPr>
          <w:lang w:eastAsia="ja-JP"/>
        </w:rPr>
        <w:t xml:space="preserve"> the relative contribution of each factor to the overall cost variation</w:t>
      </w:r>
      <w:r w:rsidR="00C91F70">
        <w:rPr>
          <w:lang w:eastAsia="ja-JP"/>
        </w:rPr>
        <w:t>.</w:t>
      </w:r>
    </w:p>
    <w:p w14:paraId="01A55564" w14:textId="6DCD5A17" w:rsidR="00EE64F0" w:rsidRPr="00A813F0" w:rsidRDefault="00EE64F0" w:rsidP="007E742E">
      <w:pPr>
        <w:pStyle w:val="ListParagraph"/>
        <w:numPr>
          <w:ilvl w:val="0"/>
          <w:numId w:val="21"/>
        </w:numPr>
        <w:ind w:left="709"/>
        <w:rPr>
          <w:lang w:eastAsia="ja-JP"/>
        </w:rPr>
      </w:pPr>
      <w:r w:rsidRPr="00A813F0">
        <w:rPr>
          <w:lang w:eastAsia="ja-JP"/>
        </w:rPr>
        <w:t>The difference in costs has not been created by the service itself, nor is the difference attributable to state or territory policies</w:t>
      </w:r>
      <w:r w:rsidR="00C91F70">
        <w:rPr>
          <w:lang w:eastAsia="ja-JP"/>
        </w:rPr>
        <w:t>.</w:t>
      </w:r>
    </w:p>
    <w:p w14:paraId="3EC99D8B" w14:textId="57C3DE8F" w:rsidR="00EE64F0" w:rsidRPr="00A813F0" w:rsidRDefault="00EE64F0" w:rsidP="007E742E">
      <w:pPr>
        <w:pStyle w:val="ListParagraph"/>
        <w:numPr>
          <w:ilvl w:val="0"/>
          <w:numId w:val="21"/>
        </w:numPr>
        <w:ind w:left="709"/>
        <w:rPr>
          <w:lang w:eastAsia="ja-JP"/>
        </w:rPr>
      </w:pPr>
      <w:r w:rsidRPr="00A813F0">
        <w:rPr>
          <w:lang w:eastAsia="ja-JP"/>
        </w:rPr>
        <w:t>There is a clear differentiation between costs relating to inefficiency and costs relating to providing a necessary service based on clinical need</w:t>
      </w:r>
      <w:r w:rsidR="00C91F70">
        <w:rPr>
          <w:lang w:eastAsia="ja-JP"/>
        </w:rPr>
        <w:t>.</w:t>
      </w:r>
    </w:p>
    <w:p w14:paraId="57ADAA86" w14:textId="33AC0EF2" w:rsidR="00EE64F0" w:rsidRPr="00A813F0" w:rsidRDefault="00EE64F0" w:rsidP="007E742E">
      <w:pPr>
        <w:pStyle w:val="ListParagraph"/>
        <w:numPr>
          <w:ilvl w:val="0"/>
          <w:numId w:val="21"/>
        </w:numPr>
        <w:ind w:left="709"/>
        <w:rPr>
          <w:lang w:eastAsia="ja-JP"/>
        </w:rPr>
      </w:pPr>
      <w:r w:rsidRPr="00A813F0">
        <w:rPr>
          <w:lang w:eastAsia="ja-JP"/>
        </w:rPr>
        <w:lastRenderedPageBreak/>
        <w:t>An adjustment to the NEP to reflect legitimate and unavoidable cost</w:t>
      </w:r>
      <w:r w:rsidR="009657CF">
        <w:rPr>
          <w:lang w:eastAsia="ja-JP"/>
        </w:rPr>
        <w:t xml:space="preserve"> variations in the delivery of public hospital </w:t>
      </w:r>
      <w:r w:rsidRPr="00A813F0">
        <w:rPr>
          <w:lang w:eastAsia="ja-JP"/>
        </w:rPr>
        <w:t>services will be based on evidence that there are systemic factors which can be categorised across the nation (</w:t>
      </w:r>
      <w:r w:rsidR="00995135">
        <w:rPr>
          <w:lang w:eastAsia="ja-JP"/>
        </w:rPr>
        <w:t xml:space="preserve">as </w:t>
      </w:r>
      <w:r w:rsidRPr="00A813F0">
        <w:rPr>
          <w:lang w:eastAsia="ja-JP"/>
        </w:rPr>
        <w:t>per Stage 1</w:t>
      </w:r>
      <w:r w:rsidR="00995135">
        <w:rPr>
          <w:lang w:eastAsia="ja-JP"/>
        </w:rPr>
        <w:t>(</w:t>
      </w:r>
      <w:r w:rsidRPr="00A813F0">
        <w:rPr>
          <w:lang w:eastAsia="ja-JP"/>
        </w:rPr>
        <w:t>a</w:t>
      </w:r>
      <w:r w:rsidR="00995135">
        <w:rPr>
          <w:lang w:eastAsia="ja-JP"/>
        </w:rPr>
        <w:t>)</w:t>
      </w:r>
      <w:r w:rsidR="005C5F99" w:rsidRPr="00A813F0">
        <w:rPr>
          <w:lang w:eastAsia="ja-JP"/>
        </w:rPr>
        <w:t xml:space="preserve"> of the assessment process</w:t>
      </w:r>
      <w:r w:rsidRPr="00A813F0">
        <w:rPr>
          <w:lang w:eastAsia="ja-JP"/>
        </w:rPr>
        <w:t>), for example, fact</w:t>
      </w:r>
      <w:r w:rsidR="005C5F99" w:rsidRPr="00A813F0">
        <w:rPr>
          <w:lang w:eastAsia="ja-JP"/>
        </w:rPr>
        <w:t>ors based on hospital location.</w:t>
      </w:r>
    </w:p>
    <w:p w14:paraId="3C73B17E" w14:textId="77777777" w:rsidR="002956B2" w:rsidRPr="00A813F0" w:rsidRDefault="002956B2">
      <w:pPr>
        <w:spacing w:before="0" w:after="0" w:line="240" w:lineRule="auto"/>
        <w:rPr>
          <w:lang w:eastAsia="ja-JP"/>
        </w:rPr>
      </w:pPr>
      <w:r w:rsidRPr="00A813F0">
        <w:rPr>
          <w:lang w:eastAsia="ja-JP"/>
        </w:rPr>
        <w:br w:type="page"/>
      </w:r>
    </w:p>
    <w:p w14:paraId="3D6D0E4F" w14:textId="5C2021EA" w:rsidR="002956B2" w:rsidRPr="00A813F0" w:rsidRDefault="0009378C" w:rsidP="002956B2">
      <w:pPr>
        <w:pStyle w:val="Heading1"/>
        <w:rPr>
          <w:szCs w:val="64"/>
        </w:rPr>
      </w:pPr>
      <w:bookmarkStart w:id="46" w:name="_Toc91157801"/>
      <w:r w:rsidRPr="00A813F0">
        <w:rPr>
          <w:szCs w:val="64"/>
        </w:rPr>
        <w:lastRenderedPageBreak/>
        <w:t>3</w:t>
      </w:r>
      <w:r w:rsidR="0015706E" w:rsidRPr="00A813F0">
        <w:rPr>
          <w:szCs w:val="64"/>
        </w:rPr>
        <w:t>.</w:t>
      </w:r>
      <w:r w:rsidR="0015706E" w:rsidRPr="00A813F0">
        <w:rPr>
          <w:szCs w:val="64"/>
        </w:rPr>
        <w:tab/>
      </w:r>
      <w:r w:rsidR="00082C31" w:rsidRPr="00A813F0">
        <w:rPr>
          <w:szCs w:val="64"/>
        </w:rPr>
        <w:t>Assessment p</w:t>
      </w:r>
      <w:r w:rsidR="002956B2" w:rsidRPr="00A813F0">
        <w:rPr>
          <w:szCs w:val="64"/>
        </w:rPr>
        <w:t>rocess</w:t>
      </w:r>
      <w:bookmarkEnd w:id="46"/>
    </w:p>
    <w:p w14:paraId="1BCAB6E1" w14:textId="19BF4CF1" w:rsidR="00EA3832" w:rsidRPr="00A813F0" w:rsidRDefault="00EA3832" w:rsidP="000C5F0B">
      <w:pPr>
        <w:rPr>
          <w:bCs/>
          <w:lang w:eastAsia="ja-JP"/>
        </w:rPr>
      </w:pPr>
      <w:r w:rsidRPr="00A813F0">
        <w:rPr>
          <w:bCs/>
          <w:lang w:eastAsia="ja-JP"/>
        </w:rPr>
        <w:t>Requests by jurisdictions for IHPA to assess legitimate and unavoidable costs, and potential adjustments to the NEP, must be received by IHPA by no later than 31 May of that same year</w:t>
      </w:r>
      <w:r w:rsidR="00F07B77" w:rsidRPr="00A813F0">
        <w:rPr>
          <w:bCs/>
          <w:lang w:eastAsia="ja-JP"/>
        </w:rPr>
        <w:t xml:space="preserve">. Potential adjustments may also be proposed in response to the annual Pricing Framework </w:t>
      </w:r>
      <w:r w:rsidR="00995135">
        <w:rPr>
          <w:bCs/>
          <w:lang w:eastAsia="ja-JP"/>
        </w:rPr>
        <w:t xml:space="preserve">public </w:t>
      </w:r>
      <w:r w:rsidR="00F07B77" w:rsidRPr="00A813F0">
        <w:rPr>
          <w:bCs/>
          <w:lang w:eastAsia="ja-JP"/>
        </w:rPr>
        <w:t>consultation</w:t>
      </w:r>
      <w:r w:rsidR="00995135">
        <w:rPr>
          <w:bCs/>
          <w:lang w:eastAsia="ja-JP"/>
        </w:rPr>
        <w:t xml:space="preserve"> process</w:t>
      </w:r>
      <w:r w:rsidR="00F07B77" w:rsidRPr="00A813F0">
        <w:rPr>
          <w:bCs/>
          <w:lang w:eastAsia="ja-JP"/>
        </w:rPr>
        <w:t>. Any agreed adjustments to the NEP will</w:t>
      </w:r>
      <w:r w:rsidR="00082C31" w:rsidRPr="00A813F0">
        <w:rPr>
          <w:bCs/>
          <w:lang w:eastAsia="ja-JP"/>
        </w:rPr>
        <w:t xml:space="preserve"> be included in the Pricing Framework for the next financial year.</w:t>
      </w:r>
    </w:p>
    <w:p w14:paraId="4AD6A8D5" w14:textId="0F936903" w:rsidR="000C5F0B" w:rsidRPr="00A813F0" w:rsidRDefault="000C5F0B" w:rsidP="000C5F0B">
      <w:pPr>
        <w:rPr>
          <w:szCs w:val="64"/>
        </w:rPr>
      </w:pPr>
      <w:r w:rsidRPr="00A813F0">
        <w:t xml:space="preserve">The key stages in the IHPA </w:t>
      </w:r>
      <w:r w:rsidR="00B009A2" w:rsidRPr="00A813F0">
        <w:t xml:space="preserve">assessment process </w:t>
      </w:r>
      <w:r w:rsidRPr="00A813F0">
        <w:t>are outlined below</w:t>
      </w:r>
      <w:r w:rsidR="00F37FC1" w:rsidRPr="00A813F0">
        <w:t>.</w:t>
      </w:r>
    </w:p>
    <w:p w14:paraId="2817DE14" w14:textId="5AF770E2" w:rsidR="000C5F0B" w:rsidRPr="00A813F0" w:rsidRDefault="000C5F0B" w:rsidP="00023FFA">
      <w:pPr>
        <w:pStyle w:val="TableHeading"/>
      </w:pPr>
      <w:r w:rsidRPr="00A813F0">
        <w:t>Table 1</w:t>
      </w:r>
      <w:r w:rsidR="00EB6789">
        <w:t>.</w:t>
      </w:r>
      <w:r w:rsidRPr="00A813F0">
        <w:t xml:space="preserve"> Overview of assessment process</w:t>
      </w:r>
    </w:p>
    <w:tbl>
      <w:tblPr>
        <w:tblStyle w:val="TableGrid"/>
        <w:tblW w:w="9527" w:type="dxa"/>
        <w:tblInd w:w="-34" w:type="dxa"/>
        <w:tblLook w:val="04A0" w:firstRow="1" w:lastRow="0" w:firstColumn="1" w:lastColumn="0" w:noHBand="0" w:noVBand="1"/>
        <w:tblCaption w:val="Overview of assessment process"/>
        <w:tblDescription w:val="The table displays the key stages in the IHPA legitimate and unavoidable cost assessment process. "/>
      </w:tblPr>
      <w:tblGrid>
        <w:gridCol w:w="2439"/>
        <w:gridCol w:w="7088"/>
      </w:tblGrid>
      <w:tr w:rsidR="00333A59" w:rsidRPr="00A813F0" w14:paraId="62327B51" w14:textId="6E37EC0C" w:rsidTr="007F71DF">
        <w:trPr>
          <w:trHeight w:val="397"/>
          <w:tblHeader/>
        </w:trPr>
        <w:tc>
          <w:tcPr>
            <w:tcW w:w="2439" w:type="dxa"/>
            <w:tcBorders>
              <w:bottom w:val="single" w:sz="4" w:space="0" w:color="auto"/>
            </w:tcBorders>
            <w:vAlign w:val="center"/>
          </w:tcPr>
          <w:p w14:paraId="36AF71EB" w14:textId="4EBDD9A6" w:rsidR="00333A59" w:rsidRPr="00A813F0" w:rsidRDefault="00333A59" w:rsidP="005C5F99">
            <w:pPr>
              <w:pStyle w:val="TableText"/>
              <w:spacing w:before="120" w:after="120"/>
            </w:pPr>
            <w:r w:rsidRPr="00A813F0">
              <w:rPr>
                <w:b/>
              </w:rPr>
              <w:t>Stage</w:t>
            </w:r>
          </w:p>
        </w:tc>
        <w:tc>
          <w:tcPr>
            <w:tcW w:w="7088" w:type="dxa"/>
            <w:vAlign w:val="center"/>
          </w:tcPr>
          <w:p w14:paraId="03B2173F" w14:textId="732BB126" w:rsidR="00333A59" w:rsidRPr="00A813F0" w:rsidRDefault="00333A59" w:rsidP="005C5F99">
            <w:pPr>
              <w:pStyle w:val="TableText"/>
              <w:spacing w:before="120" w:after="120"/>
            </w:pPr>
            <w:r w:rsidRPr="00A813F0">
              <w:rPr>
                <w:b/>
              </w:rPr>
              <w:t>Process</w:t>
            </w:r>
            <w:r w:rsidRPr="00A813F0">
              <w:t xml:space="preserve"> </w:t>
            </w:r>
            <w:r w:rsidRPr="00A813F0">
              <w:rPr>
                <w:b/>
              </w:rPr>
              <w:t>Details</w:t>
            </w:r>
          </w:p>
        </w:tc>
      </w:tr>
      <w:tr w:rsidR="007E742E" w:rsidRPr="00A813F0" w14:paraId="58387577" w14:textId="77E6CBEE" w:rsidTr="007F71DF">
        <w:trPr>
          <w:trHeight w:val="354"/>
        </w:trPr>
        <w:tc>
          <w:tcPr>
            <w:tcW w:w="2439" w:type="dxa"/>
            <w:vMerge w:val="restart"/>
            <w:vAlign w:val="center"/>
          </w:tcPr>
          <w:p w14:paraId="52199C32" w14:textId="4D98CB5C" w:rsidR="007E742E" w:rsidRPr="00A813F0" w:rsidRDefault="007E742E" w:rsidP="005C5F99">
            <w:pPr>
              <w:pStyle w:val="TableText"/>
              <w:spacing w:before="120" w:after="120"/>
              <w:rPr>
                <w:b/>
              </w:rPr>
            </w:pPr>
            <w:r w:rsidRPr="00A813F0">
              <w:rPr>
                <w:b/>
              </w:rPr>
              <w:t xml:space="preserve">Stage 1: </w:t>
            </w:r>
          </w:p>
          <w:p w14:paraId="45B1AB71" w14:textId="15EC6B9D" w:rsidR="007E742E" w:rsidRPr="00A813F0" w:rsidRDefault="007E742E" w:rsidP="005C5F99">
            <w:pPr>
              <w:pStyle w:val="TableText"/>
              <w:spacing w:before="120" w:after="120"/>
              <w:rPr>
                <w:b/>
              </w:rPr>
            </w:pPr>
            <w:r w:rsidRPr="00A813F0">
              <w:rPr>
                <w:b/>
              </w:rPr>
              <w:t>Request for assessment</w:t>
            </w:r>
          </w:p>
        </w:tc>
        <w:tc>
          <w:tcPr>
            <w:tcW w:w="7088" w:type="dxa"/>
          </w:tcPr>
          <w:p w14:paraId="4C0ADFCC" w14:textId="1AE07128" w:rsidR="007E742E" w:rsidRPr="00A813F0" w:rsidRDefault="007E742E" w:rsidP="00A75BDA">
            <w:pPr>
              <w:pStyle w:val="TableText"/>
              <w:spacing w:before="120" w:after="120"/>
            </w:pPr>
            <w:r w:rsidRPr="00A813F0">
              <w:t xml:space="preserve">(1a) Jurisdiction determines that </w:t>
            </w:r>
            <w:r w:rsidR="006D52A1">
              <w:t>a cost variation</w:t>
            </w:r>
            <w:r w:rsidRPr="00A813F0">
              <w:t xml:space="preserve"> meets the criteria for assessment</w:t>
            </w:r>
          </w:p>
        </w:tc>
      </w:tr>
      <w:tr w:rsidR="007E742E" w:rsidRPr="00A813F0" w14:paraId="1B2D7FFD" w14:textId="1DC56E13" w:rsidTr="007F71DF">
        <w:trPr>
          <w:trHeight w:val="645"/>
        </w:trPr>
        <w:tc>
          <w:tcPr>
            <w:tcW w:w="2439" w:type="dxa"/>
            <w:vMerge/>
            <w:tcBorders>
              <w:bottom w:val="single" w:sz="4" w:space="0" w:color="auto"/>
            </w:tcBorders>
            <w:vAlign w:val="center"/>
          </w:tcPr>
          <w:p w14:paraId="08FF46B4" w14:textId="6C2A6E4E" w:rsidR="007E742E" w:rsidRPr="00A813F0" w:rsidRDefault="007E742E" w:rsidP="005C5F99">
            <w:pPr>
              <w:pStyle w:val="TableText"/>
              <w:spacing w:before="120" w:after="120"/>
              <w:rPr>
                <w:b/>
              </w:rPr>
            </w:pPr>
          </w:p>
        </w:tc>
        <w:tc>
          <w:tcPr>
            <w:tcW w:w="7088" w:type="dxa"/>
          </w:tcPr>
          <w:p w14:paraId="44480D28" w14:textId="79ED4037" w:rsidR="007E742E" w:rsidRPr="00A813F0" w:rsidRDefault="007E742E" w:rsidP="00B23B92">
            <w:pPr>
              <w:pStyle w:val="TableText"/>
              <w:spacing w:before="120" w:after="120"/>
            </w:pPr>
            <w:r w:rsidRPr="00A813F0">
              <w:t xml:space="preserve">(1b) Jurisdiction requests an assessment by IHPA no later than </w:t>
            </w:r>
            <w:r w:rsidR="00B23B92" w:rsidRPr="00A813F0">
              <w:t>31 </w:t>
            </w:r>
            <w:r w:rsidRPr="00A813F0">
              <w:t>May in a given year</w:t>
            </w:r>
          </w:p>
        </w:tc>
      </w:tr>
      <w:tr w:rsidR="007E742E" w:rsidRPr="00A813F0" w14:paraId="3FC79B6A" w14:textId="1D47A8F3" w:rsidTr="007F71DF">
        <w:trPr>
          <w:trHeight w:val="386"/>
        </w:trPr>
        <w:tc>
          <w:tcPr>
            <w:tcW w:w="2439" w:type="dxa"/>
            <w:vMerge w:val="restart"/>
            <w:vAlign w:val="center"/>
          </w:tcPr>
          <w:p w14:paraId="2B5F59EB" w14:textId="5AEEF980" w:rsidR="007E742E" w:rsidRPr="00A813F0" w:rsidRDefault="007E742E" w:rsidP="005C5F99">
            <w:pPr>
              <w:pStyle w:val="TableText"/>
              <w:spacing w:before="120" w:after="120"/>
              <w:rPr>
                <w:b/>
              </w:rPr>
            </w:pPr>
            <w:r w:rsidRPr="00A813F0">
              <w:rPr>
                <w:b/>
              </w:rPr>
              <w:t xml:space="preserve">Stage 2: </w:t>
            </w:r>
            <w:r w:rsidRPr="00A813F0">
              <w:rPr>
                <w:b/>
              </w:rPr>
              <w:tab/>
            </w:r>
          </w:p>
          <w:p w14:paraId="3B93D930" w14:textId="54B61DFF" w:rsidR="007E742E" w:rsidRPr="00A813F0" w:rsidRDefault="007E742E" w:rsidP="005C5F99">
            <w:pPr>
              <w:pStyle w:val="TableText"/>
              <w:spacing w:before="120" w:after="120"/>
              <w:rPr>
                <w:b/>
              </w:rPr>
            </w:pPr>
            <w:r w:rsidRPr="00A813F0">
              <w:rPr>
                <w:b/>
              </w:rPr>
              <w:t>Assessment</w:t>
            </w:r>
          </w:p>
        </w:tc>
        <w:tc>
          <w:tcPr>
            <w:tcW w:w="7088" w:type="dxa"/>
          </w:tcPr>
          <w:p w14:paraId="31FFDCD5" w14:textId="2B8B6252" w:rsidR="007E742E" w:rsidRPr="00A813F0" w:rsidRDefault="007E742E" w:rsidP="005C5F99">
            <w:pPr>
              <w:pStyle w:val="TableText"/>
              <w:spacing w:before="120" w:after="120"/>
            </w:pPr>
            <w:r w:rsidRPr="00A813F0">
              <w:t>(2a) IHPA reviews the request and evidence provided</w:t>
            </w:r>
          </w:p>
        </w:tc>
      </w:tr>
      <w:tr w:rsidR="007E742E" w:rsidRPr="00A813F0" w14:paraId="08F046B1" w14:textId="347B98B3" w:rsidTr="007F71DF">
        <w:trPr>
          <w:trHeight w:val="578"/>
        </w:trPr>
        <w:tc>
          <w:tcPr>
            <w:tcW w:w="2439" w:type="dxa"/>
            <w:vMerge/>
            <w:vAlign w:val="center"/>
          </w:tcPr>
          <w:p w14:paraId="67A208A6" w14:textId="61293EDA" w:rsidR="007E742E" w:rsidRPr="00A813F0" w:rsidRDefault="007E742E" w:rsidP="00C74C43">
            <w:pPr>
              <w:pStyle w:val="TableText"/>
              <w:spacing w:before="120" w:after="120"/>
              <w:rPr>
                <w:b/>
              </w:rPr>
            </w:pPr>
          </w:p>
        </w:tc>
        <w:tc>
          <w:tcPr>
            <w:tcW w:w="7088" w:type="dxa"/>
          </w:tcPr>
          <w:p w14:paraId="4E32ABA9" w14:textId="06779429" w:rsidR="007E742E" w:rsidRPr="00A813F0" w:rsidRDefault="007E742E" w:rsidP="005C5F99">
            <w:pPr>
              <w:pStyle w:val="TableText"/>
              <w:spacing w:before="120" w:after="120"/>
            </w:pPr>
            <w:r w:rsidRPr="00A813F0">
              <w:t>(2b) IHPA provides notification of the request to all jurisdictions and invites written submissions to be made to IHPA within 28 days</w:t>
            </w:r>
          </w:p>
        </w:tc>
      </w:tr>
      <w:tr w:rsidR="007E742E" w:rsidRPr="00A813F0" w14:paraId="6FD269C4" w14:textId="79589192" w:rsidTr="007F71DF">
        <w:trPr>
          <w:trHeight w:val="397"/>
        </w:trPr>
        <w:tc>
          <w:tcPr>
            <w:tcW w:w="2439" w:type="dxa"/>
            <w:vMerge/>
            <w:tcBorders>
              <w:bottom w:val="single" w:sz="4" w:space="0" w:color="auto"/>
            </w:tcBorders>
            <w:vAlign w:val="center"/>
          </w:tcPr>
          <w:p w14:paraId="04D4B50B" w14:textId="049DE086" w:rsidR="007E742E" w:rsidRPr="00A813F0" w:rsidRDefault="007E742E" w:rsidP="005C5F99">
            <w:pPr>
              <w:pStyle w:val="TableText"/>
              <w:spacing w:before="120" w:after="120"/>
              <w:rPr>
                <w:b/>
              </w:rPr>
            </w:pPr>
          </w:p>
        </w:tc>
        <w:tc>
          <w:tcPr>
            <w:tcW w:w="7088" w:type="dxa"/>
          </w:tcPr>
          <w:p w14:paraId="6F321812" w14:textId="7C94F3C4" w:rsidR="007E742E" w:rsidRPr="00A813F0" w:rsidRDefault="007E742E" w:rsidP="005C5F99">
            <w:pPr>
              <w:pStyle w:val="TableText"/>
              <w:spacing w:before="120" w:after="120"/>
            </w:pPr>
            <w:r w:rsidRPr="00A813F0">
              <w:t>(2c) IHPA undertakes the assessment. Further information may be requested from jurisdictions with a 14-day consultation period</w:t>
            </w:r>
          </w:p>
        </w:tc>
      </w:tr>
      <w:tr w:rsidR="007E742E" w:rsidRPr="00A813F0" w14:paraId="7CF76266" w14:textId="182A4E10" w:rsidTr="007F71DF">
        <w:trPr>
          <w:trHeight w:val="345"/>
        </w:trPr>
        <w:tc>
          <w:tcPr>
            <w:tcW w:w="2439" w:type="dxa"/>
            <w:vMerge w:val="restart"/>
            <w:vAlign w:val="center"/>
          </w:tcPr>
          <w:p w14:paraId="2B434387" w14:textId="3C32E2DE" w:rsidR="007E742E" w:rsidRPr="00A813F0" w:rsidRDefault="007E742E" w:rsidP="005C5F99">
            <w:pPr>
              <w:pStyle w:val="TableText"/>
              <w:spacing w:before="120" w:after="120"/>
              <w:rPr>
                <w:b/>
              </w:rPr>
            </w:pPr>
            <w:r w:rsidRPr="00A813F0">
              <w:rPr>
                <w:b/>
              </w:rPr>
              <w:t xml:space="preserve">Stage 3: </w:t>
            </w:r>
          </w:p>
          <w:p w14:paraId="76306E86" w14:textId="46052660" w:rsidR="007E742E" w:rsidRPr="00A813F0" w:rsidRDefault="007E742E" w:rsidP="005C5F99">
            <w:pPr>
              <w:pStyle w:val="TableText"/>
              <w:spacing w:before="120" w:after="120"/>
              <w:rPr>
                <w:b/>
              </w:rPr>
            </w:pPr>
            <w:r w:rsidRPr="00A813F0">
              <w:rPr>
                <w:b/>
              </w:rPr>
              <w:t>Draft decision</w:t>
            </w:r>
          </w:p>
        </w:tc>
        <w:tc>
          <w:tcPr>
            <w:tcW w:w="7088" w:type="dxa"/>
          </w:tcPr>
          <w:p w14:paraId="3B0D014B" w14:textId="0BDA87CE" w:rsidR="007E742E" w:rsidRPr="00A813F0" w:rsidRDefault="007E742E" w:rsidP="005C5F99">
            <w:pPr>
              <w:pStyle w:val="TableText"/>
              <w:spacing w:before="120" w:after="120"/>
            </w:pPr>
            <w:r w:rsidRPr="00A813F0">
              <w:t xml:space="preserve">(3a) IHPA determines the </w:t>
            </w:r>
            <w:r w:rsidR="00623D5F">
              <w:t xml:space="preserve">draft </w:t>
            </w:r>
            <w:r w:rsidRPr="00A813F0">
              <w:t>decision</w:t>
            </w:r>
          </w:p>
        </w:tc>
      </w:tr>
      <w:tr w:rsidR="007E742E" w:rsidRPr="00A813F0" w14:paraId="45817FEB" w14:textId="61462069" w:rsidTr="007F71DF">
        <w:trPr>
          <w:trHeight w:val="663"/>
        </w:trPr>
        <w:tc>
          <w:tcPr>
            <w:tcW w:w="2439" w:type="dxa"/>
            <w:vMerge/>
            <w:vAlign w:val="center"/>
          </w:tcPr>
          <w:p w14:paraId="3986E030" w14:textId="2A016FAA" w:rsidR="007E742E" w:rsidRPr="00A813F0" w:rsidRDefault="007E742E" w:rsidP="00C74C43">
            <w:pPr>
              <w:pStyle w:val="TableText"/>
              <w:spacing w:before="120" w:after="120"/>
              <w:rPr>
                <w:b/>
              </w:rPr>
            </w:pPr>
          </w:p>
        </w:tc>
        <w:tc>
          <w:tcPr>
            <w:tcW w:w="7088" w:type="dxa"/>
          </w:tcPr>
          <w:p w14:paraId="0653521B" w14:textId="04CD873F" w:rsidR="007E742E" w:rsidRPr="00A813F0" w:rsidRDefault="007E742E" w:rsidP="000A770D">
            <w:pPr>
              <w:pStyle w:val="TableText"/>
              <w:spacing w:before="120" w:after="120"/>
            </w:pPr>
            <w:r w:rsidRPr="00A813F0">
              <w:t xml:space="preserve">(3b) IHPA </w:t>
            </w:r>
            <w:r w:rsidR="00BA08FE">
              <w:t xml:space="preserve">prepares the </w:t>
            </w:r>
            <w:r w:rsidRPr="00A813F0">
              <w:t>draft decision and provides</w:t>
            </w:r>
            <w:r w:rsidR="00852A86">
              <w:t xml:space="preserve"> it</w:t>
            </w:r>
            <w:r w:rsidRPr="00A813F0">
              <w:t xml:space="preserve"> to </w:t>
            </w:r>
            <w:r w:rsidR="00852A86">
              <w:t>all</w:t>
            </w:r>
            <w:r w:rsidRPr="00A813F0">
              <w:t xml:space="preserve"> jurisdictions for a 14-day </w:t>
            </w:r>
            <w:r w:rsidR="000A770D" w:rsidRPr="00A813F0">
              <w:t xml:space="preserve">consultation </w:t>
            </w:r>
            <w:r w:rsidRPr="00A813F0">
              <w:t>period</w:t>
            </w:r>
          </w:p>
        </w:tc>
      </w:tr>
      <w:tr w:rsidR="007E742E" w:rsidRPr="00A813F0" w14:paraId="5BDDC8AE" w14:textId="11BEF25C" w:rsidTr="007F71DF">
        <w:trPr>
          <w:trHeight w:val="645"/>
        </w:trPr>
        <w:tc>
          <w:tcPr>
            <w:tcW w:w="2439" w:type="dxa"/>
            <w:vMerge/>
            <w:tcBorders>
              <w:bottom w:val="single" w:sz="4" w:space="0" w:color="auto"/>
            </w:tcBorders>
            <w:vAlign w:val="center"/>
          </w:tcPr>
          <w:p w14:paraId="1415375C" w14:textId="5A564F88" w:rsidR="007E742E" w:rsidRPr="00A813F0" w:rsidRDefault="007E742E" w:rsidP="005C5F99">
            <w:pPr>
              <w:pStyle w:val="TableText"/>
              <w:spacing w:before="120" w:after="120"/>
              <w:rPr>
                <w:b/>
              </w:rPr>
            </w:pPr>
          </w:p>
        </w:tc>
        <w:tc>
          <w:tcPr>
            <w:tcW w:w="7088" w:type="dxa"/>
          </w:tcPr>
          <w:p w14:paraId="0CF987DC" w14:textId="0E919A34" w:rsidR="007E742E" w:rsidRPr="00A813F0" w:rsidRDefault="007E742E" w:rsidP="005301C4">
            <w:pPr>
              <w:pStyle w:val="TableText"/>
              <w:spacing w:before="120" w:after="120"/>
            </w:pPr>
            <w:r w:rsidRPr="00A813F0">
              <w:t xml:space="preserve">(3c) IHPA reviews the written comments </w:t>
            </w:r>
            <w:r w:rsidR="00102D21">
              <w:t>received from</w:t>
            </w:r>
            <w:r w:rsidR="00102D21" w:rsidRPr="00A813F0">
              <w:t xml:space="preserve"> </w:t>
            </w:r>
            <w:r w:rsidRPr="00A813F0">
              <w:t xml:space="preserve">jurisdictions with regard to the draft decision. If further clarifications are needed they will be sought within </w:t>
            </w:r>
            <w:r w:rsidR="00874595">
              <w:t>seven</w:t>
            </w:r>
            <w:r w:rsidRPr="00A813F0">
              <w:t xml:space="preserve"> days</w:t>
            </w:r>
          </w:p>
        </w:tc>
      </w:tr>
      <w:tr w:rsidR="007E742E" w:rsidRPr="00A813F0" w14:paraId="1ACFED12" w14:textId="5E18B6EA" w:rsidTr="007F71DF">
        <w:trPr>
          <w:trHeight w:val="453"/>
        </w:trPr>
        <w:tc>
          <w:tcPr>
            <w:tcW w:w="2439" w:type="dxa"/>
            <w:vMerge w:val="restart"/>
            <w:vAlign w:val="center"/>
          </w:tcPr>
          <w:p w14:paraId="4E8A62B4" w14:textId="7FAC2F79" w:rsidR="007E742E" w:rsidRPr="00A813F0" w:rsidRDefault="007E742E" w:rsidP="005C5F99">
            <w:pPr>
              <w:pStyle w:val="TableText"/>
              <w:spacing w:before="120" w:after="120"/>
              <w:rPr>
                <w:b/>
              </w:rPr>
            </w:pPr>
            <w:r w:rsidRPr="00A813F0">
              <w:rPr>
                <w:b/>
              </w:rPr>
              <w:t xml:space="preserve">Stage 4: </w:t>
            </w:r>
          </w:p>
          <w:p w14:paraId="6668992B" w14:textId="00EAE7E3" w:rsidR="007E742E" w:rsidRPr="00A813F0" w:rsidRDefault="007E742E" w:rsidP="005C5F99">
            <w:pPr>
              <w:pStyle w:val="TableText"/>
              <w:spacing w:before="120" w:after="120"/>
              <w:rPr>
                <w:b/>
              </w:rPr>
            </w:pPr>
            <w:r w:rsidRPr="00A813F0">
              <w:rPr>
                <w:b/>
              </w:rPr>
              <w:t>Final decision</w:t>
            </w:r>
          </w:p>
        </w:tc>
        <w:tc>
          <w:tcPr>
            <w:tcW w:w="7088" w:type="dxa"/>
          </w:tcPr>
          <w:p w14:paraId="55C8FE48" w14:textId="51391856" w:rsidR="007E742E" w:rsidRPr="00A813F0" w:rsidRDefault="007E742E" w:rsidP="007F71DF">
            <w:pPr>
              <w:pStyle w:val="TableText"/>
              <w:spacing w:before="120" w:after="120"/>
            </w:pPr>
            <w:r w:rsidRPr="00A813F0">
              <w:t xml:space="preserve">(4a) IHPA </w:t>
            </w:r>
            <w:r w:rsidR="007F71DF">
              <w:t>prepares</w:t>
            </w:r>
            <w:r w:rsidR="007F71DF" w:rsidRPr="00A813F0">
              <w:t xml:space="preserve"> </w:t>
            </w:r>
            <w:r w:rsidRPr="00A813F0">
              <w:t xml:space="preserve">the final decision and provides </w:t>
            </w:r>
            <w:r w:rsidR="007F71DF">
              <w:t xml:space="preserve">it </w:t>
            </w:r>
            <w:r w:rsidRPr="00A813F0">
              <w:t xml:space="preserve">to </w:t>
            </w:r>
            <w:r w:rsidR="00852A86">
              <w:t>all</w:t>
            </w:r>
            <w:r w:rsidRPr="00A813F0">
              <w:t xml:space="preserve"> jurisdictions</w:t>
            </w:r>
          </w:p>
        </w:tc>
      </w:tr>
      <w:tr w:rsidR="007E742E" w:rsidRPr="00A813F0" w14:paraId="2371DDE5" w14:textId="6166EF1A" w:rsidTr="007F71DF">
        <w:trPr>
          <w:trHeight w:val="399"/>
        </w:trPr>
        <w:tc>
          <w:tcPr>
            <w:tcW w:w="2439" w:type="dxa"/>
            <w:vMerge/>
          </w:tcPr>
          <w:p w14:paraId="35C68802" w14:textId="752E179B" w:rsidR="007E742E" w:rsidRPr="00A813F0" w:rsidRDefault="007E742E" w:rsidP="005C5F99">
            <w:pPr>
              <w:pStyle w:val="TableText"/>
              <w:spacing w:before="120" w:after="120"/>
            </w:pPr>
          </w:p>
        </w:tc>
        <w:tc>
          <w:tcPr>
            <w:tcW w:w="7088" w:type="dxa"/>
          </w:tcPr>
          <w:p w14:paraId="1C5C7E9C" w14:textId="1667851F" w:rsidR="007E742E" w:rsidRPr="00A813F0" w:rsidRDefault="007E742E" w:rsidP="005C5F99">
            <w:pPr>
              <w:pStyle w:val="TableText"/>
              <w:spacing w:before="120" w:after="120"/>
            </w:pPr>
            <w:r w:rsidRPr="00A813F0">
              <w:t>(4b) IHPA refines the Pricing Framework</w:t>
            </w:r>
            <w:r w:rsidR="00CA06A5">
              <w:t xml:space="preserve"> and</w:t>
            </w:r>
            <w:r w:rsidR="00CA06A5" w:rsidRPr="00CA06A5">
              <w:t xml:space="preserve"> makes adjustments to the following NEP</w:t>
            </w:r>
            <w:r w:rsidR="00CA06A5">
              <w:t xml:space="preserve"> determination </w:t>
            </w:r>
            <w:r w:rsidRPr="00A813F0">
              <w:t>(if applicable)</w:t>
            </w:r>
          </w:p>
        </w:tc>
      </w:tr>
    </w:tbl>
    <w:p w14:paraId="625A6F02" w14:textId="72F67EBA" w:rsidR="000C5F0B" w:rsidRPr="00A813F0" w:rsidRDefault="000C5F0B" w:rsidP="000C447D">
      <w:pPr>
        <w:pStyle w:val="Heading2"/>
        <w:rPr>
          <w:bCs/>
          <w:lang w:eastAsia="ja-JP"/>
        </w:rPr>
      </w:pPr>
      <w:bookmarkStart w:id="47" w:name="_Toc339895543"/>
      <w:bookmarkStart w:id="48" w:name="_Toc358984491"/>
      <w:bookmarkStart w:id="49" w:name="_Toc413682861"/>
      <w:bookmarkStart w:id="50" w:name="_Toc413683972"/>
      <w:bookmarkStart w:id="51" w:name="_Toc413843572"/>
      <w:bookmarkStart w:id="52" w:name="_Toc91157802"/>
      <w:r w:rsidRPr="00A813F0">
        <w:lastRenderedPageBreak/>
        <w:t>Stage 1: Request for assessment</w:t>
      </w:r>
      <w:bookmarkEnd w:id="47"/>
      <w:bookmarkEnd w:id="48"/>
      <w:bookmarkEnd w:id="49"/>
      <w:bookmarkEnd w:id="50"/>
      <w:bookmarkEnd w:id="51"/>
      <w:bookmarkEnd w:id="52"/>
    </w:p>
    <w:p w14:paraId="4261913E" w14:textId="35FDC632" w:rsidR="000C5F0B" w:rsidRPr="00A813F0" w:rsidRDefault="000C5F0B" w:rsidP="00337A69">
      <w:pPr>
        <w:pStyle w:val="Heading3"/>
      </w:pPr>
      <w:bookmarkStart w:id="53" w:name="_Toc348953489"/>
      <w:bookmarkStart w:id="54" w:name="_Toc358984492"/>
      <w:bookmarkStart w:id="55" w:name="_Toc413682862"/>
      <w:bookmarkStart w:id="56" w:name="_Toc413683973"/>
      <w:bookmarkStart w:id="57" w:name="_Toc413843573"/>
      <w:bookmarkStart w:id="58" w:name="_Toc58835874"/>
      <w:bookmarkStart w:id="59" w:name="_Toc58839293"/>
      <w:bookmarkStart w:id="60" w:name="_Toc59564216"/>
      <w:bookmarkStart w:id="61" w:name="_Toc91157803"/>
      <w:r w:rsidRPr="00A813F0">
        <w:t>(1a)</w:t>
      </w:r>
      <w:r w:rsidRPr="00A813F0">
        <w:tab/>
        <w:t xml:space="preserve">Jurisdiction determines that </w:t>
      </w:r>
      <w:r w:rsidR="006D52A1">
        <w:t xml:space="preserve">a cost variation </w:t>
      </w:r>
      <w:r w:rsidRPr="00A813F0">
        <w:t>meets the criteria for assessment</w:t>
      </w:r>
      <w:bookmarkEnd w:id="53"/>
      <w:bookmarkEnd w:id="54"/>
      <w:bookmarkEnd w:id="55"/>
      <w:bookmarkEnd w:id="56"/>
      <w:bookmarkEnd w:id="57"/>
      <w:bookmarkEnd w:id="58"/>
      <w:bookmarkEnd w:id="59"/>
      <w:bookmarkEnd w:id="60"/>
      <w:bookmarkEnd w:id="61"/>
      <w:r w:rsidRPr="00A813F0">
        <w:t xml:space="preserve"> </w:t>
      </w:r>
    </w:p>
    <w:p w14:paraId="340DD87B" w14:textId="63CA5139" w:rsidR="000C5F0B" w:rsidRPr="00A813F0" w:rsidRDefault="000C5F0B" w:rsidP="001D28E6">
      <w:pPr>
        <w:rPr>
          <w:bCs/>
          <w:lang w:eastAsia="ja-JP"/>
        </w:rPr>
      </w:pPr>
      <w:r w:rsidRPr="00A813F0">
        <w:rPr>
          <w:bCs/>
          <w:lang w:eastAsia="ja-JP"/>
        </w:rPr>
        <w:t xml:space="preserve">A jurisdiction may request IHPA consider legitimate and unavoidable </w:t>
      </w:r>
      <w:r w:rsidR="00102D21">
        <w:rPr>
          <w:bCs/>
          <w:lang w:eastAsia="ja-JP"/>
        </w:rPr>
        <w:t xml:space="preserve">cost </w:t>
      </w:r>
      <w:r w:rsidRPr="00A813F0">
        <w:rPr>
          <w:bCs/>
          <w:lang w:eastAsia="ja-JP"/>
        </w:rPr>
        <w:t>variations</w:t>
      </w:r>
      <w:r w:rsidR="00082C31" w:rsidRPr="00A813F0">
        <w:rPr>
          <w:bCs/>
          <w:lang w:eastAsia="ja-JP"/>
        </w:rPr>
        <w:t xml:space="preserve"> as per the eligibility criteria outlined in </w:t>
      </w:r>
      <w:hyperlink w:anchor="_2._Eligibility_Criteria" w:history="1">
        <w:r w:rsidR="00852A86" w:rsidRPr="006C543F">
          <w:rPr>
            <w:rStyle w:val="Hyperlink"/>
            <w:bCs/>
            <w:u w:val="none"/>
            <w:lang w:eastAsia="ja-JP"/>
          </w:rPr>
          <w:t xml:space="preserve">Section 2.2 </w:t>
        </w:r>
        <w:r w:rsidR="00995135" w:rsidRPr="006C543F">
          <w:rPr>
            <w:rStyle w:val="Hyperlink"/>
            <w:bCs/>
            <w:u w:val="none"/>
            <w:lang w:eastAsia="ja-JP"/>
          </w:rPr>
          <w:t>of</w:t>
        </w:r>
      </w:hyperlink>
      <w:r w:rsidR="00995135" w:rsidRPr="006C543F">
        <w:rPr>
          <w:rStyle w:val="Hyperlink"/>
          <w:bCs/>
          <w:u w:val="none"/>
          <w:lang w:eastAsia="ja-JP"/>
        </w:rPr>
        <w:t xml:space="preserve"> this Policy</w:t>
      </w:r>
      <w:r w:rsidR="00082C31" w:rsidRPr="00A813F0">
        <w:rPr>
          <w:bCs/>
          <w:lang w:eastAsia="ja-JP"/>
        </w:rPr>
        <w:t>.</w:t>
      </w:r>
      <w:bookmarkStart w:id="62" w:name="OLE_LINK7"/>
      <w:bookmarkStart w:id="63" w:name="OLE_LINK8"/>
    </w:p>
    <w:p w14:paraId="1236C22D" w14:textId="77777777" w:rsidR="000C5F0B" w:rsidRPr="00A813F0" w:rsidRDefault="000C5F0B" w:rsidP="00337A69">
      <w:pPr>
        <w:pStyle w:val="Heading3"/>
      </w:pPr>
      <w:bookmarkStart w:id="64" w:name="_Toc348953490"/>
      <w:bookmarkStart w:id="65" w:name="_Toc358984493"/>
      <w:bookmarkStart w:id="66" w:name="_Toc413682863"/>
      <w:bookmarkStart w:id="67" w:name="_Toc413683974"/>
      <w:bookmarkStart w:id="68" w:name="_Toc413843574"/>
      <w:bookmarkStart w:id="69" w:name="_Toc58835875"/>
      <w:bookmarkStart w:id="70" w:name="_Toc58839294"/>
      <w:bookmarkStart w:id="71" w:name="_Toc59564217"/>
      <w:bookmarkStart w:id="72" w:name="_Toc91157804"/>
      <w:r w:rsidRPr="00A813F0">
        <w:t>(1b)</w:t>
      </w:r>
      <w:r w:rsidRPr="00A813F0">
        <w:tab/>
        <w:t>Jurisdiction requests an assessment by IHPA</w:t>
      </w:r>
      <w:bookmarkEnd w:id="64"/>
      <w:bookmarkEnd w:id="65"/>
      <w:bookmarkEnd w:id="66"/>
      <w:bookmarkEnd w:id="67"/>
      <w:bookmarkEnd w:id="68"/>
      <w:bookmarkEnd w:id="69"/>
      <w:bookmarkEnd w:id="70"/>
      <w:bookmarkEnd w:id="71"/>
      <w:bookmarkEnd w:id="72"/>
      <w:r w:rsidRPr="00A813F0">
        <w:t xml:space="preserve"> </w:t>
      </w:r>
    </w:p>
    <w:p w14:paraId="59C3E381" w14:textId="471D85BF" w:rsidR="00EE64F0" w:rsidRPr="00A813F0" w:rsidRDefault="000C5F0B" w:rsidP="000C5F0B">
      <w:pPr>
        <w:rPr>
          <w:bCs/>
          <w:lang w:eastAsia="ja-JP"/>
        </w:rPr>
      </w:pPr>
      <w:r w:rsidRPr="00A813F0">
        <w:rPr>
          <w:bCs/>
          <w:lang w:eastAsia="ja-JP"/>
        </w:rPr>
        <w:t xml:space="preserve">The request must be in writing and </w:t>
      </w:r>
      <w:r w:rsidR="0009378C" w:rsidRPr="00A813F0">
        <w:rPr>
          <w:bCs/>
          <w:lang w:eastAsia="ja-JP"/>
        </w:rPr>
        <w:t xml:space="preserve">be </w:t>
      </w:r>
      <w:r w:rsidRPr="00A813F0">
        <w:rPr>
          <w:bCs/>
          <w:lang w:eastAsia="ja-JP"/>
        </w:rPr>
        <w:t xml:space="preserve">accompanied by a written submission </w:t>
      </w:r>
      <w:r w:rsidR="0009378C" w:rsidRPr="00A813F0">
        <w:rPr>
          <w:bCs/>
          <w:lang w:eastAsia="ja-JP"/>
        </w:rPr>
        <w:t xml:space="preserve">to </w:t>
      </w:r>
      <w:r w:rsidR="00852A86">
        <w:rPr>
          <w:bCs/>
          <w:lang w:eastAsia="ja-JP"/>
        </w:rPr>
        <w:t xml:space="preserve">demonstrate the request meets </w:t>
      </w:r>
      <w:r w:rsidRPr="00A813F0">
        <w:rPr>
          <w:bCs/>
          <w:lang w:eastAsia="ja-JP"/>
        </w:rPr>
        <w:t xml:space="preserve">the </w:t>
      </w:r>
      <w:r w:rsidR="00EE64F0" w:rsidRPr="00A813F0">
        <w:rPr>
          <w:bCs/>
          <w:lang w:eastAsia="ja-JP"/>
        </w:rPr>
        <w:t xml:space="preserve">criteria </w:t>
      </w:r>
      <w:r w:rsidR="00E73654" w:rsidRPr="00A813F0">
        <w:rPr>
          <w:bCs/>
          <w:lang w:eastAsia="ja-JP"/>
        </w:rPr>
        <w:t xml:space="preserve">outlined </w:t>
      </w:r>
      <w:r w:rsidR="00EE64F0" w:rsidRPr="00A813F0">
        <w:rPr>
          <w:bCs/>
          <w:lang w:eastAsia="ja-JP"/>
        </w:rPr>
        <w:t xml:space="preserve">in </w:t>
      </w:r>
      <w:hyperlink w:anchor="_2._Eligibility_Criteria" w:history="1">
        <w:r w:rsidR="00E73654" w:rsidRPr="006C543F">
          <w:rPr>
            <w:rStyle w:val="Hyperlink"/>
            <w:bCs/>
            <w:u w:val="none"/>
            <w:lang w:eastAsia="ja-JP"/>
          </w:rPr>
          <w:t>S</w:t>
        </w:r>
        <w:r w:rsidR="00EE64F0" w:rsidRPr="006C543F">
          <w:rPr>
            <w:rStyle w:val="Hyperlink"/>
            <w:bCs/>
            <w:u w:val="none"/>
            <w:lang w:eastAsia="ja-JP"/>
          </w:rPr>
          <w:t>ection 2</w:t>
        </w:r>
        <w:r w:rsidR="00E73654" w:rsidRPr="006C543F">
          <w:rPr>
            <w:rStyle w:val="Hyperlink"/>
            <w:bCs/>
            <w:u w:val="none"/>
            <w:lang w:eastAsia="ja-JP"/>
          </w:rPr>
          <w:t>.2</w:t>
        </w:r>
        <w:r w:rsidR="00DF30B2" w:rsidRPr="006C543F">
          <w:rPr>
            <w:rStyle w:val="Hyperlink"/>
            <w:bCs/>
            <w:u w:val="none"/>
            <w:lang w:eastAsia="ja-JP"/>
          </w:rPr>
          <w:t xml:space="preserve"> </w:t>
        </w:r>
        <w:r w:rsidR="00995135">
          <w:rPr>
            <w:rStyle w:val="Hyperlink"/>
            <w:bCs/>
            <w:u w:val="none"/>
            <w:lang w:eastAsia="ja-JP"/>
          </w:rPr>
          <w:t>of</w:t>
        </w:r>
      </w:hyperlink>
      <w:r w:rsidR="00995135">
        <w:rPr>
          <w:rStyle w:val="Hyperlink"/>
          <w:bCs/>
          <w:u w:val="none"/>
          <w:lang w:eastAsia="ja-JP"/>
        </w:rPr>
        <w:t xml:space="preserve"> this Policy</w:t>
      </w:r>
      <w:r w:rsidRPr="00A813F0">
        <w:rPr>
          <w:bCs/>
          <w:lang w:eastAsia="ja-JP"/>
        </w:rPr>
        <w:t xml:space="preserve">. </w:t>
      </w:r>
    </w:p>
    <w:p w14:paraId="4AFBBDAE" w14:textId="52A0B911" w:rsidR="000C5F0B" w:rsidRPr="00A813F0" w:rsidRDefault="000C5F0B" w:rsidP="000C5F0B">
      <w:pPr>
        <w:rPr>
          <w:bCs/>
          <w:lang w:eastAsia="ja-JP"/>
        </w:rPr>
      </w:pPr>
      <w:r w:rsidRPr="00A813F0">
        <w:rPr>
          <w:bCs/>
          <w:lang w:eastAsia="ja-JP"/>
        </w:rPr>
        <w:t>Relevant information, data and documents to enable IHPA to understand the issues involved must be provided by the</w:t>
      </w:r>
      <w:r w:rsidR="00AC1332">
        <w:rPr>
          <w:bCs/>
          <w:lang w:eastAsia="ja-JP"/>
        </w:rPr>
        <w:t xml:space="preserve"> requesting</w:t>
      </w:r>
      <w:r w:rsidRPr="00A813F0">
        <w:rPr>
          <w:bCs/>
          <w:lang w:eastAsia="ja-JP"/>
        </w:rPr>
        <w:t xml:space="preserve"> jurisdiction. This should include any </w:t>
      </w:r>
      <w:r w:rsidR="00FF34E5" w:rsidRPr="00A813F0">
        <w:rPr>
          <w:bCs/>
          <w:lang w:eastAsia="ja-JP"/>
        </w:rPr>
        <w:t xml:space="preserve">analyses </w:t>
      </w:r>
      <w:r w:rsidRPr="00A813F0">
        <w:rPr>
          <w:bCs/>
          <w:lang w:eastAsia="ja-JP"/>
        </w:rPr>
        <w:t>undertaken based on available data, including the National Hospital Cost Data Collection.</w:t>
      </w:r>
    </w:p>
    <w:p w14:paraId="36A892AE" w14:textId="516991BF" w:rsidR="000C5F0B" w:rsidRPr="00A813F0" w:rsidRDefault="000C5F0B" w:rsidP="000C5F0B">
      <w:pPr>
        <w:rPr>
          <w:b/>
          <w:bCs/>
          <w:lang w:eastAsia="ja-JP"/>
        </w:rPr>
      </w:pPr>
      <w:r w:rsidRPr="00A813F0">
        <w:rPr>
          <w:bCs/>
          <w:lang w:eastAsia="ja-JP"/>
        </w:rPr>
        <w:t>To assist jurisdictions in preparing a written request</w:t>
      </w:r>
      <w:r w:rsidR="00EE64F0" w:rsidRPr="00A813F0">
        <w:rPr>
          <w:bCs/>
          <w:lang w:eastAsia="ja-JP"/>
        </w:rPr>
        <w:t>,</w:t>
      </w:r>
      <w:r w:rsidRPr="00A813F0">
        <w:rPr>
          <w:bCs/>
          <w:lang w:eastAsia="ja-JP"/>
        </w:rPr>
        <w:t xml:space="preserve"> IHPA has developed guidance</w:t>
      </w:r>
      <w:r w:rsidR="00EE64F0" w:rsidRPr="00A813F0">
        <w:rPr>
          <w:bCs/>
          <w:lang w:eastAsia="ja-JP"/>
        </w:rPr>
        <w:t xml:space="preserve"> on what to include in the written submission</w:t>
      </w:r>
      <w:r w:rsidR="00B9233C" w:rsidRPr="00A813F0">
        <w:rPr>
          <w:bCs/>
          <w:lang w:eastAsia="ja-JP"/>
        </w:rPr>
        <w:t xml:space="preserve"> </w:t>
      </w:r>
      <w:r w:rsidR="00EE64F0" w:rsidRPr="00A813F0">
        <w:rPr>
          <w:bCs/>
          <w:lang w:eastAsia="ja-JP"/>
        </w:rPr>
        <w:t>(see</w:t>
      </w:r>
      <w:r w:rsidRPr="00A813F0">
        <w:rPr>
          <w:bCs/>
          <w:lang w:eastAsia="ja-JP"/>
        </w:rPr>
        <w:t xml:space="preserve"> </w:t>
      </w:r>
      <w:hyperlink w:anchor="_Appendix_B:_Guidance" w:history="1">
        <w:r w:rsidRPr="00A813F0">
          <w:rPr>
            <w:rStyle w:val="Hyperlink"/>
            <w:bCs/>
            <w:lang w:eastAsia="ja-JP"/>
          </w:rPr>
          <w:t xml:space="preserve">Appendix </w:t>
        </w:r>
        <w:r w:rsidR="002A0357" w:rsidRPr="00A813F0">
          <w:rPr>
            <w:rStyle w:val="Hyperlink"/>
            <w:bCs/>
            <w:lang w:eastAsia="ja-JP"/>
          </w:rPr>
          <w:t>A</w:t>
        </w:r>
      </w:hyperlink>
      <w:r w:rsidR="00EE64F0" w:rsidRPr="00A813F0">
        <w:rPr>
          <w:rStyle w:val="Hyperlink"/>
          <w:bCs/>
          <w:u w:val="none"/>
          <w:lang w:eastAsia="ja-JP"/>
        </w:rPr>
        <w:t>)</w:t>
      </w:r>
      <w:r w:rsidR="00B9233C" w:rsidRPr="00A813F0">
        <w:rPr>
          <w:rStyle w:val="Hyperlink"/>
          <w:bCs/>
          <w:u w:val="none"/>
          <w:lang w:eastAsia="ja-JP"/>
        </w:rPr>
        <w:t>.</w:t>
      </w:r>
      <w:bookmarkEnd w:id="62"/>
      <w:bookmarkEnd w:id="63"/>
    </w:p>
    <w:p w14:paraId="7C0FE836" w14:textId="77777777" w:rsidR="000C5F0B" w:rsidRPr="00A813F0" w:rsidRDefault="000C5F0B" w:rsidP="000C447D">
      <w:pPr>
        <w:pStyle w:val="Heading2"/>
      </w:pPr>
      <w:bookmarkStart w:id="73" w:name="_Toc333313520"/>
      <w:bookmarkStart w:id="74" w:name="_Toc335212338"/>
      <w:bookmarkStart w:id="75" w:name="_Toc339895546"/>
      <w:bookmarkStart w:id="76" w:name="_Toc358984494"/>
      <w:bookmarkStart w:id="77" w:name="_Toc413682864"/>
      <w:bookmarkStart w:id="78" w:name="_Toc413683975"/>
      <w:bookmarkStart w:id="79" w:name="_Toc413843575"/>
      <w:bookmarkStart w:id="80" w:name="_Toc91157805"/>
      <w:r w:rsidRPr="00A813F0">
        <w:t>Stage 2: Assessment</w:t>
      </w:r>
      <w:bookmarkEnd w:id="73"/>
      <w:bookmarkEnd w:id="74"/>
      <w:bookmarkEnd w:id="75"/>
      <w:bookmarkEnd w:id="76"/>
      <w:bookmarkEnd w:id="77"/>
      <w:bookmarkEnd w:id="78"/>
      <w:bookmarkEnd w:id="79"/>
      <w:bookmarkEnd w:id="80"/>
    </w:p>
    <w:p w14:paraId="094C5901" w14:textId="77777777" w:rsidR="000C5F0B" w:rsidRPr="00A813F0" w:rsidRDefault="000C5F0B" w:rsidP="000C5F0B">
      <w:pPr>
        <w:pStyle w:val="Heading3"/>
      </w:pPr>
      <w:bookmarkStart w:id="81" w:name="_Toc348953492"/>
      <w:bookmarkStart w:id="82" w:name="_Toc358984495"/>
      <w:bookmarkStart w:id="83" w:name="_Toc413682865"/>
      <w:bookmarkStart w:id="84" w:name="_Toc413683976"/>
      <w:bookmarkStart w:id="85" w:name="_Toc413843576"/>
      <w:bookmarkStart w:id="86" w:name="_Toc58835877"/>
      <w:bookmarkStart w:id="87" w:name="_Toc58839296"/>
      <w:bookmarkStart w:id="88" w:name="_Toc59564219"/>
      <w:bookmarkStart w:id="89" w:name="_Toc91157806"/>
      <w:bookmarkStart w:id="90" w:name="_Toc333313521"/>
      <w:bookmarkStart w:id="91" w:name="_Toc335212339"/>
      <w:bookmarkStart w:id="92" w:name="_Toc338353616"/>
      <w:bookmarkStart w:id="93" w:name="_Toc339895547"/>
      <w:r w:rsidRPr="00A813F0">
        <w:t>(2a)</w:t>
      </w:r>
      <w:r w:rsidRPr="00A813F0">
        <w:tab/>
        <w:t>IHPA reviews the request and evidence provided</w:t>
      </w:r>
      <w:bookmarkEnd w:id="81"/>
      <w:bookmarkEnd w:id="82"/>
      <w:bookmarkEnd w:id="83"/>
      <w:bookmarkEnd w:id="84"/>
      <w:bookmarkEnd w:id="85"/>
      <w:bookmarkEnd w:id="86"/>
      <w:bookmarkEnd w:id="87"/>
      <w:bookmarkEnd w:id="88"/>
      <w:bookmarkEnd w:id="89"/>
      <w:r w:rsidRPr="00A813F0">
        <w:t xml:space="preserve"> </w:t>
      </w:r>
      <w:bookmarkEnd w:id="90"/>
      <w:bookmarkEnd w:id="91"/>
      <w:bookmarkEnd w:id="92"/>
      <w:bookmarkEnd w:id="93"/>
    </w:p>
    <w:p w14:paraId="50FF38BB" w14:textId="76931321" w:rsidR="00DC21E2" w:rsidRPr="00A813F0" w:rsidRDefault="000C5F0B" w:rsidP="000C5F0B">
      <w:pPr>
        <w:rPr>
          <w:lang w:eastAsia="ja-JP"/>
        </w:rPr>
      </w:pPr>
      <w:r w:rsidRPr="00A813F0">
        <w:rPr>
          <w:lang w:eastAsia="ja-JP"/>
        </w:rPr>
        <w:t xml:space="preserve">IHPA will </w:t>
      </w:r>
      <w:r w:rsidR="00EE64F0" w:rsidRPr="00A813F0">
        <w:rPr>
          <w:lang w:eastAsia="ja-JP"/>
        </w:rPr>
        <w:t xml:space="preserve">assess the submission </w:t>
      </w:r>
      <w:r w:rsidRPr="00A813F0">
        <w:rPr>
          <w:lang w:eastAsia="ja-JP"/>
        </w:rPr>
        <w:t>against the criteria</w:t>
      </w:r>
      <w:r w:rsidR="00EE64F0" w:rsidRPr="00A813F0">
        <w:rPr>
          <w:lang w:eastAsia="ja-JP"/>
        </w:rPr>
        <w:t>. IHPA will only proceed to undertake the assessment</w:t>
      </w:r>
      <w:r w:rsidRPr="00A813F0">
        <w:rPr>
          <w:lang w:eastAsia="ja-JP"/>
        </w:rPr>
        <w:t xml:space="preserve"> where the jurisdiction outlines in the request the evidence or best available information to support the criteria. </w:t>
      </w:r>
    </w:p>
    <w:p w14:paraId="6A302EB4" w14:textId="77777777" w:rsidR="000C5F0B" w:rsidRPr="00A813F0" w:rsidRDefault="000C5F0B" w:rsidP="000C5F0B">
      <w:pPr>
        <w:rPr>
          <w:lang w:eastAsia="ja-JP"/>
        </w:rPr>
      </w:pPr>
      <w:r w:rsidRPr="00A813F0">
        <w:rPr>
          <w:lang w:eastAsia="ja-JP"/>
        </w:rPr>
        <w:t>If IHPA is not satisfied that these criteria have been met, the request will be referred back to the jurisdiction:</w:t>
      </w:r>
    </w:p>
    <w:p w14:paraId="557CA840" w14:textId="4FC6C531" w:rsidR="000C5F0B" w:rsidRPr="00A813F0" w:rsidRDefault="000C5F0B" w:rsidP="005F61EC">
      <w:pPr>
        <w:pStyle w:val="ListParagraph"/>
        <w:numPr>
          <w:ilvl w:val="0"/>
          <w:numId w:val="22"/>
        </w:numPr>
        <w:rPr>
          <w:lang w:eastAsia="ja-JP"/>
        </w:rPr>
      </w:pPr>
      <w:r w:rsidRPr="00A813F0">
        <w:rPr>
          <w:lang w:eastAsia="ja-JP"/>
        </w:rPr>
        <w:t>explaining that insufficient information has been provided to enable IHPA to undertake an assessment of whether the costs are legitimate and unavoidable</w:t>
      </w:r>
    </w:p>
    <w:p w14:paraId="2A4F7891" w14:textId="77777777" w:rsidR="000C5F0B" w:rsidRPr="00A813F0" w:rsidRDefault="000C5F0B" w:rsidP="005F61EC">
      <w:pPr>
        <w:pStyle w:val="ListParagraph"/>
        <w:numPr>
          <w:ilvl w:val="0"/>
          <w:numId w:val="22"/>
        </w:numPr>
        <w:rPr>
          <w:lang w:eastAsia="ja-JP"/>
        </w:rPr>
      </w:pPr>
      <w:r w:rsidRPr="00A813F0">
        <w:rPr>
          <w:lang w:eastAsia="ja-JP"/>
        </w:rPr>
        <w:t>seeking additional information to enable IHPA to make this assessment.</w:t>
      </w:r>
    </w:p>
    <w:p w14:paraId="45D119EF" w14:textId="77777777" w:rsidR="000C5F0B" w:rsidRPr="00A813F0" w:rsidRDefault="000C5F0B" w:rsidP="000C5F0B">
      <w:pPr>
        <w:rPr>
          <w:lang w:eastAsia="ja-JP"/>
        </w:rPr>
      </w:pPr>
      <w:r w:rsidRPr="00A813F0">
        <w:rPr>
          <w:lang w:eastAsia="ja-JP"/>
        </w:rPr>
        <w:t xml:space="preserve">No further action will be taken by IHPA in relation to the request until the requesting jurisdiction provides </w:t>
      </w:r>
      <w:r w:rsidR="00DC21E2" w:rsidRPr="00A813F0">
        <w:rPr>
          <w:lang w:eastAsia="ja-JP"/>
        </w:rPr>
        <w:t xml:space="preserve">the </w:t>
      </w:r>
      <w:r w:rsidR="002167EB" w:rsidRPr="00A813F0">
        <w:rPr>
          <w:lang w:eastAsia="ja-JP"/>
        </w:rPr>
        <w:t>additional</w:t>
      </w:r>
      <w:r w:rsidRPr="00A813F0">
        <w:rPr>
          <w:lang w:eastAsia="ja-JP"/>
        </w:rPr>
        <w:t xml:space="preserve"> information.</w:t>
      </w:r>
    </w:p>
    <w:p w14:paraId="01DCB5B4" w14:textId="77777777" w:rsidR="000C5F0B" w:rsidRPr="00A813F0" w:rsidRDefault="000C5F0B" w:rsidP="000C5F0B">
      <w:pPr>
        <w:pStyle w:val="Heading3"/>
      </w:pPr>
      <w:bookmarkStart w:id="94" w:name="_Toc333313522"/>
      <w:bookmarkStart w:id="95" w:name="_Toc335212340"/>
      <w:bookmarkStart w:id="96" w:name="_Toc338353617"/>
      <w:bookmarkStart w:id="97" w:name="_Toc348953493"/>
      <w:bookmarkStart w:id="98" w:name="_Toc358984496"/>
      <w:bookmarkStart w:id="99" w:name="_Toc413682866"/>
      <w:bookmarkStart w:id="100" w:name="_Toc413683977"/>
      <w:bookmarkStart w:id="101" w:name="_Toc413843577"/>
      <w:bookmarkStart w:id="102" w:name="_Toc58835878"/>
      <w:bookmarkStart w:id="103" w:name="_Toc58839297"/>
      <w:bookmarkStart w:id="104" w:name="_Toc59564220"/>
      <w:bookmarkStart w:id="105" w:name="_Toc91157807"/>
      <w:r w:rsidRPr="00A813F0">
        <w:t>(2b)</w:t>
      </w:r>
      <w:r w:rsidRPr="00A813F0">
        <w:tab/>
        <w:t xml:space="preserve">IHPA provides notification of the request to </w:t>
      </w:r>
      <w:bookmarkEnd w:id="94"/>
      <w:bookmarkEnd w:id="95"/>
      <w:bookmarkEnd w:id="96"/>
      <w:bookmarkEnd w:id="97"/>
      <w:r w:rsidRPr="00A813F0">
        <w:t>all jurisdictions</w:t>
      </w:r>
      <w:bookmarkEnd w:id="98"/>
      <w:bookmarkEnd w:id="99"/>
      <w:bookmarkEnd w:id="100"/>
      <w:bookmarkEnd w:id="101"/>
      <w:bookmarkEnd w:id="102"/>
      <w:bookmarkEnd w:id="103"/>
      <w:bookmarkEnd w:id="104"/>
      <w:bookmarkEnd w:id="105"/>
    </w:p>
    <w:p w14:paraId="0B335FA2" w14:textId="77777777" w:rsidR="000C5F0B" w:rsidRPr="00A813F0" w:rsidRDefault="000C5F0B" w:rsidP="000C5F0B">
      <w:pPr>
        <w:rPr>
          <w:lang w:eastAsia="ja-JP"/>
        </w:rPr>
      </w:pPr>
      <w:r w:rsidRPr="00A813F0">
        <w:rPr>
          <w:lang w:eastAsia="ja-JP"/>
        </w:rPr>
        <w:t xml:space="preserve">As the request for assessment may impact other jurisdictions, IHPA will </w:t>
      </w:r>
      <w:r w:rsidR="000E0838" w:rsidRPr="00A813F0">
        <w:rPr>
          <w:lang w:eastAsia="ja-JP"/>
        </w:rPr>
        <w:t xml:space="preserve">provide </w:t>
      </w:r>
      <w:r w:rsidRPr="00A813F0">
        <w:rPr>
          <w:lang w:eastAsia="ja-JP"/>
        </w:rPr>
        <w:t>all the jurisdictions (in writing):</w:t>
      </w:r>
    </w:p>
    <w:p w14:paraId="4CE887E5" w14:textId="35FBC667" w:rsidR="000C5F0B" w:rsidRPr="00A813F0" w:rsidRDefault="000C5F0B" w:rsidP="005F61EC">
      <w:pPr>
        <w:pStyle w:val="ListParagraph"/>
        <w:numPr>
          <w:ilvl w:val="0"/>
          <w:numId w:val="22"/>
        </w:numPr>
        <w:rPr>
          <w:lang w:eastAsia="ja-JP"/>
        </w:rPr>
      </w:pPr>
      <w:r w:rsidRPr="00A813F0">
        <w:rPr>
          <w:lang w:eastAsia="ja-JP"/>
        </w:rPr>
        <w:t xml:space="preserve">the request for assessment received </w:t>
      </w:r>
      <w:r w:rsidR="000E0838" w:rsidRPr="00A813F0">
        <w:rPr>
          <w:lang w:eastAsia="ja-JP"/>
        </w:rPr>
        <w:t xml:space="preserve">from </w:t>
      </w:r>
      <w:r w:rsidRPr="00A813F0">
        <w:rPr>
          <w:lang w:eastAsia="ja-JP"/>
        </w:rPr>
        <w:t>the jurisdiction, including a copy of the written submission that accompanied the request</w:t>
      </w:r>
    </w:p>
    <w:p w14:paraId="0FB235F3" w14:textId="61435527" w:rsidR="000C5F0B" w:rsidRPr="00A813F0" w:rsidRDefault="000C5F0B" w:rsidP="002167EB">
      <w:pPr>
        <w:pStyle w:val="ListParagraph"/>
        <w:numPr>
          <w:ilvl w:val="0"/>
          <w:numId w:val="22"/>
        </w:numPr>
        <w:rPr>
          <w:lang w:eastAsia="ja-JP"/>
        </w:rPr>
      </w:pPr>
      <w:r w:rsidRPr="00A813F0">
        <w:rPr>
          <w:lang w:eastAsia="ja-JP"/>
        </w:rPr>
        <w:t xml:space="preserve">an invitation to make a written submission to IHPA </w:t>
      </w:r>
      <w:r w:rsidR="000E0838" w:rsidRPr="00A813F0">
        <w:rPr>
          <w:lang w:eastAsia="ja-JP"/>
        </w:rPr>
        <w:t>within 28 days</w:t>
      </w:r>
      <w:r w:rsidR="002167EB" w:rsidRPr="00A813F0">
        <w:rPr>
          <w:lang w:eastAsia="ja-JP"/>
        </w:rPr>
        <w:t>, including</w:t>
      </w:r>
      <w:r w:rsidR="000E0838" w:rsidRPr="00A813F0">
        <w:rPr>
          <w:lang w:eastAsia="ja-JP"/>
        </w:rPr>
        <w:t xml:space="preserve"> </w:t>
      </w:r>
      <w:r w:rsidR="002167EB" w:rsidRPr="00A813F0">
        <w:rPr>
          <w:lang w:eastAsia="ja-JP"/>
        </w:rPr>
        <w:t>supporting evidence to assist the assessment at the national level</w:t>
      </w:r>
      <w:r w:rsidR="00174B5D" w:rsidRPr="00A813F0">
        <w:rPr>
          <w:lang w:eastAsia="ja-JP"/>
        </w:rPr>
        <w:t>.</w:t>
      </w:r>
    </w:p>
    <w:p w14:paraId="42CC66B2" w14:textId="77777777" w:rsidR="000C5F0B" w:rsidRPr="00A813F0" w:rsidRDefault="000C5F0B" w:rsidP="000C5F0B">
      <w:pPr>
        <w:pStyle w:val="Heading3"/>
      </w:pPr>
      <w:bookmarkStart w:id="106" w:name="_Toc333313526"/>
      <w:bookmarkStart w:id="107" w:name="_Toc335212344"/>
      <w:bookmarkStart w:id="108" w:name="_Toc338353621"/>
      <w:bookmarkStart w:id="109" w:name="_Toc339895551"/>
      <w:bookmarkStart w:id="110" w:name="_Toc348953494"/>
      <w:bookmarkStart w:id="111" w:name="_Toc358984497"/>
      <w:bookmarkStart w:id="112" w:name="_Toc413682867"/>
      <w:bookmarkStart w:id="113" w:name="_Toc413683978"/>
      <w:bookmarkStart w:id="114" w:name="_Toc413843578"/>
      <w:bookmarkStart w:id="115" w:name="_Toc58835879"/>
      <w:bookmarkStart w:id="116" w:name="_Toc58839298"/>
      <w:bookmarkStart w:id="117" w:name="_Toc59564221"/>
      <w:bookmarkStart w:id="118" w:name="_Toc91157808"/>
      <w:r w:rsidRPr="00A813F0">
        <w:t>(2c)</w:t>
      </w:r>
      <w:r w:rsidRPr="00A813F0">
        <w:tab/>
        <w:t>IHPA undertakes the assessment</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368C9614" w14:textId="78DF42AB" w:rsidR="000C5F0B" w:rsidRPr="00A813F0" w:rsidRDefault="000C5F0B" w:rsidP="000C5F0B">
      <w:pPr>
        <w:rPr>
          <w:lang w:eastAsia="ja-JP"/>
        </w:rPr>
      </w:pPr>
      <w:r w:rsidRPr="00A813F0">
        <w:rPr>
          <w:lang w:eastAsia="ja-JP"/>
        </w:rPr>
        <w:t xml:space="preserve">In undertaking the assessment IHPA will </w:t>
      </w:r>
      <w:r w:rsidR="00BA08FE">
        <w:rPr>
          <w:lang w:eastAsia="ja-JP"/>
        </w:rPr>
        <w:t>review</w:t>
      </w:r>
      <w:r w:rsidR="00BA08FE" w:rsidRPr="00A813F0">
        <w:rPr>
          <w:lang w:eastAsia="ja-JP"/>
        </w:rPr>
        <w:t xml:space="preserve"> </w:t>
      </w:r>
      <w:r w:rsidRPr="00A813F0">
        <w:rPr>
          <w:lang w:eastAsia="ja-JP"/>
        </w:rPr>
        <w:t xml:space="preserve">the submissions received from all jurisdictions. Where required, IHPA </w:t>
      </w:r>
      <w:r w:rsidR="003F0CDE" w:rsidRPr="00A813F0">
        <w:rPr>
          <w:lang w:eastAsia="ja-JP"/>
        </w:rPr>
        <w:t>will</w:t>
      </w:r>
      <w:r w:rsidRPr="00A813F0">
        <w:rPr>
          <w:lang w:eastAsia="ja-JP"/>
        </w:rPr>
        <w:t xml:space="preserve">: </w:t>
      </w:r>
    </w:p>
    <w:p w14:paraId="4A6647D2" w14:textId="593D7329" w:rsidR="000C5F0B" w:rsidRPr="00A813F0" w:rsidRDefault="000C5F0B" w:rsidP="005F61EC">
      <w:pPr>
        <w:pStyle w:val="ListParagraph"/>
        <w:numPr>
          <w:ilvl w:val="0"/>
          <w:numId w:val="22"/>
        </w:numPr>
        <w:rPr>
          <w:lang w:eastAsia="ja-JP"/>
        </w:rPr>
      </w:pPr>
      <w:r w:rsidRPr="00A813F0">
        <w:rPr>
          <w:lang w:eastAsia="ja-JP"/>
        </w:rPr>
        <w:t>request additional evidence from jurisdictions (</w:t>
      </w:r>
      <w:r w:rsidR="00B23B92" w:rsidRPr="00A813F0">
        <w:rPr>
          <w:lang w:eastAsia="ja-JP"/>
        </w:rPr>
        <w:t>for example, data, information</w:t>
      </w:r>
      <w:r w:rsidR="00DB2622" w:rsidRPr="00A813F0">
        <w:rPr>
          <w:lang w:eastAsia="ja-JP"/>
        </w:rPr>
        <w:t>, documents</w:t>
      </w:r>
      <w:r w:rsidR="00B23B92" w:rsidRPr="00A813F0">
        <w:rPr>
          <w:lang w:eastAsia="ja-JP"/>
        </w:rPr>
        <w:t xml:space="preserve"> or agreements</w:t>
      </w:r>
      <w:r w:rsidRPr="00A813F0">
        <w:rPr>
          <w:lang w:eastAsia="ja-JP"/>
        </w:rPr>
        <w:t>) to clarify facts and ambiguities in the assessment</w:t>
      </w:r>
    </w:p>
    <w:p w14:paraId="50DE12DD" w14:textId="3738A2A1" w:rsidR="000C5F0B" w:rsidRPr="00A813F0" w:rsidRDefault="000C5F0B" w:rsidP="005F61EC">
      <w:pPr>
        <w:pStyle w:val="ListParagraph"/>
        <w:numPr>
          <w:ilvl w:val="0"/>
          <w:numId w:val="22"/>
        </w:numPr>
        <w:rPr>
          <w:lang w:eastAsia="ja-JP"/>
        </w:rPr>
      </w:pPr>
      <w:r w:rsidRPr="00A813F0">
        <w:rPr>
          <w:lang w:eastAsia="ja-JP"/>
        </w:rPr>
        <w:t>consult further with jurisdictions</w:t>
      </w:r>
    </w:p>
    <w:p w14:paraId="72867E60" w14:textId="1ED82CDF" w:rsidR="000C5F0B" w:rsidRPr="00A813F0" w:rsidRDefault="000C5F0B" w:rsidP="005F61EC">
      <w:pPr>
        <w:pStyle w:val="ListParagraph"/>
        <w:numPr>
          <w:ilvl w:val="0"/>
          <w:numId w:val="22"/>
        </w:numPr>
        <w:rPr>
          <w:lang w:eastAsia="ja-JP"/>
        </w:rPr>
      </w:pPr>
      <w:r w:rsidRPr="00A813F0">
        <w:rPr>
          <w:lang w:eastAsia="ja-JP"/>
        </w:rPr>
        <w:lastRenderedPageBreak/>
        <w:t>seek expert input</w:t>
      </w:r>
      <w:r w:rsidR="00102D21">
        <w:rPr>
          <w:lang w:eastAsia="ja-JP"/>
        </w:rPr>
        <w:t xml:space="preserve"> or </w:t>
      </w:r>
      <w:r w:rsidRPr="00A813F0">
        <w:rPr>
          <w:lang w:eastAsia="ja-JP"/>
        </w:rPr>
        <w:t>advice.</w:t>
      </w:r>
    </w:p>
    <w:p w14:paraId="2CAB1DC4" w14:textId="77777777" w:rsidR="000C5F0B" w:rsidRPr="00A813F0" w:rsidRDefault="000C5F0B" w:rsidP="000C5F0B">
      <w:pPr>
        <w:rPr>
          <w:lang w:eastAsia="ja-JP"/>
        </w:rPr>
      </w:pPr>
      <w:r w:rsidRPr="00A813F0">
        <w:rPr>
          <w:lang w:eastAsia="ja-JP"/>
        </w:rPr>
        <w:t xml:space="preserve">To support the timeliness of the investigation, </w:t>
      </w:r>
      <w:r w:rsidR="003F0CDE" w:rsidRPr="00A813F0">
        <w:rPr>
          <w:lang w:eastAsia="ja-JP"/>
        </w:rPr>
        <w:t xml:space="preserve">jurisdictions should provide </w:t>
      </w:r>
      <w:r w:rsidRPr="00A813F0">
        <w:rPr>
          <w:lang w:eastAsia="ja-JP"/>
        </w:rPr>
        <w:t>additional information within 14 days after receiving the written request.</w:t>
      </w:r>
    </w:p>
    <w:p w14:paraId="3BA1A977" w14:textId="74754FEB" w:rsidR="000C5F0B" w:rsidRPr="00A813F0" w:rsidRDefault="000C5F0B" w:rsidP="007F71DF">
      <w:pPr>
        <w:keepNext/>
        <w:rPr>
          <w:lang w:eastAsia="ja-JP"/>
        </w:rPr>
      </w:pPr>
      <w:r w:rsidRPr="00A813F0">
        <w:rPr>
          <w:lang w:eastAsia="ja-JP"/>
        </w:rPr>
        <w:t xml:space="preserve">In undertaking its assessment, IHPA will assess the </w:t>
      </w:r>
      <w:r w:rsidR="00BA2D79" w:rsidRPr="00A813F0">
        <w:rPr>
          <w:lang w:eastAsia="ja-JP"/>
        </w:rPr>
        <w:t>proposal</w:t>
      </w:r>
      <w:r w:rsidRPr="00A813F0">
        <w:rPr>
          <w:lang w:eastAsia="ja-JP"/>
        </w:rPr>
        <w:t xml:space="preserve"> to:</w:t>
      </w:r>
    </w:p>
    <w:p w14:paraId="43EF1C16" w14:textId="77777777" w:rsidR="000C5F0B" w:rsidRPr="00A813F0" w:rsidRDefault="005F61EC" w:rsidP="005F61EC">
      <w:pPr>
        <w:pStyle w:val="ListParagraph"/>
        <w:numPr>
          <w:ilvl w:val="0"/>
          <w:numId w:val="16"/>
        </w:numPr>
        <w:rPr>
          <w:lang w:eastAsia="ja-JP"/>
        </w:rPr>
      </w:pPr>
      <w:r w:rsidRPr="00A813F0">
        <w:rPr>
          <w:lang w:eastAsia="ja-JP"/>
        </w:rPr>
        <w:t>D</w:t>
      </w:r>
      <w:r w:rsidR="000C5F0B" w:rsidRPr="00A813F0">
        <w:rPr>
          <w:lang w:eastAsia="ja-JP"/>
        </w:rPr>
        <w:t>etermine the implications at the national level</w:t>
      </w:r>
      <w:r w:rsidR="000C5F0B" w:rsidRPr="00A813F0">
        <w:rPr>
          <w:vertAlign w:val="superscript"/>
          <w:lang w:eastAsia="ja-JP"/>
        </w:rPr>
        <w:footnoteReference w:id="3"/>
      </w:r>
      <w:r w:rsidR="000C5F0B" w:rsidRPr="00A813F0">
        <w:rPr>
          <w:lang w:eastAsia="ja-JP"/>
        </w:rPr>
        <w:t>. This analysis will include, but not be limited to:</w:t>
      </w:r>
    </w:p>
    <w:p w14:paraId="47155A5F" w14:textId="7E43E862" w:rsidR="000C5F0B" w:rsidRPr="00A813F0" w:rsidRDefault="00B9233C">
      <w:pPr>
        <w:pStyle w:val="ListParagraph"/>
        <w:rPr>
          <w:lang w:eastAsia="ja-JP"/>
        </w:rPr>
      </w:pPr>
      <w:r w:rsidRPr="00A813F0">
        <w:rPr>
          <w:lang w:eastAsia="ja-JP"/>
        </w:rPr>
        <w:t>d</w:t>
      </w:r>
      <w:r w:rsidR="000C5F0B" w:rsidRPr="00A813F0">
        <w:rPr>
          <w:lang w:eastAsia="ja-JP"/>
        </w:rPr>
        <w:t>ifference</w:t>
      </w:r>
      <w:r w:rsidR="005B0925" w:rsidRPr="00A813F0">
        <w:rPr>
          <w:lang w:eastAsia="ja-JP"/>
        </w:rPr>
        <w:t>s</w:t>
      </w:r>
      <w:r w:rsidR="000C5F0B" w:rsidRPr="00A813F0">
        <w:rPr>
          <w:lang w:eastAsia="ja-JP"/>
        </w:rPr>
        <w:t xml:space="preserve"> in costs between patient</w:t>
      </w:r>
      <w:r w:rsidR="00DB2622" w:rsidRPr="00A813F0">
        <w:rPr>
          <w:lang w:eastAsia="ja-JP"/>
        </w:rPr>
        <w:t>s</w:t>
      </w:r>
      <w:r w:rsidR="000C5F0B" w:rsidRPr="00A813F0">
        <w:rPr>
          <w:lang w:eastAsia="ja-JP"/>
        </w:rPr>
        <w:t xml:space="preserve"> or provider groups </w:t>
      </w:r>
    </w:p>
    <w:p w14:paraId="1938DB4F" w14:textId="1C3084C8" w:rsidR="000C5F0B" w:rsidRPr="00A813F0" w:rsidRDefault="00B9233C">
      <w:pPr>
        <w:pStyle w:val="ListParagraph"/>
        <w:rPr>
          <w:lang w:eastAsia="ja-JP"/>
        </w:rPr>
      </w:pPr>
      <w:r w:rsidRPr="00A813F0">
        <w:rPr>
          <w:lang w:eastAsia="ja-JP"/>
        </w:rPr>
        <w:t>d</w:t>
      </w:r>
      <w:r w:rsidR="000C5F0B" w:rsidRPr="00A813F0">
        <w:rPr>
          <w:lang w:eastAsia="ja-JP"/>
        </w:rPr>
        <w:t>ifference</w:t>
      </w:r>
      <w:r w:rsidR="005B0925" w:rsidRPr="00A813F0">
        <w:rPr>
          <w:lang w:eastAsia="ja-JP"/>
        </w:rPr>
        <w:t>s</w:t>
      </w:r>
      <w:r w:rsidR="000C5F0B" w:rsidRPr="00A813F0">
        <w:rPr>
          <w:lang w:eastAsia="ja-JP"/>
        </w:rPr>
        <w:t xml:space="preserve"> in costs relating to inefficiency and costs relating to providing a necessary service that is inherently inefficient</w:t>
      </w:r>
    </w:p>
    <w:p w14:paraId="354235A6" w14:textId="63A94F5E" w:rsidR="000C5F0B" w:rsidRPr="00A813F0" w:rsidRDefault="00B9233C">
      <w:pPr>
        <w:pStyle w:val="ListParagraph"/>
        <w:rPr>
          <w:lang w:eastAsia="ja-JP"/>
        </w:rPr>
      </w:pPr>
      <w:r w:rsidRPr="00A813F0">
        <w:rPr>
          <w:lang w:eastAsia="ja-JP"/>
        </w:rPr>
        <w:t>e</w:t>
      </w:r>
      <w:r w:rsidR="000C5F0B" w:rsidRPr="00A813F0">
        <w:rPr>
          <w:lang w:eastAsia="ja-JP"/>
        </w:rPr>
        <w:t xml:space="preserve">mpirical differences in the cost of providing services as a measure of whether there are legitimate and unavoidable </w:t>
      </w:r>
      <w:r w:rsidR="009657CF">
        <w:rPr>
          <w:lang w:eastAsia="ja-JP"/>
        </w:rPr>
        <w:t xml:space="preserve">cost </w:t>
      </w:r>
      <w:r w:rsidR="000C5F0B" w:rsidRPr="00A813F0">
        <w:rPr>
          <w:lang w:eastAsia="ja-JP"/>
        </w:rPr>
        <w:t>variations</w:t>
      </w:r>
      <w:r w:rsidR="009657CF">
        <w:rPr>
          <w:lang w:eastAsia="ja-JP"/>
        </w:rPr>
        <w:t xml:space="preserve"> in the delivery of public hospital</w:t>
      </w:r>
      <w:r w:rsidR="000C5F0B" w:rsidRPr="00A813F0">
        <w:rPr>
          <w:lang w:eastAsia="ja-JP"/>
        </w:rPr>
        <w:t xml:space="preserve"> service</w:t>
      </w:r>
      <w:r w:rsidR="009657CF">
        <w:rPr>
          <w:lang w:eastAsia="ja-JP"/>
        </w:rPr>
        <w:t>s</w:t>
      </w:r>
      <w:r w:rsidR="000C5F0B" w:rsidRPr="00A813F0">
        <w:rPr>
          <w:lang w:eastAsia="ja-JP"/>
        </w:rPr>
        <w:t xml:space="preserve"> that may warrant an adjustment to the NEP. </w:t>
      </w:r>
    </w:p>
    <w:p w14:paraId="4810F3E0" w14:textId="77777777" w:rsidR="000C5F0B" w:rsidRPr="00A813F0" w:rsidRDefault="000C5F0B" w:rsidP="005F61EC">
      <w:pPr>
        <w:pStyle w:val="ListParagraph"/>
        <w:numPr>
          <w:ilvl w:val="0"/>
          <w:numId w:val="16"/>
        </w:numPr>
        <w:rPr>
          <w:lang w:eastAsia="ja-JP"/>
        </w:rPr>
      </w:pPr>
      <w:r w:rsidRPr="00A813F0">
        <w:rPr>
          <w:lang w:eastAsia="ja-JP"/>
        </w:rPr>
        <w:t>Adopt the Pricing Guidelines outlined in the Pricing Framework</w:t>
      </w:r>
      <w:r w:rsidR="00DA429C" w:rsidRPr="00A813F0">
        <w:rPr>
          <w:lang w:eastAsia="ja-JP"/>
        </w:rPr>
        <w:t>, to guide its decision</w:t>
      </w:r>
      <w:r w:rsidR="00DA429C" w:rsidRPr="00A813F0">
        <w:rPr>
          <w:lang w:eastAsia="ja-JP"/>
        </w:rPr>
        <w:noBreakHyphen/>
      </w:r>
      <w:r w:rsidRPr="00A813F0">
        <w:rPr>
          <w:lang w:eastAsia="ja-JP"/>
        </w:rPr>
        <w:t>making and to ensure transparency and accountability in how it undertakes its work.</w:t>
      </w:r>
    </w:p>
    <w:p w14:paraId="4D68B8A8" w14:textId="4A4C2EC7" w:rsidR="000C5F0B" w:rsidRPr="00A813F0" w:rsidRDefault="000C5F0B" w:rsidP="005F61EC">
      <w:pPr>
        <w:pStyle w:val="ListParagraph"/>
        <w:numPr>
          <w:ilvl w:val="0"/>
          <w:numId w:val="16"/>
        </w:numPr>
        <w:rPr>
          <w:lang w:eastAsia="ja-JP"/>
        </w:rPr>
      </w:pPr>
      <w:r w:rsidRPr="00A813F0">
        <w:rPr>
          <w:lang w:eastAsia="ja-JP"/>
        </w:rPr>
        <w:t xml:space="preserve">Have regard to </w:t>
      </w:r>
      <w:r w:rsidR="00BA08FE">
        <w:rPr>
          <w:lang w:eastAsia="ja-JP"/>
        </w:rPr>
        <w:t xml:space="preserve">the </w:t>
      </w:r>
      <w:r w:rsidRPr="00A813F0">
        <w:rPr>
          <w:lang w:eastAsia="ja-JP"/>
        </w:rPr>
        <w:t xml:space="preserve">materiality guidelines included in the IHPA </w:t>
      </w:r>
      <w:r w:rsidRPr="00A813F0">
        <w:rPr>
          <w:i/>
          <w:lang w:eastAsia="ja-JP"/>
        </w:rPr>
        <w:t xml:space="preserve">National Pricing Model </w:t>
      </w:r>
      <w:r w:rsidR="00995135">
        <w:rPr>
          <w:i/>
          <w:lang w:eastAsia="ja-JP"/>
        </w:rPr>
        <w:t xml:space="preserve">Materiality </w:t>
      </w:r>
      <w:r w:rsidR="002A0357" w:rsidRPr="00DA1B12">
        <w:rPr>
          <w:i/>
          <w:lang w:eastAsia="ja-JP"/>
        </w:rPr>
        <w:t>Policy</w:t>
      </w:r>
      <w:r w:rsidRPr="00A813F0">
        <w:rPr>
          <w:lang w:eastAsia="ja-JP"/>
        </w:rPr>
        <w:t xml:space="preserve">. </w:t>
      </w:r>
    </w:p>
    <w:p w14:paraId="4580EE88" w14:textId="43E45BC2" w:rsidR="000C5F0B" w:rsidRPr="00A813F0" w:rsidRDefault="000C5F0B" w:rsidP="005F61EC">
      <w:pPr>
        <w:pStyle w:val="ListParagraph"/>
        <w:numPr>
          <w:ilvl w:val="0"/>
          <w:numId w:val="16"/>
        </w:numPr>
        <w:rPr>
          <w:lang w:eastAsia="ja-JP"/>
        </w:rPr>
      </w:pPr>
      <w:r w:rsidRPr="00A813F0">
        <w:rPr>
          <w:lang w:eastAsia="ja-JP"/>
        </w:rPr>
        <w:t>Confirm that it does not duplicate the work of the CGC in determining relativities</w:t>
      </w:r>
      <w:r w:rsidR="00B23B92" w:rsidRPr="00A813F0">
        <w:rPr>
          <w:lang w:eastAsia="ja-JP"/>
        </w:rPr>
        <w:t>, as outlined in clause A48 of the Addendum</w:t>
      </w:r>
      <w:r w:rsidRPr="00A813F0">
        <w:rPr>
          <w:lang w:eastAsia="ja-JP"/>
        </w:rPr>
        <w:t>.</w:t>
      </w:r>
      <w:bookmarkStart w:id="119" w:name="_Toc333313528"/>
      <w:bookmarkStart w:id="120" w:name="_Toc335212346"/>
      <w:bookmarkStart w:id="121" w:name="_Toc339895553"/>
      <w:bookmarkStart w:id="122" w:name="_Toc358984498"/>
    </w:p>
    <w:p w14:paraId="7E4BA7A7" w14:textId="77777777" w:rsidR="000C5F0B" w:rsidRPr="00A813F0" w:rsidRDefault="000C5F0B" w:rsidP="000C447D">
      <w:pPr>
        <w:pStyle w:val="Heading2"/>
      </w:pPr>
      <w:bookmarkStart w:id="123" w:name="_Toc413682868"/>
      <w:bookmarkStart w:id="124" w:name="_Toc413683979"/>
      <w:bookmarkStart w:id="125" w:name="_Toc413843579"/>
      <w:bookmarkStart w:id="126" w:name="_Toc91157809"/>
      <w:r w:rsidRPr="00A813F0">
        <w:t xml:space="preserve">Stage 3: Draft </w:t>
      </w:r>
      <w:bookmarkEnd w:id="119"/>
      <w:bookmarkEnd w:id="120"/>
      <w:bookmarkEnd w:id="121"/>
      <w:r w:rsidRPr="00A813F0">
        <w:t>decision</w:t>
      </w:r>
      <w:bookmarkStart w:id="127" w:name="_Toc348953496"/>
      <w:bookmarkStart w:id="128" w:name="_Toc358984499"/>
      <w:bookmarkStart w:id="129" w:name="_Toc413682869"/>
      <w:bookmarkStart w:id="130" w:name="_Toc413683980"/>
      <w:bookmarkStart w:id="131" w:name="_Toc413843580"/>
      <w:bookmarkEnd w:id="122"/>
      <w:bookmarkEnd w:id="123"/>
      <w:bookmarkEnd w:id="124"/>
      <w:bookmarkEnd w:id="125"/>
      <w:bookmarkEnd w:id="126"/>
    </w:p>
    <w:p w14:paraId="376BA01D" w14:textId="77777777" w:rsidR="000C5F0B" w:rsidRPr="00A813F0" w:rsidRDefault="000C5F0B" w:rsidP="00337A69">
      <w:pPr>
        <w:pStyle w:val="Heading3"/>
      </w:pPr>
      <w:bookmarkStart w:id="132" w:name="_Toc58835881"/>
      <w:bookmarkStart w:id="133" w:name="_Toc58839300"/>
      <w:bookmarkStart w:id="134" w:name="_Toc59564223"/>
      <w:bookmarkStart w:id="135" w:name="_Toc91157810"/>
      <w:r w:rsidRPr="00A813F0">
        <w:t>(3a)</w:t>
      </w:r>
      <w:r w:rsidRPr="00A813F0">
        <w:tab/>
        <w:t>IHPA determines the decision</w:t>
      </w:r>
      <w:bookmarkEnd w:id="127"/>
      <w:bookmarkEnd w:id="128"/>
      <w:bookmarkEnd w:id="129"/>
      <w:bookmarkEnd w:id="130"/>
      <w:bookmarkEnd w:id="131"/>
      <w:bookmarkEnd w:id="132"/>
      <w:bookmarkEnd w:id="133"/>
      <w:bookmarkEnd w:id="134"/>
      <w:bookmarkEnd w:id="135"/>
      <w:r w:rsidRPr="00A813F0">
        <w:t xml:space="preserve"> </w:t>
      </w:r>
    </w:p>
    <w:p w14:paraId="36EA487C" w14:textId="67AB534B" w:rsidR="000C5F0B" w:rsidRPr="00A813F0" w:rsidRDefault="000C5F0B" w:rsidP="000C5F0B">
      <w:pPr>
        <w:spacing w:after="0"/>
        <w:rPr>
          <w:rFonts w:eastAsia="Arial" w:cstheme="majorHAnsi"/>
          <w:color w:val="004200" w:themeColor="accent1"/>
          <w:sz w:val="24"/>
        </w:rPr>
      </w:pPr>
      <w:r w:rsidRPr="00A813F0">
        <w:t>IHPA will only determine that adjustments should be made to the NEP to reflect legitimate and unavoidable costs in the delivery of public hospital services where</w:t>
      </w:r>
      <w:r w:rsidR="00874595">
        <w:t xml:space="preserve"> all of the following conditions are met</w:t>
      </w:r>
      <w:r w:rsidRPr="00A813F0">
        <w:t xml:space="preserve"> at a national level: </w:t>
      </w:r>
    </w:p>
    <w:p w14:paraId="54EB8F9E" w14:textId="1AC70420" w:rsidR="000C5F0B" w:rsidRPr="00A813F0" w:rsidRDefault="000C5F0B" w:rsidP="005F61EC">
      <w:pPr>
        <w:pStyle w:val="ListParagraph"/>
        <w:numPr>
          <w:ilvl w:val="0"/>
          <w:numId w:val="25"/>
        </w:numPr>
        <w:rPr>
          <w:lang w:eastAsia="ja-JP"/>
        </w:rPr>
      </w:pPr>
      <w:r w:rsidRPr="00A813F0">
        <w:rPr>
          <w:lang w:eastAsia="ja-JP"/>
        </w:rPr>
        <w:t>there is demonstrable evidence to support the cost</w:t>
      </w:r>
      <w:r w:rsidR="00A75BDA">
        <w:rPr>
          <w:lang w:eastAsia="ja-JP"/>
        </w:rPr>
        <w:t xml:space="preserve"> difference</w:t>
      </w:r>
      <w:r w:rsidRPr="00A813F0">
        <w:rPr>
          <w:lang w:eastAsia="ja-JP"/>
        </w:rPr>
        <w:t>s</w:t>
      </w:r>
      <w:r w:rsidR="00874595">
        <w:rPr>
          <w:lang w:eastAsia="ja-JP"/>
        </w:rPr>
        <w:t>;</w:t>
      </w:r>
      <w:r w:rsidRPr="00A813F0">
        <w:rPr>
          <w:lang w:eastAsia="ja-JP"/>
        </w:rPr>
        <w:t xml:space="preserve"> </w:t>
      </w:r>
    </w:p>
    <w:p w14:paraId="6BF180AE" w14:textId="7CF8B0C7" w:rsidR="000C5F0B" w:rsidRPr="00A813F0" w:rsidRDefault="000C5F0B" w:rsidP="005F61EC">
      <w:pPr>
        <w:pStyle w:val="ListParagraph"/>
        <w:numPr>
          <w:ilvl w:val="0"/>
          <w:numId w:val="25"/>
        </w:numPr>
        <w:rPr>
          <w:lang w:eastAsia="ja-JP"/>
        </w:rPr>
      </w:pPr>
      <w:r w:rsidRPr="00A813F0">
        <w:rPr>
          <w:lang w:eastAsia="ja-JP"/>
        </w:rPr>
        <w:t>the cost differences cannot be said to be created by affected providers</w:t>
      </w:r>
      <w:r w:rsidR="00874595">
        <w:rPr>
          <w:lang w:eastAsia="ja-JP"/>
        </w:rPr>
        <w:t>;</w:t>
      </w:r>
      <w:r w:rsidRPr="00A813F0">
        <w:rPr>
          <w:lang w:eastAsia="ja-JP"/>
        </w:rPr>
        <w:t xml:space="preserve"> </w:t>
      </w:r>
    </w:p>
    <w:p w14:paraId="2AE27CB6" w14:textId="6BA2B469" w:rsidR="000C5F0B" w:rsidRPr="00A813F0" w:rsidRDefault="000C5F0B" w:rsidP="005F61EC">
      <w:pPr>
        <w:pStyle w:val="ListParagraph"/>
        <w:numPr>
          <w:ilvl w:val="0"/>
          <w:numId w:val="25"/>
        </w:numPr>
        <w:rPr>
          <w:lang w:eastAsia="ja-JP"/>
        </w:rPr>
      </w:pPr>
      <w:r w:rsidRPr="00A813F0">
        <w:rPr>
          <w:lang w:eastAsia="ja-JP"/>
        </w:rPr>
        <w:t>when assessing the data for identification of cost differences, all patient-related factors are considered and addressed before any provider-related factors</w:t>
      </w:r>
      <w:r w:rsidR="00874595">
        <w:rPr>
          <w:lang w:eastAsia="ja-JP"/>
        </w:rPr>
        <w:t>;</w:t>
      </w:r>
    </w:p>
    <w:p w14:paraId="4DD7225D" w14:textId="4646BCA7" w:rsidR="000C5F0B" w:rsidRPr="00A813F0" w:rsidRDefault="000C5F0B" w:rsidP="005F61EC">
      <w:pPr>
        <w:pStyle w:val="ListParagraph"/>
        <w:numPr>
          <w:ilvl w:val="0"/>
          <w:numId w:val="19"/>
        </w:numPr>
        <w:rPr>
          <w:lang w:eastAsia="ja-JP"/>
        </w:rPr>
      </w:pPr>
      <w:r w:rsidRPr="00A813F0">
        <w:rPr>
          <w:lang w:eastAsia="ja-JP"/>
        </w:rPr>
        <w:t>there is alignment with the Pricing Guidelines</w:t>
      </w:r>
      <w:r w:rsidR="00874595">
        <w:rPr>
          <w:lang w:eastAsia="ja-JP"/>
        </w:rPr>
        <w:t>; and</w:t>
      </w:r>
    </w:p>
    <w:p w14:paraId="514E383B" w14:textId="7156B5DE" w:rsidR="000C5F0B" w:rsidRDefault="000C5F0B" w:rsidP="005F61EC">
      <w:pPr>
        <w:pStyle w:val="ListParagraph"/>
        <w:numPr>
          <w:ilvl w:val="0"/>
          <w:numId w:val="19"/>
        </w:numPr>
        <w:rPr>
          <w:lang w:eastAsia="ja-JP"/>
        </w:rPr>
      </w:pPr>
      <w:r w:rsidRPr="00A813F0">
        <w:rPr>
          <w:lang w:eastAsia="ja-JP"/>
        </w:rPr>
        <w:t>it does not duplicate the work of the CGC in determining relativities.</w:t>
      </w:r>
    </w:p>
    <w:p w14:paraId="268BF4FE" w14:textId="5A125D98" w:rsidR="00D6661D" w:rsidRDefault="00D6661D" w:rsidP="00D6661D">
      <w:pPr>
        <w:rPr>
          <w:lang w:eastAsia="ja-JP"/>
        </w:rPr>
      </w:pPr>
    </w:p>
    <w:p w14:paraId="0D9D72E7" w14:textId="77777777" w:rsidR="00D6661D" w:rsidRPr="00A813F0" w:rsidRDefault="00D6661D" w:rsidP="00D6661D">
      <w:pPr>
        <w:rPr>
          <w:lang w:eastAsia="ja-JP"/>
        </w:rPr>
      </w:pPr>
    </w:p>
    <w:p w14:paraId="40CFFF3C" w14:textId="59BFCD37" w:rsidR="000C5F0B" w:rsidRPr="00A813F0" w:rsidRDefault="000C5F0B" w:rsidP="00337A69">
      <w:pPr>
        <w:pStyle w:val="Heading3"/>
      </w:pPr>
      <w:bookmarkStart w:id="136" w:name="_Toc333313529"/>
      <w:bookmarkStart w:id="137" w:name="_Toc335212347"/>
      <w:bookmarkStart w:id="138" w:name="_Toc338353624"/>
      <w:bookmarkStart w:id="139" w:name="_Toc339895554"/>
      <w:bookmarkStart w:id="140" w:name="_Toc348953497"/>
      <w:bookmarkStart w:id="141" w:name="_Toc358984500"/>
      <w:bookmarkStart w:id="142" w:name="_Toc413682870"/>
      <w:bookmarkStart w:id="143" w:name="_Toc413683981"/>
      <w:bookmarkStart w:id="144" w:name="_Toc413843581"/>
      <w:bookmarkStart w:id="145" w:name="_Toc58835882"/>
      <w:bookmarkStart w:id="146" w:name="_Toc58839301"/>
      <w:bookmarkStart w:id="147" w:name="_Toc59564224"/>
      <w:bookmarkStart w:id="148" w:name="_Toc91157811"/>
      <w:r w:rsidRPr="00A813F0">
        <w:lastRenderedPageBreak/>
        <w:t>(3b)</w:t>
      </w:r>
      <w:r w:rsidRPr="00A813F0">
        <w:tab/>
        <w:t xml:space="preserve">IHPA </w:t>
      </w:r>
      <w:r w:rsidR="00BA08FE">
        <w:t xml:space="preserve">prepares the </w:t>
      </w:r>
      <w:r w:rsidRPr="00A813F0">
        <w:t xml:space="preserve">draft decision and provides </w:t>
      </w:r>
      <w:r w:rsidR="00874595">
        <w:t xml:space="preserve">it </w:t>
      </w:r>
      <w:r w:rsidRPr="00A813F0">
        <w:t xml:space="preserve">to </w:t>
      </w:r>
      <w:r w:rsidR="00727AB9">
        <w:t>all</w:t>
      </w:r>
      <w:r w:rsidRPr="00A813F0">
        <w:t xml:space="preserve"> jurisdiction</w:t>
      </w:r>
      <w:bookmarkEnd w:id="136"/>
      <w:bookmarkEnd w:id="137"/>
      <w:bookmarkEnd w:id="138"/>
      <w:bookmarkEnd w:id="139"/>
      <w:bookmarkEnd w:id="140"/>
      <w:r w:rsidRPr="00A813F0">
        <w:t>s</w:t>
      </w:r>
      <w:bookmarkEnd w:id="141"/>
      <w:bookmarkEnd w:id="142"/>
      <w:bookmarkEnd w:id="143"/>
      <w:bookmarkEnd w:id="144"/>
      <w:bookmarkEnd w:id="145"/>
      <w:bookmarkEnd w:id="146"/>
      <w:bookmarkEnd w:id="147"/>
      <w:bookmarkEnd w:id="148"/>
    </w:p>
    <w:p w14:paraId="067F656F" w14:textId="77777777" w:rsidR="000C5F0B" w:rsidRPr="00A813F0" w:rsidRDefault="000C5F0B" w:rsidP="000C5F0B">
      <w:pPr>
        <w:rPr>
          <w:lang w:eastAsia="ja-JP"/>
        </w:rPr>
      </w:pPr>
      <w:r w:rsidRPr="00A813F0">
        <w:rPr>
          <w:lang w:eastAsia="ja-JP"/>
        </w:rPr>
        <w:t>Following the assessment process, IHPA will:</w:t>
      </w:r>
    </w:p>
    <w:p w14:paraId="6063157C" w14:textId="35F2C4ED" w:rsidR="000C5F0B" w:rsidRPr="00A813F0" w:rsidRDefault="000C5F0B" w:rsidP="005F61EC">
      <w:pPr>
        <w:pStyle w:val="ListParagraph"/>
        <w:numPr>
          <w:ilvl w:val="0"/>
          <w:numId w:val="20"/>
        </w:numPr>
        <w:rPr>
          <w:lang w:eastAsia="ja-JP"/>
        </w:rPr>
      </w:pPr>
      <w:r w:rsidRPr="00A813F0">
        <w:rPr>
          <w:lang w:eastAsia="ja-JP"/>
        </w:rPr>
        <w:t xml:space="preserve">prepare a draft decision and obtain endorsement </w:t>
      </w:r>
      <w:r w:rsidR="008425DA" w:rsidRPr="00A813F0">
        <w:rPr>
          <w:lang w:eastAsia="ja-JP"/>
        </w:rPr>
        <w:t>from</w:t>
      </w:r>
      <w:r w:rsidRPr="00A813F0">
        <w:rPr>
          <w:lang w:eastAsia="ja-JP"/>
        </w:rPr>
        <w:t xml:space="preserve"> the Pricing Authority</w:t>
      </w:r>
    </w:p>
    <w:p w14:paraId="543C1ECC" w14:textId="27F71269" w:rsidR="000C5F0B" w:rsidRPr="00A813F0" w:rsidRDefault="000C5F0B" w:rsidP="005F61EC">
      <w:pPr>
        <w:pStyle w:val="ListParagraph"/>
        <w:numPr>
          <w:ilvl w:val="0"/>
          <w:numId w:val="20"/>
        </w:numPr>
        <w:rPr>
          <w:lang w:eastAsia="ja-JP"/>
        </w:rPr>
      </w:pPr>
      <w:r w:rsidRPr="00A813F0">
        <w:rPr>
          <w:lang w:eastAsia="ja-JP"/>
        </w:rPr>
        <w:t>provide the draft decision to all jurisdictions</w:t>
      </w:r>
    </w:p>
    <w:p w14:paraId="21764F67" w14:textId="663E231A" w:rsidR="000C5F0B" w:rsidRPr="00A813F0" w:rsidRDefault="000C5F0B" w:rsidP="005F61EC">
      <w:pPr>
        <w:pStyle w:val="ListParagraph"/>
        <w:numPr>
          <w:ilvl w:val="0"/>
          <w:numId w:val="20"/>
        </w:numPr>
        <w:rPr>
          <w:lang w:eastAsia="ja-JP"/>
        </w:rPr>
      </w:pPr>
      <w:r w:rsidRPr="00A813F0">
        <w:rPr>
          <w:lang w:eastAsia="ja-JP"/>
        </w:rPr>
        <w:t xml:space="preserve">invite jurisdictions to </w:t>
      </w:r>
      <w:r w:rsidR="00135A8A" w:rsidRPr="00A813F0">
        <w:rPr>
          <w:lang w:eastAsia="ja-JP"/>
        </w:rPr>
        <w:t xml:space="preserve">provide </w:t>
      </w:r>
      <w:r w:rsidRPr="00A813F0">
        <w:rPr>
          <w:lang w:eastAsia="ja-JP"/>
        </w:rPr>
        <w:t xml:space="preserve">IHPA </w:t>
      </w:r>
      <w:r w:rsidR="00DA1B12">
        <w:rPr>
          <w:lang w:eastAsia="ja-JP"/>
        </w:rPr>
        <w:t xml:space="preserve">with </w:t>
      </w:r>
      <w:r w:rsidRPr="00A813F0">
        <w:rPr>
          <w:lang w:eastAsia="ja-JP"/>
        </w:rPr>
        <w:t xml:space="preserve">written comments on the draft decision within 14 days </w:t>
      </w:r>
      <w:r w:rsidR="008425DA" w:rsidRPr="00A813F0">
        <w:rPr>
          <w:lang w:eastAsia="ja-JP"/>
        </w:rPr>
        <w:t xml:space="preserve">of </w:t>
      </w:r>
      <w:r w:rsidRPr="00A813F0">
        <w:rPr>
          <w:lang w:eastAsia="ja-JP"/>
        </w:rPr>
        <w:t xml:space="preserve">receiving </w:t>
      </w:r>
      <w:r w:rsidR="00BA08FE">
        <w:rPr>
          <w:lang w:eastAsia="ja-JP"/>
        </w:rPr>
        <w:t>it</w:t>
      </w:r>
      <w:r w:rsidRPr="00A813F0">
        <w:rPr>
          <w:lang w:eastAsia="ja-JP"/>
        </w:rPr>
        <w:t>.</w:t>
      </w:r>
    </w:p>
    <w:p w14:paraId="52D0ED58" w14:textId="382A1366" w:rsidR="000C5F0B" w:rsidRPr="00A813F0" w:rsidRDefault="000C5F0B" w:rsidP="000C5F0B">
      <w:pPr>
        <w:rPr>
          <w:lang w:eastAsia="ja-JP"/>
        </w:rPr>
      </w:pPr>
      <w:r w:rsidRPr="00A813F0">
        <w:rPr>
          <w:lang w:eastAsia="ja-JP"/>
        </w:rPr>
        <w:t xml:space="preserve">Neither the Act nor the </w:t>
      </w:r>
      <w:r w:rsidR="000016F3" w:rsidRPr="00A813F0">
        <w:rPr>
          <w:lang w:eastAsia="ja-JP"/>
        </w:rPr>
        <w:t xml:space="preserve">Addendum </w:t>
      </w:r>
      <w:r w:rsidRPr="00A813F0">
        <w:rPr>
          <w:lang w:eastAsia="ja-JP"/>
        </w:rPr>
        <w:t xml:space="preserve">prescribe </w:t>
      </w:r>
      <w:r w:rsidR="0039465A" w:rsidRPr="00A813F0">
        <w:rPr>
          <w:lang w:eastAsia="ja-JP"/>
        </w:rPr>
        <w:t xml:space="preserve">any </w:t>
      </w:r>
      <w:r w:rsidRPr="00A813F0">
        <w:rPr>
          <w:lang w:eastAsia="ja-JP"/>
        </w:rPr>
        <w:t xml:space="preserve">timeframes </w:t>
      </w:r>
      <w:r w:rsidR="0039465A" w:rsidRPr="00A813F0">
        <w:t xml:space="preserve">in relation to </w:t>
      </w:r>
      <w:r w:rsidRPr="00A813F0">
        <w:rPr>
          <w:lang w:eastAsia="ja-JP"/>
        </w:rPr>
        <w:t>IHPA conduct</w:t>
      </w:r>
      <w:r w:rsidR="0039465A" w:rsidRPr="00A813F0">
        <w:rPr>
          <w:lang w:eastAsia="ja-JP"/>
        </w:rPr>
        <w:t>ing</w:t>
      </w:r>
      <w:r w:rsidRPr="00A813F0">
        <w:rPr>
          <w:lang w:eastAsia="ja-JP"/>
        </w:rPr>
        <w:t xml:space="preserve"> </w:t>
      </w:r>
      <w:r w:rsidR="00547673" w:rsidRPr="00A813F0">
        <w:rPr>
          <w:lang w:eastAsia="ja-JP"/>
        </w:rPr>
        <w:t xml:space="preserve">the </w:t>
      </w:r>
      <w:r w:rsidRPr="00A813F0">
        <w:rPr>
          <w:lang w:eastAsia="ja-JP"/>
        </w:rPr>
        <w:t>assessment</w:t>
      </w:r>
      <w:r w:rsidR="00547673" w:rsidRPr="00A813F0">
        <w:rPr>
          <w:lang w:eastAsia="ja-JP"/>
        </w:rPr>
        <w:t>. H</w:t>
      </w:r>
      <w:r w:rsidRPr="00A813F0">
        <w:rPr>
          <w:lang w:eastAsia="ja-JP"/>
        </w:rPr>
        <w:t xml:space="preserve">owever, subject to adequate evidence to support IHPA undertaking a timely investigation, it is expected that IHPA will be able to provide the draft decision to </w:t>
      </w:r>
      <w:r w:rsidR="00874595">
        <w:rPr>
          <w:lang w:eastAsia="ja-JP"/>
        </w:rPr>
        <w:t>all</w:t>
      </w:r>
      <w:r w:rsidRPr="00A813F0">
        <w:rPr>
          <w:lang w:eastAsia="ja-JP"/>
        </w:rPr>
        <w:t xml:space="preserve"> jurisdiction</w:t>
      </w:r>
      <w:r w:rsidR="00874595">
        <w:rPr>
          <w:lang w:eastAsia="ja-JP"/>
        </w:rPr>
        <w:t>s</w:t>
      </w:r>
      <w:r w:rsidRPr="00A813F0">
        <w:rPr>
          <w:lang w:eastAsia="ja-JP"/>
        </w:rPr>
        <w:t xml:space="preserve"> within three months of receiving the request.</w:t>
      </w:r>
    </w:p>
    <w:p w14:paraId="342E3B63" w14:textId="77777777" w:rsidR="000C5F0B" w:rsidRPr="00A813F0" w:rsidRDefault="000C5F0B" w:rsidP="000C5F0B">
      <w:pPr>
        <w:rPr>
          <w:lang w:eastAsia="ja-JP"/>
        </w:rPr>
      </w:pPr>
      <w:r w:rsidRPr="00A813F0">
        <w:rPr>
          <w:lang w:eastAsia="ja-JP"/>
        </w:rPr>
        <w:t>The draft decision will include the following:</w:t>
      </w:r>
    </w:p>
    <w:p w14:paraId="6CA90673" w14:textId="4965DC1A" w:rsidR="000C5F0B" w:rsidRPr="00A813F0" w:rsidRDefault="000C5F0B" w:rsidP="005F61EC">
      <w:pPr>
        <w:pStyle w:val="ListParagraph"/>
        <w:numPr>
          <w:ilvl w:val="0"/>
          <w:numId w:val="18"/>
        </w:numPr>
        <w:rPr>
          <w:lang w:eastAsia="ja-JP"/>
        </w:rPr>
      </w:pPr>
      <w:r w:rsidRPr="00A813F0">
        <w:rPr>
          <w:lang w:eastAsia="ja-JP"/>
        </w:rPr>
        <w:t>summary of the request</w:t>
      </w:r>
    </w:p>
    <w:p w14:paraId="2B69608A" w14:textId="6664C548" w:rsidR="000C5F0B" w:rsidRPr="00A813F0" w:rsidRDefault="000C5F0B" w:rsidP="005F61EC">
      <w:pPr>
        <w:pStyle w:val="ListParagraph"/>
        <w:numPr>
          <w:ilvl w:val="0"/>
          <w:numId w:val="18"/>
        </w:numPr>
        <w:rPr>
          <w:lang w:eastAsia="ja-JP"/>
        </w:rPr>
      </w:pPr>
      <w:r w:rsidRPr="00A813F0">
        <w:rPr>
          <w:lang w:eastAsia="ja-JP"/>
        </w:rPr>
        <w:t>overview of the evidence examined and analysis undertaken</w:t>
      </w:r>
    </w:p>
    <w:p w14:paraId="04A9643B" w14:textId="26AB44EF" w:rsidR="000C5F0B" w:rsidRPr="00A813F0" w:rsidRDefault="000C5F0B" w:rsidP="005F61EC">
      <w:pPr>
        <w:pStyle w:val="ListParagraph"/>
        <w:numPr>
          <w:ilvl w:val="0"/>
          <w:numId w:val="18"/>
        </w:numPr>
        <w:rPr>
          <w:lang w:eastAsia="ja-JP"/>
        </w:rPr>
      </w:pPr>
      <w:r w:rsidRPr="00A813F0">
        <w:rPr>
          <w:lang w:eastAsia="ja-JP"/>
        </w:rPr>
        <w:t xml:space="preserve">any limitations to the scope of the assessment  </w:t>
      </w:r>
    </w:p>
    <w:p w14:paraId="7176D398" w14:textId="2448E17C" w:rsidR="000C5F0B" w:rsidRPr="00A813F0" w:rsidRDefault="000C5F0B" w:rsidP="005F61EC">
      <w:pPr>
        <w:pStyle w:val="ListParagraph"/>
        <w:numPr>
          <w:ilvl w:val="0"/>
          <w:numId w:val="18"/>
        </w:numPr>
        <w:rPr>
          <w:lang w:eastAsia="ja-JP"/>
        </w:rPr>
      </w:pPr>
      <w:r w:rsidRPr="00A813F0">
        <w:rPr>
          <w:lang w:eastAsia="ja-JP"/>
        </w:rPr>
        <w:t>IHPA’s decision as a result of the assessment</w:t>
      </w:r>
    </w:p>
    <w:p w14:paraId="76A055D7" w14:textId="77777777" w:rsidR="000C5F0B" w:rsidRPr="00A813F0" w:rsidRDefault="000C5F0B" w:rsidP="005F61EC">
      <w:pPr>
        <w:pStyle w:val="ListParagraph"/>
        <w:numPr>
          <w:ilvl w:val="0"/>
          <w:numId w:val="18"/>
        </w:numPr>
        <w:rPr>
          <w:lang w:eastAsia="ja-JP"/>
        </w:rPr>
      </w:pPr>
      <w:r w:rsidRPr="00A813F0">
        <w:rPr>
          <w:lang w:eastAsia="ja-JP"/>
        </w:rPr>
        <w:t>reasons supporting the decision.</w:t>
      </w:r>
    </w:p>
    <w:p w14:paraId="000A2167" w14:textId="4136FCEE" w:rsidR="000C5F0B" w:rsidRPr="00A813F0" w:rsidRDefault="000C5F0B" w:rsidP="00337A69">
      <w:pPr>
        <w:pStyle w:val="Heading3"/>
      </w:pPr>
      <w:bookmarkStart w:id="149" w:name="_Toc333313531"/>
      <w:bookmarkStart w:id="150" w:name="_Toc335212349"/>
      <w:bookmarkStart w:id="151" w:name="_Toc338353626"/>
      <w:bookmarkStart w:id="152" w:name="_Toc339895556"/>
      <w:bookmarkStart w:id="153" w:name="_Toc348953498"/>
      <w:bookmarkStart w:id="154" w:name="_Toc358984501"/>
      <w:bookmarkStart w:id="155" w:name="_Toc413682871"/>
      <w:bookmarkStart w:id="156" w:name="_Toc413683982"/>
      <w:bookmarkStart w:id="157" w:name="_Toc413843582"/>
      <w:bookmarkStart w:id="158" w:name="_Toc58835883"/>
      <w:bookmarkStart w:id="159" w:name="_Toc58839302"/>
      <w:bookmarkStart w:id="160" w:name="_Toc59564225"/>
      <w:bookmarkStart w:id="161" w:name="_Toc91157812"/>
      <w:r w:rsidRPr="00A813F0">
        <w:t>(3c)</w:t>
      </w:r>
      <w:r w:rsidRPr="00A813F0">
        <w:tab/>
        <w:t xml:space="preserve">IHPA reviews the written comments </w:t>
      </w:r>
      <w:r w:rsidR="00874595">
        <w:t xml:space="preserve">received from </w:t>
      </w:r>
      <w:r w:rsidRPr="00A813F0">
        <w:t>jurisdictions with regards to the draft decision</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1FB02F7B" w14:textId="363C28F5" w:rsidR="000C5F0B" w:rsidRPr="00A813F0" w:rsidRDefault="000C5F0B" w:rsidP="000C5F0B">
      <w:pPr>
        <w:rPr>
          <w:lang w:eastAsia="ja-JP"/>
        </w:rPr>
      </w:pPr>
      <w:r w:rsidRPr="00A813F0">
        <w:rPr>
          <w:lang w:eastAsia="ja-JP"/>
        </w:rPr>
        <w:t xml:space="preserve">IHPA will review the comments received from </w:t>
      </w:r>
      <w:r w:rsidR="00BA08FE">
        <w:rPr>
          <w:lang w:eastAsia="ja-JP"/>
        </w:rPr>
        <w:t>responding jurisdictions</w:t>
      </w:r>
      <w:r w:rsidRPr="00A813F0">
        <w:rPr>
          <w:lang w:eastAsia="ja-JP"/>
        </w:rPr>
        <w:t xml:space="preserve"> </w:t>
      </w:r>
      <w:r w:rsidR="00CF5FCD" w:rsidRPr="00A813F0">
        <w:rPr>
          <w:lang w:eastAsia="ja-JP"/>
        </w:rPr>
        <w:t xml:space="preserve">on </w:t>
      </w:r>
      <w:r w:rsidRPr="00A813F0">
        <w:rPr>
          <w:lang w:eastAsia="ja-JP"/>
        </w:rPr>
        <w:t>the draft decision.</w:t>
      </w:r>
    </w:p>
    <w:p w14:paraId="451A4AF7" w14:textId="1B388381" w:rsidR="000C5F0B" w:rsidRPr="00A813F0" w:rsidRDefault="000C5F0B" w:rsidP="000C5F0B">
      <w:pPr>
        <w:rPr>
          <w:lang w:eastAsia="ja-JP"/>
        </w:rPr>
      </w:pPr>
      <w:r w:rsidRPr="00A813F0">
        <w:rPr>
          <w:lang w:eastAsia="ja-JP"/>
        </w:rPr>
        <w:t>IHPA may seek further explanation or clarification of issues or statements that appear in the submissions. IHPA will request this in writing from the relevant jurisdiction</w:t>
      </w:r>
      <w:r w:rsidR="00CF5FCD" w:rsidRPr="00A813F0">
        <w:rPr>
          <w:lang w:eastAsia="ja-JP"/>
        </w:rPr>
        <w:t>(</w:t>
      </w:r>
      <w:r w:rsidRPr="00A813F0">
        <w:rPr>
          <w:lang w:eastAsia="ja-JP"/>
        </w:rPr>
        <w:t>s</w:t>
      </w:r>
      <w:r w:rsidR="00CF5FCD" w:rsidRPr="00A813F0">
        <w:rPr>
          <w:lang w:eastAsia="ja-JP"/>
        </w:rPr>
        <w:t>)</w:t>
      </w:r>
      <w:r w:rsidRPr="00A813F0">
        <w:rPr>
          <w:lang w:eastAsia="ja-JP"/>
        </w:rPr>
        <w:t xml:space="preserve">. To support the timeliness of the final decision, this response will be requested to be provided within </w:t>
      </w:r>
      <w:r w:rsidR="005301C4" w:rsidRPr="00A813F0">
        <w:rPr>
          <w:lang w:eastAsia="ja-JP"/>
        </w:rPr>
        <w:t xml:space="preserve">seven </w:t>
      </w:r>
      <w:r w:rsidRPr="00A813F0">
        <w:rPr>
          <w:lang w:eastAsia="ja-JP"/>
        </w:rPr>
        <w:t>days after receiving the request for clarification.</w:t>
      </w:r>
      <w:bookmarkStart w:id="162" w:name="_Toc333313533"/>
      <w:bookmarkStart w:id="163" w:name="_Toc335212351"/>
      <w:bookmarkStart w:id="164" w:name="_Toc339895558"/>
      <w:bookmarkStart w:id="165" w:name="_Toc358984502"/>
      <w:bookmarkStart w:id="166" w:name="_Toc413682872"/>
    </w:p>
    <w:p w14:paraId="1CBABF92" w14:textId="77777777" w:rsidR="000C5F0B" w:rsidRPr="00A813F0" w:rsidRDefault="000C5F0B" w:rsidP="000C447D">
      <w:pPr>
        <w:pStyle w:val="Heading2"/>
      </w:pPr>
      <w:bookmarkStart w:id="167" w:name="_Toc413683983"/>
      <w:bookmarkStart w:id="168" w:name="_Toc413843583"/>
      <w:bookmarkStart w:id="169" w:name="_Toc91157813"/>
      <w:r w:rsidRPr="00A813F0">
        <w:t xml:space="preserve">Stage 4: Final </w:t>
      </w:r>
      <w:bookmarkEnd w:id="162"/>
      <w:bookmarkEnd w:id="163"/>
      <w:bookmarkEnd w:id="164"/>
      <w:r w:rsidRPr="00A813F0">
        <w:t>decision</w:t>
      </w:r>
      <w:bookmarkStart w:id="170" w:name="_Toc333313534"/>
      <w:bookmarkStart w:id="171" w:name="_Toc335212352"/>
      <w:bookmarkStart w:id="172" w:name="_Toc338353629"/>
      <w:bookmarkStart w:id="173" w:name="_Toc339895559"/>
      <w:bookmarkStart w:id="174" w:name="_Toc348953500"/>
      <w:bookmarkStart w:id="175" w:name="_Toc358984503"/>
      <w:bookmarkStart w:id="176" w:name="_Toc413682873"/>
      <w:bookmarkStart w:id="177" w:name="_Toc413683984"/>
      <w:bookmarkStart w:id="178" w:name="_Toc413843584"/>
      <w:bookmarkEnd w:id="165"/>
      <w:bookmarkEnd w:id="166"/>
      <w:bookmarkEnd w:id="167"/>
      <w:bookmarkEnd w:id="168"/>
      <w:bookmarkEnd w:id="169"/>
    </w:p>
    <w:p w14:paraId="435415B6" w14:textId="2A7DB43E" w:rsidR="000C5F0B" w:rsidRPr="00A813F0" w:rsidRDefault="000C5F0B" w:rsidP="00337A69">
      <w:pPr>
        <w:pStyle w:val="Heading3"/>
      </w:pPr>
      <w:bookmarkStart w:id="179" w:name="_Toc58835885"/>
      <w:bookmarkStart w:id="180" w:name="_Toc58839304"/>
      <w:bookmarkStart w:id="181" w:name="_Toc59564227"/>
      <w:bookmarkStart w:id="182" w:name="_Toc91157814"/>
      <w:r w:rsidRPr="00A813F0">
        <w:t>(4a)</w:t>
      </w:r>
      <w:r w:rsidRPr="00A813F0">
        <w:tab/>
        <w:t xml:space="preserve">IHPA </w:t>
      </w:r>
      <w:r w:rsidR="00BA08FE">
        <w:t>prepares</w:t>
      </w:r>
      <w:r w:rsidR="00BA08FE" w:rsidRPr="00A813F0">
        <w:t xml:space="preserve"> </w:t>
      </w:r>
      <w:r w:rsidRPr="00A813F0">
        <w:t xml:space="preserve">the final </w:t>
      </w:r>
      <w:bookmarkEnd w:id="170"/>
      <w:bookmarkEnd w:id="171"/>
      <w:r w:rsidRPr="00A813F0">
        <w:t xml:space="preserve">decision and provides </w:t>
      </w:r>
      <w:r w:rsidR="00BA08FE">
        <w:t xml:space="preserve">it </w:t>
      </w:r>
      <w:r w:rsidRPr="00A813F0">
        <w:t xml:space="preserve">to </w:t>
      </w:r>
      <w:r w:rsidR="00874595">
        <w:t>all</w:t>
      </w:r>
      <w:r w:rsidRPr="00A813F0">
        <w:t xml:space="preserve"> jurisdiction</w:t>
      </w:r>
      <w:bookmarkEnd w:id="172"/>
      <w:bookmarkEnd w:id="173"/>
      <w:bookmarkEnd w:id="174"/>
      <w:bookmarkEnd w:id="175"/>
      <w:bookmarkEnd w:id="176"/>
      <w:bookmarkEnd w:id="177"/>
      <w:bookmarkEnd w:id="178"/>
      <w:bookmarkEnd w:id="179"/>
      <w:bookmarkEnd w:id="180"/>
      <w:bookmarkEnd w:id="181"/>
      <w:r w:rsidR="00874595">
        <w:t>s</w:t>
      </w:r>
      <w:bookmarkEnd w:id="182"/>
    </w:p>
    <w:p w14:paraId="0BD1C083" w14:textId="77777777" w:rsidR="000C5F0B" w:rsidRPr="00A813F0" w:rsidRDefault="000C5F0B" w:rsidP="000C5F0B">
      <w:pPr>
        <w:spacing w:after="0"/>
        <w:rPr>
          <w:lang w:eastAsia="ja-JP"/>
        </w:rPr>
      </w:pPr>
      <w:r w:rsidRPr="00A813F0">
        <w:rPr>
          <w:lang w:eastAsia="ja-JP"/>
        </w:rPr>
        <w:t xml:space="preserve">IHPA </w:t>
      </w:r>
      <w:r w:rsidR="00F945FE" w:rsidRPr="00A813F0">
        <w:rPr>
          <w:lang w:eastAsia="ja-JP"/>
        </w:rPr>
        <w:t xml:space="preserve">prepares </w:t>
      </w:r>
      <w:r w:rsidRPr="00A813F0">
        <w:rPr>
          <w:lang w:eastAsia="ja-JP"/>
        </w:rPr>
        <w:t>a final decision</w:t>
      </w:r>
      <w:r w:rsidR="00F945FE" w:rsidRPr="00A813F0">
        <w:rPr>
          <w:lang w:eastAsia="ja-JP"/>
        </w:rPr>
        <w:t xml:space="preserve"> and</w:t>
      </w:r>
      <w:r w:rsidRPr="00A813F0">
        <w:rPr>
          <w:lang w:eastAsia="ja-JP"/>
        </w:rPr>
        <w:t xml:space="preserve"> obtains endorsement </w:t>
      </w:r>
      <w:r w:rsidR="00CF5FCD" w:rsidRPr="00A813F0">
        <w:rPr>
          <w:lang w:eastAsia="ja-JP"/>
        </w:rPr>
        <w:t xml:space="preserve">from </w:t>
      </w:r>
      <w:r w:rsidRPr="00A813F0">
        <w:rPr>
          <w:lang w:eastAsia="ja-JP"/>
        </w:rPr>
        <w:t>the Pricing Authority</w:t>
      </w:r>
      <w:r w:rsidR="00F945FE" w:rsidRPr="00A813F0">
        <w:rPr>
          <w:lang w:eastAsia="ja-JP"/>
        </w:rPr>
        <w:t xml:space="preserve">. The final </w:t>
      </w:r>
      <w:r w:rsidRPr="00A813F0">
        <w:rPr>
          <w:lang w:eastAsia="ja-JP"/>
        </w:rPr>
        <w:t xml:space="preserve">decision </w:t>
      </w:r>
      <w:r w:rsidR="00F945FE" w:rsidRPr="00A813F0">
        <w:rPr>
          <w:lang w:eastAsia="ja-JP"/>
        </w:rPr>
        <w:t xml:space="preserve">will be provided </w:t>
      </w:r>
      <w:r w:rsidRPr="00A813F0">
        <w:rPr>
          <w:lang w:eastAsia="ja-JP"/>
        </w:rPr>
        <w:t>to all jurisdictions.</w:t>
      </w:r>
    </w:p>
    <w:p w14:paraId="08D30975" w14:textId="7BBCFDA2" w:rsidR="000C5F0B" w:rsidRPr="00A813F0" w:rsidRDefault="000C5F0B" w:rsidP="00337A69">
      <w:pPr>
        <w:pStyle w:val="Heading3"/>
      </w:pPr>
      <w:bookmarkStart w:id="183" w:name="_Toc333313535"/>
      <w:bookmarkStart w:id="184" w:name="_Toc335212353"/>
      <w:bookmarkStart w:id="185" w:name="_Toc338353630"/>
      <w:bookmarkStart w:id="186" w:name="_Toc339895560"/>
      <w:bookmarkStart w:id="187" w:name="_Toc348953501"/>
      <w:bookmarkStart w:id="188" w:name="_Toc358984504"/>
      <w:bookmarkStart w:id="189" w:name="_Toc413682874"/>
      <w:bookmarkStart w:id="190" w:name="_Toc413683985"/>
      <w:bookmarkStart w:id="191" w:name="_Toc413843585"/>
      <w:bookmarkStart w:id="192" w:name="_Toc58835886"/>
      <w:bookmarkStart w:id="193" w:name="_Toc58839305"/>
      <w:bookmarkStart w:id="194" w:name="_Toc59564228"/>
      <w:bookmarkStart w:id="195" w:name="_Toc91157815"/>
      <w:r w:rsidRPr="00A813F0">
        <w:t>(4b)</w:t>
      </w:r>
      <w:r w:rsidRPr="00A813F0">
        <w:tab/>
        <w:t>IHPA refines the Pricing Framework</w:t>
      </w:r>
      <w:r w:rsidR="00CA06A5">
        <w:t xml:space="preserve"> and makes adjustments to the following NEP determination</w:t>
      </w:r>
      <w:r w:rsidRPr="00A813F0">
        <w:t xml:space="preserve"> </w:t>
      </w:r>
      <w:r w:rsidR="00F945FE" w:rsidRPr="00A813F0">
        <w:t>(</w:t>
      </w:r>
      <w:r w:rsidRPr="00A813F0">
        <w:t xml:space="preserve">if </w:t>
      </w:r>
      <w:bookmarkEnd w:id="183"/>
      <w:bookmarkEnd w:id="184"/>
      <w:bookmarkEnd w:id="185"/>
      <w:bookmarkEnd w:id="186"/>
      <w:bookmarkEnd w:id="187"/>
      <w:bookmarkEnd w:id="188"/>
      <w:bookmarkEnd w:id="189"/>
      <w:bookmarkEnd w:id="190"/>
      <w:bookmarkEnd w:id="191"/>
      <w:r w:rsidR="00F945FE" w:rsidRPr="00A813F0">
        <w:t>applicable)</w:t>
      </w:r>
      <w:bookmarkEnd w:id="192"/>
      <w:bookmarkEnd w:id="193"/>
      <w:bookmarkEnd w:id="194"/>
      <w:bookmarkEnd w:id="195"/>
    </w:p>
    <w:p w14:paraId="231E72E5" w14:textId="62D5148D" w:rsidR="000C5F0B" w:rsidRPr="00A813F0" w:rsidRDefault="00F945FE" w:rsidP="000C5F0B">
      <w:pPr>
        <w:spacing w:after="0"/>
        <w:rPr>
          <w:lang w:eastAsia="ja-JP"/>
        </w:rPr>
      </w:pPr>
      <w:r w:rsidRPr="00A813F0">
        <w:rPr>
          <w:lang w:eastAsia="ja-JP"/>
        </w:rPr>
        <w:t xml:space="preserve">Following the release of the final decision, IHPA will </w:t>
      </w:r>
      <w:r w:rsidR="00B519D4" w:rsidRPr="00A813F0">
        <w:rPr>
          <w:lang w:eastAsia="ja-JP"/>
        </w:rPr>
        <w:t xml:space="preserve">calculate and </w:t>
      </w:r>
      <w:r w:rsidRPr="00A813F0">
        <w:rPr>
          <w:lang w:eastAsia="ja-JP"/>
        </w:rPr>
        <w:t xml:space="preserve">make </w:t>
      </w:r>
      <w:r w:rsidR="000C5F0B" w:rsidRPr="00A813F0">
        <w:rPr>
          <w:lang w:eastAsia="ja-JP"/>
        </w:rPr>
        <w:t xml:space="preserve">adjustments </w:t>
      </w:r>
      <w:r w:rsidR="001966B2" w:rsidRPr="00A813F0">
        <w:rPr>
          <w:lang w:eastAsia="ja-JP"/>
        </w:rPr>
        <w:t>to reflect legitimate and unavoidable</w:t>
      </w:r>
      <w:r w:rsidR="00874595">
        <w:rPr>
          <w:lang w:eastAsia="ja-JP"/>
        </w:rPr>
        <w:t xml:space="preserve"> </w:t>
      </w:r>
      <w:r w:rsidR="001966B2" w:rsidRPr="00A813F0">
        <w:rPr>
          <w:lang w:eastAsia="ja-JP"/>
        </w:rPr>
        <w:t>cost</w:t>
      </w:r>
      <w:r w:rsidR="00CC6559">
        <w:rPr>
          <w:lang w:eastAsia="ja-JP"/>
        </w:rPr>
        <w:t xml:space="preserve"> variation</w:t>
      </w:r>
      <w:r w:rsidR="001966B2" w:rsidRPr="00A813F0">
        <w:rPr>
          <w:lang w:eastAsia="ja-JP"/>
        </w:rPr>
        <w:t xml:space="preserve">s in the delivery of public hospital services for </w:t>
      </w:r>
      <w:r w:rsidR="000C5F0B" w:rsidRPr="00A813F0">
        <w:rPr>
          <w:lang w:eastAsia="ja-JP"/>
        </w:rPr>
        <w:t xml:space="preserve">the </w:t>
      </w:r>
      <w:r w:rsidR="00B519D4" w:rsidRPr="00A813F0">
        <w:rPr>
          <w:lang w:eastAsia="ja-JP"/>
        </w:rPr>
        <w:t xml:space="preserve">following </w:t>
      </w:r>
      <w:r w:rsidR="000C5F0B" w:rsidRPr="00A813F0">
        <w:rPr>
          <w:lang w:eastAsia="ja-JP"/>
        </w:rPr>
        <w:t>NEP</w:t>
      </w:r>
      <w:r w:rsidR="00B519D4" w:rsidRPr="00A813F0">
        <w:rPr>
          <w:lang w:eastAsia="ja-JP"/>
        </w:rPr>
        <w:t xml:space="preserve">. </w:t>
      </w:r>
      <w:r w:rsidR="001966B2" w:rsidRPr="00A813F0">
        <w:rPr>
          <w:lang w:eastAsia="ja-JP"/>
        </w:rPr>
        <w:t>D</w:t>
      </w:r>
      <w:r w:rsidR="000C5F0B" w:rsidRPr="00A813F0">
        <w:rPr>
          <w:lang w:eastAsia="ja-JP"/>
        </w:rPr>
        <w:t>etails of the policy decision</w:t>
      </w:r>
      <w:r w:rsidR="00B519D4" w:rsidRPr="00A813F0">
        <w:rPr>
          <w:lang w:eastAsia="ja-JP"/>
        </w:rPr>
        <w:t xml:space="preserve"> will</w:t>
      </w:r>
      <w:r w:rsidR="00281AAD" w:rsidRPr="00A813F0">
        <w:rPr>
          <w:lang w:eastAsia="ja-JP"/>
        </w:rPr>
        <w:t xml:space="preserve"> </w:t>
      </w:r>
      <w:r w:rsidR="00B519D4" w:rsidRPr="00A813F0">
        <w:rPr>
          <w:lang w:eastAsia="ja-JP"/>
        </w:rPr>
        <w:t>be</w:t>
      </w:r>
      <w:r w:rsidR="000C5F0B" w:rsidRPr="00A813F0">
        <w:rPr>
          <w:lang w:eastAsia="ja-JP"/>
        </w:rPr>
        <w:t xml:space="preserve"> outlined in the </w:t>
      </w:r>
      <w:r w:rsidR="000C5F0B" w:rsidRPr="00A813F0">
        <w:rPr>
          <w:rStyle w:val="Emphasis"/>
          <w:i w:val="0"/>
        </w:rPr>
        <w:t>Pricing Framework</w:t>
      </w:r>
      <w:r w:rsidR="00727AB9">
        <w:rPr>
          <w:rStyle w:val="Emphasis"/>
          <w:i w:val="0"/>
        </w:rPr>
        <w:t xml:space="preserve"> </w:t>
      </w:r>
      <w:r w:rsidR="00727AB9" w:rsidRPr="00A813F0">
        <w:rPr>
          <w:bCs/>
          <w:lang w:eastAsia="ja-JP"/>
        </w:rPr>
        <w:t>for the next financial year</w:t>
      </w:r>
      <w:r w:rsidR="000C5F0B" w:rsidRPr="00A813F0">
        <w:rPr>
          <w:rStyle w:val="Emphasis"/>
        </w:rPr>
        <w:t>.</w:t>
      </w:r>
      <w:r w:rsidR="000C5F0B" w:rsidRPr="00A813F0">
        <w:rPr>
          <w:lang w:eastAsia="ja-JP"/>
        </w:rPr>
        <w:br w:type="page"/>
      </w:r>
    </w:p>
    <w:p w14:paraId="3F77C447" w14:textId="2997EDAF" w:rsidR="007E49A9" w:rsidRPr="00A813F0" w:rsidRDefault="007E49A9" w:rsidP="001A0A49">
      <w:pPr>
        <w:pStyle w:val="Heading1"/>
        <w:rPr>
          <w:rFonts w:eastAsia="Arial"/>
          <w:lang w:val="en-US" w:eastAsia="ja-JP"/>
        </w:rPr>
      </w:pPr>
      <w:bookmarkStart w:id="196" w:name="_Toc23859902"/>
      <w:bookmarkStart w:id="197" w:name="_Toc91157816"/>
      <w:r w:rsidRPr="00A813F0">
        <w:rPr>
          <w:rFonts w:eastAsia="Arial"/>
          <w:lang w:val="en-US" w:eastAsia="ja-JP"/>
        </w:rPr>
        <w:lastRenderedPageBreak/>
        <w:t xml:space="preserve">Appendix </w:t>
      </w:r>
      <w:r w:rsidR="0019149E" w:rsidRPr="00A813F0">
        <w:rPr>
          <w:rFonts w:eastAsia="Arial"/>
          <w:lang w:val="en-US" w:eastAsia="ja-JP"/>
        </w:rPr>
        <w:t>A</w:t>
      </w:r>
      <w:r w:rsidRPr="00A813F0">
        <w:rPr>
          <w:rFonts w:eastAsia="Arial"/>
          <w:lang w:val="en-US" w:eastAsia="ja-JP"/>
        </w:rPr>
        <w:t>: Guidance on evidence to be included in the request for assessment</w:t>
      </w:r>
      <w:bookmarkEnd w:id="196"/>
      <w:bookmarkEnd w:id="197"/>
      <w:r w:rsidRPr="00A813F0">
        <w:rPr>
          <w:rFonts w:eastAsia="Arial"/>
          <w:lang w:val="en-US" w:eastAsia="ja-JP"/>
        </w:rPr>
        <w:t xml:space="preserve"> </w:t>
      </w:r>
    </w:p>
    <w:p w14:paraId="70B1BDFE" w14:textId="23824150" w:rsidR="007E49A9" w:rsidRPr="00A813F0" w:rsidRDefault="007E49A9" w:rsidP="007E49A9">
      <w:pPr>
        <w:rPr>
          <w:lang w:eastAsia="ja-JP"/>
        </w:rPr>
      </w:pPr>
      <w:r w:rsidRPr="00A813F0">
        <w:rPr>
          <w:lang w:eastAsia="ja-JP"/>
        </w:rPr>
        <w:t>To assist jurisdictions in preparing a request for assessment of legitimate and unavoidable</w:t>
      </w:r>
      <w:r w:rsidR="00727AB9">
        <w:rPr>
          <w:lang w:eastAsia="ja-JP"/>
        </w:rPr>
        <w:t xml:space="preserve"> </w:t>
      </w:r>
      <w:r w:rsidRPr="00A813F0">
        <w:rPr>
          <w:lang w:eastAsia="ja-JP"/>
        </w:rPr>
        <w:t>cost</w:t>
      </w:r>
      <w:r w:rsidR="00874595">
        <w:rPr>
          <w:lang w:eastAsia="ja-JP"/>
        </w:rPr>
        <w:t xml:space="preserve"> variation</w:t>
      </w:r>
      <w:r w:rsidRPr="00A813F0">
        <w:rPr>
          <w:lang w:eastAsia="ja-JP"/>
        </w:rPr>
        <w:t>s, IHPA has developed guidance on the evidence to be included in the written submission. This is outlined in the table below.</w:t>
      </w:r>
    </w:p>
    <w:p w14:paraId="6DD2B02F" w14:textId="5710569A" w:rsidR="007E49A9" w:rsidRPr="00A813F0" w:rsidRDefault="00EB6789" w:rsidP="007E49A9">
      <w:pPr>
        <w:pStyle w:val="TableHeading"/>
      </w:pPr>
      <w:r>
        <w:t>Table 2.</w:t>
      </w:r>
      <w:r w:rsidR="007E49A9" w:rsidRPr="00A813F0">
        <w:t xml:space="preserve"> Guidance on evidence to be included to accompany the written request </w:t>
      </w:r>
    </w:p>
    <w:tbl>
      <w:tblPr>
        <w:tblStyle w:val="TableGrid"/>
        <w:tblW w:w="9493" w:type="dxa"/>
        <w:tblLayout w:type="fixed"/>
        <w:tblLook w:val="04A0" w:firstRow="1" w:lastRow="0" w:firstColumn="1" w:lastColumn="0" w:noHBand="0" w:noVBand="1"/>
        <w:tblDescription w:val="table 1 is a checklist.  It has 3 column headings: column 1. topic, column 2. Evidence and column 3. checklist."/>
      </w:tblPr>
      <w:tblGrid>
        <w:gridCol w:w="1809"/>
        <w:gridCol w:w="7684"/>
      </w:tblGrid>
      <w:tr w:rsidR="007E49A9" w:rsidRPr="00A813F0" w14:paraId="09129B9B" w14:textId="77777777" w:rsidTr="00DB2622">
        <w:trPr>
          <w:tblHeader/>
        </w:trPr>
        <w:tc>
          <w:tcPr>
            <w:tcW w:w="1809" w:type="dxa"/>
          </w:tcPr>
          <w:p w14:paraId="46BDDF1A" w14:textId="5795D20E" w:rsidR="007E49A9" w:rsidRPr="00A813F0" w:rsidRDefault="00EB6789" w:rsidP="00727436">
            <w:pPr>
              <w:rPr>
                <w:rStyle w:val="Strong"/>
                <w:szCs w:val="22"/>
              </w:rPr>
            </w:pPr>
            <w:r>
              <w:rPr>
                <w:rStyle w:val="Strong"/>
                <w:szCs w:val="22"/>
              </w:rPr>
              <w:t>Item</w:t>
            </w:r>
          </w:p>
        </w:tc>
        <w:tc>
          <w:tcPr>
            <w:tcW w:w="7684" w:type="dxa"/>
          </w:tcPr>
          <w:p w14:paraId="7D24D52A" w14:textId="77777777" w:rsidR="007E49A9" w:rsidRPr="00A813F0" w:rsidRDefault="007E49A9" w:rsidP="00727436">
            <w:pPr>
              <w:rPr>
                <w:rStyle w:val="Strong"/>
                <w:szCs w:val="22"/>
              </w:rPr>
            </w:pPr>
            <w:r w:rsidRPr="00A813F0">
              <w:rPr>
                <w:rStyle w:val="Strong"/>
                <w:szCs w:val="22"/>
              </w:rPr>
              <w:t>Evidence</w:t>
            </w:r>
          </w:p>
        </w:tc>
      </w:tr>
      <w:tr w:rsidR="007E49A9" w:rsidRPr="00A813F0" w14:paraId="3E032010" w14:textId="77777777" w:rsidTr="00DB2622">
        <w:tc>
          <w:tcPr>
            <w:tcW w:w="1809" w:type="dxa"/>
          </w:tcPr>
          <w:p w14:paraId="29E839CA" w14:textId="4106829B" w:rsidR="007E49A9" w:rsidRPr="00A813F0" w:rsidRDefault="007E49A9" w:rsidP="00DB2622">
            <w:pPr>
              <w:rPr>
                <w:b/>
                <w:szCs w:val="22"/>
                <w:lang w:eastAsia="ja-JP"/>
              </w:rPr>
            </w:pPr>
            <w:r w:rsidRPr="00A813F0">
              <w:rPr>
                <w:szCs w:val="22"/>
                <w:lang w:eastAsia="ja-JP"/>
              </w:rPr>
              <w:t xml:space="preserve">Contact </w:t>
            </w:r>
            <w:r w:rsidR="00DB2622" w:rsidRPr="00A813F0">
              <w:rPr>
                <w:szCs w:val="22"/>
                <w:lang w:eastAsia="ja-JP"/>
              </w:rPr>
              <w:t>details</w:t>
            </w:r>
          </w:p>
        </w:tc>
        <w:tc>
          <w:tcPr>
            <w:tcW w:w="7684" w:type="dxa"/>
          </w:tcPr>
          <w:p w14:paraId="4CFDC1DD" w14:textId="77777777" w:rsidR="007E49A9" w:rsidRPr="00A813F0" w:rsidRDefault="007E49A9" w:rsidP="00727436">
            <w:pPr>
              <w:rPr>
                <w:b/>
                <w:szCs w:val="22"/>
                <w:lang w:eastAsia="ja-JP"/>
              </w:rPr>
            </w:pPr>
            <w:r w:rsidRPr="00A813F0">
              <w:rPr>
                <w:szCs w:val="22"/>
                <w:lang w:eastAsia="ja-JP"/>
              </w:rPr>
              <w:t>Key person contact details – these details will be used to seek clarification on any matters relating to the request.</w:t>
            </w:r>
          </w:p>
        </w:tc>
      </w:tr>
      <w:tr w:rsidR="007E49A9" w:rsidRPr="00A813F0" w14:paraId="24E91C09" w14:textId="77777777" w:rsidTr="00DB2622">
        <w:tc>
          <w:tcPr>
            <w:tcW w:w="1809" w:type="dxa"/>
          </w:tcPr>
          <w:p w14:paraId="18F1EB6B" w14:textId="77777777" w:rsidR="007E49A9" w:rsidRPr="00A813F0" w:rsidRDefault="007E49A9" w:rsidP="00727436">
            <w:pPr>
              <w:rPr>
                <w:b/>
                <w:szCs w:val="22"/>
                <w:lang w:eastAsia="ja-JP"/>
              </w:rPr>
            </w:pPr>
            <w:r w:rsidRPr="00A813F0">
              <w:rPr>
                <w:szCs w:val="22"/>
                <w:lang w:eastAsia="ja-JP"/>
              </w:rPr>
              <w:t>Request particulars</w:t>
            </w:r>
          </w:p>
        </w:tc>
        <w:tc>
          <w:tcPr>
            <w:tcW w:w="7684" w:type="dxa"/>
          </w:tcPr>
          <w:p w14:paraId="13E1270A" w14:textId="4927645E" w:rsidR="007E49A9" w:rsidRPr="00A813F0" w:rsidRDefault="007E49A9" w:rsidP="00727436">
            <w:pPr>
              <w:rPr>
                <w:szCs w:val="22"/>
                <w:lang w:eastAsia="ja-JP"/>
              </w:rPr>
            </w:pPr>
            <w:r w:rsidRPr="00A813F0">
              <w:rPr>
                <w:szCs w:val="22"/>
                <w:lang w:eastAsia="ja-JP"/>
              </w:rPr>
              <w:t>Evidence that a difference in costs (between patient</w:t>
            </w:r>
            <w:r w:rsidR="00DB2622" w:rsidRPr="00A813F0">
              <w:rPr>
                <w:szCs w:val="22"/>
                <w:lang w:eastAsia="ja-JP"/>
              </w:rPr>
              <w:t>s</w:t>
            </w:r>
            <w:r w:rsidRPr="00A813F0">
              <w:rPr>
                <w:szCs w:val="22"/>
                <w:lang w:eastAsia="ja-JP"/>
              </w:rPr>
              <w:t xml:space="preserve"> or provider groups) can legitimately be demonstrated and those differences in costs are unavoidable, such as due to:</w:t>
            </w:r>
          </w:p>
          <w:p w14:paraId="3FA362D4" w14:textId="77777777" w:rsidR="007E49A9" w:rsidRPr="00A813F0" w:rsidRDefault="007E49A9" w:rsidP="00727436">
            <w:pPr>
              <w:pStyle w:val="ListParagraph"/>
              <w:numPr>
                <w:ilvl w:val="0"/>
                <w:numId w:val="17"/>
              </w:numPr>
              <w:rPr>
                <w:szCs w:val="22"/>
                <w:lang w:eastAsia="ja-JP"/>
              </w:rPr>
            </w:pPr>
            <w:r w:rsidRPr="00A813F0">
              <w:rPr>
                <w:szCs w:val="22"/>
                <w:lang w:eastAsia="ja-JP"/>
              </w:rPr>
              <w:t xml:space="preserve">hospital type and size </w:t>
            </w:r>
          </w:p>
          <w:p w14:paraId="7A1341B1" w14:textId="18F8FEE9" w:rsidR="007E49A9" w:rsidRPr="00A813F0" w:rsidRDefault="007E49A9" w:rsidP="00727436">
            <w:pPr>
              <w:pStyle w:val="ListParagraph"/>
              <w:numPr>
                <w:ilvl w:val="0"/>
                <w:numId w:val="17"/>
              </w:numPr>
              <w:rPr>
                <w:szCs w:val="22"/>
                <w:lang w:eastAsia="ja-JP"/>
              </w:rPr>
            </w:pPr>
            <w:r w:rsidRPr="00A813F0">
              <w:rPr>
                <w:szCs w:val="22"/>
                <w:lang w:eastAsia="ja-JP"/>
              </w:rPr>
              <w:t>hospital-related and environmental factors that place constraints on the extent to which hospitals can reduce their costs (</w:t>
            </w:r>
            <w:r w:rsidR="00DB2622" w:rsidRPr="00A813F0">
              <w:rPr>
                <w:szCs w:val="22"/>
                <w:lang w:eastAsia="ja-JP"/>
              </w:rPr>
              <w:t>for example,</w:t>
            </w:r>
            <w:r w:rsidRPr="00A813F0">
              <w:rPr>
                <w:szCs w:val="22"/>
                <w:lang w:eastAsia="ja-JP"/>
              </w:rPr>
              <w:t xml:space="preserve"> hospital location, including regional and remote status) </w:t>
            </w:r>
          </w:p>
          <w:p w14:paraId="4FCC2BF8" w14:textId="013A37FA" w:rsidR="007E49A9" w:rsidRPr="00A813F0" w:rsidRDefault="007E49A9" w:rsidP="00727436">
            <w:pPr>
              <w:pStyle w:val="ListParagraph"/>
              <w:numPr>
                <w:ilvl w:val="0"/>
                <w:numId w:val="17"/>
              </w:numPr>
              <w:rPr>
                <w:szCs w:val="22"/>
                <w:lang w:eastAsia="ja-JP"/>
              </w:rPr>
            </w:pPr>
            <w:r w:rsidRPr="00A813F0">
              <w:rPr>
                <w:szCs w:val="22"/>
                <w:lang w:eastAsia="ja-JP"/>
              </w:rPr>
              <w:t>patient complexity, including Indigenous status, which is not captured by the classification system</w:t>
            </w:r>
            <w:r w:rsidR="00DB2622" w:rsidRPr="00A813F0">
              <w:rPr>
                <w:szCs w:val="22"/>
                <w:lang w:eastAsia="ja-JP"/>
              </w:rPr>
              <w:t>.</w:t>
            </w:r>
          </w:p>
          <w:p w14:paraId="66BFAEEB" w14:textId="78D59035" w:rsidR="007E49A9" w:rsidRPr="00A813F0" w:rsidRDefault="007E49A9" w:rsidP="00727436">
            <w:pPr>
              <w:rPr>
                <w:szCs w:val="22"/>
                <w:lang w:eastAsia="ja-JP"/>
              </w:rPr>
            </w:pPr>
            <w:r w:rsidRPr="00A813F0">
              <w:rPr>
                <w:szCs w:val="22"/>
                <w:lang w:eastAsia="ja-JP"/>
              </w:rPr>
              <w:t>Relevant background</w:t>
            </w:r>
            <w:r w:rsidR="00EB6789">
              <w:rPr>
                <w:szCs w:val="22"/>
                <w:lang w:eastAsia="ja-JP"/>
              </w:rPr>
              <w:t xml:space="preserve"> and </w:t>
            </w:r>
            <w:r w:rsidRPr="00A813F0">
              <w:rPr>
                <w:szCs w:val="22"/>
                <w:lang w:eastAsia="ja-JP"/>
              </w:rPr>
              <w:t>contextual information to support IHPA in understanding the issues involved.</w:t>
            </w:r>
          </w:p>
          <w:p w14:paraId="62A667CD" w14:textId="77777777" w:rsidR="007E49A9" w:rsidRPr="00A813F0" w:rsidRDefault="007E49A9" w:rsidP="00727436">
            <w:pPr>
              <w:rPr>
                <w:bCs/>
                <w:szCs w:val="22"/>
                <w:lang w:eastAsia="ja-JP"/>
              </w:rPr>
            </w:pPr>
            <w:r w:rsidRPr="00A813F0">
              <w:rPr>
                <w:szCs w:val="22"/>
                <w:lang w:eastAsia="ja-JP"/>
              </w:rPr>
              <w:t>Details of any risks identified.</w:t>
            </w:r>
          </w:p>
        </w:tc>
      </w:tr>
      <w:tr w:rsidR="007E49A9" w:rsidRPr="00A813F0" w14:paraId="700F3A72" w14:textId="77777777" w:rsidTr="00DB2622">
        <w:tc>
          <w:tcPr>
            <w:tcW w:w="1809" w:type="dxa"/>
          </w:tcPr>
          <w:p w14:paraId="1DE542B7" w14:textId="77777777" w:rsidR="007E49A9" w:rsidRPr="00A813F0" w:rsidRDefault="007E49A9" w:rsidP="00727436">
            <w:pPr>
              <w:rPr>
                <w:b/>
                <w:szCs w:val="22"/>
                <w:lang w:eastAsia="ja-JP"/>
              </w:rPr>
            </w:pPr>
            <w:r w:rsidRPr="00A813F0">
              <w:rPr>
                <w:szCs w:val="22"/>
                <w:lang w:eastAsia="ja-JP"/>
              </w:rPr>
              <w:t>Supporting documentation</w:t>
            </w:r>
          </w:p>
        </w:tc>
        <w:tc>
          <w:tcPr>
            <w:tcW w:w="7684" w:type="dxa"/>
          </w:tcPr>
          <w:p w14:paraId="7F3D17DB" w14:textId="7D771CDA" w:rsidR="007E49A9" w:rsidRPr="00A813F0" w:rsidRDefault="007E49A9" w:rsidP="00727436">
            <w:pPr>
              <w:rPr>
                <w:szCs w:val="22"/>
                <w:lang w:eastAsia="ja-JP"/>
              </w:rPr>
            </w:pPr>
            <w:r w:rsidRPr="00A813F0">
              <w:rPr>
                <w:szCs w:val="22"/>
                <w:lang w:eastAsia="ja-JP"/>
              </w:rPr>
              <w:t>Evidence which may support IHPA in its assessment (</w:t>
            </w:r>
            <w:r w:rsidR="00DB2622" w:rsidRPr="00A813F0">
              <w:rPr>
                <w:szCs w:val="22"/>
                <w:lang w:eastAsia="ja-JP"/>
              </w:rPr>
              <w:t>for example, data, information, documents or agreements</w:t>
            </w:r>
            <w:r w:rsidRPr="00A813F0">
              <w:rPr>
                <w:szCs w:val="22"/>
                <w:lang w:eastAsia="ja-JP"/>
              </w:rPr>
              <w:t>).</w:t>
            </w:r>
          </w:p>
          <w:p w14:paraId="65C9214B" w14:textId="77777777" w:rsidR="007E49A9" w:rsidRPr="00A813F0" w:rsidRDefault="007E49A9" w:rsidP="00727436">
            <w:pPr>
              <w:rPr>
                <w:szCs w:val="22"/>
                <w:lang w:eastAsia="ja-JP"/>
              </w:rPr>
            </w:pPr>
            <w:r w:rsidRPr="00A813F0">
              <w:rPr>
                <w:szCs w:val="22"/>
                <w:lang w:eastAsia="ja-JP"/>
              </w:rPr>
              <w:t>Analysis undertaken based on available data, including the National Hospital Cost Data Collection.</w:t>
            </w:r>
          </w:p>
        </w:tc>
      </w:tr>
    </w:tbl>
    <w:p w14:paraId="13421F74" w14:textId="77777777" w:rsidR="000C5F0B" w:rsidRPr="00A813F0" w:rsidRDefault="000C5F0B" w:rsidP="00561DD3">
      <w:pPr>
        <w:ind w:left="720"/>
        <w:rPr>
          <w:lang w:eastAsia="ja-JP"/>
        </w:rPr>
      </w:pPr>
      <w:r w:rsidRPr="00A813F0">
        <w:rPr>
          <w:lang w:eastAsia="ja-JP"/>
        </w:rPr>
        <w:br w:type="page"/>
      </w:r>
    </w:p>
    <w:p w14:paraId="6ABD5850" w14:textId="77777777" w:rsidR="00562759" w:rsidRDefault="00043CF6" w:rsidP="00350852">
      <w:bookmarkStart w:id="198" w:name="_Appendix_B:_Guidance"/>
      <w:bookmarkEnd w:id="198"/>
      <w:r w:rsidRPr="00A813F0">
        <w:rPr>
          <w:noProof/>
        </w:rPr>
        <w:lastRenderedPageBreak/>
        <w:drawing>
          <wp:anchor distT="0" distB="0" distL="114300" distR="114300" simplePos="0" relativeHeight="251678720" behindDoc="1" locked="1" layoutInCell="0" allowOverlap="1" wp14:anchorId="61CC658B" wp14:editId="79605F42">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A813F0">
        <w:rPr>
          <w:noProof/>
        </w:rPr>
        <mc:AlternateContent>
          <mc:Choice Requires="wps">
            <w:drawing>
              <wp:anchor distT="0" distB="0" distL="114300" distR="114300" simplePos="0" relativeHeight="251670528" behindDoc="0" locked="0" layoutInCell="1" allowOverlap="1" wp14:anchorId="0133580C" wp14:editId="29C57B95">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7FB558" w14:textId="77777777" w:rsidR="00727436" w:rsidRPr="00996126" w:rsidRDefault="00727436" w:rsidP="00562759">
                            <w:pPr>
                              <w:pStyle w:val="Address"/>
                              <w:rPr>
                                <w:color w:val="auto"/>
                              </w:rPr>
                            </w:pPr>
                            <w:r w:rsidRPr="00996126">
                              <w:rPr>
                                <w:color w:val="auto"/>
                              </w:rPr>
                              <w:t>Independent Hospital Pricing Authority</w:t>
                            </w:r>
                          </w:p>
                          <w:p w14:paraId="305CBC93" w14:textId="77777777" w:rsidR="00727436" w:rsidRPr="00996126" w:rsidRDefault="00727436" w:rsidP="00562759">
                            <w:pPr>
                              <w:pStyle w:val="Address"/>
                              <w:rPr>
                                <w:color w:val="auto"/>
                              </w:rPr>
                            </w:pPr>
                          </w:p>
                          <w:p w14:paraId="70BB1171" w14:textId="23BE9029" w:rsidR="00727436" w:rsidRPr="00996126" w:rsidRDefault="00845D97" w:rsidP="00562759">
                            <w:pPr>
                              <w:pStyle w:val="Address"/>
                              <w:rPr>
                                <w:color w:val="008542" w:themeColor="accent2"/>
                              </w:rPr>
                            </w:pPr>
                            <w:r>
                              <w:rPr>
                                <w:color w:val="008542" w:themeColor="accent2"/>
                              </w:rPr>
                              <w:t>Eora Nation, Level 12</w:t>
                            </w:r>
                            <w:r w:rsidR="00727436" w:rsidRPr="00996126">
                              <w:rPr>
                                <w:color w:val="008542" w:themeColor="accent2"/>
                              </w:rPr>
                              <w:t>, 1 Oxford Street</w:t>
                            </w:r>
                          </w:p>
                          <w:p w14:paraId="5399052D" w14:textId="77777777" w:rsidR="00727436" w:rsidRPr="00996126" w:rsidRDefault="00727436" w:rsidP="00562759">
                            <w:pPr>
                              <w:pStyle w:val="Address"/>
                              <w:rPr>
                                <w:color w:val="008542" w:themeColor="accent2"/>
                              </w:rPr>
                            </w:pPr>
                            <w:r w:rsidRPr="00996126">
                              <w:rPr>
                                <w:color w:val="008542" w:themeColor="accent2"/>
                              </w:rPr>
                              <w:t>Sydney NSW 2000</w:t>
                            </w:r>
                          </w:p>
                          <w:p w14:paraId="30686332" w14:textId="77777777" w:rsidR="00727436" w:rsidRPr="00562759" w:rsidRDefault="00727436" w:rsidP="00562759">
                            <w:pPr>
                              <w:pStyle w:val="Address"/>
                            </w:pPr>
                          </w:p>
                          <w:p w14:paraId="2FB23275" w14:textId="77777777" w:rsidR="00727436" w:rsidRPr="00996126" w:rsidRDefault="00727436" w:rsidP="00562759">
                            <w:pPr>
                              <w:pStyle w:val="Address"/>
                              <w:rPr>
                                <w:color w:val="008542" w:themeColor="accent2"/>
                              </w:rPr>
                            </w:pPr>
                            <w:r w:rsidRPr="00996126">
                              <w:rPr>
                                <w:color w:val="auto"/>
                              </w:rPr>
                              <w:t xml:space="preserve">Phone </w:t>
                            </w:r>
                            <w:r w:rsidRPr="00996126">
                              <w:rPr>
                                <w:color w:val="008542" w:themeColor="accent2"/>
                              </w:rPr>
                              <w:t>02 8215 1100</w:t>
                            </w:r>
                          </w:p>
                          <w:p w14:paraId="62467C4E" w14:textId="77777777" w:rsidR="00727436" w:rsidRPr="00996126" w:rsidRDefault="00727436" w:rsidP="00562759">
                            <w:pPr>
                              <w:pStyle w:val="Address"/>
                              <w:rPr>
                                <w:color w:val="008542" w:themeColor="accent2"/>
                              </w:rPr>
                            </w:pPr>
                            <w:r w:rsidRPr="00996126">
                              <w:rPr>
                                <w:color w:val="auto"/>
                              </w:rPr>
                              <w:t xml:space="preserve">Email </w:t>
                            </w:r>
                            <w:r w:rsidRPr="00996126">
                              <w:rPr>
                                <w:color w:val="008542" w:themeColor="accent2"/>
                              </w:rPr>
                              <w:t>enquiries.ihpa@ihpa.gov.au</w:t>
                            </w:r>
                          </w:p>
                          <w:p w14:paraId="451BB951" w14:textId="77777777" w:rsidR="00727436" w:rsidRPr="00996126" w:rsidRDefault="00727436" w:rsidP="00562759">
                            <w:pPr>
                              <w:pStyle w:val="Address"/>
                              <w:rPr>
                                <w:color w:val="008542" w:themeColor="accent2"/>
                              </w:rPr>
                            </w:pPr>
                            <w:r w:rsidRPr="00996126">
                              <w:rPr>
                                <w:color w:val="auto"/>
                              </w:rPr>
                              <w:t xml:space="preserve">Twitter </w:t>
                            </w:r>
                            <w:r w:rsidRPr="00996126">
                              <w:rPr>
                                <w:color w:val="008542" w:themeColor="accent2"/>
                              </w:rPr>
                              <w:t>@IHPAnews</w:t>
                            </w:r>
                          </w:p>
                          <w:p w14:paraId="53A1315D" w14:textId="77777777" w:rsidR="00727436" w:rsidRPr="00562759" w:rsidRDefault="00727436" w:rsidP="00562759">
                            <w:pPr>
                              <w:pStyle w:val="Address"/>
                            </w:pPr>
                          </w:p>
                          <w:p w14:paraId="69EFADED" w14:textId="77777777" w:rsidR="00727436" w:rsidRPr="00996126" w:rsidRDefault="00727436" w:rsidP="00562759">
                            <w:pPr>
                              <w:pStyle w:val="Address"/>
                              <w:rPr>
                                <w:color w:val="auto"/>
                              </w:rPr>
                            </w:pPr>
                            <w:r w:rsidRPr="00996126">
                              <w:rPr>
                                <w:color w:val="auto"/>
                              </w:rPr>
                              <w:t>www.ihpa.gov.au</w:t>
                            </w:r>
                          </w:p>
                          <w:p w14:paraId="2AF04194" w14:textId="77777777" w:rsidR="00727436" w:rsidRPr="0098702F" w:rsidRDefault="00727436"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3580C"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1A7FB558" w14:textId="77777777" w:rsidR="00727436" w:rsidRPr="00996126" w:rsidRDefault="00727436" w:rsidP="00562759">
                      <w:pPr>
                        <w:pStyle w:val="Address"/>
                        <w:rPr>
                          <w:color w:val="auto"/>
                        </w:rPr>
                      </w:pPr>
                      <w:r w:rsidRPr="00996126">
                        <w:rPr>
                          <w:color w:val="auto"/>
                        </w:rPr>
                        <w:t>Independent Hospital Pricing Authority</w:t>
                      </w:r>
                    </w:p>
                    <w:p w14:paraId="305CBC93" w14:textId="77777777" w:rsidR="00727436" w:rsidRPr="00996126" w:rsidRDefault="00727436" w:rsidP="00562759">
                      <w:pPr>
                        <w:pStyle w:val="Address"/>
                        <w:rPr>
                          <w:color w:val="auto"/>
                        </w:rPr>
                      </w:pPr>
                    </w:p>
                    <w:p w14:paraId="70BB1171" w14:textId="23BE9029" w:rsidR="00727436" w:rsidRPr="00996126" w:rsidRDefault="00845D97" w:rsidP="00562759">
                      <w:pPr>
                        <w:pStyle w:val="Address"/>
                        <w:rPr>
                          <w:color w:val="008542" w:themeColor="accent2"/>
                        </w:rPr>
                      </w:pPr>
                      <w:r>
                        <w:rPr>
                          <w:color w:val="008542" w:themeColor="accent2"/>
                        </w:rPr>
                        <w:t>Eora Nation, Level 12</w:t>
                      </w:r>
                      <w:r w:rsidR="00727436" w:rsidRPr="00996126">
                        <w:rPr>
                          <w:color w:val="008542" w:themeColor="accent2"/>
                        </w:rPr>
                        <w:t>, 1 Oxford Street</w:t>
                      </w:r>
                    </w:p>
                    <w:p w14:paraId="5399052D" w14:textId="77777777" w:rsidR="00727436" w:rsidRPr="00996126" w:rsidRDefault="00727436" w:rsidP="00562759">
                      <w:pPr>
                        <w:pStyle w:val="Address"/>
                        <w:rPr>
                          <w:color w:val="008542" w:themeColor="accent2"/>
                        </w:rPr>
                      </w:pPr>
                      <w:r w:rsidRPr="00996126">
                        <w:rPr>
                          <w:color w:val="008542" w:themeColor="accent2"/>
                        </w:rPr>
                        <w:t>Sydney NSW 2000</w:t>
                      </w:r>
                    </w:p>
                    <w:p w14:paraId="30686332" w14:textId="77777777" w:rsidR="00727436" w:rsidRPr="00562759" w:rsidRDefault="00727436" w:rsidP="00562759">
                      <w:pPr>
                        <w:pStyle w:val="Address"/>
                      </w:pPr>
                    </w:p>
                    <w:p w14:paraId="2FB23275" w14:textId="77777777" w:rsidR="00727436" w:rsidRPr="00996126" w:rsidRDefault="00727436" w:rsidP="00562759">
                      <w:pPr>
                        <w:pStyle w:val="Address"/>
                        <w:rPr>
                          <w:color w:val="008542" w:themeColor="accent2"/>
                        </w:rPr>
                      </w:pPr>
                      <w:r w:rsidRPr="00996126">
                        <w:rPr>
                          <w:color w:val="auto"/>
                        </w:rPr>
                        <w:t xml:space="preserve">Phone </w:t>
                      </w:r>
                      <w:r w:rsidRPr="00996126">
                        <w:rPr>
                          <w:color w:val="008542" w:themeColor="accent2"/>
                        </w:rPr>
                        <w:t>02 8215 1100</w:t>
                      </w:r>
                    </w:p>
                    <w:p w14:paraId="62467C4E" w14:textId="77777777" w:rsidR="00727436" w:rsidRPr="00996126" w:rsidRDefault="00727436" w:rsidP="00562759">
                      <w:pPr>
                        <w:pStyle w:val="Address"/>
                        <w:rPr>
                          <w:color w:val="008542" w:themeColor="accent2"/>
                        </w:rPr>
                      </w:pPr>
                      <w:r w:rsidRPr="00996126">
                        <w:rPr>
                          <w:color w:val="auto"/>
                        </w:rPr>
                        <w:t xml:space="preserve">Email </w:t>
                      </w:r>
                      <w:r w:rsidRPr="00996126">
                        <w:rPr>
                          <w:color w:val="008542" w:themeColor="accent2"/>
                        </w:rPr>
                        <w:t>enquiries.ihpa@ihpa.gov.au</w:t>
                      </w:r>
                    </w:p>
                    <w:p w14:paraId="451BB951" w14:textId="77777777" w:rsidR="00727436" w:rsidRPr="00996126" w:rsidRDefault="00727436" w:rsidP="00562759">
                      <w:pPr>
                        <w:pStyle w:val="Address"/>
                        <w:rPr>
                          <w:color w:val="008542" w:themeColor="accent2"/>
                        </w:rPr>
                      </w:pPr>
                      <w:r w:rsidRPr="00996126">
                        <w:rPr>
                          <w:color w:val="auto"/>
                        </w:rPr>
                        <w:t xml:space="preserve">Twitter </w:t>
                      </w:r>
                      <w:r w:rsidRPr="00996126">
                        <w:rPr>
                          <w:color w:val="008542" w:themeColor="accent2"/>
                        </w:rPr>
                        <w:t>@IHPAnews</w:t>
                      </w:r>
                    </w:p>
                    <w:p w14:paraId="53A1315D" w14:textId="77777777" w:rsidR="00727436" w:rsidRPr="00562759" w:rsidRDefault="00727436" w:rsidP="00562759">
                      <w:pPr>
                        <w:pStyle w:val="Address"/>
                      </w:pPr>
                    </w:p>
                    <w:p w14:paraId="69EFADED" w14:textId="77777777" w:rsidR="00727436" w:rsidRPr="00996126" w:rsidRDefault="00727436" w:rsidP="00562759">
                      <w:pPr>
                        <w:pStyle w:val="Address"/>
                        <w:rPr>
                          <w:color w:val="auto"/>
                        </w:rPr>
                      </w:pPr>
                      <w:r w:rsidRPr="00996126">
                        <w:rPr>
                          <w:color w:val="auto"/>
                        </w:rPr>
                        <w:t>www.ihpa.gov.au</w:t>
                      </w:r>
                    </w:p>
                    <w:p w14:paraId="2AF04194" w14:textId="77777777" w:rsidR="00727436" w:rsidRPr="0098702F" w:rsidRDefault="00727436"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FC9EB" w14:textId="77777777" w:rsidR="00545A66" w:rsidRDefault="00545A66">
      <w:r>
        <w:separator/>
      </w:r>
    </w:p>
  </w:endnote>
  <w:endnote w:type="continuationSeparator" w:id="0">
    <w:p w14:paraId="63622251" w14:textId="77777777" w:rsidR="00545A66" w:rsidRDefault="0054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05F8" w14:textId="77777777" w:rsidR="004C2EB0" w:rsidRDefault="004C2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A395" w14:textId="77777777" w:rsidR="004C2EB0" w:rsidRDefault="004C2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2360" w14:textId="77777777" w:rsidR="004C2EB0" w:rsidRDefault="004C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B25EA" w14:textId="77777777" w:rsidR="00545A66" w:rsidRDefault="00545A66">
      <w:r>
        <w:separator/>
      </w:r>
    </w:p>
  </w:footnote>
  <w:footnote w:type="continuationSeparator" w:id="0">
    <w:p w14:paraId="14442743" w14:textId="77777777" w:rsidR="00545A66" w:rsidRDefault="00545A66">
      <w:r>
        <w:continuationSeparator/>
      </w:r>
    </w:p>
  </w:footnote>
  <w:footnote w:id="1">
    <w:p w14:paraId="77168998" w14:textId="4C1BEE03" w:rsidR="00727436" w:rsidRPr="00101FF5" w:rsidRDefault="00727436" w:rsidP="00940083">
      <w:pPr>
        <w:pStyle w:val="FootnoteText"/>
        <w:spacing w:before="120" w:after="120" w:line="264" w:lineRule="auto"/>
        <w:rPr>
          <w:rFonts w:cs="Arial"/>
          <w:sz w:val="18"/>
          <w:szCs w:val="18"/>
          <w:lang w:val="en-US" w:eastAsia="zh-CN"/>
        </w:rPr>
      </w:pPr>
      <w:r w:rsidRPr="00101FF5">
        <w:rPr>
          <w:rStyle w:val="FootnoteReference"/>
          <w:rFonts w:cs="Arial"/>
          <w:sz w:val="18"/>
          <w:szCs w:val="18"/>
        </w:rPr>
        <w:footnoteRef/>
      </w:r>
      <w:r w:rsidRPr="00101FF5">
        <w:rPr>
          <w:rFonts w:cs="Arial"/>
          <w:sz w:val="18"/>
          <w:szCs w:val="18"/>
        </w:rPr>
        <w:t xml:space="preserve"> </w:t>
      </w:r>
      <w:r w:rsidRPr="00101FF5">
        <w:rPr>
          <w:rFonts w:cs="Arial"/>
          <w:sz w:val="18"/>
          <w:szCs w:val="18"/>
          <w:lang w:val="en-US"/>
        </w:rPr>
        <w:t xml:space="preserve">In August 2011, Governments agreed to be jointly responsible for funding growth </w:t>
      </w:r>
      <w:r w:rsidR="007D0033" w:rsidRPr="00101FF5">
        <w:rPr>
          <w:rFonts w:cs="Arial"/>
          <w:sz w:val="18"/>
          <w:szCs w:val="18"/>
          <w:lang w:val="en-US"/>
        </w:rPr>
        <w:t xml:space="preserve">in ‘public hospital services’. </w:t>
      </w:r>
      <w:r w:rsidRPr="00101FF5">
        <w:rPr>
          <w:rFonts w:cs="Arial"/>
          <w:sz w:val="18"/>
          <w:szCs w:val="18"/>
          <w:lang w:val="en-US"/>
        </w:rPr>
        <w:t>As there is no standard definition or listing of public hospital services, Governments gave IHPA the task of deciding which services will be ruled ‘in</w:t>
      </w:r>
      <w:r w:rsidR="008E0FBD" w:rsidRPr="00101FF5">
        <w:rPr>
          <w:rFonts w:cs="Arial"/>
          <w:sz w:val="18"/>
          <w:szCs w:val="18"/>
          <w:lang w:val="en-US"/>
        </w:rPr>
        <w:t>-</w:t>
      </w:r>
      <w:r w:rsidRPr="00101FF5">
        <w:rPr>
          <w:rFonts w:cs="Arial"/>
          <w:sz w:val="18"/>
          <w:szCs w:val="18"/>
          <w:lang w:val="en-US"/>
        </w:rPr>
        <w:t xml:space="preserve">scope’ as public hospital services, and so eligible for Commonwealth funding under the </w:t>
      </w:r>
      <w:r w:rsidRPr="00101FF5">
        <w:rPr>
          <w:sz w:val="18"/>
          <w:szCs w:val="18"/>
        </w:rPr>
        <w:t>Addendum</w:t>
      </w:r>
      <w:r w:rsidRPr="00101FF5">
        <w:rPr>
          <w:rFonts w:cs="Arial"/>
          <w:sz w:val="18"/>
          <w:szCs w:val="18"/>
          <w:lang w:val="en-US"/>
        </w:rPr>
        <w:t>.</w:t>
      </w:r>
    </w:p>
  </w:footnote>
  <w:footnote w:id="2">
    <w:p w14:paraId="36A9866D" w14:textId="33A727A5" w:rsidR="00727436" w:rsidRDefault="00727436" w:rsidP="00A75BDA">
      <w:pPr>
        <w:pStyle w:val="FootnoteText"/>
        <w:spacing w:before="120" w:after="120" w:line="264" w:lineRule="auto"/>
        <w:ind w:right="-53"/>
        <w:rPr>
          <w:rFonts w:cs="Arial"/>
          <w:sz w:val="16"/>
          <w:szCs w:val="16"/>
          <w:lang w:val="en-US"/>
        </w:rPr>
      </w:pPr>
      <w:r w:rsidRPr="00101FF5">
        <w:rPr>
          <w:rStyle w:val="FootnoteReference"/>
          <w:rFonts w:cs="Arial"/>
          <w:sz w:val="18"/>
          <w:szCs w:val="18"/>
        </w:rPr>
        <w:footnoteRef/>
      </w:r>
      <w:r w:rsidRPr="00101FF5">
        <w:rPr>
          <w:rFonts w:cs="Arial"/>
          <w:sz w:val="18"/>
          <w:szCs w:val="18"/>
        </w:rPr>
        <w:t xml:space="preserve"> </w:t>
      </w:r>
      <w:r w:rsidRPr="00101FF5">
        <w:rPr>
          <w:rFonts w:cs="Arial"/>
          <w:sz w:val="18"/>
          <w:szCs w:val="18"/>
          <w:lang w:val="en-US"/>
        </w:rPr>
        <w:t>With regards to IHPA’s role in defining the scope of public hospital services, refer to the Addendum clauses A16–A32.</w:t>
      </w:r>
    </w:p>
  </w:footnote>
  <w:footnote w:id="3">
    <w:p w14:paraId="5835524A" w14:textId="77777777" w:rsidR="00727436" w:rsidRPr="002A0357" w:rsidRDefault="00727436" w:rsidP="005278B4">
      <w:pPr>
        <w:pStyle w:val="FootnoteText"/>
        <w:rPr>
          <w:sz w:val="18"/>
          <w:szCs w:val="18"/>
        </w:rPr>
      </w:pPr>
      <w:r w:rsidRPr="002A0357">
        <w:rPr>
          <w:rStyle w:val="FootnoteReference"/>
          <w:rFonts w:cs="Arial"/>
          <w:sz w:val="18"/>
          <w:szCs w:val="18"/>
        </w:rPr>
        <w:footnoteRef/>
      </w:r>
      <w:r w:rsidRPr="002A0357">
        <w:rPr>
          <w:sz w:val="18"/>
          <w:szCs w:val="18"/>
        </w:rPr>
        <w:t xml:space="preserve"> Where the data does not produce reliable measures of cost differences, IHPA will undertake analysis based on the best available information. This may occur in some cases, such as where the: </w:t>
      </w:r>
    </w:p>
    <w:p w14:paraId="10A2B362" w14:textId="4167709F" w:rsidR="00727436" w:rsidRPr="002A0357" w:rsidRDefault="00727436" w:rsidP="002A0357">
      <w:pPr>
        <w:pStyle w:val="FootnoteText"/>
        <w:numPr>
          <w:ilvl w:val="0"/>
          <w:numId w:val="29"/>
        </w:numPr>
        <w:rPr>
          <w:sz w:val="18"/>
          <w:szCs w:val="18"/>
        </w:rPr>
      </w:pPr>
      <w:r w:rsidRPr="002A0357">
        <w:rPr>
          <w:sz w:val="18"/>
          <w:szCs w:val="18"/>
        </w:rPr>
        <w:t>patient level data is not available (</w:t>
      </w:r>
      <w:r w:rsidR="00B23B92" w:rsidRPr="002A0357">
        <w:rPr>
          <w:sz w:val="18"/>
          <w:szCs w:val="18"/>
        </w:rPr>
        <w:t>for example,</w:t>
      </w:r>
      <w:r w:rsidRPr="002A0357">
        <w:rPr>
          <w:sz w:val="18"/>
          <w:szCs w:val="18"/>
        </w:rPr>
        <w:t xml:space="preserve"> outpatient activity) </w:t>
      </w:r>
    </w:p>
    <w:p w14:paraId="4CC8698D" w14:textId="317329F6" w:rsidR="00727436" w:rsidRPr="00D1342C" w:rsidRDefault="00727436" w:rsidP="002A0357">
      <w:pPr>
        <w:pStyle w:val="FootnoteText"/>
        <w:numPr>
          <w:ilvl w:val="0"/>
          <w:numId w:val="29"/>
        </w:numPr>
        <w:rPr>
          <w:lang w:val="en-US"/>
        </w:rPr>
      </w:pPr>
      <w:r w:rsidRPr="002A0357">
        <w:rPr>
          <w:sz w:val="18"/>
          <w:szCs w:val="18"/>
        </w:rPr>
        <w:t>attribution of costs to the relevant patient groups will not be accurate (</w:t>
      </w:r>
      <w:r w:rsidR="00B23B92" w:rsidRPr="002A0357">
        <w:rPr>
          <w:sz w:val="18"/>
          <w:szCs w:val="18"/>
        </w:rPr>
        <w:t>for example,</w:t>
      </w:r>
      <w:r w:rsidRPr="002A0357">
        <w:rPr>
          <w:sz w:val="18"/>
          <w:szCs w:val="18"/>
        </w:rPr>
        <w:t xml:space="preserve"> costs of hospital </w:t>
      </w:r>
      <w:r w:rsidR="00B23B92" w:rsidRPr="002A0357">
        <w:rPr>
          <w:sz w:val="18"/>
          <w:szCs w:val="18"/>
        </w:rPr>
        <w:t>Aboriginal Liaison Officers</w:t>
      </w:r>
      <w:r w:rsidRPr="002A0357">
        <w:rPr>
          <w:sz w:val="18"/>
          <w:szCs w:val="18"/>
        </w:rPr>
        <w:t xml:space="preserve"> may not be attributed to Indigenous patients, in which case the costs of those patients may be underestimated).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7402D" w14:textId="77777777" w:rsidR="004C2EB0" w:rsidRDefault="004C2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608AB" w14:textId="35E277D5" w:rsidR="00727436" w:rsidRPr="00CC2138" w:rsidRDefault="00727436" w:rsidP="00CC2138">
    <w:pPr>
      <w:pStyle w:val="Header"/>
      <w:rPr>
        <w:color w:val="008542" w:themeColor="accent2"/>
      </w:rPr>
    </w:pPr>
    <w:r>
      <w:rPr>
        <w:noProof/>
        <w:color w:val="FFFFFF" w:themeColor="background1"/>
      </w:rPr>
      <w:drawing>
        <wp:anchor distT="0" distB="0" distL="114300" distR="114300" simplePos="0" relativeHeight="251657216" behindDoc="1" locked="0" layoutInCell="0" allowOverlap="1" wp14:anchorId="2C1F7115" wp14:editId="4D41F9BC">
          <wp:simplePos x="0" y="0"/>
          <wp:positionH relativeFrom="page">
            <wp:posOffset>0</wp:posOffset>
          </wp:positionH>
          <wp:positionV relativeFrom="page">
            <wp:posOffset>1179</wp:posOffset>
          </wp:positionV>
          <wp:extent cx="6080400" cy="91814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4C2EB0">
      <w:rPr>
        <w:noProof/>
        <w:color w:val="FFFFFF" w:themeColor="background1"/>
      </w:rPr>
      <w:br/>
    </w:r>
    <w:r w:rsidR="004E47FD">
      <w:rPr>
        <w:noProof/>
        <w:color w:val="FFFFFF" w:themeColor="background1"/>
      </w:rPr>
      <w:t xml:space="preserve">Adjustments to the </w:t>
    </w:r>
    <w:r w:rsidR="006C543F">
      <w:rPr>
        <w:noProof/>
        <w:color w:val="FFFFFF" w:themeColor="background1"/>
      </w:rPr>
      <w:t>National</w:t>
    </w:r>
    <w:r w:rsidR="004E47FD">
      <w:rPr>
        <w:noProof/>
        <w:color w:val="FFFFFF" w:themeColor="background1"/>
      </w:rPr>
      <w:t xml:space="preserve"> Efficient Price Policy</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4C2EB0">
      <w:rPr>
        <w:noProof/>
        <w:color w:val="008542" w:themeColor="accent2"/>
      </w:rPr>
      <w:t>11</w:t>
    </w:r>
    <w:r w:rsidRPr="005F219D">
      <w:rPr>
        <w:noProof/>
        <w:color w:val="008542" w:themeColor="accen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AF10" w14:textId="77777777" w:rsidR="004C2EB0" w:rsidRDefault="004C2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C279A"/>
    <w:multiLevelType w:val="hybridMultilevel"/>
    <w:tmpl w:val="F5CC5A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881832"/>
    <w:multiLevelType w:val="hybridMultilevel"/>
    <w:tmpl w:val="C3FAD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F2E36"/>
    <w:multiLevelType w:val="hybridMultilevel"/>
    <w:tmpl w:val="1B7CA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340F2A"/>
    <w:multiLevelType w:val="hybridMultilevel"/>
    <w:tmpl w:val="16D8B4EA"/>
    <w:lvl w:ilvl="0" w:tplc="5A4EC0B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C62088"/>
    <w:multiLevelType w:val="hybridMultilevel"/>
    <w:tmpl w:val="A816F018"/>
    <w:lvl w:ilvl="0" w:tplc="8E4430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01EF8"/>
    <w:multiLevelType w:val="hybridMultilevel"/>
    <w:tmpl w:val="CB38A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420E5B"/>
    <w:multiLevelType w:val="hybridMultilevel"/>
    <w:tmpl w:val="4558BF30"/>
    <w:lvl w:ilvl="0" w:tplc="4D307E28">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0D5545"/>
    <w:multiLevelType w:val="hybridMultilevel"/>
    <w:tmpl w:val="01C8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715DA9"/>
    <w:multiLevelType w:val="hybridMultilevel"/>
    <w:tmpl w:val="DD686D1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A173E9"/>
    <w:multiLevelType w:val="hybridMultilevel"/>
    <w:tmpl w:val="B2F4C1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6905079"/>
    <w:multiLevelType w:val="hybridMultilevel"/>
    <w:tmpl w:val="CB12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5E466D"/>
    <w:multiLevelType w:val="hybridMultilevel"/>
    <w:tmpl w:val="2468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5F071E"/>
    <w:multiLevelType w:val="hybridMultilevel"/>
    <w:tmpl w:val="8C74CC7E"/>
    <w:lvl w:ilvl="0" w:tplc="47365EA8">
      <w:start w:val="1"/>
      <w:numFmt w:val="bullet"/>
      <w:lvlText w:val=""/>
      <w:lvlJc w:val="left"/>
      <w:pPr>
        <w:tabs>
          <w:tab w:val="num" w:pos="720"/>
        </w:tabs>
        <w:ind w:left="720" w:hanging="360"/>
      </w:pPr>
      <w:rPr>
        <w:rFonts w:ascii="Wingdings" w:hAnsi="Wingdings" w:hint="default"/>
        <w:color w:val="008000"/>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D6222E"/>
    <w:multiLevelType w:val="hybridMultilevel"/>
    <w:tmpl w:val="570485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283A8F"/>
    <w:multiLevelType w:val="hybridMultilevel"/>
    <w:tmpl w:val="81D8D7D8"/>
    <w:lvl w:ilvl="0" w:tplc="0C09000F">
      <w:start w:val="1"/>
      <w:numFmt w:val="decimal"/>
      <w:lvlText w:val="%1."/>
      <w:lvlJc w:val="left"/>
      <w:pPr>
        <w:ind w:left="690" w:hanging="360"/>
      </w:p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26" w15:restartNumberingAfterBreak="0">
    <w:nsid w:val="6D3C705A"/>
    <w:multiLevelType w:val="hybridMultilevel"/>
    <w:tmpl w:val="570485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D9398A"/>
    <w:multiLevelType w:val="hybridMultilevel"/>
    <w:tmpl w:val="BA46C7D0"/>
    <w:lvl w:ilvl="0" w:tplc="0C090001">
      <w:start w:val="1"/>
      <w:numFmt w:val="bullet"/>
      <w:lvlText w:val=""/>
      <w:lvlJc w:val="left"/>
      <w:pPr>
        <w:ind w:left="720" w:hanging="360"/>
      </w:pPr>
      <w:rPr>
        <w:rFonts w:ascii="Symbol" w:hAnsi="Symbol" w:hint="default"/>
      </w:rPr>
    </w:lvl>
    <w:lvl w:ilvl="1" w:tplc="1F66EEF2">
      <w:start w:val="1"/>
      <w:numFmt w:val="bullet"/>
      <w:pStyle w:val="ListParagraph"/>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2F692B"/>
    <w:multiLevelType w:val="hybridMultilevel"/>
    <w:tmpl w:val="A6B60376"/>
    <w:lvl w:ilvl="0" w:tplc="3F6C802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C9240F"/>
    <w:multiLevelType w:val="multilevel"/>
    <w:tmpl w:val="3BBAB3FE"/>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24"/>
  </w:num>
  <w:num w:numId="14">
    <w:abstractNumId w:val="23"/>
  </w:num>
  <w:num w:numId="15">
    <w:abstractNumId w:val="25"/>
  </w:num>
  <w:num w:numId="16">
    <w:abstractNumId w:val="18"/>
  </w:num>
  <w:num w:numId="17">
    <w:abstractNumId w:val="13"/>
  </w:num>
  <w:num w:numId="18">
    <w:abstractNumId w:val="11"/>
  </w:num>
  <w:num w:numId="19">
    <w:abstractNumId w:val="15"/>
  </w:num>
  <w:num w:numId="20">
    <w:abstractNumId w:val="17"/>
  </w:num>
  <w:num w:numId="21">
    <w:abstractNumId w:val="20"/>
  </w:num>
  <w:num w:numId="22">
    <w:abstractNumId w:val="27"/>
  </w:num>
  <w:num w:numId="23">
    <w:abstractNumId w:val="16"/>
  </w:num>
  <w:num w:numId="24">
    <w:abstractNumId w:val="29"/>
  </w:num>
  <w:num w:numId="25">
    <w:abstractNumId w:val="22"/>
  </w:num>
  <w:num w:numId="26">
    <w:abstractNumId w:val="12"/>
  </w:num>
  <w:num w:numId="27">
    <w:abstractNumId w:val="21"/>
  </w:num>
  <w:num w:numId="28">
    <w:abstractNumId w:val="10"/>
  </w:num>
  <w:num w:numId="29">
    <w:abstractNumId w:val="28"/>
  </w:num>
  <w:num w:numId="3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0B"/>
    <w:rsid w:val="000016F3"/>
    <w:rsid w:val="00002C94"/>
    <w:rsid w:val="00005785"/>
    <w:rsid w:val="000063A3"/>
    <w:rsid w:val="00006876"/>
    <w:rsid w:val="000079AD"/>
    <w:rsid w:val="00007D1F"/>
    <w:rsid w:val="00010D84"/>
    <w:rsid w:val="00010F15"/>
    <w:rsid w:val="00011CE3"/>
    <w:rsid w:val="00012698"/>
    <w:rsid w:val="00016358"/>
    <w:rsid w:val="00022E9C"/>
    <w:rsid w:val="00023FFA"/>
    <w:rsid w:val="00024EF0"/>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399F"/>
    <w:rsid w:val="000547EF"/>
    <w:rsid w:val="00056004"/>
    <w:rsid w:val="0006075A"/>
    <w:rsid w:val="00061C84"/>
    <w:rsid w:val="00062484"/>
    <w:rsid w:val="00063129"/>
    <w:rsid w:val="00064EE9"/>
    <w:rsid w:val="00065022"/>
    <w:rsid w:val="00065A5E"/>
    <w:rsid w:val="00070681"/>
    <w:rsid w:val="000776EF"/>
    <w:rsid w:val="00080A09"/>
    <w:rsid w:val="00081CEB"/>
    <w:rsid w:val="00082C31"/>
    <w:rsid w:val="00083082"/>
    <w:rsid w:val="00087B2C"/>
    <w:rsid w:val="00087DBD"/>
    <w:rsid w:val="00090718"/>
    <w:rsid w:val="00091B4E"/>
    <w:rsid w:val="00091CD7"/>
    <w:rsid w:val="0009378C"/>
    <w:rsid w:val="00093DD5"/>
    <w:rsid w:val="0009582C"/>
    <w:rsid w:val="000A03DD"/>
    <w:rsid w:val="000A1A09"/>
    <w:rsid w:val="000A47A8"/>
    <w:rsid w:val="000A73FB"/>
    <w:rsid w:val="000A770D"/>
    <w:rsid w:val="000B218A"/>
    <w:rsid w:val="000B2399"/>
    <w:rsid w:val="000B280E"/>
    <w:rsid w:val="000B3301"/>
    <w:rsid w:val="000C014D"/>
    <w:rsid w:val="000C29B4"/>
    <w:rsid w:val="000C447D"/>
    <w:rsid w:val="000C4F0E"/>
    <w:rsid w:val="000C5CD8"/>
    <w:rsid w:val="000C5F0B"/>
    <w:rsid w:val="000C7A69"/>
    <w:rsid w:val="000D1158"/>
    <w:rsid w:val="000D4703"/>
    <w:rsid w:val="000E0838"/>
    <w:rsid w:val="000E12D4"/>
    <w:rsid w:val="000E20F4"/>
    <w:rsid w:val="000E39EF"/>
    <w:rsid w:val="000E620E"/>
    <w:rsid w:val="000F0297"/>
    <w:rsid w:val="000F2063"/>
    <w:rsid w:val="000F3D28"/>
    <w:rsid w:val="000F63C4"/>
    <w:rsid w:val="00100200"/>
    <w:rsid w:val="00101FF5"/>
    <w:rsid w:val="0010263D"/>
    <w:rsid w:val="00102824"/>
    <w:rsid w:val="00102D21"/>
    <w:rsid w:val="0010300A"/>
    <w:rsid w:val="00107D1E"/>
    <w:rsid w:val="001131F0"/>
    <w:rsid w:val="001139C7"/>
    <w:rsid w:val="00114EBC"/>
    <w:rsid w:val="00116FBF"/>
    <w:rsid w:val="0012427E"/>
    <w:rsid w:val="001247E0"/>
    <w:rsid w:val="00126750"/>
    <w:rsid w:val="001271A1"/>
    <w:rsid w:val="00131C0F"/>
    <w:rsid w:val="001325BF"/>
    <w:rsid w:val="00132F0D"/>
    <w:rsid w:val="00133713"/>
    <w:rsid w:val="00135A8A"/>
    <w:rsid w:val="00135B7E"/>
    <w:rsid w:val="0014022C"/>
    <w:rsid w:val="00140FC9"/>
    <w:rsid w:val="001413C5"/>
    <w:rsid w:val="0014231B"/>
    <w:rsid w:val="00142956"/>
    <w:rsid w:val="00142D10"/>
    <w:rsid w:val="00144868"/>
    <w:rsid w:val="001452BC"/>
    <w:rsid w:val="001466D7"/>
    <w:rsid w:val="00150290"/>
    <w:rsid w:val="00150D2A"/>
    <w:rsid w:val="00150E25"/>
    <w:rsid w:val="00150EA9"/>
    <w:rsid w:val="00151650"/>
    <w:rsid w:val="00152458"/>
    <w:rsid w:val="00152BF6"/>
    <w:rsid w:val="00155B98"/>
    <w:rsid w:val="00157001"/>
    <w:rsid w:val="0015706E"/>
    <w:rsid w:val="00157709"/>
    <w:rsid w:val="00160E91"/>
    <w:rsid w:val="00162360"/>
    <w:rsid w:val="001640AA"/>
    <w:rsid w:val="00165626"/>
    <w:rsid w:val="00166D4A"/>
    <w:rsid w:val="00167CF4"/>
    <w:rsid w:val="0017018F"/>
    <w:rsid w:val="0017147C"/>
    <w:rsid w:val="0017194E"/>
    <w:rsid w:val="00171E49"/>
    <w:rsid w:val="0017249B"/>
    <w:rsid w:val="001727A4"/>
    <w:rsid w:val="00174B5D"/>
    <w:rsid w:val="00177EC4"/>
    <w:rsid w:val="00181533"/>
    <w:rsid w:val="001824C8"/>
    <w:rsid w:val="00182698"/>
    <w:rsid w:val="001864FD"/>
    <w:rsid w:val="0019149E"/>
    <w:rsid w:val="001943DD"/>
    <w:rsid w:val="001966B2"/>
    <w:rsid w:val="00196BAC"/>
    <w:rsid w:val="001A0A49"/>
    <w:rsid w:val="001A13F6"/>
    <w:rsid w:val="001A2D78"/>
    <w:rsid w:val="001A7249"/>
    <w:rsid w:val="001B120E"/>
    <w:rsid w:val="001B13C6"/>
    <w:rsid w:val="001B385A"/>
    <w:rsid w:val="001B3904"/>
    <w:rsid w:val="001B3AEC"/>
    <w:rsid w:val="001B3E8D"/>
    <w:rsid w:val="001B5259"/>
    <w:rsid w:val="001B60D4"/>
    <w:rsid w:val="001B6F28"/>
    <w:rsid w:val="001B7043"/>
    <w:rsid w:val="001C2D5A"/>
    <w:rsid w:val="001C4F4F"/>
    <w:rsid w:val="001C6BA1"/>
    <w:rsid w:val="001D141C"/>
    <w:rsid w:val="001D18CD"/>
    <w:rsid w:val="001D28E6"/>
    <w:rsid w:val="001D2904"/>
    <w:rsid w:val="001D652D"/>
    <w:rsid w:val="001D693F"/>
    <w:rsid w:val="001D6F9E"/>
    <w:rsid w:val="001E38FB"/>
    <w:rsid w:val="001E52C2"/>
    <w:rsid w:val="001F0BE1"/>
    <w:rsid w:val="001F0FA2"/>
    <w:rsid w:val="001F101A"/>
    <w:rsid w:val="001F24EF"/>
    <w:rsid w:val="001F56C7"/>
    <w:rsid w:val="00202B36"/>
    <w:rsid w:val="00203039"/>
    <w:rsid w:val="00204B17"/>
    <w:rsid w:val="00205C8A"/>
    <w:rsid w:val="002069D2"/>
    <w:rsid w:val="00211DA2"/>
    <w:rsid w:val="00213693"/>
    <w:rsid w:val="00214AAE"/>
    <w:rsid w:val="00215CCB"/>
    <w:rsid w:val="002167EB"/>
    <w:rsid w:val="00216CF5"/>
    <w:rsid w:val="0022037B"/>
    <w:rsid w:val="00222C8D"/>
    <w:rsid w:val="002256A8"/>
    <w:rsid w:val="00230E6B"/>
    <w:rsid w:val="00232B97"/>
    <w:rsid w:val="0023523A"/>
    <w:rsid w:val="0023757C"/>
    <w:rsid w:val="00237C47"/>
    <w:rsid w:val="002402E4"/>
    <w:rsid w:val="00240E96"/>
    <w:rsid w:val="002421A0"/>
    <w:rsid w:val="00242B98"/>
    <w:rsid w:val="002445A1"/>
    <w:rsid w:val="00246FE6"/>
    <w:rsid w:val="002470E3"/>
    <w:rsid w:val="0025207D"/>
    <w:rsid w:val="00254DE9"/>
    <w:rsid w:val="002606D5"/>
    <w:rsid w:val="00260C20"/>
    <w:rsid w:val="002615D3"/>
    <w:rsid w:val="00264416"/>
    <w:rsid w:val="002672F1"/>
    <w:rsid w:val="00271414"/>
    <w:rsid w:val="00271922"/>
    <w:rsid w:val="00273412"/>
    <w:rsid w:val="0027373F"/>
    <w:rsid w:val="00274ACF"/>
    <w:rsid w:val="00275E1C"/>
    <w:rsid w:val="002760FA"/>
    <w:rsid w:val="0028159B"/>
    <w:rsid w:val="00281AAD"/>
    <w:rsid w:val="00282671"/>
    <w:rsid w:val="00282861"/>
    <w:rsid w:val="002843E2"/>
    <w:rsid w:val="00287BAA"/>
    <w:rsid w:val="00293489"/>
    <w:rsid w:val="002956B2"/>
    <w:rsid w:val="00296F5E"/>
    <w:rsid w:val="0029740A"/>
    <w:rsid w:val="002A0357"/>
    <w:rsid w:val="002A30F0"/>
    <w:rsid w:val="002A6DF5"/>
    <w:rsid w:val="002B6406"/>
    <w:rsid w:val="002B6809"/>
    <w:rsid w:val="002B7F9D"/>
    <w:rsid w:val="002C4231"/>
    <w:rsid w:val="002C7080"/>
    <w:rsid w:val="002D00B0"/>
    <w:rsid w:val="002D2364"/>
    <w:rsid w:val="002D2E16"/>
    <w:rsid w:val="002E02D7"/>
    <w:rsid w:val="002E1316"/>
    <w:rsid w:val="002E45F0"/>
    <w:rsid w:val="002E7778"/>
    <w:rsid w:val="002F58C3"/>
    <w:rsid w:val="00300536"/>
    <w:rsid w:val="00304B3E"/>
    <w:rsid w:val="00304D97"/>
    <w:rsid w:val="0031029C"/>
    <w:rsid w:val="003112E9"/>
    <w:rsid w:val="0031180A"/>
    <w:rsid w:val="00313127"/>
    <w:rsid w:val="00313304"/>
    <w:rsid w:val="003155F4"/>
    <w:rsid w:val="00320309"/>
    <w:rsid w:val="00321D1E"/>
    <w:rsid w:val="0032530E"/>
    <w:rsid w:val="00325A61"/>
    <w:rsid w:val="00326976"/>
    <w:rsid w:val="00326D64"/>
    <w:rsid w:val="003311D7"/>
    <w:rsid w:val="00332B8B"/>
    <w:rsid w:val="00333A59"/>
    <w:rsid w:val="00334BE0"/>
    <w:rsid w:val="0033521E"/>
    <w:rsid w:val="003355EA"/>
    <w:rsid w:val="00337A69"/>
    <w:rsid w:val="00337CA2"/>
    <w:rsid w:val="003403E7"/>
    <w:rsid w:val="003404A4"/>
    <w:rsid w:val="00347104"/>
    <w:rsid w:val="00350852"/>
    <w:rsid w:val="0035096E"/>
    <w:rsid w:val="0035219F"/>
    <w:rsid w:val="00355D01"/>
    <w:rsid w:val="00356EE4"/>
    <w:rsid w:val="00360B81"/>
    <w:rsid w:val="00363313"/>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9465A"/>
    <w:rsid w:val="0039688D"/>
    <w:rsid w:val="003A05BC"/>
    <w:rsid w:val="003A25A7"/>
    <w:rsid w:val="003A3C0B"/>
    <w:rsid w:val="003A7592"/>
    <w:rsid w:val="003B2ECA"/>
    <w:rsid w:val="003B535C"/>
    <w:rsid w:val="003C2120"/>
    <w:rsid w:val="003D030E"/>
    <w:rsid w:val="003D040D"/>
    <w:rsid w:val="003D1F49"/>
    <w:rsid w:val="003D2061"/>
    <w:rsid w:val="003D7A6D"/>
    <w:rsid w:val="003E1FE3"/>
    <w:rsid w:val="003E32A7"/>
    <w:rsid w:val="003E534F"/>
    <w:rsid w:val="003F0CDE"/>
    <w:rsid w:val="003F1A33"/>
    <w:rsid w:val="003F3072"/>
    <w:rsid w:val="003F680F"/>
    <w:rsid w:val="004024E4"/>
    <w:rsid w:val="00405088"/>
    <w:rsid w:val="00406289"/>
    <w:rsid w:val="00406578"/>
    <w:rsid w:val="004074EF"/>
    <w:rsid w:val="004102C3"/>
    <w:rsid w:val="0041307C"/>
    <w:rsid w:val="00413699"/>
    <w:rsid w:val="00414DE1"/>
    <w:rsid w:val="004167B4"/>
    <w:rsid w:val="004167BC"/>
    <w:rsid w:val="0042032D"/>
    <w:rsid w:val="004205F0"/>
    <w:rsid w:val="004225DC"/>
    <w:rsid w:val="00423A41"/>
    <w:rsid w:val="00425FBA"/>
    <w:rsid w:val="00430D7E"/>
    <w:rsid w:val="00432332"/>
    <w:rsid w:val="00432368"/>
    <w:rsid w:val="00433B04"/>
    <w:rsid w:val="0043784D"/>
    <w:rsid w:val="00440256"/>
    <w:rsid w:val="00440350"/>
    <w:rsid w:val="00440E22"/>
    <w:rsid w:val="0044274F"/>
    <w:rsid w:val="0044547D"/>
    <w:rsid w:val="00446F93"/>
    <w:rsid w:val="00451A74"/>
    <w:rsid w:val="004552AB"/>
    <w:rsid w:val="004556EE"/>
    <w:rsid w:val="0045622C"/>
    <w:rsid w:val="00457286"/>
    <w:rsid w:val="00464EFB"/>
    <w:rsid w:val="00464FB1"/>
    <w:rsid w:val="00465398"/>
    <w:rsid w:val="00465B56"/>
    <w:rsid w:val="00467185"/>
    <w:rsid w:val="00467736"/>
    <w:rsid w:val="0047050C"/>
    <w:rsid w:val="00474C2A"/>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858"/>
    <w:rsid w:val="004B4BC0"/>
    <w:rsid w:val="004B5555"/>
    <w:rsid w:val="004C0484"/>
    <w:rsid w:val="004C2EB0"/>
    <w:rsid w:val="004C6545"/>
    <w:rsid w:val="004C777E"/>
    <w:rsid w:val="004D0F78"/>
    <w:rsid w:val="004D16A4"/>
    <w:rsid w:val="004D5747"/>
    <w:rsid w:val="004E47FD"/>
    <w:rsid w:val="004E6682"/>
    <w:rsid w:val="004E6D8A"/>
    <w:rsid w:val="004E7626"/>
    <w:rsid w:val="004F15EF"/>
    <w:rsid w:val="004F22FE"/>
    <w:rsid w:val="004F774D"/>
    <w:rsid w:val="005013B0"/>
    <w:rsid w:val="005015E4"/>
    <w:rsid w:val="005017A6"/>
    <w:rsid w:val="0050291D"/>
    <w:rsid w:val="005064CD"/>
    <w:rsid w:val="00506C00"/>
    <w:rsid w:val="00511016"/>
    <w:rsid w:val="00511DBB"/>
    <w:rsid w:val="005159B3"/>
    <w:rsid w:val="0052173F"/>
    <w:rsid w:val="00522C03"/>
    <w:rsid w:val="00525EA4"/>
    <w:rsid w:val="005278B4"/>
    <w:rsid w:val="0052791F"/>
    <w:rsid w:val="005301C4"/>
    <w:rsid w:val="00532CFF"/>
    <w:rsid w:val="00536880"/>
    <w:rsid w:val="00540AD0"/>
    <w:rsid w:val="00543A76"/>
    <w:rsid w:val="00545A66"/>
    <w:rsid w:val="00547673"/>
    <w:rsid w:val="00547F4A"/>
    <w:rsid w:val="00551332"/>
    <w:rsid w:val="005523D1"/>
    <w:rsid w:val="00555090"/>
    <w:rsid w:val="0055532E"/>
    <w:rsid w:val="00555BC3"/>
    <w:rsid w:val="00557C8E"/>
    <w:rsid w:val="00561B2B"/>
    <w:rsid w:val="00561DD3"/>
    <w:rsid w:val="00562759"/>
    <w:rsid w:val="0056357E"/>
    <w:rsid w:val="005644F5"/>
    <w:rsid w:val="00564952"/>
    <w:rsid w:val="0056645F"/>
    <w:rsid w:val="00570A39"/>
    <w:rsid w:val="00571AB1"/>
    <w:rsid w:val="00577E1C"/>
    <w:rsid w:val="00580DB1"/>
    <w:rsid w:val="005814AC"/>
    <w:rsid w:val="00583797"/>
    <w:rsid w:val="00584676"/>
    <w:rsid w:val="005846C9"/>
    <w:rsid w:val="005850D4"/>
    <w:rsid w:val="005854B7"/>
    <w:rsid w:val="00587AB1"/>
    <w:rsid w:val="0059070B"/>
    <w:rsid w:val="0059283C"/>
    <w:rsid w:val="005A0D95"/>
    <w:rsid w:val="005A224B"/>
    <w:rsid w:val="005A42A5"/>
    <w:rsid w:val="005B0925"/>
    <w:rsid w:val="005B1225"/>
    <w:rsid w:val="005B17D8"/>
    <w:rsid w:val="005B1D82"/>
    <w:rsid w:val="005B4077"/>
    <w:rsid w:val="005B6BAD"/>
    <w:rsid w:val="005C28B0"/>
    <w:rsid w:val="005C2F01"/>
    <w:rsid w:val="005C599E"/>
    <w:rsid w:val="005C5F3C"/>
    <w:rsid w:val="005C5F99"/>
    <w:rsid w:val="005D01BE"/>
    <w:rsid w:val="005D1177"/>
    <w:rsid w:val="005D1D13"/>
    <w:rsid w:val="005D5460"/>
    <w:rsid w:val="005E08CD"/>
    <w:rsid w:val="005E37E8"/>
    <w:rsid w:val="005E74C5"/>
    <w:rsid w:val="005F219D"/>
    <w:rsid w:val="005F2437"/>
    <w:rsid w:val="005F318A"/>
    <w:rsid w:val="005F61EC"/>
    <w:rsid w:val="005F65FB"/>
    <w:rsid w:val="005F7710"/>
    <w:rsid w:val="006004F7"/>
    <w:rsid w:val="00603261"/>
    <w:rsid w:val="00607597"/>
    <w:rsid w:val="00610F93"/>
    <w:rsid w:val="006127CC"/>
    <w:rsid w:val="006207FE"/>
    <w:rsid w:val="00623D5F"/>
    <w:rsid w:val="006243C6"/>
    <w:rsid w:val="006271CD"/>
    <w:rsid w:val="006273BC"/>
    <w:rsid w:val="00632009"/>
    <w:rsid w:val="00633CF1"/>
    <w:rsid w:val="00635A6C"/>
    <w:rsid w:val="00637091"/>
    <w:rsid w:val="00642839"/>
    <w:rsid w:val="006457F8"/>
    <w:rsid w:val="00645B57"/>
    <w:rsid w:val="00645CCB"/>
    <w:rsid w:val="0064700E"/>
    <w:rsid w:val="006478CB"/>
    <w:rsid w:val="00650B88"/>
    <w:rsid w:val="00652C58"/>
    <w:rsid w:val="006530EF"/>
    <w:rsid w:val="00653A2F"/>
    <w:rsid w:val="006554DD"/>
    <w:rsid w:val="00660951"/>
    <w:rsid w:val="00662714"/>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87A07"/>
    <w:rsid w:val="0069072B"/>
    <w:rsid w:val="0069174B"/>
    <w:rsid w:val="00693340"/>
    <w:rsid w:val="006A04C7"/>
    <w:rsid w:val="006B05E3"/>
    <w:rsid w:val="006B09BC"/>
    <w:rsid w:val="006B1220"/>
    <w:rsid w:val="006B6D5D"/>
    <w:rsid w:val="006B7B5A"/>
    <w:rsid w:val="006C0801"/>
    <w:rsid w:val="006C0C2C"/>
    <w:rsid w:val="006C1EAA"/>
    <w:rsid w:val="006C216F"/>
    <w:rsid w:val="006C45D4"/>
    <w:rsid w:val="006C543F"/>
    <w:rsid w:val="006D2042"/>
    <w:rsid w:val="006D4E9F"/>
    <w:rsid w:val="006D52A1"/>
    <w:rsid w:val="006D66E3"/>
    <w:rsid w:val="006D7855"/>
    <w:rsid w:val="006E010C"/>
    <w:rsid w:val="006E1003"/>
    <w:rsid w:val="006E16BF"/>
    <w:rsid w:val="006E18F0"/>
    <w:rsid w:val="006E38AF"/>
    <w:rsid w:val="006E4AF5"/>
    <w:rsid w:val="006E4F93"/>
    <w:rsid w:val="006E5389"/>
    <w:rsid w:val="006F1174"/>
    <w:rsid w:val="00700135"/>
    <w:rsid w:val="00705180"/>
    <w:rsid w:val="00706AAC"/>
    <w:rsid w:val="00711605"/>
    <w:rsid w:val="00711DF6"/>
    <w:rsid w:val="00716FBC"/>
    <w:rsid w:val="00717090"/>
    <w:rsid w:val="00720739"/>
    <w:rsid w:val="0072253E"/>
    <w:rsid w:val="00723E1F"/>
    <w:rsid w:val="0072443D"/>
    <w:rsid w:val="007247E5"/>
    <w:rsid w:val="007248B7"/>
    <w:rsid w:val="00724BDD"/>
    <w:rsid w:val="007254CA"/>
    <w:rsid w:val="00727436"/>
    <w:rsid w:val="00727AB9"/>
    <w:rsid w:val="00730CF8"/>
    <w:rsid w:val="00731A90"/>
    <w:rsid w:val="00732608"/>
    <w:rsid w:val="00733251"/>
    <w:rsid w:val="0073599C"/>
    <w:rsid w:val="00736DCA"/>
    <w:rsid w:val="007450B9"/>
    <w:rsid w:val="00745C47"/>
    <w:rsid w:val="0075003D"/>
    <w:rsid w:val="00751D97"/>
    <w:rsid w:val="00752C55"/>
    <w:rsid w:val="00754CB1"/>
    <w:rsid w:val="007562D4"/>
    <w:rsid w:val="007573FA"/>
    <w:rsid w:val="00761DBF"/>
    <w:rsid w:val="00761FCF"/>
    <w:rsid w:val="007648A6"/>
    <w:rsid w:val="00765503"/>
    <w:rsid w:val="00767B7E"/>
    <w:rsid w:val="007706B0"/>
    <w:rsid w:val="00771D7D"/>
    <w:rsid w:val="007745B7"/>
    <w:rsid w:val="007750C8"/>
    <w:rsid w:val="00776538"/>
    <w:rsid w:val="00777E94"/>
    <w:rsid w:val="007802BE"/>
    <w:rsid w:val="00780EEF"/>
    <w:rsid w:val="0078134C"/>
    <w:rsid w:val="00781C47"/>
    <w:rsid w:val="0078328A"/>
    <w:rsid w:val="007837C7"/>
    <w:rsid w:val="007837ED"/>
    <w:rsid w:val="00784B44"/>
    <w:rsid w:val="00785465"/>
    <w:rsid w:val="00787656"/>
    <w:rsid w:val="00791767"/>
    <w:rsid w:val="0079268A"/>
    <w:rsid w:val="00794859"/>
    <w:rsid w:val="00797C88"/>
    <w:rsid w:val="007A1013"/>
    <w:rsid w:val="007A4CA9"/>
    <w:rsid w:val="007A6A7C"/>
    <w:rsid w:val="007A7D19"/>
    <w:rsid w:val="007A7EC2"/>
    <w:rsid w:val="007B042D"/>
    <w:rsid w:val="007B05BB"/>
    <w:rsid w:val="007B6E0A"/>
    <w:rsid w:val="007B764C"/>
    <w:rsid w:val="007C118A"/>
    <w:rsid w:val="007C636F"/>
    <w:rsid w:val="007D0033"/>
    <w:rsid w:val="007D39EB"/>
    <w:rsid w:val="007E44B7"/>
    <w:rsid w:val="007E49A9"/>
    <w:rsid w:val="007E4FBA"/>
    <w:rsid w:val="007E742E"/>
    <w:rsid w:val="007E74E1"/>
    <w:rsid w:val="007E77A8"/>
    <w:rsid w:val="007F2C66"/>
    <w:rsid w:val="007F372B"/>
    <w:rsid w:val="007F491C"/>
    <w:rsid w:val="007F71DF"/>
    <w:rsid w:val="00803BF8"/>
    <w:rsid w:val="008061C9"/>
    <w:rsid w:val="008066D8"/>
    <w:rsid w:val="00811A18"/>
    <w:rsid w:val="0081354A"/>
    <w:rsid w:val="00813711"/>
    <w:rsid w:val="00821E64"/>
    <w:rsid w:val="008263C2"/>
    <w:rsid w:val="008307DB"/>
    <w:rsid w:val="00830A5B"/>
    <w:rsid w:val="00833398"/>
    <w:rsid w:val="00835BF7"/>
    <w:rsid w:val="00835D9D"/>
    <w:rsid w:val="00835FC9"/>
    <w:rsid w:val="008368F8"/>
    <w:rsid w:val="008370E3"/>
    <w:rsid w:val="008418FA"/>
    <w:rsid w:val="008425DA"/>
    <w:rsid w:val="00842959"/>
    <w:rsid w:val="00843390"/>
    <w:rsid w:val="00845D97"/>
    <w:rsid w:val="0085235A"/>
    <w:rsid w:val="00852A86"/>
    <w:rsid w:val="00854138"/>
    <w:rsid w:val="00854410"/>
    <w:rsid w:val="008544DF"/>
    <w:rsid w:val="008565AF"/>
    <w:rsid w:val="00860AAD"/>
    <w:rsid w:val="00861AA6"/>
    <w:rsid w:val="008708F3"/>
    <w:rsid w:val="00871354"/>
    <w:rsid w:val="00873611"/>
    <w:rsid w:val="00873C8F"/>
    <w:rsid w:val="00874595"/>
    <w:rsid w:val="00874FB3"/>
    <w:rsid w:val="0087632C"/>
    <w:rsid w:val="0087766C"/>
    <w:rsid w:val="00880BC4"/>
    <w:rsid w:val="00880BE3"/>
    <w:rsid w:val="00881359"/>
    <w:rsid w:val="00882093"/>
    <w:rsid w:val="00882588"/>
    <w:rsid w:val="00884ADE"/>
    <w:rsid w:val="008856CF"/>
    <w:rsid w:val="00885864"/>
    <w:rsid w:val="00886245"/>
    <w:rsid w:val="00890A1D"/>
    <w:rsid w:val="0089383B"/>
    <w:rsid w:val="0089534B"/>
    <w:rsid w:val="0089616F"/>
    <w:rsid w:val="008A0232"/>
    <w:rsid w:val="008A7369"/>
    <w:rsid w:val="008B0470"/>
    <w:rsid w:val="008B06C5"/>
    <w:rsid w:val="008B1116"/>
    <w:rsid w:val="008B164E"/>
    <w:rsid w:val="008B502A"/>
    <w:rsid w:val="008B57D8"/>
    <w:rsid w:val="008B6F32"/>
    <w:rsid w:val="008B7A65"/>
    <w:rsid w:val="008C1219"/>
    <w:rsid w:val="008C123E"/>
    <w:rsid w:val="008C137D"/>
    <w:rsid w:val="008C2111"/>
    <w:rsid w:val="008C22DD"/>
    <w:rsid w:val="008C3ED0"/>
    <w:rsid w:val="008C5E94"/>
    <w:rsid w:val="008D196A"/>
    <w:rsid w:val="008E0FBD"/>
    <w:rsid w:val="008E3EF2"/>
    <w:rsid w:val="008E504C"/>
    <w:rsid w:val="008E51C9"/>
    <w:rsid w:val="008E5BEB"/>
    <w:rsid w:val="008E6306"/>
    <w:rsid w:val="008F68F7"/>
    <w:rsid w:val="009005A6"/>
    <w:rsid w:val="009006CF"/>
    <w:rsid w:val="00900C71"/>
    <w:rsid w:val="00902A1C"/>
    <w:rsid w:val="009037B6"/>
    <w:rsid w:val="0090452C"/>
    <w:rsid w:val="00906CBE"/>
    <w:rsid w:val="00910024"/>
    <w:rsid w:val="00910384"/>
    <w:rsid w:val="009127DB"/>
    <w:rsid w:val="00912956"/>
    <w:rsid w:val="0091308D"/>
    <w:rsid w:val="0091643D"/>
    <w:rsid w:val="00916E33"/>
    <w:rsid w:val="0092093B"/>
    <w:rsid w:val="00925578"/>
    <w:rsid w:val="00925FD2"/>
    <w:rsid w:val="00930669"/>
    <w:rsid w:val="00932051"/>
    <w:rsid w:val="00932C33"/>
    <w:rsid w:val="00940083"/>
    <w:rsid w:val="0094084B"/>
    <w:rsid w:val="009427A1"/>
    <w:rsid w:val="00942FFE"/>
    <w:rsid w:val="009551E0"/>
    <w:rsid w:val="0095654E"/>
    <w:rsid w:val="00956F3C"/>
    <w:rsid w:val="00964712"/>
    <w:rsid w:val="009657CF"/>
    <w:rsid w:val="00971336"/>
    <w:rsid w:val="009715DD"/>
    <w:rsid w:val="00971C34"/>
    <w:rsid w:val="00972488"/>
    <w:rsid w:val="009726D0"/>
    <w:rsid w:val="0097421D"/>
    <w:rsid w:val="00976117"/>
    <w:rsid w:val="00976A23"/>
    <w:rsid w:val="009800BC"/>
    <w:rsid w:val="009816F6"/>
    <w:rsid w:val="00986CFC"/>
    <w:rsid w:val="0098702F"/>
    <w:rsid w:val="009900F0"/>
    <w:rsid w:val="00990B9B"/>
    <w:rsid w:val="00991769"/>
    <w:rsid w:val="00991A22"/>
    <w:rsid w:val="00993236"/>
    <w:rsid w:val="00993D8C"/>
    <w:rsid w:val="00994612"/>
    <w:rsid w:val="00994E3D"/>
    <w:rsid w:val="00995135"/>
    <w:rsid w:val="00996126"/>
    <w:rsid w:val="009A297E"/>
    <w:rsid w:val="009A4B2B"/>
    <w:rsid w:val="009A6127"/>
    <w:rsid w:val="009B0CC1"/>
    <w:rsid w:val="009B12B8"/>
    <w:rsid w:val="009B713C"/>
    <w:rsid w:val="009C0F18"/>
    <w:rsid w:val="009C12C6"/>
    <w:rsid w:val="009C203D"/>
    <w:rsid w:val="009C2555"/>
    <w:rsid w:val="009C7778"/>
    <w:rsid w:val="009D06AE"/>
    <w:rsid w:val="009D09E2"/>
    <w:rsid w:val="009D1E42"/>
    <w:rsid w:val="009D5339"/>
    <w:rsid w:val="009D7148"/>
    <w:rsid w:val="009E02FD"/>
    <w:rsid w:val="009E4A90"/>
    <w:rsid w:val="009E4C74"/>
    <w:rsid w:val="009E62B6"/>
    <w:rsid w:val="009F02BB"/>
    <w:rsid w:val="009F271A"/>
    <w:rsid w:val="009F35DA"/>
    <w:rsid w:val="009F43D0"/>
    <w:rsid w:val="00A00568"/>
    <w:rsid w:val="00A00884"/>
    <w:rsid w:val="00A02F62"/>
    <w:rsid w:val="00A02FA3"/>
    <w:rsid w:val="00A030C3"/>
    <w:rsid w:val="00A04803"/>
    <w:rsid w:val="00A05F3D"/>
    <w:rsid w:val="00A10147"/>
    <w:rsid w:val="00A11331"/>
    <w:rsid w:val="00A131E6"/>
    <w:rsid w:val="00A13843"/>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6796"/>
    <w:rsid w:val="00A46DF5"/>
    <w:rsid w:val="00A5149A"/>
    <w:rsid w:val="00A53650"/>
    <w:rsid w:val="00A53E51"/>
    <w:rsid w:val="00A5627C"/>
    <w:rsid w:val="00A563B6"/>
    <w:rsid w:val="00A57183"/>
    <w:rsid w:val="00A6002F"/>
    <w:rsid w:val="00A6019C"/>
    <w:rsid w:val="00A60693"/>
    <w:rsid w:val="00A6196D"/>
    <w:rsid w:val="00A619C0"/>
    <w:rsid w:val="00A61ADF"/>
    <w:rsid w:val="00A624CB"/>
    <w:rsid w:val="00A62AC0"/>
    <w:rsid w:val="00A6616A"/>
    <w:rsid w:val="00A75BDA"/>
    <w:rsid w:val="00A76BD2"/>
    <w:rsid w:val="00A813F0"/>
    <w:rsid w:val="00A8267D"/>
    <w:rsid w:val="00A82E14"/>
    <w:rsid w:val="00A84519"/>
    <w:rsid w:val="00A8688E"/>
    <w:rsid w:val="00A8722B"/>
    <w:rsid w:val="00A901E9"/>
    <w:rsid w:val="00A917B6"/>
    <w:rsid w:val="00A91831"/>
    <w:rsid w:val="00A91B3B"/>
    <w:rsid w:val="00A93B4F"/>
    <w:rsid w:val="00A94F7A"/>
    <w:rsid w:val="00A95D3B"/>
    <w:rsid w:val="00A97341"/>
    <w:rsid w:val="00AA0081"/>
    <w:rsid w:val="00AA3CB7"/>
    <w:rsid w:val="00AA4E4D"/>
    <w:rsid w:val="00AB09ED"/>
    <w:rsid w:val="00AB1E9B"/>
    <w:rsid w:val="00AB3DC0"/>
    <w:rsid w:val="00AB4CBB"/>
    <w:rsid w:val="00AC125E"/>
    <w:rsid w:val="00AC1332"/>
    <w:rsid w:val="00AC45DE"/>
    <w:rsid w:val="00AC45DF"/>
    <w:rsid w:val="00AC474D"/>
    <w:rsid w:val="00AC4DFD"/>
    <w:rsid w:val="00AC5663"/>
    <w:rsid w:val="00AC58FD"/>
    <w:rsid w:val="00AC60CA"/>
    <w:rsid w:val="00AD0F6D"/>
    <w:rsid w:val="00AD1166"/>
    <w:rsid w:val="00AD19D2"/>
    <w:rsid w:val="00AD1A96"/>
    <w:rsid w:val="00AD2522"/>
    <w:rsid w:val="00AD3042"/>
    <w:rsid w:val="00AD6636"/>
    <w:rsid w:val="00AD793A"/>
    <w:rsid w:val="00AE0120"/>
    <w:rsid w:val="00AE3038"/>
    <w:rsid w:val="00AE3D4A"/>
    <w:rsid w:val="00AE54C1"/>
    <w:rsid w:val="00AE5956"/>
    <w:rsid w:val="00AE619F"/>
    <w:rsid w:val="00AE7A88"/>
    <w:rsid w:val="00AF2A56"/>
    <w:rsid w:val="00AF363C"/>
    <w:rsid w:val="00AF58FC"/>
    <w:rsid w:val="00AF5D74"/>
    <w:rsid w:val="00AF63AB"/>
    <w:rsid w:val="00B009A2"/>
    <w:rsid w:val="00B01784"/>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3B92"/>
    <w:rsid w:val="00B257BF"/>
    <w:rsid w:val="00B27149"/>
    <w:rsid w:val="00B317A1"/>
    <w:rsid w:val="00B34C93"/>
    <w:rsid w:val="00B35B4D"/>
    <w:rsid w:val="00B362F0"/>
    <w:rsid w:val="00B36652"/>
    <w:rsid w:val="00B418D1"/>
    <w:rsid w:val="00B425AB"/>
    <w:rsid w:val="00B47090"/>
    <w:rsid w:val="00B519D4"/>
    <w:rsid w:val="00B532D1"/>
    <w:rsid w:val="00B61E3E"/>
    <w:rsid w:val="00B61E96"/>
    <w:rsid w:val="00B665F7"/>
    <w:rsid w:val="00B67A79"/>
    <w:rsid w:val="00B72D62"/>
    <w:rsid w:val="00B74027"/>
    <w:rsid w:val="00B767AF"/>
    <w:rsid w:val="00B80511"/>
    <w:rsid w:val="00B80798"/>
    <w:rsid w:val="00B80876"/>
    <w:rsid w:val="00B82C3C"/>
    <w:rsid w:val="00B82DE6"/>
    <w:rsid w:val="00B831CD"/>
    <w:rsid w:val="00B85329"/>
    <w:rsid w:val="00B91B9D"/>
    <w:rsid w:val="00B9233C"/>
    <w:rsid w:val="00B92340"/>
    <w:rsid w:val="00BA08FE"/>
    <w:rsid w:val="00BA2D79"/>
    <w:rsid w:val="00BA5E20"/>
    <w:rsid w:val="00BA607C"/>
    <w:rsid w:val="00BA6734"/>
    <w:rsid w:val="00BB0ACE"/>
    <w:rsid w:val="00BB3048"/>
    <w:rsid w:val="00BB3E2A"/>
    <w:rsid w:val="00BB7121"/>
    <w:rsid w:val="00BC0479"/>
    <w:rsid w:val="00BC0B67"/>
    <w:rsid w:val="00BC1032"/>
    <w:rsid w:val="00BC1651"/>
    <w:rsid w:val="00BC16F5"/>
    <w:rsid w:val="00BC18FF"/>
    <w:rsid w:val="00BC287D"/>
    <w:rsid w:val="00BC2A38"/>
    <w:rsid w:val="00BC3C8A"/>
    <w:rsid w:val="00BC46EB"/>
    <w:rsid w:val="00BC6209"/>
    <w:rsid w:val="00BC643B"/>
    <w:rsid w:val="00BC6F7D"/>
    <w:rsid w:val="00BD32E5"/>
    <w:rsid w:val="00BD36C4"/>
    <w:rsid w:val="00BD402D"/>
    <w:rsid w:val="00BD51C7"/>
    <w:rsid w:val="00BE1095"/>
    <w:rsid w:val="00BE150A"/>
    <w:rsid w:val="00BE6767"/>
    <w:rsid w:val="00BE78EC"/>
    <w:rsid w:val="00BF46EE"/>
    <w:rsid w:val="00BF4D24"/>
    <w:rsid w:val="00C00927"/>
    <w:rsid w:val="00C0613C"/>
    <w:rsid w:val="00C10757"/>
    <w:rsid w:val="00C10D05"/>
    <w:rsid w:val="00C144DF"/>
    <w:rsid w:val="00C14FBA"/>
    <w:rsid w:val="00C15EA1"/>
    <w:rsid w:val="00C17A8E"/>
    <w:rsid w:val="00C20CAA"/>
    <w:rsid w:val="00C24F70"/>
    <w:rsid w:val="00C25DC2"/>
    <w:rsid w:val="00C33479"/>
    <w:rsid w:val="00C40ED2"/>
    <w:rsid w:val="00C41F10"/>
    <w:rsid w:val="00C432DD"/>
    <w:rsid w:val="00C4423A"/>
    <w:rsid w:val="00C501FE"/>
    <w:rsid w:val="00C5784B"/>
    <w:rsid w:val="00C639FF"/>
    <w:rsid w:val="00C6442A"/>
    <w:rsid w:val="00C64D15"/>
    <w:rsid w:val="00C66088"/>
    <w:rsid w:val="00C66939"/>
    <w:rsid w:val="00C67C4C"/>
    <w:rsid w:val="00C74B5D"/>
    <w:rsid w:val="00C74C43"/>
    <w:rsid w:val="00C74F74"/>
    <w:rsid w:val="00C7554B"/>
    <w:rsid w:val="00C80722"/>
    <w:rsid w:val="00C80951"/>
    <w:rsid w:val="00C8205E"/>
    <w:rsid w:val="00C82E53"/>
    <w:rsid w:val="00C82EB5"/>
    <w:rsid w:val="00C87966"/>
    <w:rsid w:val="00C902DE"/>
    <w:rsid w:val="00C916AE"/>
    <w:rsid w:val="00C91EE1"/>
    <w:rsid w:val="00C91F70"/>
    <w:rsid w:val="00C93AAA"/>
    <w:rsid w:val="00C95FCD"/>
    <w:rsid w:val="00C97188"/>
    <w:rsid w:val="00CA0639"/>
    <w:rsid w:val="00CA06A5"/>
    <w:rsid w:val="00CA11D0"/>
    <w:rsid w:val="00CA13E3"/>
    <w:rsid w:val="00CA2E02"/>
    <w:rsid w:val="00CA583A"/>
    <w:rsid w:val="00CA5EC6"/>
    <w:rsid w:val="00CB11C1"/>
    <w:rsid w:val="00CB5744"/>
    <w:rsid w:val="00CB7022"/>
    <w:rsid w:val="00CB7BC5"/>
    <w:rsid w:val="00CC2138"/>
    <w:rsid w:val="00CC586D"/>
    <w:rsid w:val="00CC6559"/>
    <w:rsid w:val="00CC7DBC"/>
    <w:rsid w:val="00CD1BA3"/>
    <w:rsid w:val="00CD1D23"/>
    <w:rsid w:val="00CD3612"/>
    <w:rsid w:val="00CD3E69"/>
    <w:rsid w:val="00CD6B7D"/>
    <w:rsid w:val="00CD7D29"/>
    <w:rsid w:val="00CE0847"/>
    <w:rsid w:val="00CE0B6C"/>
    <w:rsid w:val="00CE11D0"/>
    <w:rsid w:val="00CE4708"/>
    <w:rsid w:val="00CE4C50"/>
    <w:rsid w:val="00CE5C02"/>
    <w:rsid w:val="00CE6858"/>
    <w:rsid w:val="00CE7450"/>
    <w:rsid w:val="00CE770C"/>
    <w:rsid w:val="00CE7FF7"/>
    <w:rsid w:val="00CF36C7"/>
    <w:rsid w:val="00CF50BE"/>
    <w:rsid w:val="00CF5FCD"/>
    <w:rsid w:val="00CF7625"/>
    <w:rsid w:val="00D0506A"/>
    <w:rsid w:val="00D1289C"/>
    <w:rsid w:val="00D15C4D"/>
    <w:rsid w:val="00D1666F"/>
    <w:rsid w:val="00D20357"/>
    <w:rsid w:val="00D2071A"/>
    <w:rsid w:val="00D30F73"/>
    <w:rsid w:val="00D30F97"/>
    <w:rsid w:val="00D313A0"/>
    <w:rsid w:val="00D35DB0"/>
    <w:rsid w:val="00D36FE0"/>
    <w:rsid w:val="00D37617"/>
    <w:rsid w:val="00D37AB7"/>
    <w:rsid w:val="00D40799"/>
    <w:rsid w:val="00D417ED"/>
    <w:rsid w:val="00D41A06"/>
    <w:rsid w:val="00D42ABF"/>
    <w:rsid w:val="00D42F40"/>
    <w:rsid w:val="00D44200"/>
    <w:rsid w:val="00D45B67"/>
    <w:rsid w:val="00D5034A"/>
    <w:rsid w:val="00D50777"/>
    <w:rsid w:val="00D51F49"/>
    <w:rsid w:val="00D52464"/>
    <w:rsid w:val="00D55EE8"/>
    <w:rsid w:val="00D562CB"/>
    <w:rsid w:val="00D569D1"/>
    <w:rsid w:val="00D56AD8"/>
    <w:rsid w:val="00D56C05"/>
    <w:rsid w:val="00D5785A"/>
    <w:rsid w:val="00D6375F"/>
    <w:rsid w:val="00D64C48"/>
    <w:rsid w:val="00D6661D"/>
    <w:rsid w:val="00D6680B"/>
    <w:rsid w:val="00D72F4F"/>
    <w:rsid w:val="00D731C4"/>
    <w:rsid w:val="00D74EB4"/>
    <w:rsid w:val="00D801FC"/>
    <w:rsid w:val="00D85BE0"/>
    <w:rsid w:val="00D87FD7"/>
    <w:rsid w:val="00D91466"/>
    <w:rsid w:val="00D915ED"/>
    <w:rsid w:val="00D92300"/>
    <w:rsid w:val="00D92E34"/>
    <w:rsid w:val="00D94AFC"/>
    <w:rsid w:val="00D950E6"/>
    <w:rsid w:val="00D97047"/>
    <w:rsid w:val="00DA1B12"/>
    <w:rsid w:val="00DA3619"/>
    <w:rsid w:val="00DA429C"/>
    <w:rsid w:val="00DA5EA9"/>
    <w:rsid w:val="00DB0B88"/>
    <w:rsid w:val="00DB1652"/>
    <w:rsid w:val="00DB2622"/>
    <w:rsid w:val="00DB3441"/>
    <w:rsid w:val="00DB58A6"/>
    <w:rsid w:val="00DB6B99"/>
    <w:rsid w:val="00DC001A"/>
    <w:rsid w:val="00DC21E2"/>
    <w:rsid w:val="00DD4F44"/>
    <w:rsid w:val="00DD686C"/>
    <w:rsid w:val="00DE2AC3"/>
    <w:rsid w:val="00DE2E40"/>
    <w:rsid w:val="00DE3598"/>
    <w:rsid w:val="00DE3FBD"/>
    <w:rsid w:val="00DE43F5"/>
    <w:rsid w:val="00DE65FB"/>
    <w:rsid w:val="00DF0BED"/>
    <w:rsid w:val="00DF30B2"/>
    <w:rsid w:val="00DF420A"/>
    <w:rsid w:val="00E02400"/>
    <w:rsid w:val="00E02472"/>
    <w:rsid w:val="00E041F0"/>
    <w:rsid w:val="00E128D8"/>
    <w:rsid w:val="00E130C3"/>
    <w:rsid w:val="00E17EDF"/>
    <w:rsid w:val="00E2082D"/>
    <w:rsid w:val="00E221E2"/>
    <w:rsid w:val="00E24303"/>
    <w:rsid w:val="00E27A16"/>
    <w:rsid w:val="00E37F9C"/>
    <w:rsid w:val="00E40F7B"/>
    <w:rsid w:val="00E46D60"/>
    <w:rsid w:val="00E47C33"/>
    <w:rsid w:val="00E47F58"/>
    <w:rsid w:val="00E50052"/>
    <w:rsid w:val="00E54BFC"/>
    <w:rsid w:val="00E56D9D"/>
    <w:rsid w:val="00E606EB"/>
    <w:rsid w:val="00E60E2E"/>
    <w:rsid w:val="00E67B86"/>
    <w:rsid w:val="00E67E3D"/>
    <w:rsid w:val="00E71A2D"/>
    <w:rsid w:val="00E73654"/>
    <w:rsid w:val="00E74A73"/>
    <w:rsid w:val="00E75681"/>
    <w:rsid w:val="00E823C1"/>
    <w:rsid w:val="00E82567"/>
    <w:rsid w:val="00E82DB7"/>
    <w:rsid w:val="00E8579C"/>
    <w:rsid w:val="00E865FE"/>
    <w:rsid w:val="00E909E4"/>
    <w:rsid w:val="00E91408"/>
    <w:rsid w:val="00E91759"/>
    <w:rsid w:val="00E94C12"/>
    <w:rsid w:val="00E96479"/>
    <w:rsid w:val="00E9654B"/>
    <w:rsid w:val="00EA18DB"/>
    <w:rsid w:val="00EA2843"/>
    <w:rsid w:val="00EA2FBA"/>
    <w:rsid w:val="00EA3832"/>
    <w:rsid w:val="00EA4DC5"/>
    <w:rsid w:val="00EA66DF"/>
    <w:rsid w:val="00EA6ADC"/>
    <w:rsid w:val="00EB135F"/>
    <w:rsid w:val="00EB13A7"/>
    <w:rsid w:val="00EB14DF"/>
    <w:rsid w:val="00EB1A4D"/>
    <w:rsid w:val="00EB3A07"/>
    <w:rsid w:val="00EB5539"/>
    <w:rsid w:val="00EB6789"/>
    <w:rsid w:val="00EC3F31"/>
    <w:rsid w:val="00EC52E7"/>
    <w:rsid w:val="00ED3698"/>
    <w:rsid w:val="00ED4794"/>
    <w:rsid w:val="00EE265C"/>
    <w:rsid w:val="00EE5C63"/>
    <w:rsid w:val="00EE64F0"/>
    <w:rsid w:val="00EF22AA"/>
    <w:rsid w:val="00F0095C"/>
    <w:rsid w:val="00F01129"/>
    <w:rsid w:val="00F01B14"/>
    <w:rsid w:val="00F01CCA"/>
    <w:rsid w:val="00F01F2C"/>
    <w:rsid w:val="00F02104"/>
    <w:rsid w:val="00F0244B"/>
    <w:rsid w:val="00F04455"/>
    <w:rsid w:val="00F06C17"/>
    <w:rsid w:val="00F07B77"/>
    <w:rsid w:val="00F1632B"/>
    <w:rsid w:val="00F31CCA"/>
    <w:rsid w:val="00F334CB"/>
    <w:rsid w:val="00F3495A"/>
    <w:rsid w:val="00F34E2C"/>
    <w:rsid w:val="00F370BC"/>
    <w:rsid w:val="00F37143"/>
    <w:rsid w:val="00F371DD"/>
    <w:rsid w:val="00F37FC1"/>
    <w:rsid w:val="00F44F7D"/>
    <w:rsid w:val="00F50562"/>
    <w:rsid w:val="00F50A92"/>
    <w:rsid w:val="00F50D01"/>
    <w:rsid w:val="00F52028"/>
    <w:rsid w:val="00F56BC1"/>
    <w:rsid w:val="00F618C4"/>
    <w:rsid w:val="00F65774"/>
    <w:rsid w:val="00F65A34"/>
    <w:rsid w:val="00F65F4C"/>
    <w:rsid w:val="00F71A60"/>
    <w:rsid w:val="00F725DA"/>
    <w:rsid w:val="00F74357"/>
    <w:rsid w:val="00F7536E"/>
    <w:rsid w:val="00F75652"/>
    <w:rsid w:val="00F8168B"/>
    <w:rsid w:val="00F81CF2"/>
    <w:rsid w:val="00F81F93"/>
    <w:rsid w:val="00F82DA6"/>
    <w:rsid w:val="00F857D1"/>
    <w:rsid w:val="00F90690"/>
    <w:rsid w:val="00F913AB"/>
    <w:rsid w:val="00F91DCC"/>
    <w:rsid w:val="00F9323F"/>
    <w:rsid w:val="00F943FE"/>
    <w:rsid w:val="00F945FE"/>
    <w:rsid w:val="00F95814"/>
    <w:rsid w:val="00F95CE9"/>
    <w:rsid w:val="00F97100"/>
    <w:rsid w:val="00FA01D9"/>
    <w:rsid w:val="00FA7A04"/>
    <w:rsid w:val="00FB0401"/>
    <w:rsid w:val="00FC1DFB"/>
    <w:rsid w:val="00FC1EF2"/>
    <w:rsid w:val="00FC3343"/>
    <w:rsid w:val="00FC33BA"/>
    <w:rsid w:val="00FC35AB"/>
    <w:rsid w:val="00FC5702"/>
    <w:rsid w:val="00FC6134"/>
    <w:rsid w:val="00FC654D"/>
    <w:rsid w:val="00FD0555"/>
    <w:rsid w:val="00FD5961"/>
    <w:rsid w:val="00FE3EFA"/>
    <w:rsid w:val="00FE5C56"/>
    <w:rsid w:val="00FE5D13"/>
    <w:rsid w:val="00FE5E20"/>
    <w:rsid w:val="00FE7AAC"/>
    <w:rsid w:val="00FE7B06"/>
    <w:rsid w:val="00FE7E98"/>
    <w:rsid w:val="00FF06BC"/>
    <w:rsid w:val="00FF20AC"/>
    <w:rsid w:val="00FF34E5"/>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2F08"/>
  <w15:docId w15:val="{2E1FFEA8-9A97-42C2-96D4-D5BD5E55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912956"/>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0C447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qFormat/>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autoRedefine/>
    <w:uiPriority w:val="34"/>
    <w:qFormat/>
    <w:rsid w:val="005F61EC"/>
    <w:pPr>
      <w:numPr>
        <w:ilvl w:val="1"/>
        <w:numId w:val="22"/>
      </w:numPr>
    </w:pPr>
  </w:style>
  <w:style w:type="character" w:customStyle="1" w:styleId="Heading2Char">
    <w:name w:val="Heading 2 Char"/>
    <w:basedOn w:val="DefaultParagraphFont"/>
    <w:link w:val="Heading2"/>
    <w:uiPriority w:val="2"/>
    <w:rsid w:val="000C447D"/>
    <w:rPr>
      <w:rFonts w:asciiTheme="majorHAnsi" w:hAnsiTheme="majorHAnsi"/>
      <w:b/>
      <w:sz w:val="28"/>
      <w:szCs w:val="44"/>
    </w:rPr>
  </w:style>
  <w:style w:type="paragraph" w:styleId="TOC1">
    <w:name w:val="toc 1"/>
    <w:basedOn w:val="Normal"/>
    <w:next w:val="Normal"/>
    <w:autoRedefine/>
    <w:uiPriority w:val="39"/>
    <w:qFormat/>
    <w:rsid w:val="005278B4"/>
    <w:pPr>
      <w:tabs>
        <w:tab w:val="right" w:leader="dot" w:pos="9435"/>
      </w:tabs>
      <w:spacing w:before="240" w:after="60" w:line="240" w:lineRule="auto"/>
      <w:ind w:right="567"/>
    </w:pPr>
    <w:rPr>
      <w:b/>
      <w:noProof/>
    </w:rPr>
  </w:style>
  <w:style w:type="paragraph" w:styleId="TOC2">
    <w:name w:val="toc 2"/>
    <w:basedOn w:val="Normal"/>
    <w:next w:val="Normal"/>
    <w:autoRedefine/>
    <w:uiPriority w:val="39"/>
    <w:qFormat/>
    <w:rsid w:val="00023FFA"/>
    <w:pPr>
      <w:spacing w:before="60" w:after="60" w:line="240" w:lineRule="auto"/>
      <w:ind w:right="567"/>
    </w:pPr>
    <w:rPr>
      <w:noProof/>
    </w:rPr>
  </w:style>
  <w:style w:type="paragraph" w:customStyle="1" w:styleId="TableText">
    <w:name w:val="Table Text"/>
    <w:basedOn w:val="Normal"/>
    <w:autoRedefine/>
    <w:uiPriority w:val="99"/>
    <w:qFormat/>
    <w:rsid w:val="00BC0B67"/>
    <w:pPr>
      <w:spacing w:before="80" w:after="80" w:line="240" w:lineRule="atLeast"/>
    </w:pPr>
    <w:rPr>
      <w:szCs w:val="22"/>
      <w:lang w:eastAsia="ja-JP"/>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5A42A5"/>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qFormat/>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B92340"/>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3112E9"/>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023FFA"/>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uiPriority w:val="99"/>
    <w:unhideWhenUsed/>
    <w:rsid w:val="00CC2138"/>
  </w:style>
  <w:style w:type="character" w:customStyle="1" w:styleId="BodyTextChar">
    <w:name w:val="Body Text Char"/>
    <w:basedOn w:val="DefaultParagraphFont"/>
    <w:link w:val="BodyText"/>
    <w:uiPriority w:val="99"/>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qFormat/>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TitleChar">
    <w:name w:val="Title Char"/>
    <w:aliases w:val="Title Artwork Char"/>
    <w:basedOn w:val="DefaultParagraphFont"/>
    <w:link w:val="Title"/>
    <w:uiPriority w:val="11"/>
    <w:rsid w:val="000C5F0B"/>
    <w:rPr>
      <w:rFonts w:ascii="Arial Bold" w:hAnsi="Arial Bold" w:cs="Arial"/>
      <w:b/>
      <w:bCs/>
      <w:color w:val="004200" w:themeColor="accent1"/>
      <w:kern w:val="28"/>
      <w:sz w:val="84"/>
      <w:szCs w:val="32"/>
    </w:rPr>
  </w:style>
  <w:style w:type="character" w:customStyle="1" w:styleId="HeaderChar">
    <w:name w:val="Header Char"/>
    <w:basedOn w:val="DefaultParagraphFont"/>
    <w:link w:val="Header"/>
    <w:uiPriority w:val="99"/>
    <w:rsid w:val="000C5F0B"/>
    <w:rPr>
      <w:rFonts w:ascii="Arial" w:hAnsi="Arial"/>
      <w:b/>
      <w:sz w:val="16"/>
      <w:szCs w:val="24"/>
    </w:rPr>
  </w:style>
  <w:style w:type="paragraph" w:styleId="Revision">
    <w:name w:val="Revision"/>
    <w:hidden/>
    <w:uiPriority w:val="99"/>
    <w:semiHidden/>
    <w:rsid w:val="00214AAE"/>
    <w:rPr>
      <w:rFonts w:ascii="Arial" w:hAnsi="Arial"/>
      <w:sz w:val="22"/>
      <w:szCs w:val="24"/>
    </w:rPr>
  </w:style>
  <w:style w:type="character" w:customStyle="1" w:styleId="UnresolvedMention1">
    <w:name w:val="Unresolved Mention1"/>
    <w:basedOn w:val="DefaultParagraphFont"/>
    <w:uiPriority w:val="99"/>
    <w:semiHidden/>
    <w:unhideWhenUsed/>
    <w:rsid w:val="0093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reativecommons.org/licenses/by/3.0/au/deed.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10" Type="http://schemas.openxmlformats.org/officeDocument/2006/relationships/footer" Target="footer1.xml"/><Relationship Id="rId19" Type="http://schemas.openxmlformats.org/officeDocument/2006/relationships/hyperlink" Target="https://www.ihpa.gov.au/what-we-do/pricing-frame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CCBD-386D-44D6-98AE-548C03C5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Jenette</dc:creator>
  <cp:lastModifiedBy>DAYLIGHT, Chereta</cp:lastModifiedBy>
  <cp:revision>5</cp:revision>
  <cp:lastPrinted>2022-02-21T03:42:00Z</cp:lastPrinted>
  <dcterms:created xsi:type="dcterms:W3CDTF">2022-05-03T00:00:00Z</dcterms:created>
  <dcterms:modified xsi:type="dcterms:W3CDTF">2022-05-25T00:27:00Z</dcterms:modified>
</cp:coreProperties>
</file>