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726" w:rsidRPr="001727A4" w:rsidRDefault="00DA0726" w:rsidP="00DA0726">
      <w:pPr>
        <w:pStyle w:val="Organisation"/>
      </w:pPr>
      <w:bookmarkStart w:id="0" w:name="_GoBack"/>
      <w:bookmarkEnd w:id="0"/>
      <w:r w:rsidRPr="003D565E">
        <w:rPr>
          <w:b w:val="0"/>
        </w:rPr>
        <w:drawing>
          <wp:anchor distT="0" distB="0" distL="114300" distR="114300" simplePos="0" relativeHeight="251664384" behindDoc="1" locked="0" layoutInCell="0" allowOverlap="1" wp14:anchorId="11A63ED2" wp14:editId="31C4C22D">
            <wp:simplePos x="0" y="0"/>
            <wp:positionH relativeFrom="page">
              <wp:posOffset>-6985</wp:posOffset>
            </wp:positionH>
            <wp:positionV relativeFrom="page">
              <wp:posOffset>0</wp:posOffset>
            </wp:positionV>
            <wp:extent cx="7592060" cy="10738485"/>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14:sizeRelH relativeFrom="margin">
              <wp14:pctWidth>0</wp14:pctWidth>
            </wp14:sizeRelH>
            <wp14:sizeRelV relativeFrom="margin">
              <wp14:pctHeight>0</wp14:pctHeight>
            </wp14:sizeRelV>
          </wp:anchor>
        </w:drawing>
      </w:r>
      <w:r w:rsidRPr="001727A4">
        <w:t>Independent Hospital Pricing Authority</w:t>
      </w:r>
    </w:p>
    <w:p w:rsidR="00AE0750" w:rsidRPr="00AE0750" w:rsidRDefault="00DA0726">
      <w:pPr>
        <w:pStyle w:val="Title"/>
      </w:pPr>
      <w:bookmarkStart w:id="1" w:name="_Toc534625476"/>
      <w:bookmarkStart w:id="2" w:name="_Toc534633013"/>
      <w:bookmarkStart w:id="3" w:name="_Toc534875719"/>
      <w:bookmarkStart w:id="4" w:name="_Toc534965657"/>
      <w:bookmarkStart w:id="5" w:name="_Toc535839559"/>
      <w:bookmarkStart w:id="6" w:name="_Toc536011599"/>
      <w:r w:rsidRPr="00DA0726">
        <w:t>Australian Refined Diagnosis Related Groups Version 10.0</w:t>
      </w:r>
      <w:bookmarkEnd w:id="1"/>
      <w:bookmarkEnd w:id="2"/>
      <w:r w:rsidR="00AE0750">
        <w:t xml:space="preserve"> Final Report</w:t>
      </w:r>
      <w:bookmarkEnd w:id="3"/>
      <w:bookmarkEnd w:id="4"/>
      <w:bookmarkEnd w:id="5"/>
      <w:bookmarkEnd w:id="6"/>
    </w:p>
    <w:p w:rsidR="00DA0726" w:rsidRDefault="00DA0726" w:rsidP="00DA0726">
      <w:pPr>
        <w:pStyle w:val="Subtitle"/>
      </w:pPr>
    </w:p>
    <w:p w:rsidR="00DA0726" w:rsidRPr="00976117" w:rsidRDefault="00DA0726" w:rsidP="00DA0726">
      <w:pPr>
        <w:pStyle w:val="Versionanddate"/>
      </w:pPr>
      <w:r>
        <w:t>February 2019</w:t>
      </w:r>
    </w:p>
    <w:p w:rsidR="00DA0726" w:rsidRDefault="00DA0726" w:rsidP="0035219F">
      <w:pPr>
        <w:sectPr w:rsidR="00DA0726" w:rsidSect="006D7062">
          <w:headerReference w:type="even" r:id="rId9"/>
          <w:headerReference w:type="default" r:id="rId10"/>
          <w:footerReference w:type="even" r:id="rId11"/>
          <w:footerReference w:type="default" r:id="rId12"/>
          <w:headerReference w:type="first" r:id="rId13"/>
          <w:footerReference w:type="first" r:id="rId14"/>
          <w:pgSz w:w="11906" w:h="16838" w:code="9"/>
          <w:pgMar w:top="2041" w:right="1440" w:bottom="1021" w:left="1021" w:header="680" w:footer="510" w:gutter="0"/>
          <w:pgNumType w:start="1"/>
          <w:cols w:space="708"/>
          <w:docGrid w:linePitch="360"/>
        </w:sectPr>
      </w:pPr>
    </w:p>
    <w:p w:rsidR="00DA0726" w:rsidRPr="00DA0726" w:rsidRDefault="00675B1B" w:rsidP="006D7062">
      <w:pPr>
        <w:pStyle w:val="Report"/>
      </w:pPr>
      <w:r>
        <w:lastRenderedPageBreak/>
        <w:t>Australian Refined Diagnosis Related Groups Version 10.0 Final Report – February 2019</w:t>
      </w:r>
    </w:p>
    <w:p w:rsidR="00DA0726" w:rsidRDefault="00DA0726" w:rsidP="00DA0726"/>
    <w:p w:rsidR="00DA0726" w:rsidRDefault="00DA0726" w:rsidP="00DA0726">
      <w:r>
        <w:t xml:space="preserve">© Independent Hospital Pricing Authority </w:t>
      </w:r>
      <w:r w:rsidR="006B5AC8">
        <w:t>2019</w:t>
      </w:r>
    </w:p>
    <w:p w:rsidR="00BC1032" w:rsidRDefault="00BC1032" w:rsidP="00BC1032">
      <w:r>
        <w:t xml:space="preserve">This publication is available for your use under a </w:t>
      </w:r>
      <w:hyperlink r:id="rId15"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6" w:history="1">
        <w:r w:rsidRPr="002A4C1B">
          <w:t>the Creative Commons website</w:t>
        </w:r>
      </w:hyperlink>
      <w:r>
        <w:t>.</w:t>
      </w:r>
    </w:p>
    <w:p w:rsidR="00BC1032" w:rsidRDefault="00BC1032" w:rsidP="00BC1032">
      <w:r w:rsidRPr="006150B7">
        <w:rPr>
          <w:rFonts w:cs="Calibri"/>
          <w:noProof/>
          <w:sz w:val="24"/>
        </w:rPr>
        <w:drawing>
          <wp:inline distT="0" distB="0" distL="0" distR="0" wp14:anchorId="6637CA32" wp14:editId="0554DC77">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rsidR="00BC1032" w:rsidRDefault="00BC1032" w:rsidP="00BC1032">
      <w:r>
        <w:t xml:space="preserve">Use of Independent Hospital Pricing Authority material under a </w:t>
      </w:r>
      <w:hyperlink r:id="rId18"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rsidR="00BC1032" w:rsidRPr="002A4C1B" w:rsidRDefault="00BC1032" w:rsidP="00BC1032">
      <w:pPr>
        <w:rPr>
          <w:i/>
        </w:rPr>
      </w:pPr>
      <w:r w:rsidRPr="002A4C1B">
        <w:rPr>
          <w:i/>
        </w:rPr>
        <w:t>Independent Hospital Pricing Authority material used 'as supplied'.</w:t>
      </w:r>
    </w:p>
    <w:p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rsidR="009D0C22" w:rsidRDefault="00BC1032" w:rsidP="00BC1032">
      <w:pPr>
        <w:pStyle w:val="BodyText2"/>
        <w:rPr>
          <w:i/>
        </w:rPr>
      </w:pPr>
      <w:r w:rsidRPr="00BC1032">
        <w:rPr>
          <w:i/>
        </w:rPr>
        <w:t>Source: The Independent Hospital Pricing Authority</w:t>
      </w:r>
    </w:p>
    <w:p w:rsidR="009D0C22" w:rsidRDefault="009D0C22" w:rsidP="00757D79">
      <w:r>
        <w:br w:type="page"/>
      </w:r>
    </w:p>
    <w:p w:rsidR="009D0C22" w:rsidRDefault="009D0C22" w:rsidP="00757D79">
      <w:pPr>
        <w:pStyle w:val="Heading1"/>
        <w:numPr>
          <w:ilvl w:val="0"/>
          <w:numId w:val="0"/>
        </w:numPr>
      </w:pPr>
      <w:bookmarkStart w:id="7" w:name="_Toc534875723"/>
      <w:bookmarkStart w:id="8" w:name="_Toc534965661"/>
      <w:bookmarkStart w:id="9" w:name="_Toc535839560"/>
      <w:bookmarkStart w:id="10" w:name="_Toc536011600"/>
      <w:bookmarkStart w:id="11" w:name="_Toc531097806"/>
      <w:r>
        <w:t>Table of Contents</w:t>
      </w:r>
      <w:bookmarkEnd w:id="7"/>
      <w:bookmarkEnd w:id="8"/>
      <w:bookmarkEnd w:id="9"/>
      <w:bookmarkEnd w:id="10"/>
    </w:p>
    <w:p w:rsidR="006D4EFF" w:rsidRPr="006D4EFF" w:rsidRDefault="003F0D6F">
      <w:pPr>
        <w:pStyle w:val="TOC1"/>
        <w:tabs>
          <w:tab w:val="right" w:leader="dot" w:pos="9435"/>
        </w:tabs>
        <w:rPr>
          <w:rFonts w:eastAsiaTheme="minorEastAsia" w:cstheme="minorBidi"/>
          <w:b w:val="0"/>
          <w:bCs w:val="0"/>
          <w:i w:val="0"/>
          <w:iCs w:val="0"/>
          <w:noProof/>
          <w:sz w:val="22"/>
          <w:szCs w:val="22"/>
        </w:rPr>
      </w:pPr>
      <w:r w:rsidRPr="006D4EFF">
        <w:rPr>
          <w:b w:val="0"/>
          <w:bCs w:val="0"/>
          <w:i w:val="0"/>
          <w:caps/>
          <w:sz w:val="20"/>
          <w:szCs w:val="20"/>
        </w:rPr>
        <w:fldChar w:fldCharType="begin"/>
      </w:r>
      <w:r w:rsidRPr="006D4EFF">
        <w:rPr>
          <w:b w:val="0"/>
          <w:bCs w:val="0"/>
          <w:i w:val="0"/>
          <w:caps/>
          <w:sz w:val="20"/>
          <w:szCs w:val="20"/>
        </w:rPr>
        <w:instrText xml:space="preserve"> TOC \o "1-2" \h \z \u </w:instrText>
      </w:r>
      <w:r w:rsidRPr="006D4EFF">
        <w:rPr>
          <w:b w:val="0"/>
          <w:bCs w:val="0"/>
          <w:i w:val="0"/>
          <w:caps/>
          <w:sz w:val="20"/>
          <w:szCs w:val="20"/>
        </w:rPr>
        <w:fldChar w:fldCharType="separate"/>
      </w:r>
      <w:hyperlink w:anchor="_Toc536011601" w:history="1">
        <w:r w:rsidR="006D4EFF" w:rsidRPr="006D4EFF">
          <w:rPr>
            <w:rStyle w:val="Hyperlink"/>
            <w:b w:val="0"/>
            <w:i w:val="0"/>
            <w:noProof/>
          </w:rPr>
          <w:t>Acronyms and Abbreviations</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_Toc536011601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3</w:t>
        </w:r>
        <w:r w:rsidR="006D4EFF" w:rsidRPr="006D4EFF">
          <w:rPr>
            <w:b w:val="0"/>
            <w:i w:val="0"/>
            <w:noProof/>
            <w:webHidden/>
          </w:rPr>
          <w:fldChar w:fldCharType="end"/>
        </w:r>
      </w:hyperlink>
    </w:p>
    <w:p w:rsidR="006D4EFF" w:rsidRPr="006D4EFF" w:rsidRDefault="00115F35">
      <w:pPr>
        <w:pStyle w:val="TOC1"/>
        <w:tabs>
          <w:tab w:val="right" w:leader="dot" w:pos="9435"/>
        </w:tabs>
        <w:rPr>
          <w:rFonts w:eastAsiaTheme="minorEastAsia" w:cstheme="minorBidi"/>
          <w:b w:val="0"/>
          <w:bCs w:val="0"/>
          <w:i w:val="0"/>
          <w:iCs w:val="0"/>
          <w:noProof/>
          <w:sz w:val="22"/>
          <w:szCs w:val="22"/>
        </w:rPr>
      </w:pPr>
      <w:hyperlink w:anchor="_Toc536011602" w:history="1">
        <w:r w:rsidR="006D4EFF" w:rsidRPr="006D4EFF">
          <w:rPr>
            <w:rStyle w:val="Hyperlink"/>
            <w:b w:val="0"/>
            <w:i w:val="0"/>
            <w:noProof/>
          </w:rPr>
          <w:t>Executive Summary</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_Toc536011602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4</w:t>
        </w:r>
        <w:r w:rsidR="006D4EFF" w:rsidRPr="006D4EFF">
          <w:rPr>
            <w:b w:val="0"/>
            <w:i w:val="0"/>
            <w:noProof/>
            <w:webHidden/>
          </w:rPr>
          <w:fldChar w:fldCharType="end"/>
        </w:r>
      </w:hyperlink>
    </w:p>
    <w:p w:rsidR="006D4EFF" w:rsidRPr="006D4EFF" w:rsidRDefault="00115F35">
      <w:pPr>
        <w:pStyle w:val="TOC1"/>
        <w:tabs>
          <w:tab w:val="left" w:pos="440"/>
          <w:tab w:val="right" w:leader="dot" w:pos="9435"/>
        </w:tabs>
        <w:rPr>
          <w:rFonts w:eastAsiaTheme="minorEastAsia" w:cstheme="minorBidi"/>
          <w:b w:val="0"/>
          <w:bCs w:val="0"/>
          <w:i w:val="0"/>
          <w:iCs w:val="0"/>
          <w:noProof/>
          <w:sz w:val="22"/>
          <w:szCs w:val="22"/>
        </w:rPr>
      </w:pPr>
      <w:hyperlink w:anchor="_Toc536011603" w:history="1">
        <w:r w:rsidR="006D4EFF" w:rsidRPr="006D4EFF">
          <w:rPr>
            <w:rStyle w:val="Hyperlink"/>
            <w:b w:val="0"/>
            <w:i w:val="0"/>
            <w:noProof/>
          </w:rPr>
          <w:t>1</w:t>
        </w:r>
        <w:r w:rsidR="006D4EFF" w:rsidRPr="006D4EFF">
          <w:rPr>
            <w:rFonts w:eastAsiaTheme="minorEastAsia" w:cstheme="minorBidi"/>
            <w:b w:val="0"/>
            <w:bCs w:val="0"/>
            <w:i w:val="0"/>
            <w:iCs w:val="0"/>
            <w:noProof/>
            <w:sz w:val="22"/>
            <w:szCs w:val="22"/>
          </w:rPr>
          <w:tab/>
        </w:r>
        <w:r w:rsidR="006D4EFF" w:rsidRPr="006D4EFF">
          <w:rPr>
            <w:rStyle w:val="Hyperlink"/>
            <w:b w:val="0"/>
            <w:i w:val="0"/>
            <w:noProof/>
          </w:rPr>
          <w:t>Introduction</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_Toc536011603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5</w:t>
        </w:r>
        <w:r w:rsidR="006D4EFF" w:rsidRPr="006D4EFF">
          <w:rPr>
            <w:b w:val="0"/>
            <w:i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04" w:history="1">
        <w:r w:rsidR="006D4EFF" w:rsidRPr="006D4EFF">
          <w:rPr>
            <w:rStyle w:val="Hyperlink"/>
            <w:b w:val="0"/>
            <w:noProof/>
          </w:rPr>
          <w:t>1.1</w:t>
        </w:r>
        <w:r w:rsidR="006D4EFF" w:rsidRPr="006D4EFF">
          <w:rPr>
            <w:rFonts w:eastAsiaTheme="minorEastAsia" w:cstheme="minorBidi"/>
            <w:b w:val="0"/>
            <w:bCs w:val="0"/>
            <w:noProof/>
          </w:rPr>
          <w:tab/>
        </w:r>
        <w:r w:rsidR="006D4EFF" w:rsidRPr="006D4EFF">
          <w:rPr>
            <w:rStyle w:val="Hyperlink"/>
            <w:b w:val="0"/>
            <w:noProof/>
          </w:rPr>
          <w:t>Australian Refined Diagnosis Related Groups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_Toc536011604 \h </w:instrText>
        </w:r>
        <w:r w:rsidR="006D4EFF" w:rsidRPr="006D4EFF">
          <w:rPr>
            <w:b w:val="0"/>
            <w:noProof/>
            <w:webHidden/>
          </w:rPr>
        </w:r>
        <w:r w:rsidR="006D4EFF" w:rsidRPr="006D4EFF">
          <w:rPr>
            <w:b w:val="0"/>
            <w:noProof/>
            <w:webHidden/>
          </w:rPr>
          <w:fldChar w:fldCharType="separate"/>
        </w:r>
        <w:r w:rsidR="006D4EFF" w:rsidRPr="006D4EFF">
          <w:rPr>
            <w:b w:val="0"/>
            <w:noProof/>
            <w:webHidden/>
          </w:rPr>
          <w:t>5</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05" w:history="1">
        <w:r w:rsidR="006D4EFF" w:rsidRPr="006D4EFF">
          <w:rPr>
            <w:rStyle w:val="Hyperlink"/>
            <w:b w:val="0"/>
            <w:noProof/>
          </w:rPr>
          <w:t>1.2</w:t>
        </w:r>
        <w:r w:rsidR="006D4EFF" w:rsidRPr="006D4EFF">
          <w:rPr>
            <w:rFonts w:eastAsiaTheme="minorEastAsia" w:cstheme="minorBidi"/>
            <w:b w:val="0"/>
            <w:bCs w:val="0"/>
            <w:noProof/>
          </w:rPr>
          <w:tab/>
        </w:r>
        <w:r w:rsidR="006D4EFF" w:rsidRPr="006D4EFF">
          <w:rPr>
            <w:rStyle w:val="Hyperlink"/>
            <w:b w:val="0"/>
            <w:noProof/>
          </w:rPr>
          <w:t>Classification process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_Toc536011605 \h </w:instrText>
        </w:r>
        <w:r w:rsidR="006D4EFF" w:rsidRPr="006D4EFF">
          <w:rPr>
            <w:b w:val="0"/>
            <w:noProof/>
            <w:webHidden/>
          </w:rPr>
        </w:r>
        <w:r w:rsidR="006D4EFF" w:rsidRPr="006D4EFF">
          <w:rPr>
            <w:b w:val="0"/>
            <w:noProof/>
            <w:webHidden/>
          </w:rPr>
          <w:fldChar w:fldCharType="separate"/>
        </w:r>
        <w:r w:rsidR="006D4EFF" w:rsidRPr="006D4EFF">
          <w:rPr>
            <w:b w:val="0"/>
            <w:noProof/>
            <w:webHidden/>
          </w:rPr>
          <w:t>5</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06" w:history="1">
        <w:r w:rsidR="006D4EFF" w:rsidRPr="006D4EFF">
          <w:rPr>
            <w:rStyle w:val="Hyperlink"/>
            <w:b w:val="0"/>
            <w:noProof/>
          </w:rPr>
          <w:t>1.3</w:t>
        </w:r>
        <w:r w:rsidR="006D4EFF" w:rsidRPr="006D4EFF">
          <w:rPr>
            <w:rFonts w:eastAsiaTheme="minorEastAsia" w:cstheme="minorBidi"/>
            <w:b w:val="0"/>
            <w:bCs w:val="0"/>
            <w:noProof/>
          </w:rPr>
          <w:tab/>
        </w:r>
        <w:r w:rsidR="006D4EFF" w:rsidRPr="006D4EFF">
          <w:rPr>
            <w:rStyle w:val="Hyperlink"/>
            <w:b w:val="0"/>
            <w:noProof/>
          </w:rPr>
          <w:t>Episode clinical complexity</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_Toc536011606 \h </w:instrText>
        </w:r>
        <w:r w:rsidR="006D4EFF" w:rsidRPr="006D4EFF">
          <w:rPr>
            <w:b w:val="0"/>
            <w:noProof/>
            <w:webHidden/>
          </w:rPr>
        </w:r>
        <w:r w:rsidR="006D4EFF" w:rsidRPr="006D4EFF">
          <w:rPr>
            <w:b w:val="0"/>
            <w:noProof/>
            <w:webHidden/>
          </w:rPr>
          <w:fldChar w:fldCharType="separate"/>
        </w:r>
        <w:r w:rsidR="006D4EFF" w:rsidRPr="006D4EFF">
          <w:rPr>
            <w:b w:val="0"/>
            <w:noProof/>
            <w:webHidden/>
          </w:rPr>
          <w:t>7</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07" w:history="1">
        <w:r w:rsidR="006D4EFF" w:rsidRPr="006D4EFF">
          <w:rPr>
            <w:rStyle w:val="Hyperlink"/>
            <w:b w:val="0"/>
            <w:noProof/>
          </w:rPr>
          <w:t>1.4</w:t>
        </w:r>
        <w:r w:rsidR="006D4EFF" w:rsidRPr="006D4EFF">
          <w:rPr>
            <w:rFonts w:eastAsiaTheme="minorEastAsia" w:cstheme="minorBidi"/>
            <w:b w:val="0"/>
            <w:bCs w:val="0"/>
            <w:noProof/>
          </w:rPr>
          <w:tab/>
        </w:r>
        <w:r w:rsidR="006D4EFF" w:rsidRPr="006D4EFF">
          <w:rPr>
            <w:rStyle w:val="Hyperlink"/>
            <w:b w:val="0"/>
            <w:noProof/>
          </w:rPr>
          <w:t>Governance and consultation process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_Toc536011607 \h </w:instrText>
        </w:r>
        <w:r w:rsidR="006D4EFF" w:rsidRPr="006D4EFF">
          <w:rPr>
            <w:b w:val="0"/>
            <w:noProof/>
            <w:webHidden/>
          </w:rPr>
        </w:r>
        <w:r w:rsidR="006D4EFF" w:rsidRPr="006D4EFF">
          <w:rPr>
            <w:b w:val="0"/>
            <w:noProof/>
            <w:webHidden/>
          </w:rPr>
          <w:fldChar w:fldCharType="separate"/>
        </w:r>
        <w:r w:rsidR="006D4EFF" w:rsidRPr="006D4EFF">
          <w:rPr>
            <w:b w:val="0"/>
            <w:noProof/>
            <w:webHidden/>
          </w:rPr>
          <w:t>7</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08" w:history="1">
        <w:r w:rsidR="006D4EFF" w:rsidRPr="006D4EFF">
          <w:rPr>
            <w:rStyle w:val="Hyperlink"/>
            <w:b w:val="0"/>
            <w:noProof/>
          </w:rPr>
          <w:t>1.5</w:t>
        </w:r>
        <w:r w:rsidR="006D4EFF" w:rsidRPr="006D4EFF">
          <w:rPr>
            <w:rFonts w:eastAsiaTheme="minorEastAsia" w:cstheme="minorBidi"/>
            <w:b w:val="0"/>
            <w:bCs w:val="0"/>
            <w:noProof/>
          </w:rPr>
          <w:tab/>
        </w:r>
        <w:r w:rsidR="006D4EFF" w:rsidRPr="006D4EFF">
          <w:rPr>
            <w:rStyle w:val="Hyperlink"/>
            <w:b w:val="0"/>
            <w:noProof/>
          </w:rPr>
          <w:t>Other documents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_Toc536011608 \h </w:instrText>
        </w:r>
        <w:r w:rsidR="006D4EFF" w:rsidRPr="006D4EFF">
          <w:rPr>
            <w:b w:val="0"/>
            <w:noProof/>
            <w:webHidden/>
          </w:rPr>
        </w:r>
        <w:r w:rsidR="006D4EFF" w:rsidRPr="006D4EFF">
          <w:rPr>
            <w:b w:val="0"/>
            <w:noProof/>
            <w:webHidden/>
          </w:rPr>
          <w:fldChar w:fldCharType="separate"/>
        </w:r>
        <w:r w:rsidR="006D4EFF" w:rsidRPr="006D4EFF">
          <w:rPr>
            <w:b w:val="0"/>
            <w:noProof/>
            <w:webHidden/>
          </w:rPr>
          <w:t>8</w:t>
        </w:r>
        <w:r w:rsidR="006D4EFF" w:rsidRPr="006D4EFF">
          <w:rPr>
            <w:b w:val="0"/>
            <w:noProof/>
            <w:webHidden/>
          </w:rPr>
          <w:fldChar w:fldCharType="end"/>
        </w:r>
      </w:hyperlink>
    </w:p>
    <w:p w:rsidR="006D4EFF" w:rsidRPr="006D4EFF" w:rsidRDefault="00115F35">
      <w:pPr>
        <w:pStyle w:val="TOC1"/>
        <w:tabs>
          <w:tab w:val="left" w:pos="440"/>
          <w:tab w:val="right" w:leader="dot" w:pos="9435"/>
        </w:tabs>
        <w:rPr>
          <w:rFonts w:eastAsiaTheme="minorEastAsia" w:cstheme="minorBidi"/>
          <w:b w:val="0"/>
          <w:bCs w:val="0"/>
          <w:i w:val="0"/>
          <w:iCs w:val="0"/>
          <w:noProof/>
          <w:sz w:val="22"/>
          <w:szCs w:val="22"/>
        </w:rPr>
      </w:pPr>
      <w:hyperlink w:anchor="_Toc536011609" w:history="1">
        <w:r w:rsidR="006D4EFF" w:rsidRPr="006D4EFF">
          <w:rPr>
            <w:rStyle w:val="Hyperlink"/>
            <w:b w:val="0"/>
            <w:i w:val="0"/>
            <w:noProof/>
          </w:rPr>
          <w:t>2</w:t>
        </w:r>
        <w:r w:rsidR="006D4EFF" w:rsidRPr="006D4EFF">
          <w:rPr>
            <w:rFonts w:eastAsiaTheme="minorEastAsia" w:cstheme="minorBidi"/>
            <w:b w:val="0"/>
            <w:bCs w:val="0"/>
            <w:i w:val="0"/>
            <w:iCs w:val="0"/>
            <w:noProof/>
            <w:sz w:val="22"/>
            <w:szCs w:val="22"/>
          </w:rPr>
          <w:tab/>
        </w:r>
        <w:r w:rsidR="006D4EFF" w:rsidRPr="006D4EFF">
          <w:rPr>
            <w:rStyle w:val="Hyperlink"/>
            <w:b w:val="0"/>
            <w:i w:val="0"/>
            <w:noProof/>
          </w:rPr>
          <w:t>Development of Work Program</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_Toc536011609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9</w:t>
        </w:r>
        <w:r w:rsidR="006D4EFF" w:rsidRPr="006D4EFF">
          <w:rPr>
            <w:b w:val="0"/>
            <w:i w:val="0"/>
            <w:noProof/>
            <w:webHidden/>
          </w:rPr>
          <w:fldChar w:fldCharType="end"/>
        </w:r>
      </w:hyperlink>
    </w:p>
    <w:p w:rsidR="006D4EFF" w:rsidRPr="006D4EFF" w:rsidRDefault="00115F35">
      <w:pPr>
        <w:pStyle w:val="TOC1"/>
        <w:tabs>
          <w:tab w:val="left" w:pos="440"/>
          <w:tab w:val="right" w:leader="dot" w:pos="9435"/>
        </w:tabs>
        <w:rPr>
          <w:rFonts w:eastAsiaTheme="minorEastAsia" w:cstheme="minorBidi"/>
          <w:b w:val="0"/>
          <w:bCs w:val="0"/>
          <w:i w:val="0"/>
          <w:iCs w:val="0"/>
          <w:noProof/>
          <w:sz w:val="22"/>
          <w:szCs w:val="22"/>
        </w:rPr>
      </w:pPr>
      <w:hyperlink w:anchor="_Toc536011610" w:history="1">
        <w:r w:rsidR="006D4EFF" w:rsidRPr="006D4EFF">
          <w:rPr>
            <w:rStyle w:val="Hyperlink"/>
            <w:b w:val="0"/>
            <w:i w:val="0"/>
            <w:noProof/>
          </w:rPr>
          <w:t>3</w:t>
        </w:r>
        <w:r w:rsidR="006D4EFF" w:rsidRPr="006D4EFF">
          <w:rPr>
            <w:rFonts w:eastAsiaTheme="minorEastAsia" w:cstheme="minorBidi"/>
            <w:b w:val="0"/>
            <w:bCs w:val="0"/>
            <w:i w:val="0"/>
            <w:iCs w:val="0"/>
            <w:noProof/>
            <w:sz w:val="22"/>
            <w:szCs w:val="22"/>
          </w:rPr>
          <w:tab/>
        </w:r>
        <w:r w:rsidR="006D4EFF" w:rsidRPr="006D4EFF">
          <w:rPr>
            <w:rStyle w:val="Hyperlink"/>
            <w:b w:val="0"/>
            <w:i w:val="0"/>
            <w:noProof/>
          </w:rPr>
          <w:t>Refinement of AR-DRG Version 10.0</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_Toc536011610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10</w:t>
        </w:r>
        <w:r w:rsidR="006D4EFF" w:rsidRPr="006D4EFF">
          <w:rPr>
            <w:b w:val="0"/>
            <w:i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1" w:history="1">
        <w:r w:rsidR="006D4EFF" w:rsidRPr="006D4EFF">
          <w:rPr>
            <w:rStyle w:val="Hyperlink"/>
            <w:b w:val="0"/>
            <w:noProof/>
          </w:rPr>
          <w:t>3.1</w:t>
        </w:r>
        <w:r w:rsidR="006D4EFF" w:rsidRPr="006D4EFF">
          <w:rPr>
            <w:rFonts w:eastAsiaTheme="minorEastAsia" w:cstheme="minorBidi"/>
            <w:b w:val="0"/>
            <w:bCs w:val="0"/>
            <w:noProof/>
          </w:rPr>
          <w:tab/>
        </w:r>
        <w:r w:rsidR="006D4EFF" w:rsidRPr="006D4EFF">
          <w:rPr>
            <w:rStyle w:val="Hyperlink"/>
            <w:b w:val="0"/>
            <w:noProof/>
          </w:rPr>
          <w:t>Refinements to diagnosis exclusions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_Toc536011611 \h </w:instrText>
        </w:r>
        <w:r w:rsidR="006D4EFF" w:rsidRPr="006D4EFF">
          <w:rPr>
            <w:b w:val="0"/>
            <w:noProof/>
            <w:webHidden/>
          </w:rPr>
        </w:r>
        <w:r w:rsidR="006D4EFF" w:rsidRPr="006D4EFF">
          <w:rPr>
            <w:b w:val="0"/>
            <w:noProof/>
            <w:webHidden/>
          </w:rPr>
          <w:fldChar w:fldCharType="separate"/>
        </w:r>
        <w:r w:rsidR="006D4EFF" w:rsidRPr="006D4EFF">
          <w:rPr>
            <w:b w:val="0"/>
            <w:noProof/>
            <w:webHidden/>
          </w:rPr>
          <w:t>10</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2" w:history="1">
        <w:r w:rsidR="006D4EFF" w:rsidRPr="006D4EFF">
          <w:rPr>
            <w:rStyle w:val="Hyperlink"/>
            <w:b w:val="0"/>
            <w:noProof/>
          </w:rPr>
          <w:t>3.2</w:t>
        </w:r>
        <w:r w:rsidR="006D4EFF" w:rsidRPr="006D4EFF">
          <w:rPr>
            <w:rFonts w:eastAsiaTheme="minorEastAsia" w:cstheme="minorBidi"/>
            <w:b w:val="0"/>
            <w:bCs w:val="0"/>
            <w:noProof/>
          </w:rPr>
          <w:tab/>
        </w:r>
        <w:r w:rsidR="006D4EFF" w:rsidRPr="006D4EFF">
          <w:rPr>
            <w:rStyle w:val="Hyperlink"/>
            <w:b w:val="0"/>
            <w:noProof/>
          </w:rPr>
          <w:t>Stability of the AR-DRG complexity model</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_Toc536011612 \h </w:instrText>
        </w:r>
        <w:r w:rsidR="006D4EFF" w:rsidRPr="006D4EFF">
          <w:rPr>
            <w:b w:val="0"/>
            <w:noProof/>
            <w:webHidden/>
          </w:rPr>
        </w:r>
        <w:r w:rsidR="006D4EFF" w:rsidRPr="006D4EFF">
          <w:rPr>
            <w:b w:val="0"/>
            <w:noProof/>
            <w:webHidden/>
          </w:rPr>
          <w:fldChar w:fldCharType="separate"/>
        </w:r>
        <w:r w:rsidR="006D4EFF" w:rsidRPr="006D4EFF">
          <w:rPr>
            <w:b w:val="0"/>
            <w:noProof/>
            <w:webHidden/>
          </w:rPr>
          <w:t>11</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3" w:history="1">
        <w:r w:rsidR="006D4EFF" w:rsidRPr="006D4EFF">
          <w:rPr>
            <w:rStyle w:val="Hyperlink"/>
            <w:b w:val="0"/>
            <w:noProof/>
          </w:rPr>
          <w:t>3.3</w:t>
        </w:r>
        <w:r w:rsidR="006D4EFF" w:rsidRPr="006D4EFF">
          <w:rPr>
            <w:rFonts w:eastAsiaTheme="minorEastAsia" w:cstheme="minorBidi"/>
            <w:b w:val="0"/>
            <w:bCs w:val="0"/>
            <w:noProof/>
          </w:rPr>
          <w:tab/>
        </w:r>
        <w:r w:rsidR="006D4EFF" w:rsidRPr="006D4EFF">
          <w:rPr>
            <w:rStyle w:val="Hyperlink"/>
            <w:b w:val="0"/>
            <w:noProof/>
          </w:rPr>
          <w:t>Nephrolithiasis interventions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_Toc536011613 \h </w:instrText>
        </w:r>
        <w:r w:rsidR="006D4EFF" w:rsidRPr="006D4EFF">
          <w:rPr>
            <w:b w:val="0"/>
            <w:noProof/>
            <w:webHidden/>
          </w:rPr>
        </w:r>
        <w:r w:rsidR="006D4EFF" w:rsidRPr="006D4EFF">
          <w:rPr>
            <w:b w:val="0"/>
            <w:noProof/>
            <w:webHidden/>
          </w:rPr>
          <w:fldChar w:fldCharType="separate"/>
        </w:r>
        <w:r w:rsidR="006D4EFF" w:rsidRPr="006D4EFF">
          <w:rPr>
            <w:b w:val="0"/>
            <w:noProof/>
            <w:webHidden/>
          </w:rPr>
          <w:t>12</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4" w:history="1">
        <w:r w:rsidR="006D4EFF" w:rsidRPr="006D4EFF">
          <w:rPr>
            <w:rStyle w:val="Hyperlink"/>
            <w:b w:val="0"/>
            <w:noProof/>
          </w:rPr>
          <w:t>3.4</w:t>
        </w:r>
        <w:r w:rsidR="006D4EFF" w:rsidRPr="006D4EFF">
          <w:rPr>
            <w:rFonts w:eastAsiaTheme="minorEastAsia" w:cstheme="minorBidi"/>
            <w:b w:val="0"/>
            <w:bCs w:val="0"/>
            <w:noProof/>
          </w:rPr>
          <w:tab/>
        </w:r>
        <w:r w:rsidR="006D4EFF" w:rsidRPr="006D4EFF">
          <w:rPr>
            <w:rStyle w:val="Hyperlink"/>
            <w:b w:val="0"/>
            <w:noProof/>
          </w:rPr>
          <w:t>Removal of the rehabilitation ADRG</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_Toc536011614 \h </w:instrText>
        </w:r>
        <w:r w:rsidR="006D4EFF" w:rsidRPr="006D4EFF">
          <w:rPr>
            <w:b w:val="0"/>
            <w:noProof/>
            <w:webHidden/>
          </w:rPr>
        </w:r>
        <w:r w:rsidR="006D4EFF" w:rsidRPr="006D4EFF">
          <w:rPr>
            <w:b w:val="0"/>
            <w:noProof/>
            <w:webHidden/>
          </w:rPr>
          <w:fldChar w:fldCharType="separate"/>
        </w:r>
        <w:r w:rsidR="006D4EFF" w:rsidRPr="006D4EFF">
          <w:rPr>
            <w:b w:val="0"/>
            <w:noProof/>
            <w:webHidden/>
          </w:rPr>
          <w:t>13</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5" w:history="1">
        <w:r w:rsidR="006D4EFF" w:rsidRPr="006D4EFF">
          <w:rPr>
            <w:rStyle w:val="Hyperlink"/>
            <w:b w:val="0"/>
            <w:noProof/>
          </w:rPr>
          <w:t>3.5</w:t>
        </w:r>
        <w:r w:rsidR="006D4EFF" w:rsidRPr="006D4EFF">
          <w:rPr>
            <w:rFonts w:eastAsiaTheme="minorEastAsia" w:cstheme="minorBidi"/>
            <w:b w:val="0"/>
            <w:bCs w:val="0"/>
            <w:noProof/>
          </w:rPr>
          <w:tab/>
        </w:r>
        <w:r w:rsidR="006D4EFF" w:rsidRPr="006D4EFF">
          <w:rPr>
            <w:rStyle w:val="Hyperlink"/>
            <w:b w:val="0"/>
            <w:noProof/>
          </w:rPr>
          <w:t>Liver procurement from a living donor</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_Toc536011615 \h </w:instrText>
        </w:r>
        <w:r w:rsidR="006D4EFF" w:rsidRPr="006D4EFF">
          <w:rPr>
            <w:b w:val="0"/>
            <w:noProof/>
            <w:webHidden/>
          </w:rPr>
        </w:r>
        <w:r w:rsidR="006D4EFF" w:rsidRPr="006D4EFF">
          <w:rPr>
            <w:b w:val="0"/>
            <w:noProof/>
            <w:webHidden/>
          </w:rPr>
          <w:fldChar w:fldCharType="separate"/>
        </w:r>
        <w:r w:rsidR="006D4EFF" w:rsidRPr="006D4EFF">
          <w:rPr>
            <w:b w:val="0"/>
            <w:noProof/>
            <w:webHidden/>
          </w:rPr>
          <w:t>13</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6" w:history="1">
        <w:r w:rsidR="006D4EFF" w:rsidRPr="006D4EFF">
          <w:rPr>
            <w:rStyle w:val="Hyperlink"/>
            <w:b w:val="0"/>
            <w:noProof/>
          </w:rPr>
          <w:t>3.6</w:t>
        </w:r>
        <w:r w:rsidR="006D4EFF" w:rsidRPr="006D4EFF">
          <w:rPr>
            <w:rFonts w:eastAsiaTheme="minorEastAsia" w:cstheme="minorBidi"/>
            <w:b w:val="0"/>
            <w:bCs w:val="0"/>
            <w:noProof/>
          </w:rPr>
          <w:tab/>
        </w:r>
        <w:r w:rsidR="006D4EFF" w:rsidRPr="006D4EFF">
          <w:rPr>
            <w:rStyle w:val="Hyperlink"/>
            <w:b w:val="0"/>
            <w:noProof/>
          </w:rPr>
          <w:t>Osseointegration interventions</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_Toc536011616 \h </w:instrText>
        </w:r>
        <w:r w:rsidR="006D4EFF" w:rsidRPr="006D4EFF">
          <w:rPr>
            <w:b w:val="0"/>
            <w:noProof/>
            <w:webHidden/>
          </w:rPr>
        </w:r>
        <w:r w:rsidR="006D4EFF" w:rsidRPr="006D4EFF">
          <w:rPr>
            <w:b w:val="0"/>
            <w:noProof/>
            <w:webHidden/>
          </w:rPr>
          <w:fldChar w:fldCharType="separate"/>
        </w:r>
        <w:r w:rsidR="006D4EFF" w:rsidRPr="006D4EFF">
          <w:rPr>
            <w:b w:val="0"/>
            <w:noProof/>
            <w:webHidden/>
          </w:rPr>
          <w:t>13</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7" w:history="1">
        <w:r w:rsidR="006D4EFF" w:rsidRPr="006D4EFF">
          <w:rPr>
            <w:rStyle w:val="Hyperlink"/>
            <w:b w:val="0"/>
            <w:noProof/>
          </w:rPr>
          <w:t>3.7</w:t>
        </w:r>
        <w:r w:rsidR="006D4EFF" w:rsidRPr="006D4EFF">
          <w:rPr>
            <w:rFonts w:eastAsiaTheme="minorEastAsia" w:cstheme="minorBidi"/>
            <w:b w:val="0"/>
            <w:bCs w:val="0"/>
            <w:noProof/>
          </w:rPr>
          <w:tab/>
        </w:r>
        <w:r w:rsidR="006D4EFF" w:rsidRPr="006D4EFF">
          <w:rPr>
            <w:rStyle w:val="Hyperlink"/>
            <w:b w:val="0"/>
            <w:noProof/>
          </w:rPr>
          <w:t>Intervention hierarchy review</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_Toc536011617 \h </w:instrText>
        </w:r>
        <w:r w:rsidR="006D4EFF" w:rsidRPr="006D4EFF">
          <w:rPr>
            <w:b w:val="0"/>
            <w:noProof/>
            <w:webHidden/>
          </w:rPr>
        </w:r>
        <w:r w:rsidR="006D4EFF" w:rsidRPr="006D4EFF">
          <w:rPr>
            <w:b w:val="0"/>
            <w:noProof/>
            <w:webHidden/>
          </w:rPr>
          <w:fldChar w:fldCharType="separate"/>
        </w:r>
        <w:r w:rsidR="006D4EFF" w:rsidRPr="006D4EFF">
          <w:rPr>
            <w:b w:val="0"/>
            <w:noProof/>
            <w:webHidden/>
          </w:rPr>
          <w:t>13</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18" w:history="1">
        <w:r w:rsidR="006D4EFF" w:rsidRPr="006D4EFF">
          <w:rPr>
            <w:rStyle w:val="Hyperlink"/>
            <w:b w:val="0"/>
            <w:noProof/>
          </w:rPr>
          <w:t>3.8</w:t>
        </w:r>
        <w:r w:rsidR="006D4EFF" w:rsidRPr="006D4EFF">
          <w:rPr>
            <w:rFonts w:eastAsiaTheme="minorEastAsia" w:cstheme="minorBidi"/>
            <w:b w:val="0"/>
            <w:bCs w:val="0"/>
            <w:noProof/>
          </w:rPr>
          <w:tab/>
        </w:r>
        <w:r w:rsidR="006D4EFF" w:rsidRPr="006D4EFF">
          <w:rPr>
            <w:rStyle w:val="Hyperlink"/>
            <w:b w:val="0"/>
            <w:noProof/>
          </w:rPr>
          <w:t>ADRG splitting criteria review</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_Toc536011618 \h </w:instrText>
        </w:r>
        <w:r w:rsidR="006D4EFF" w:rsidRPr="006D4EFF">
          <w:rPr>
            <w:b w:val="0"/>
            <w:noProof/>
            <w:webHidden/>
          </w:rPr>
        </w:r>
        <w:r w:rsidR="006D4EFF" w:rsidRPr="006D4EFF">
          <w:rPr>
            <w:b w:val="0"/>
            <w:noProof/>
            <w:webHidden/>
          </w:rPr>
          <w:fldChar w:fldCharType="separate"/>
        </w:r>
        <w:r w:rsidR="006D4EFF" w:rsidRPr="006D4EFF">
          <w:rPr>
            <w:b w:val="0"/>
            <w:noProof/>
            <w:webHidden/>
          </w:rPr>
          <w:t>14</w:t>
        </w:r>
        <w:r w:rsidR="006D4EFF" w:rsidRPr="006D4EFF">
          <w:rPr>
            <w:b w:val="0"/>
            <w:noProof/>
            <w:webHidden/>
          </w:rPr>
          <w:fldChar w:fldCharType="end"/>
        </w:r>
      </w:hyperlink>
    </w:p>
    <w:p w:rsidR="006D4EFF" w:rsidRPr="006D4EFF" w:rsidRDefault="00115F35">
      <w:pPr>
        <w:pStyle w:val="TOC1"/>
        <w:tabs>
          <w:tab w:val="left" w:pos="440"/>
          <w:tab w:val="right" w:leader="dot" w:pos="9435"/>
        </w:tabs>
        <w:rPr>
          <w:rFonts w:eastAsiaTheme="minorEastAsia" w:cstheme="minorBidi"/>
          <w:b w:val="0"/>
          <w:bCs w:val="0"/>
          <w:i w:val="0"/>
          <w:iCs w:val="0"/>
          <w:noProof/>
          <w:sz w:val="22"/>
          <w:szCs w:val="22"/>
        </w:rPr>
      </w:pPr>
      <w:hyperlink w:anchor="_Toc536011619" w:history="1">
        <w:r w:rsidR="006D4EFF" w:rsidRPr="006D4EFF">
          <w:rPr>
            <w:rStyle w:val="Hyperlink"/>
            <w:b w:val="0"/>
            <w:i w:val="0"/>
            <w:noProof/>
          </w:rPr>
          <w:t>4</w:t>
        </w:r>
        <w:r w:rsidR="006D4EFF" w:rsidRPr="006D4EFF">
          <w:rPr>
            <w:rFonts w:eastAsiaTheme="minorEastAsia" w:cstheme="minorBidi"/>
            <w:b w:val="0"/>
            <w:bCs w:val="0"/>
            <w:i w:val="0"/>
            <w:iCs w:val="0"/>
            <w:noProof/>
            <w:sz w:val="22"/>
            <w:szCs w:val="22"/>
          </w:rPr>
          <w:tab/>
        </w:r>
        <w:r w:rsidR="006D4EFF" w:rsidRPr="006D4EFF">
          <w:rPr>
            <w:rStyle w:val="Hyperlink"/>
            <w:b w:val="0"/>
            <w:i w:val="0"/>
            <w:noProof/>
          </w:rPr>
          <w:t>AR-DRG V10.0 Overview</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_Toc536011619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16</w:t>
        </w:r>
        <w:r w:rsidR="006D4EFF" w:rsidRPr="006D4EFF">
          <w:rPr>
            <w:b w:val="0"/>
            <w:i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20" w:history="1">
        <w:r w:rsidR="006D4EFF" w:rsidRPr="006D4EFF">
          <w:rPr>
            <w:rStyle w:val="Hyperlink"/>
            <w:b w:val="0"/>
            <w:noProof/>
          </w:rPr>
          <w:t>4.1</w:t>
        </w:r>
        <w:r w:rsidR="006D4EFF" w:rsidRPr="006D4EFF">
          <w:rPr>
            <w:rFonts w:eastAsiaTheme="minorEastAsia" w:cstheme="minorBidi"/>
            <w:b w:val="0"/>
            <w:bCs w:val="0"/>
            <w:noProof/>
          </w:rPr>
          <w:tab/>
        </w:r>
        <w:r w:rsidR="006D4EFF" w:rsidRPr="006D4EFF">
          <w:rPr>
            <w:rStyle w:val="Hyperlink"/>
            <w:b w:val="0"/>
            <w:noProof/>
          </w:rPr>
          <w:t>ADRG Structure</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_Toc536011620 \h </w:instrText>
        </w:r>
        <w:r w:rsidR="006D4EFF" w:rsidRPr="006D4EFF">
          <w:rPr>
            <w:b w:val="0"/>
            <w:noProof/>
            <w:webHidden/>
          </w:rPr>
        </w:r>
        <w:r w:rsidR="006D4EFF" w:rsidRPr="006D4EFF">
          <w:rPr>
            <w:b w:val="0"/>
            <w:noProof/>
            <w:webHidden/>
          </w:rPr>
          <w:fldChar w:fldCharType="separate"/>
        </w:r>
        <w:r w:rsidR="006D4EFF" w:rsidRPr="006D4EFF">
          <w:rPr>
            <w:b w:val="0"/>
            <w:noProof/>
            <w:webHidden/>
          </w:rPr>
          <w:t>16</w:t>
        </w:r>
        <w:r w:rsidR="006D4EFF" w:rsidRPr="006D4EFF">
          <w:rPr>
            <w:b w:val="0"/>
            <w:noProof/>
            <w:webHidden/>
          </w:rPr>
          <w:fldChar w:fldCharType="end"/>
        </w:r>
      </w:hyperlink>
    </w:p>
    <w:p w:rsidR="006D4EFF" w:rsidRPr="006D4EFF" w:rsidRDefault="00115F35">
      <w:pPr>
        <w:pStyle w:val="TOC2"/>
        <w:tabs>
          <w:tab w:val="left" w:pos="880"/>
          <w:tab w:val="right" w:leader="dot" w:pos="9435"/>
        </w:tabs>
        <w:rPr>
          <w:rFonts w:eastAsiaTheme="minorEastAsia" w:cstheme="minorBidi"/>
          <w:b w:val="0"/>
          <w:bCs w:val="0"/>
          <w:noProof/>
        </w:rPr>
      </w:pPr>
      <w:hyperlink w:anchor="_Toc536011621" w:history="1">
        <w:r w:rsidR="006D4EFF" w:rsidRPr="006D4EFF">
          <w:rPr>
            <w:rStyle w:val="Hyperlink"/>
            <w:b w:val="0"/>
            <w:noProof/>
          </w:rPr>
          <w:t>4.2</w:t>
        </w:r>
        <w:r w:rsidR="006D4EFF" w:rsidRPr="006D4EFF">
          <w:rPr>
            <w:rFonts w:eastAsiaTheme="minorEastAsia" w:cstheme="minorBidi"/>
            <w:b w:val="0"/>
            <w:bCs w:val="0"/>
            <w:noProof/>
          </w:rPr>
          <w:tab/>
        </w:r>
        <w:r w:rsidR="006D4EFF" w:rsidRPr="006D4EFF">
          <w:rPr>
            <w:rStyle w:val="Hyperlink"/>
            <w:b w:val="0"/>
            <w:noProof/>
          </w:rPr>
          <w:t>Statistical Performance</w:t>
        </w:r>
        <w:r w:rsidR="006D4EFF" w:rsidRPr="006D4EFF">
          <w:rPr>
            <w:b w:val="0"/>
            <w:noProof/>
            <w:webHidden/>
          </w:rPr>
          <w:tab/>
        </w:r>
        <w:r w:rsidR="006D4EFF" w:rsidRPr="006D4EFF">
          <w:rPr>
            <w:b w:val="0"/>
            <w:noProof/>
            <w:webHidden/>
          </w:rPr>
          <w:fldChar w:fldCharType="begin"/>
        </w:r>
        <w:r w:rsidR="006D4EFF" w:rsidRPr="006D4EFF">
          <w:rPr>
            <w:b w:val="0"/>
            <w:noProof/>
            <w:webHidden/>
          </w:rPr>
          <w:instrText xml:space="preserve"> PAGEREF _Toc536011621 \h </w:instrText>
        </w:r>
        <w:r w:rsidR="006D4EFF" w:rsidRPr="006D4EFF">
          <w:rPr>
            <w:b w:val="0"/>
            <w:noProof/>
            <w:webHidden/>
          </w:rPr>
        </w:r>
        <w:r w:rsidR="006D4EFF" w:rsidRPr="006D4EFF">
          <w:rPr>
            <w:b w:val="0"/>
            <w:noProof/>
            <w:webHidden/>
          </w:rPr>
          <w:fldChar w:fldCharType="separate"/>
        </w:r>
        <w:r w:rsidR="006D4EFF" w:rsidRPr="006D4EFF">
          <w:rPr>
            <w:b w:val="0"/>
            <w:noProof/>
            <w:webHidden/>
          </w:rPr>
          <w:t>16</w:t>
        </w:r>
        <w:r w:rsidR="006D4EFF" w:rsidRPr="006D4EFF">
          <w:rPr>
            <w:b w:val="0"/>
            <w:noProof/>
            <w:webHidden/>
          </w:rPr>
          <w:fldChar w:fldCharType="end"/>
        </w:r>
      </w:hyperlink>
    </w:p>
    <w:p w:rsidR="006D4EFF" w:rsidRPr="006D4EFF" w:rsidRDefault="00115F35">
      <w:pPr>
        <w:pStyle w:val="TOC1"/>
        <w:tabs>
          <w:tab w:val="right" w:leader="dot" w:pos="9435"/>
        </w:tabs>
        <w:rPr>
          <w:rFonts w:eastAsiaTheme="minorEastAsia" w:cstheme="minorBidi"/>
          <w:b w:val="0"/>
          <w:bCs w:val="0"/>
          <w:i w:val="0"/>
          <w:iCs w:val="0"/>
          <w:noProof/>
          <w:sz w:val="22"/>
          <w:szCs w:val="22"/>
        </w:rPr>
      </w:pPr>
      <w:hyperlink w:anchor="_Toc536011622" w:history="1">
        <w:r w:rsidR="006D4EFF" w:rsidRPr="006D4EFF">
          <w:rPr>
            <w:rStyle w:val="Hyperlink"/>
            <w:b w:val="0"/>
            <w:i w:val="0"/>
            <w:noProof/>
          </w:rPr>
          <w:t>Appendix A: AR-DRG V10.0 Descriptions</w:t>
        </w:r>
        <w:r w:rsidR="006D4EFF" w:rsidRPr="006D4EFF">
          <w:rPr>
            <w:b w:val="0"/>
            <w:i w:val="0"/>
            <w:noProof/>
            <w:webHidden/>
          </w:rPr>
          <w:tab/>
        </w:r>
        <w:r w:rsidR="006D4EFF" w:rsidRPr="006D4EFF">
          <w:rPr>
            <w:b w:val="0"/>
            <w:i w:val="0"/>
            <w:noProof/>
            <w:webHidden/>
          </w:rPr>
          <w:fldChar w:fldCharType="begin"/>
        </w:r>
        <w:r w:rsidR="006D4EFF" w:rsidRPr="006D4EFF">
          <w:rPr>
            <w:b w:val="0"/>
            <w:i w:val="0"/>
            <w:noProof/>
            <w:webHidden/>
          </w:rPr>
          <w:instrText xml:space="preserve"> PAGEREF _Toc536011622 \h </w:instrText>
        </w:r>
        <w:r w:rsidR="006D4EFF" w:rsidRPr="006D4EFF">
          <w:rPr>
            <w:b w:val="0"/>
            <w:i w:val="0"/>
            <w:noProof/>
            <w:webHidden/>
          </w:rPr>
        </w:r>
        <w:r w:rsidR="006D4EFF" w:rsidRPr="006D4EFF">
          <w:rPr>
            <w:b w:val="0"/>
            <w:i w:val="0"/>
            <w:noProof/>
            <w:webHidden/>
          </w:rPr>
          <w:fldChar w:fldCharType="separate"/>
        </w:r>
        <w:r w:rsidR="006D4EFF" w:rsidRPr="006D4EFF">
          <w:rPr>
            <w:b w:val="0"/>
            <w:i w:val="0"/>
            <w:noProof/>
            <w:webHidden/>
          </w:rPr>
          <w:t>17</w:t>
        </w:r>
        <w:r w:rsidR="006D4EFF" w:rsidRPr="006D4EFF">
          <w:rPr>
            <w:b w:val="0"/>
            <w:i w:val="0"/>
            <w:noProof/>
            <w:webHidden/>
          </w:rPr>
          <w:fldChar w:fldCharType="end"/>
        </w:r>
      </w:hyperlink>
    </w:p>
    <w:p w:rsidR="00E503E4" w:rsidRPr="006D4EFF" w:rsidRDefault="003F0D6F" w:rsidP="002E03C4">
      <w:pPr>
        <w:pStyle w:val="Heading1"/>
        <w:numPr>
          <w:ilvl w:val="0"/>
          <w:numId w:val="0"/>
        </w:numPr>
        <w:ind w:left="432" w:hanging="432"/>
        <w:rPr>
          <w:b w:val="0"/>
        </w:rPr>
      </w:pPr>
      <w:r w:rsidRPr="006D4EFF">
        <w:rPr>
          <w:rFonts w:asciiTheme="minorHAnsi" w:hAnsiTheme="minorHAnsi" w:cstheme="minorHAnsi"/>
          <w:b w:val="0"/>
          <w:bCs/>
          <w:caps/>
          <w:sz w:val="20"/>
          <w:szCs w:val="20"/>
        </w:rPr>
        <w:fldChar w:fldCharType="end"/>
      </w:r>
      <w:r w:rsidR="00E503E4" w:rsidRPr="006D4EFF">
        <w:rPr>
          <w:b w:val="0"/>
        </w:rPr>
        <w:br w:type="page"/>
      </w:r>
    </w:p>
    <w:p w:rsidR="004B4BC0" w:rsidRPr="00555433" w:rsidRDefault="00EE1022" w:rsidP="00757D79">
      <w:pPr>
        <w:pStyle w:val="Heading1"/>
        <w:numPr>
          <w:ilvl w:val="0"/>
          <w:numId w:val="0"/>
        </w:numPr>
        <w:ind w:left="432" w:hanging="432"/>
      </w:pPr>
      <w:bookmarkStart w:id="12" w:name="_Toc534624592"/>
      <w:bookmarkStart w:id="13" w:name="_Toc534633015"/>
      <w:bookmarkStart w:id="14" w:name="_Toc534875724"/>
      <w:bookmarkStart w:id="15" w:name="_Toc536011601"/>
      <w:r>
        <w:t xml:space="preserve">Acronyms and </w:t>
      </w:r>
      <w:r w:rsidR="006D4EFF">
        <w:t>A</w:t>
      </w:r>
      <w:r>
        <w:t>bbreviations</w:t>
      </w:r>
      <w:bookmarkEnd w:id="11"/>
      <w:bookmarkEnd w:id="12"/>
      <w:bookmarkEnd w:id="13"/>
      <w:bookmarkEnd w:id="14"/>
      <w:bookmarkEnd w:id="15"/>
    </w:p>
    <w:tbl>
      <w:tblPr>
        <w:tblW w:w="9943" w:type="dxa"/>
        <w:tblInd w:w="284" w:type="dxa"/>
        <w:tblLook w:val="04A0" w:firstRow="1" w:lastRow="0" w:firstColumn="1" w:lastColumn="0" w:noHBand="0" w:noVBand="1"/>
      </w:tblPr>
      <w:tblGrid>
        <w:gridCol w:w="3084"/>
        <w:gridCol w:w="6859"/>
      </w:tblGrid>
      <w:tr w:rsidR="003D72DE" w:rsidTr="00757D79">
        <w:tc>
          <w:tcPr>
            <w:tcW w:w="3084" w:type="dxa"/>
          </w:tcPr>
          <w:p w:rsidR="003D72DE" w:rsidRPr="00757D79" w:rsidRDefault="003D72DE" w:rsidP="00834DB2">
            <w:r w:rsidRPr="00757D79">
              <w:t>ABF</w:t>
            </w:r>
          </w:p>
        </w:tc>
        <w:tc>
          <w:tcPr>
            <w:tcW w:w="6859" w:type="dxa"/>
          </w:tcPr>
          <w:p w:rsidR="003D72DE" w:rsidRPr="00355C73" w:rsidRDefault="003D72DE" w:rsidP="00834DB2">
            <w:pPr>
              <w:rPr>
                <w:szCs w:val="22"/>
              </w:rPr>
            </w:pPr>
            <w:r w:rsidRPr="00355C73">
              <w:rPr>
                <w:szCs w:val="22"/>
              </w:rPr>
              <w:t>Activity Based Funding</w:t>
            </w:r>
          </w:p>
        </w:tc>
      </w:tr>
      <w:tr w:rsidR="003D72DE" w:rsidTr="00757D79">
        <w:tc>
          <w:tcPr>
            <w:tcW w:w="3084" w:type="dxa"/>
          </w:tcPr>
          <w:p w:rsidR="003D72DE" w:rsidRPr="00757D79" w:rsidRDefault="003D72DE" w:rsidP="00834DB2">
            <w:r w:rsidRPr="00757D79">
              <w:t xml:space="preserve">ACCD </w:t>
            </w:r>
          </w:p>
        </w:tc>
        <w:tc>
          <w:tcPr>
            <w:tcW w:w="6859" w:type="dxa"/>
          </w:tcPr>
          <w:p w:rsidR="003D72DE" w:rsidRPr="00355C73" w:rsidRDefault="003D72DE" w:rsidP="00834DB2">
            <w:pPr>
              <w:rPr>
                <w:szCs w:val="22"/>
              </w:rPr>
            </w:pPr>
            <w:r w:rsidRPr="00355C73">
              <w:rPr>
                <w:szCs w:val="22"/>
              </w:rPr>
              <w:t>Australian Consortium for Classification Development</w:t>
            </w:r>
          </w:p>
        </w:tc>
      </w:tr>
      <w:tr w:rsidR="003D72DE" w:rsidTr="00757D79">
        <w:tc>
          <w:tcPr>
            <w:tcW w:w="3084" w:type="dxa"/>
          </w:tcPr>
          <w:p w:rsidR="003D72DE" w:rsidRPr="00757D79" w:rsidRDefault="003D72DE" w:rsidP="00834DB2">
            <w:r w:rsidRPr="00757D79">
              <w:t>ACHI</w:t>
            </w:r>
          </w:p>
        </w:tc>
        <w:tc>
          <w:tcPr>
            <w:tcW w:w="6859" w:type="dxa"/>
          </w:tcPr>
          <w:p w:rsidR="003D72DE" w:rsidRPr="00355C73" w:rsidRDefault="003D72DE" w:rsidP="002A4D9D">
            <w:pPr>
              <w:rPr>
                <w:szCs w:val="22"/>
              </w:rPr>
            </w:pPr>
            <w:r w:rsidRPr="00355C73">
              <w:rPr>
                <w:szCs w:val="22"/>
              </w:rPr>
              <w:t>Australian Classification of Health Interventions</w:t>
            </w:r>
          </w:p>
        </w:tc>
      </w:tr>
      <w:tr w:rsidR="003D72DE" w:rsidTr="00757D79">
        <w:tc>
          <w:tcPr>
            <w:tcW w:w="3084" w:type="dxa"/>
          </w:tcPr>
          <w:p w:rsidR="003D72DE" w:rsidRPr="00757D79" w:rsidRDefault="003D72DE" w:rsidP="00834DB2">
            <w:r w:rsidRPr="00757D79">
              <w:t>ACS</w:t>
            </w:r>
          </w:p>
        </w:tc>
        <w:tc>
          <w:tcPr>
            <w:tcW w:w="6859" w:type="dxa"/>
          </w:tcPr>
          <w:p w:rsidR="003D72DE" w:rsidRPr="00355C73" w:rsidRDefault="003D72DE" w:rsidP="00834DB2">
            <w:pPr>
              <w:rPr>
                <w:szCs w:val="22"/>
              </w:rPr>
            </w:pPr>
            <w:r w:rsidRPr="00355C73">
              <w:rPr>
                <w:szCs w:val="22"/>
              </w:rPr>
              <w:t>Australian Coding Standards</w:t>
            </w:r>
          </w:p>
        </w:tc>
      </w:tr>
      <w:tr w:rsidR="003D72DE" w:rsidTr="00757D79">
        <w:tc>
          <w:tcPr>
            <w:tcW w:w="3084" w:type="dxa"/>
          </w:tcPr>
          <w:p w:rsidR="003D72DE" w:rsidRPr="00757D79" w:rsidRDefault="003D72DE" w:rsidP="002A4D9D">
            <w:r w:rsidRPr="00757D79">
              <w:t>ADRG</w:t>
            </w:r>
          </w:p>
        </w:tc>
        <w:tc>
          <w:tcPr>
            <w:tcW w:w="6859" w:type="dxa"/>
          </w:tcPr>
          <w:p w:rsidR="003D72DE" w:rsidRPr="00355C73" w:rsidRDefault="003D72DE" w:rsidP="002A4D9D">
            <w:pPr>
              <w:rPr>
                <w:szCs w:val="22"/>
              </w:rPr>
            </w:pPr>
            <w:r w:rsidRPr="00355C73">
              <w:rPr>
                <w:szCs w:val="22"/>
              </w:rPr>
              <w:t>Adjacent Diagnosis Related Group</w:t>
            </w:r>
          </w:p>
        </w:tc>
      </w:tr>
      <w:tr w:rsidR="003D72DE" w:rsidTr="00757D79">
        <w:tc>
          <w:tcPr>
            <w:tcW w:w="3084" w:type="dxa"/>
          </w:tcPr>
          <w:p w:rsidR="003D72DE" w:rsidRPr="00757D79" w:rsidRDefault="003D72DE" w:rsidP="00834DB2">
            <w:r w:rsidRPr="00757D79">
              <w:t>AR-DRG</w:t>
            </w:r>
          </w:p>
        </w:tc>
        <w:tc>
          <w:tcPr>
            <w:tcW w:w="6859" w:type="dxa"/>
          </w:tcPr>
          <w:p w:rsidR="003D72DE" w:rsidRPr="00355C73" w:rsidRDefault="003D72DE" w:rsidP="002B3995">
            <w:pPr>
              <w:rPr>
                <w:szCs w:val="22"/>
              </w:rPr>
            </w:pPr>
            <w:r w:rsidRPr="00355C73">
              <w:rPr>
                <w:szCs w:val="22"/>
              </w:rPr>
              <w:t>Australian Refined Diagnosis Related Group</w:t>
            </w:r>
          </w:p>
        </w:tc>
      </w:tr>
      <w:tr w:rsidR="003D72DE" w:rsidTr="00757D79">
        <w:tc>
          <w:tcPr>
            <w:tcW w:w="3084" w:type="dxa"/>
          </w:tcPr>
          <w:p w:rsidR="003D72DE" w:rsidRPr="00757D79" w:rsidRDefault="003D72DE" w:rsidP="00834DB2">
            <w:r w:rsidRPr="00757D79">
              <w:t>CAC</w:t>
            </w:r>
          </w:p>
        </w:tc>
        <w:tc>
          <w:tcPr>
            <w:tcW w:w="6859" w:type="dxa"/>
          </w:tcPr>
          <w:p w:rsidR="003D72DE" w:rsidRPr="00355C73" w:rsidRDefault="003D72DE" w:rsidP="00834DB2">
            <w:pPr>
              <w:rPr>
                <w:szCs w:val="22"/>
              </w:rPr>
            </w:pPr>
            <w:r w:rsidRPr="00355C73">
              <w:rPr>
                <w:szCs w:val="22"/>
              </w:rPr>
              <w:t>Clinical Advisory Committee</w:t>
            </w:r>
          </w:p>
        </w:tc>
      </w:tr>
      <w:tr w:rsidR="003D72DE" w:rsidTr="00757D79">
        <w:tc>
          <w:tcPr>
            <w:tcW w:w="3084" w:type="dxa"/>
          </w:tcPr>
          <w:p w:rsidR="003D72DE" w:rsidRPr="00757D79" w:rsidRDefault="003D72DE" w:rsidP="00834DB2">
            <w:r w:rsidRPr="00757D79">
              <w:t>CCAG</w:t>
            </w:r>
          </w:p>
        </w:tc>
        <w:tc>
          <w:tcPr>
            <w:tcW w:w="6859" w:type="dxa"/>
          </w:tcPr>
          <w:p w:rsidR="003D72DE" w:rsidRPr="00355C73" w:rsidRDefault="003D72DE" w:rsidP="00834DB2">
            <w:pPr>
              <w:rPr>
                <w:szCs w:val="22"/>
              </w:rPr>
            </w:pPr>
            <w:r w:rsidRPr="00355C73">
              <w:rPr>
                <w:szCs w:val="22"/>
              </w:rPr>
              <w:t>Classification</w:t>
            </w:r>
            <w:r w:rsidR="00F1612D" w:rsidRPr="00355C73">
              <w:rPr>
                <w:szCs w:val="22"/>
              </w:rPr>
              <w:t>s</w:t>
            </w:r>
            <w:r w:rsidRPr="00355C73">
              <w:rPr>
                <w:szCs w:val="22"/>
              </w:rPr>
              <w:t xml:space="preserve"> Clinical Advisory Group</w:t>
            </w:r>
          </w:p>
        </w:tc>
      </w:tr>
      <w:tr w:rsidR="003D72DE" w:rsidTr="00757D79">
        <w:tc>
          <w:tcPr>
            <w:tcW w:w="3084" w:type="dxa"/>
          </w:tcPr>
          <w:p w:rsidR="003D72DE" w:rsidRPr="00757D79" w:rsidRDefault="003D72DE" w:rsidP="00834DB2">
            <w:r w:rsidRPr="00757D79">
              <w:t>DCL</w:t>
            </w:r>
          </w:p>
        </w:tc>
        <w:tc>
          <w:tcPr>
            <w:tcW w:w="6859" w:type="dxa"/>
          </w:tcPr>
          <w:p w:rsidR="003D72DE" w:rsidRPr="00355C73" w:rsidRDefault="003D72DE" w:rsidP="00834DB2">
            <w:pPr>
              <w:rPr>
                <w:szCs w:val="22"/>
              </w:rPr>
            </w:pPr>
            <w:r w:rsidRPr="00355C73">
              <w:rPr>
                <w:szCs w:val="22"/>
              </w:rPr>
              <w:t>Diagnosis Complexity Level</w:t>
            </w:r>
          </w:p>
        </w:tc>
      </w:tr>
      <w:tr w:rsidR="003D72DE" w:rsidTr="00757D79">
        <w:tc>
          <w:tcPr>
            <w:tcW w:w="3084" w:type="dxa"/>
          </w:tcPr>
          <w:p w:rsidR="003D72DE" w:rsidRPr="00757D79" w:rsidRDefault="003D72DE" w:rsidP="00834DB2">
            <w:r w:rsidRPr="00757D79">
              <w:t>DRG</w:t>
            </w:r>
          </w:p>
        </w:tc>
        <w:tc>
          <w:tcPr>
            <w:tcW w:w="6859" w:type="dxa"/>
          </w:tcPr>
          <w:p w:rsidR="003D72DE" w:rsidRPr="00355C73" w:rsidRDefault="003D72DE" w:rsidP="00834DB2">
            <w:pPr>
              <w:rPr>
                <w:szCs w:val="22"/>
              </w:rPr>
            </w:pPr>
            <w:r w:rsidRPr="00355C73">
              <w:rPr>
                <w:szCs w:val="22"/>
              </w:rPr>
              <w:t>Diagnosis Related Group</w:t>
            </w:r>
          </w:p>
        </w:tc>
      </w:tr>
      <w:tr w:rsidR="003D72DE" w:rsidTr="00757D79">
        <w:tc>
          <w:tcPr>
            <w:tcW w:w="3084" w:type="dxa"/>
          </w:tcPr>
          <w:p w:rsidR="003D72DE" w:rsidRPr="00757D79" w:rsidRDefault="003D72DE" w:rsidP="00834DB2">
            <w:r w:rsidRPr="00757D79">
              <w:t xml:space="preserve">DTG </w:t>
            </w:r>
          </w:p>
        </w:tc>
        <w:tc>
          <w:tcPr>
            <w:tcW w:w="6859" w:type="dxa"/>
          </w:tcPr>
          <w:p w:rsidR="003D72DE" w:rsidRPr="00355C73" w:rsidRDefault="003D72DE" w:rsidP="00834DB2">
            <w:pPr>
              <w:rPr>
                <w:szCs w:val="22"/>
              </w:rPr>
            </w:pPr>
            <w:r w:rsidRPr="00355C73">
              <w:rPr>
                <w:szCs w:val="22"/>
              </w:rPr>
              <w:t>DRG Technical Group</w:t>
            </w:r>
          </w:p>
        </w:tc>
      </w:tr>
      <w:tr w:rsidR="003D72DE" w:rsidTr="00757D79">
        <w:tc>
          <w:tcPr>
            <w:tcW w:w="3084" w:type="dxa"/>
          </w:tcPr>
          <w:p w:rsidR="003D72DE" w:rsidRPr="00757D79" w:rsidRDefault="003D72DE" w:rsidP="00834DB2">
            <w:r w:rsidRPr="00757D79">
              <w:t>ECC</w:t>
            </w:r>
          </w:p>
        </w:tc>
        <w:tc>
          <w:tcPr>
            <w:tcW w:w="6859" w:type="dxa"/>
          </w:tcPr>
          <w:p w:rsidR="003D72DE" w:rsidRPr="00355C73" w:rsidRDefault="003D72DE" w:rsidP="00834DB2">
            <w:pPr>
              <w:rPr>
                <w:szCs w:val="22"/>
              </w:rPr>
            </w:pPr>
            <w:r w:rsidRPr="00355C73">
              <w:rPr>
                <w:szCs w:val="22"/>
              </w:rPr>
              <w:t>Episode Clinical Complexity</w:t>
            </w:r>
          </w:p>
        </w:tc>
      </w:tr>
      <w:tr w:rsidR="003D72DE" w:rsidTr="00757D79">
        <w:tc>
          <w:tcPr>
            <w:tcW w:w="3084" w:type="dxa"/>
          </w:tcPr>
          <w:p w:rsidR="003D72DE" w:rsidRPr="00757D79" w:rsidRDefault="003D72DE" w:rsidP="00834DB2">
            <w:r w:rsidRPr="00757D79">
              <w:t>ECCS</w:t>
            </w:r>
          </w:p>
        </w:tc>
        <w:tc>
          <w:tcPr>
            <w:tcW w:w="6859" w:type="dxa"/>
          </w:tcPr>
          <w:p w:rsidR="00FA1886" w:rsidRPr="00355C73" w:rsidRDefault="003D72DE" w:rsidP="00FA1886">
            <w:pPr>
              <w:rPr>
                <w:szCs w:val="22"/>
              </w:rPr>
            </w:pPr>
            <w:r w:rsidRPr="00355C73">
              <w:rPr>
                <w:szCs w:val="22"/>
              </w:rPr>
              <w:t>Episode Clinical Complexity Score</w:t>
            </w:r>
          </w:p>
        </w:tc>
      </w:tr>
      <w:tr w:rsidR="00FA1886" w:rsidTr="00757D79">
        <w:tc>
          <w:tcPr>
            <w:tcW w:w="3084" w:type="dxa"/>
          </w:tcPr>
          <w:p w:rsidR="00FA1886" w:rsidRPr="00757D79" w:rsidRDefault="00FA1886" w:rsidP="00834DB2">
            <w:r>
              <w:t>GIs</w:t>
            </w:r>
          </w:p>
        </w:tc>
        <w:tc>
          <w:tcPr>
            <w:tcW w:w="6859" w:type="dxa"/>
          </w:tcPr>
          <w:p w:rsidR="00FA1886" w:rsidRPr="00355C73" w:rsidRDefault="00FA1886" w:rsidP="00FA1886">
            <w:pPr>
              <w:rPr>
                <w:szCs w:val="22"/>
              </w:rPr>
            </w:pPr>
            <w:r>
              <w:rPr>
                <w:szCs w:val="22"/>
              </w:rPr>
              <w:t>General Interventions</w:t>
            </w:r>
          </w:p>
        </w:tc>
      </w:tr>
      <w:tr w:rsidR="003D72DE" w:rsidTr="00757D79">
        <w:tc>
          <w:tcPr>
            <w:tcW w:w="3084" w:type="dxa"/>
          </w:tcPr>
          <w:p w:rsidR="003D72DE" w:rsidRPr="00757D79" w:rsidRDefault="003D72DE" w:rsidP="00834DB2">
            <w:r w:rsidRPr="00757D79">
              <w:t>ICD-10-AM</w:t>
            </w:r>
          </w:p>
        </w:tc>
        <w:tc>
          <w:tcPr>
            <w:tcW w:w="6859" w:type="dxa"/>
          </w:tcPr>
          <w:p w:rsidR="003D72DE" w:rsidRPr="00355C73" w:rsidRDefault="003D72DE" w:rsidP="00834DB2">
            <w:pPr>
              <w:rPr>
                <w:szCs w:val="22"/>
              </w:rPr>
            </w:pPr>
            <w:r w:rsidRPr="00355C73">
              <w:rPr>
                <w:szCs w:val="22"/>
              </w:rPr>
              <w:t>International Statistical Classification of Diseases and Related Health Problems, Tenth Revision, Australian Modification</w:t>
            </w:r>
          </w:p>
        </w:tc>
      </w:tr>
      <w:tr w:rsidR="003D72DE" w:rsidTr="00757D79">
        <w:tc>
          <w:tcPr>
            <w:tcW w:w="3084" w:type="dxa"/>
          </w:tcPr>
          <w:p w:rsidR="003D72DE" w:rsidRPr="00757D79" w:rsidRDefault="003D72DE" w:rsidP="00834DB2">
            <w:r w:rsidRPr="00757D79">
              <w:t>IHPA</w:t>
            </w:r>
          </w:p>
        </w:tc>
        <w:tc>
          <w:tcPr>
            <w:tcW w:w="6859" w:type="dxa"/>
          </w:tcPr>
          <w:p w:rsidR="003D72DE" w:rsidRPr="00355C73" w:rsidRDefault="003D72DE" w:rsidP="00834DB2">
            <w:pPr>
              <w:rPr>
                <w:szCs w:val="22"/>
              </w:rPr>
            </w:pPr>
            <w:r w:rsidRPr="00355C73">
              <w:rPr>
                <w:szCs w:val="22"/>
              </w:rPr>
              <w:t>Independent Hospital Pricing Authority</w:t>
            </w:r>
          </w:p>
        </w:tc>
      </w:tr>
      <w:tr w:rsidR="00D30E0D" w:rsidTr="00757D79">
        <w:tc>
          <w:tcPr>
            <w:tcW w:w="3084" w:type="dxa"/>
          </w:tcPr>
          <w:p w:rsidR="00D30E0D" w:rsidRPr="00757D79" w:rsidRDefault="00D30E0D" w:rsidP="00834DB2">
            <w:r w:rsidRPr="00757D79">
              <w:t>MDC</w:t>
            </w:r>
          </w:p>
        </w:tc>
        <w:tc>
          <w:tcPr>
            <w:tcW w:w="6859" w:type="dxa"/>
          </w:tcPr>
          <w:p w:rsidR="00D30E0D" w:rsidRPr="00355C73" w:rsidRDefault="00D30E0D" w:rsidP="00834DB2">
            <w:pPr>
              <w:rPr>
                <w:szCs w:val="22"/>
              </w:rPr>
            </w:pPr>
            <w:r w:rsidRPr="00355C73">
              <w:rPr>
                <w:szCs w:val="22"/>
              </w:rPr>
              <w:t>Major Diagnostic Category</w:t>
            </w:r>
          </w:p>
        </w:tc>
      </w:tr>
      <w:tr w:rsidR="00CA1DBB" w:rsidTr="00757D79">
        <w:tc>
          <w:tcPr>
            <w:tcW w:w="3084" w:type="dxa"/>
          </w:tcPr>
          <w:p w:rsidR="00CA1DBB" w:rsidRPr="00757D79" w:rsidRDefault="00CA1DBB" w:rsidP="00834DB2">
            <w:r>
              <w:t>PDX</w:t>
            </w:r>
          </w:p>
        </w:tc>
        <w:tc>
          <w:tcPr>
            <w:tcW w:w="6859" w:type="dxa"/>
          </w:tcPr>
          <w:p w:rsidR="00CA1DBB" w:rsidRPr="00355C73" w:rsidRDefault="00CA1DBB" w:rsidP="00834DB2">
            <w:pPr>
              <w:rPr>
                <w:szCs w:val="22"/>
              </w:rPr>
            </w:pPr>
            <w:r>
              <w:rPr>
                <w:szCs w:val="22"/>
              </w:rPr>
              <w:t>Principal diagnosis</w:t>
            </w:r>
          </w:p>
        </w:tc>
      </w:tr>
      <w:tr w:rsidR="006D4EFF" w:rsidTr="00757D79">
        <w:tc>
          <w:tcPr>
            <w:tcW w:w="3084" w:type="dxa"/>
          </w:tcPr>
          <w:p w:rsidR="006D4EFF" w:rsidRDefault="006D4EFF" w:rsidP="00834DB2">
            <w:r>
              <w:t>RID</w:t>
            </w:r>
          </w:p>
        </w:tc>
        <w:tc>
          <w:tcPr>
            <w:tcW w:w="6859" w:type="dxa"/>
          </w:tcPr>
          <w:p w:rsidR="006D4EFF" w:rsidRDefault="006D4EFF" w:rsidP="00834DB2">
            <w:pPr>
              <w:rPr>
                <w:szCs w:val="22"/>
              </w:rPr>
            </w:pPr>
            <w:r>
              <w:rPr>
                <w:szCs w:val="22"/>
              </w:rPr>
              <w:t>Reduction in deviance</w:t>
            </w:r>
          </w:p>
        </w:tc>
      </w:tr>
      <w:tr w:rsidR="003D72DE" w:rsidTr="00757D79">
        <w:tc>
          <w:tcPr>
            <w:tcW w:w="3084" w:type="dxa"/>
          </w:tcPr>
          <w:p w:rsidR="003D72DE" w:rsidRPr="00757D79" w:rsidRDefault="003D72DE" w:rsidP="00834DB2">
            <w:r w:rsidRPr="00757D79">
              <w:t>V</w:t>
            </w:r>
          </w:p>
        </w:tc>
        <w:tc>
          <w:tcPr>
            <w:tcW w:w="6859" w:type="dxa"/>
          </w:tcPr>
          <w:p w:rsidR="003D72DE" w:rsidRPr="00355C73" w:rsidRDefault="003D72DE" w:rsidP="00834DB2">
            <w:pPr>
              <w:rPr>
                <w:szCs w:val="22"/>
              </w:rPr>
            </w:pPr>
            <w:r w:rsidRPr="00355C73">
              <w:rPr>
                <w:szCs w:val="22"/>
              </w:rPr>
              <w:t>Version</w:t>
            </w:r>
          </w:p>
        </w:tc>
      </w:tr>
    </w:tbl>
    <w:p w:rsidR="00C31AEA" w:rsidRDefault="00BB6B55" w:rsidP="00C31AEA">
      <w:pPr>
        <w:pStyle w:val="Heading1"/>
        <w:numPr>
          <w:ilvl w:val="0"/>
          <w:numId w:val="0"/>
        </w:numPr>
        <w:ind w:left="432" w:hanging="432"/>
      </w:pPr>
      <w:r>
        <w:br w:type="page"/>
      </w:r>
      <w:bookmarkStart w:id="16" w:name="_Toc534625477"/>
      <w:bookmarkStart w:id="17" w:name="_Toc534633014"/>
      <w:bookmarkStart w:id="18" w:name="_Toc534875720"/>
      <w:bookmarkStart w:id="19" w:name="_Toc534965658"/>
      <w:bookmarkStart w:id="20" w:name="_Toc536011602"/>
      <w:r w:rsidR="00C31AEA">
        <w:t>Executive Summary</w:t>
      </w:r>
      <w:bookmarkEnd w:id="16"/>
      <w:bookmarkEnd w:id="17"/>
      <w:bookmarkEnd w:id="18"/>
      <w:bookmarkEnd w:id="19"/>
      <w:bookmarkEnd w:id="20"/>
    </w:p>
    <w:p w:rsidR="00D160C7" w:rsidRDefault="00D160C7" w:rsidP="00F759BA">
      <w:r>
        <w:t xml:space="preserve">The Independent Hospital Pricing Authority (IHPA) is responsible for the development of the Australian Refined Diagnosis Related Groups (AR-DRGs) classification. AR-DRGs group together treatments and services provided for admitted acute care to enable hospitals to be funded for these services using Activity Based Funding (ABF) arrangements. This is the first time since IHPA was established and assumed responsibility for the AR-DRG classification that development of a new version has been undertaken within the agency. </w:t>
      </w:r>
    </w:p>
    <w:p w:rsidR="00872943" w:rsidRDefault="00D160C7" w:rsidP="00F759BA">
      <w:r>
        <w:t>AR-DRG Version</w:t>
      </w:r>
      <w:r w:rsidR="00872943">
        <w:t xml:space="preserve"> (V)</w:t>
      </w:r>
      <w:r>
        <w:t xml:space="preserve"> 10.0 has been finalised</w:t>
      </w:r>
      <w:r w:rsidR="00872943">
        <w:t xml:space="preserve"> following clinical and statistical analysis and in consultation with clinicians, jurisdictions and other health sector stakeholders. This report outlines the changes made for AR-DRG V10.0 and details the refinement process undertaken and the rationale for changes.</w:t>
      </w:r>
    </w:p>
    <w:p w:rsidR="003B53B0" w:rsidRDefault="003B53B0" w:rsidP="00F759BA">
      <w:r>
        <w:t>Refinement and review of the stability of the AR-DRG complexity model was identified by stakeholders as the highest priority for AR-DRG V10.0 to ensure that it is robust and fit for purpose. As a result the major focus for V10.0 has been</w:t>
      </w:r>
      <w:r w:rsidR="00DE79DB">
        <w:t xml:space="preserve"> to review the diagnosis exclusions within the complexity model and its overall stability. Alongside this other changes have been informed by public submissions and development work held over from AR-DRG V9.0. IHPA has also undertaken a comprehensive review of the splitting of end classes and implemented changes resulting from a review of the intervention hierarchy.</w:t>
      </w:r>
    </w:p>
    <w:p w:rsidR="00C31AEA" w:rsidRDefault="00872943" w:rsidP="00F759BA">
      <w:r>
        <w:t>AR-DRG V10.0 is anticipated to be released in mid-2019 and used to price admitted acute episodes of care from 1 July 2020.</w:t>
      </w:r>
      <w:r w:rsidR="00C31AEA">
        <w:br w:type="page"/>
      </w:r>
    </w:p>
    <w:p w:rsidR="00F530CD" w:rsidRDefault="00675B1B">
      <w:pPr>
        <w:pStyle w:val="Heading1"/>
      </w:pPr>
      <w:bookmarkStart w:id="21" w:name="_Toc534875725"/>
      <w:bookmarkStart w:id="22" w:name="_Toc536011603"/>
      <w:r>
        <w:t>Introduction</w:t>
      </w:r>
      <w:bookmarkEnd w:id="21"/>
      <w:bookmarkEnd w:id="22"/>
    </w:p>
    <w:p w:rsidR="00BE40B5" w:rsidRPr="00741529" w:rsidRDefault="00BE40B5" w:rsidP="00EE0795">
      <w:pPr>
        <w:pStyle w:val="Heading2"/>
      </w:pPr>
      <w:bookmarkStart w:id="23" w:name="_Toc534875726"/>
      <w:bookmarkStart w:id="24" w:name="_Toc536011604"/>
      <w:r w:rsidRPr="00741529">
        <w:t>Australian Refined Diagnosis Related Groups</w:t>
      </w:r>
      <w:bookmarkEnd w:id="23"/>
      <w:bookmarkEnd w:id="24"/>
    </w:p>
    <w:p w:rsidR="00CA1DBB" w:rsidRDefault="00CA1DBB" w:rsidP="00CA1DBB">
      <w:bookmarkStart w:id="25" w:name="_Toc534875727"/>
      <w:bookmarkStart w:id="26" w:name="_Toc534633017"/>
      <w:r>
        <w:t>IHPA has responsibility for the development of the AR-DRG classification, which groups together treatments and services provided for admitted acute care to enable hospitals to be funded for these services using ABF arrangements. The AR-DRG classification is underpinned by the International Statistical Classification of Diseases and Related Health Problems, Tenth Revision, Australian Modification (ICD-10-AM), the Australian Classification of Health Interventions (ACHI) and the Australian Coding Standards (ACS); collectively known as ICD-10-AM/ACHI/ACS</w:t>
      </w:r>
      <w:r w:rsidR="00AD7AA7">
        <w:t>.</w:t>
      </w:r>
      <w:r>
        <w:t xml:space="preserve"> </w:t>
      </w:r>
    </w:p>
    <w:p w:rsidR="00CA1DBB" w:rsidRDefault="00CA1DBB" w:rsidP="00CA1DBB">
      <w:r>
        <w:t>All public and private hospitals in Australia use ICD-10-AM/ACHI/ACS and AR-DRGs to classify admitted acute care and the classifications are updated every two years to ensure they are fit for purpose and remain clinically current.</w:t>
      </w:r>
    </w:p>
    <w:p w:rsidR="00CA1DBB" w:rsidRDefault="00CA1DBB" w:rsidP="00CA1DBB">
      <w:r>
        <w:t>The AR-DRG classification consists of approximately 800 end classes, with each admitted acute episode of care being classified based on diagnoses, interventions and other routinely collected data, such as age, sex, mode of separation, length of stay, newborn admission weight and hours of mechanical ventilation. While the AR-DRG classification is instrumental to ABF, it is also used for many other purposes including performance management, benchmarking, epidemiology and research.</w:t>
      </w:r>
    </w:p>
    <w:p w:rsidR="00CA1DBB" w:rsidRDefault="00CA1DBB" w:rsidP="00CA1DBB">
      <w:r>
        <w:t>Development of AR-DRG V10.0 has been undertaken by IHPA in-house while the development of ICD-10-AM/ACHI/ACS has continued to be contracted to the Australian Consortium for Classification Development (ACCD) for Eleventh Edition. The classifications have been developed in consultation with clinicians, jurisdictions and other health sector stakeholders.</w:t>
      </w:r>
    </w:p>
    <w:p w:rsidR="00CA1DBB" w:rsidRDefault="00785B0F" w:rsidP="00CA1DBB">
      <w:r>
        <w:t xml:space="preserve">It is anticipated that </w:t>
      </w:r>
      <w:r w:rsidR="00CA1DBB">
        <w:t xml:space="preserve">AR-DRG V10.0 will be released in mid-2019 and used to price admitted acute episodes of care from 1 July 2020. ICD-10-AM/ACHI/ACS </w:t>
      </w:r>
      <w:r w:rsidR="0070725A">
        <w:t xml:space="preserve">Eleventh Edition </w:t>
      </w:r>
      <w:r w:rsidR="00CA1DBB">
        <w:t>will be implemented on 1 July 2019.</w:t>
      </w:r>
    </w:p>
    <w:p w:rsidR="00F530CD" w:rsidRDefault="00424D63" w:rsidP="00EE0795">
      <w:pPr>
        <w:pStyle w:val="Heading2"/>
      </w:pPr>
      <w:bookmarkStart w:id="27" w:name="_Toc536011605"/>
      <w:r>
        <w:t xml:space="preserve">Classification </w:t>
      </w:r>
      <w:r w:rsidR="000A2C36">
        <w:t>p</w:t>
      </w:r>
      <w:r>
        <w:t>rocess</w:t>
      </w:r>
      <w:bookmarkEnd w:id="25"/>
      <w:bookmarkEnd w:id="26"/>
      <w:bookmarkEnd w:id="27"/>
    </w:p>
    <w:p w:rsidR="00CA1DBB" w:rsidRDefault="00CA1DBB" w:rsidP="00CA1DBB">
      <w:bookmarkStart w:id="28" w:name="_Ref534812840"/>
      <w:r>
        <w:t>The process of classifying or ‘coding’ involves the translation of information (diagnoses and interventions) from the clinical record of a patient into alphanumeric codes within ICD-10-AM and ACHI.</w:t>
      </w:r>
    </w:p>
    <w:p w:rsidR="00CA1DBB" w:rsidRDefault="00CA1DBB" w:rsidP="00CA1DBB">
      <w:r>
        <w:t>At the conclusion of a patient’s episode of care a clinical coder reviews the patient’s clinical record (the primary source for the coding of acute admitted episodes of care) and abstracts information recorded by clinicians to assign codes for the principal diagnosis, additional diagnoses and interventions performed in accordance with guidelines provided in the ACS.</w:t>
      </w:r>
    </w:p>
    <w:p w:rsidR="00887AEF" w:rsidRDefault="00CA1DBB" w:rsidP="00887AEF">
      <w:r>
        <w:t xml:space="preserve">Following assignment of ICD-10-AM and ACHI codes episodes of care are assigned to a DRG in the AR-DRG classification. AR-DRGs group episodes of care with similar diagnoses and intervention codes. This process of assigning episodes of care to a DRG is a complex process and is carried out using software that contains the AR-DRG algorithms (often referred to as the ‘Grouper’). </w:t>
      </w:r>
    </w:p>
    <w:p w:rsidR="0079420D" w:rsidRDefault="00887AEF" w:rsidP="00CA1DBB">
      <w:r>
        <w:t>A schematic of</w:t>
      </w:r>
      <w:r w:rsidR="00C31AEA">
        <w:t xml:space="preserve"> the</w:t>
      </w:r>
      <w:r w:rsidR="00CA1DBB">
        <w:t xml:space="preserve"> AR-DRG assignment</w:t>
      </w:r>
      <w:r>
        <w:t xml:space="preserve"> process is at Figure 1.</w:t>
      </w:r>
    </w:p>
    <w:p w:rsidR="009B0630" w:rsidRDefault="009B0630">
      <w:pPr>
        <w:spacing w:before="0" w:after="0" w:line="240" w:lineRule="auto"/>
        <w:rPr>
          <w:b/>
          <w:bCs/>
          <w:color w:val="004200" w:themeColor="accent1"/>
          <w:sz w:val="18"/>
          <w:szCs w:val="18"/>
        </w:rPr>
      </w:pPr>
      <w:r>
        <w:br w:type="page"/>
      </w:r>
    </w:p>
    <w:p w:rsidR="009D2E9F" w:rsidRDefault="009D2E9F" w:rsidP="00214116">
      <w:pPr>
        <w:pStyle w:val="Caption"/>
      </w:pPr>
      <w:r>
        <w:t xml:space="preserve">Figure </w:t>
      </w:r>
      <w:fldSimple w:instr=" SEQ Figure \* ARABIC ">
        <w:r w:rsidR="00614AA0">
          <w:rPr>
            <w:noProof/>
          </w:rPr>
          <w:t>1</w:t>
        </w:r>
      </w:fldSimple>
      <w:bookmarkEnd w:id="28"/>
      <w:r>
        <w:t xml:space="preserve">: Schematic </w:t>
      </w:r>
      <w:r w:rsidR="00CA1DBB">
        <w:t>d</w:t>
      </w:r>
      <w:r>
        <w:t>iagram for AR-DRG V10.0 assignment</w:t>
      </w:r>
    </w:p>
    <w:p w:rsidR="000818FB" w:rsidRDefault="009D2E9F" w:rsidP="00757D79">
      <w:pPr>
        <w:keepNext/>
        <w:jc w:val="center"/>
      </w:pPr>
      <w:r w:rsidRPr="009D2E9F">
        <w:rPr>
          <w:noProof/>
        </w:rPr>
        <w:drawing>
          <wp:inline distT="0" distB="0" distL="0" distR="0" wp14:anchorId="239A7289" wp14:editId="7728B92C">
            <wp:extent cx="3603625" cy="4714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3625" cy="4714240"/>
                    </a:xfrm>
                    <a:prstGeom prst="rect">
                      <a:avLst/>
                    </a:prstGeom>
                    <a:noFill/>
                    <a:ln>
                      <a:noFill/>
                    </a:ln>
                  </pic:spPr>
                </pic:pic>
              </a:graphicData>
            </a:graphic>
          </wp:inline>
        </w:drawing>
      </w:r>
    </w:p>
    <w:p w:rsidR="00EE0795" w:rsidRDefault="00CA1DBB" w:rsidP="0078390D">
      <w:pPr>
        <w:pStyle w:val="ListParagraph"/>
        <w:numPr>
          <w:ilvl w:val="0"/>
          <w:numId w:val="12"/>
        </w:numPr>
      </w:pPr>
      <w:r w:rsidRPr="00757D79">
        <w:rPr>
          <w:b/>
        </w:rPr>
        <w:t xml:space="preserve">Demographic and </w:t>
      </w:r>
      <w:r>
        <w:rPr>
          <w:b/>
        </w:rPr>
        <w:t>c</w:t>
      </w:r>
      <w:r w:rsidRPr="00757D79">
        <w:rPr>
          <w:b/>
        </w:rPr>
        <w:t xml:space="preserve">linical </w:t>
      </w:r>
      <w:r>
        <w:rPr>
          <w:b/>
        </w:rPr>
        <w:t>e</w:t>
      </w:r>
      <w:r w:rsidRPr="00757D79">
        <w:rPr>
          <w:b/>
        </w:rPr>
        <w:t>dits</w:t>
      </w:r>
      <w:r w:rsidR="003446AF">
        <w:rPr>
          <w:b/>
        </w:rPr>
        <w:t xml:space="preserve">: </w:t>
      </w:r>
      <w:r w:rsidR="003446AF" w:rsidRPr="003446AF">
        <w:t>These edits</w:t>
      </w:r>
      <w:r w:rsidR="003446AF">
        <w:t xml:space="preserve"> check the validity of the data to be used for grouping; and include age, sex, neonatal admission weight, sameday status, hours of mechanical ventilation and mode of separation. They also validate all diagnosis (ICD-10-AM) and intervention (ACHI) codes, combined with a patient’s age and sex.</w:t>
      </w:r>
      <w:r>
        <w:t xml:space="preserve"> </w:t>
      </w:r>
      <w:r w:rsidR="009A7AA7">
        <w:t xml:space="preserve">Principal diagnosis is also checked to validate that it </w:t>
      </w:r>
      <w:r w:rsidR="00EE0795">
        <w:t xml:space="preserve">is </w:t>
      </w:r>
      <w:r w:rsidR="009A7AA7">
        <w:t xml:space="preserve">an acceptable principal diagnosis code. </w:t>
      </w:r>
      <w:r>
        <w:t xml:space="preserve">Potential issues in relation to the validity of the data may result in assignment to one of the three error </w:t>
      </w:r>
      <w:r w:rsidR="00EE0795">
        <w:t>A</w:t>
      </w:r>
      <w:r>
        <w:t>DRGs</w:t>
      </w:r>
      <w:r w:rsidR="00EE0795">
        <w:t>:</w:t>
      </w:r>
    </w:p>
    <w:p w:rsidR="00EE0795" w:rsidRPr="00EE0795" w:rsidRDefault="00CA1DBB" w:rsidP="0078390D">
      <w:pPr>
        <w:pStyle w:val="ListParagraph"/>
        <w:numPr>
          <w:ilvl w:val="1"/>
          <w:numId w:val="20"/>
        </w:numPr>
      </w:pPr>
      <w:r>
        <w:t xml:space="preserve">960Z </w:t>
      </w:r>
      <w:r w:rsidRPr="000D6721">
        <w:rPr>
          <w:i/>
        </w:rPr>
        <w:t>Ungroupable</w:t>
      </w:r>
      <w:r w:rsidR="00EE0795">
        <w:t>;</w:t>
      </w:r>
    </w:p>
    <w:p w:rsidR="00EE0795" w:rsidRDefault="00CA1DBB" w:rsidP="0078390D">
      <w:pPr>
        <w:pStyle w:val="ListParagraph"/>
        <w:numPr>
          <w:ilvl w:val="1"/>
          <w:numId w:val="20"/>
        </w:numPr>
      </w:pPr>
      <w:r>
        <w:t xml:space="preserve">961Z </w:t>
      </w:r>
      <w:r w:rsidRPr="000D6721">
        <w:rPr>
          <w:i/>
        </w:rPr>
        <w:t>Unacceptable Principal Diagnosis</w:t>
      </w:r>
      <w:r w:rsidR="00EE0795">
        <w:t>;</w:t>
      </w:r>
      <w:r>
        <w:t xml:space="preserve"> </w:t>
      </w:r>
    </w:p>
    <w:p w:rsidR="00CA1DBB" w:rsidRDefault="00CA1DBB" w:rsidP="0078390D">
      <w:pPr>
        <w:pStyle w:val="ListParagraph"/>
        <w:numPr>
          <w:ilvl w:val="1"/>
          <w:numId w:val="20"/>
        </w:numPr>
      </w:pPr>
      <w:r>
        <w:t xml:space="preserve">963Z </w:t>
      </w:r>
      <w:r w:rsidRPr="000D6721">
        <w:rPr>
          <w:i/>
        </w:rPr>
        <w:t>Neonatal Diagnosis Not Consistent W Age/Weight</w:t>
      </w:r>
      <w:r>
        <w:t xml:space="preserve">. </w:t>
      </w:r>
    </w:p>
    <w:p w:rsidR="00CA1DBB" w:rsidRDefault="00CA1DBB" w:rsidP="0078390D">
      <w:pPr>
        <w:pStyle w:val="ListParagraph"/>
        <w:numPr>
          <w:ilvl w:val="0"/>
          <w:numId w:val="12"/>
        </w:numPr>
      </w:pPr>
      <w:r w:rsidRPr="00757D79">
        <w:rPr>
          <w:b/>
        </w:rPr>
        <w:t xml:space="preserve">MDC </w:t>
      </w:r>
      <w:r>
        <w:rPr>
          <w:b/>
        </w:rPr>
        <w:t>a</w:t>
      </w:r>
      <w:r w:rsidRPr="00757D79">
        <w:rPr>
          <w:b/>
        </w:rPr>
        <w:t>ssignment:</w:t>
      </w:r>
      <w:r>
        <w:t xml:space="preserve"> </w:t>
      </w:r>
      <w:r w:rsidR="009A7AA7">
        <w:t>After edit processing e</w:t>
      </w:r>
      <w:r>
        <w:t>pisodes are assigned to a Major Diagnostic Category</w:t>
      </w:r>
      <w:r w:rsidR="000614DA">
        <w:t xml:space="preserve"> (MDC)</w:t>
      </w:r>
      <w:r>
        <w:t xml:space="preserve"> according to principal diagnosis, </w:t>
      </w:r>
      <w:r w:rsidR="000614DA">
        <w:t>and a</w:t>
      </w:r>
      <w:r>
        <w:t xml:space="preserve">re generally mutually exclusive. </w:t>
      </w:r>
    </w:p>
    <w:p w:rsidR="00CA1DBB" w:rsidRDefault="00CA1DBB" w:rsidP="0078390D">
      <w:pPr>
        <w:pStyle w:val="ListParagraph"/>
        <w:numPr>
          <w:ilvl w:val="0"/>
          <w:numId w:val="12"/>
        </w:numPr>
      </w:pPr>
      <w:r w:rsidRPr="00757D79">
        <w:rPr>
          <w:b/>
        </w:rPr>
        <w:t>Pre MDC processing:</w:t>
      </w:r>
      <w:r>
        <w:t xml:space="preserve"> Episodes are then assessed as to whether they meet Pre MDC </w:t>
      </w:r>
      <w:r w:rsidR="000614DA">
        <w:t>criteria</w:t>
      </w:r>
      <w:r w:rsidR="00EE0795">
        <w:t xml:space="preserve"> that</w:t>
      </w:r>
      <w:r>
        <w:t xml:space="preserve"> identifies very high cost episodes (e.g. A13 </w:t>
      </w:r>
      <w:r w:rsidRPr="00757D79">
        <w:rPr>
          <w:i/>
        </w:rPr>
        <w:t xml:space="preserve">Ventilation </w:t>
      </w:r>
      <w:r w:rsidRPr="00757D79">
        <w:rPr>
          <w:rFonts w:cs="Arial"/>
          <w:i/>
        </w:rPr>
        <w:t>≥</w:t>
      </w:r>
      <w:r w:rsidRPr="00757D79">
        <w:rPr>
          <w:i/>
        </w:rPr>
        <w:t xml:space="preserve"> 336</w:t>
      </w:r>
      <w:r>
        <w:t xml:space="preserve"> hours)</w:t>
      </w:r>
      <w:r w:rsidR="009A7AA7">
        <w:t xml:space="preserve"> and is driven by a specific intervention code that overrides the outcome of the principal diagnosis based MDC assignment.</w:t>
      </w:r>
      <w:r>
        <w:t xml:space="preserve"> </w:t>
      </w:r>
    </w:p>
    <w:p w:rsidR="00CA1DBB" w:rsidRDefault="00CA1DBB" w:rsidP="0078390D">
      <w:pPr>
        <w:pStyle w:val="ListParagraph"/>
        <w:numPr>
          <w:ilvl w:val="0"/>
          <w:numId w:val="12"/>
        </w:numPr>
      </w:pPr>
      <w:r w:rsidRPr="00757D79">
        <w:rPr>
          <w:b/>
        </w:rPr>
        <w:t>ADRG assignment:</w:t>
      </w:r>
      <w:r>
        <w:t xml:space="preserve"> Episodes are assigned to an Adjacent DRG (ADRG) mostly according to diagnosis and intervention codes. All MDCs have a hierarchical structure that separates the ADRGs into either the intervention or medical partition. </w:t>
      </w:r>
    </w:p>
    <w:p w:rsidR="00CA1DBB" w:rsidRDefault="00CA1DBB" w:rsidP="0078390D">
      <w:pPr>
        <w:pStyle w:val="ListParagraph"/>
        <w:numPr>
          <w:ilvl w:val="0"/>
          <w:numId w:val="12"/>
        </w:numPr>
      </w:pPr>
      <w:r w:rsidRPr="00757D79">
        <w:rPr>
          <w:b/>
        </w:rPr>
        <w:t>DRG assignment:</w:t>
      </w:r>
      <w:r>
        <w:t xml:space="preserve"> Within each ADRG episodes are then assigned to DRG</w:t>
      </w:r>
      <w:r w:rsidR="000614DA">
        <w:t>s</w:t>
      </w:r>
      <w:r>
        <w:t xml:space="preserve"> according to </w:t>
      </w:r>
      <w:r w:rsidR="009A7AA7">
        <w:t>a complexity measure</w:t>
      </w:r>
      <w:r w:rsidR="00EE0795">
        <w:t xml:space="preserve"> that </w:t>
      </w:r>
      <w:r w:rsidR="00EE0795" w:rsidRPr="00A57C90">
        <w:t>quantifies relative levels of resource utilisation within each ADRG and is used to split ADRGs into different DRG levels on the basis of resource homogeneity</w:t>
      </w:r>
      <w:r w:rsidR="00EE0795">
        <w:t>.</w:t>
      </w:r>
    </w:p>
    <w:p w:rsidR="00424D63" w:rsidRDefault="00424D63" w:rsidP="00EE0795">
      <w:pPr>
        <w:pStyle w:val="Heading2"/>
      </w:pPr>
      <w:bookmarkStart w:id="29" w:name="_Episode_clinical_complexity"/>
      <w:bookmarkStart w:id="30" w:name="_Toc534875728"/>
      <w:bookmarkStart w:id="31" w:name="_Toc536011606"/>
      <w:bookmarkEnd w:id="29"/>
      <w:r>
        <w:t xml:space="preserve">Episode </w:t>
      </w:r>
      <w:r w:rsidR="00214116">
        <w:t>c</w:t>
      </w:r>
      <w:r>
        <w:t xml:space="preserve">linical </w:t>
      </w:r>
      <w:r w:rsidR="00214116">
        <w:t>c</w:t>
      </w:r>
      <w:r>
        <w:t>omplexity</w:t>
      </w:r>
      <w:bookmarkEnd w:id="30"/>
      <w:bookmarkEnd w:id="31"/>
    </w:p>
    <w:p w:rsidR="00D03EC8" w:rsidRDefault="00AA0D1C" w:rsidP="00D03EC8">
      <w:bookmarkStart w:id="32" w:name="_Toc534873754"/>
      <w:bookmarkStart w:id="33" w:name="_Toc534874400"/>
      <w:bookmarkStart w:id="34" w:name="_Toc534875525"/>
      <w:bookmarkStart w:id="35" w:name="_Toc534875627"/>
      <w:bookmarkStart w:id="36" w:name="_Toc534875729"/>
      <w:bookmarkStart w:id="37" w:name="_Toc534875837"/>
      <w:bookmarkStart w:id="38" w:name="_Toc534875939"/>
      <w:bookmarkStart w:id="39" w:name="_Toc534954965"/>
      <w:bookmarkStart w:id="40" w:name="_Toc534955089"/>
      <w:bookmarkStart w:id="41" w:name="_Toc534955130"/>
      <w:bookmarkStart w:id="42" w:name="_Toc534955679"/>
      <w:bookmarkStart w:id="43" w:name="_Toc534955732"/>
      <w:bookmarkStart w:id="44" w:name="_Toc534955790"/>
      <w:bookmarkStart w:id="45" w:name="_Toc534955832"/>
      <w:bookmarkStart w:id="46" w:name="_Toc534955922"/>
      <w:bookmarkStart w:id="47" w:name="_Toc534965667"/>
      <w:bookmarkStart w:id="48" w:name="_Toc534633018"/>
      <w:bookmarkStart w:id="49" w:name="_Toc5348757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 xml:space="preserve">The </w:t>
      </w:r>
      <w:r w:rsidR="00D03EC8">
        <w:t>AR-DRG</w:t>
      </w:r>
      <w:r>
        <w:t xml:space="preserve"> classification has</w:t>
      </w:r>
      <w:r w:rsidR="00D03EC8">
        <w:t xml:space="preserve"> a measure in place to account for the complexity of patient episodes. A patient episode of care is initially assigned to an ADRG. An ADRG is a group of DRGs which have the same first three characters (for example B70 </w:t>
      </w:r>
      <w:r w:rsidR="00D03EC8" w:rsidRPr="006F6D68">
        <w:rPr>
          <w:i/>
        </w:rPr>
        <w:t>Stroke and Other Cerebrovascular Disorders</w:t>
      </w:r>
      <w:r w:rsidR="00D03EC8">
        <w:t xml:space="preserve">). They broadly group episodes with the same diagnosis and intervention codes together. ADRGs are then subdivided into individual DRGs based on </w:t>
      </w:r>
      <w:r w:rsidR="00AD7AA7">
        <w:t>a</w:t>
      </w:r>
      <w:r w:rsidR="00D03EC8">
        <w:t xml:space="preserve"> complexity measure and occasionally other factors such as length of stay. DRGs ending in ‘A’ will be the most costly whereas DRGs ending in ‘D’ will be the least costly. For example:</w:t>
      </w:r>
    </w:p>
    <w:p w:rsidR="00D03EC8" w:rsidRDefault="00D03EC8" w:rsidP="0078390D">
      <w:pPr>
        <w:pStyle w:val="ListParagraph"/>
        <w:numPr>
          <w:ilvl w:val="0"/>
          <w:numId w:val="14"/>
        </w:numPr>
      </w:pPr>
      <w:r>
        <w:t xml:space="preserve">B70A </w:t>
      </w:r>
      <w:r w:rsidRPr="00FF4F54">
        <w:rPr>
          <w:i/>
        </w:rPr>
        <w:t>Stroke and Other Cerebrovascular Disorders, Major Complexity</w:t>
      </w:r>
      <w:r w:rsidRPr="006F6D68">
        <w:t>;</w:t>
      </w:r>
    </w:p>
    <w:p w:rsidR="00D03EC8" w:rsidRDefault="00D03EC8" w:rsidP="0078390D">
      <w:pPr>
        <w:pStyle w:val="ListParagraph"/>
        <w:numPr>
          <w:ilvl w:val="0"/>
          <w:numId w:val="14"/>
        </w:numPr>
      </w:pPr>
      <w:r>
        <w:t xml:space="preserve">B70B </w:t>
      </w:r>
      <w:r w:rsidRPr="00FF4F54">
        <w:rPr>
          <w:i/>
        </w:rPr>
        <w:t>Stroke and Other Cerebrovascular Disorders, Intermediate Complexity</w:t>
      </w:r>
      <w:r w:rsidRPr="006F6D68">
        <w:t>;</w:t>
      </w:r>
    </w:p>
    <w:p w:rsidR="00D03EC8" w:rsidRDefault="00D03EC8" w:rsidP="0078390D">
      <w:pPr>
        <w:pStyle w:val="ListParagraph"/>
        <w:numPr>
          <w:ilvl w:val="0"/>
          <w:numId w:val="14"/>
        </w:numPr>
      </w:pPr>
      <w:r>
        <w:t xml:space="preserve">B70C </w:t>
      </w:r>
      <w:r w:rsidRPr="00FF4F54">
        <w:rPr>
          <w:i/>
        </w:rPr>
        <w:t>Stroke and Other Cerebrovascular Disorders, Minor Complexity</w:t>
      </w:r>
      <w:r w:rsidRPr="006F6D68">
        <w:t>;</w:t>
      </w:r>
    </w:p>
    <w:p w:rsidR="00D03EC8" w:rsidRDefault="00D03EC8" w:rsidP="0078390D">
      <w:pPr>
        <w:pStyle w:val="ListParagraph"/>
        <w:numPr>
          <w:ilvl w:val="0"/>
          <w:numId w:val="14"/>
        </w:numPr>
      </w:pPr>
      <w:r>
        <w:t xml:space="preserve">B70D </w:t>
      </w:r>
      <w:r w:rsidRPr="00FF4F54">
        <w:rPr>
          <w:i/>
        </w:rPr>
        <w:t>Stroke and Other Cerebrovascular Disorders, Transferred &lt; 5 days</w:t>
      </w:r>
      <w:r>
        <w:t>.</w:t>
      </w:r>
    </w:p>
    <w:p w:rsidR="00D03EC8" w:rsidRPr="00C86A47" w:rsidRDefault="00D03EC8" w:rsidP="00D03EC8">
      <w:r>
        <w:t>AR-DRG V8.0 introduced a new methodology for determining clinical complexity, known as the Episode Clinical Complexity (ECC) Model</w:t>
      </w:r>
      <w:r w:rsidRPr="00A57C90">
        <w:t xml:space="preserve">. The </w:t>
      </w:r>
      <w:r w:rsidR="000614DA">
        <w:t>Episode Clinical Complexity Score (</w:t>
      </w:r>
      <w:r w:rsidRPr="00A57C90">
        <w:t>ECCS</w:t>
      </w:r>
      <w:r w:rsidR="000614DA">
        <w:t>)</w:t>
      </w:r>
      <w:r w:rsidRPr="00A57C90">
        <w:t xml:space="preserve"> quantifies relative levels of resource utilisation within each ADRG and is used to split ADRGs into different DRG levels on the basis of resource homogeneity.</w:t>
      </w:r>
      <w:r>
        <w:t xml:space="preserve"> </w:t>
      </w:r>
    </w:p>
    <w:p w:rsidR="00D03EC8" w:rsidRPr="00C86A47" w:rsidRDefault="00D03EC8" w:rsidP="00D03EC8">
      <w:pPr>
        <w:pStyle w:val="NoSpacing"/>
        <w:rPr>
          <w:rStyle w:val="IntenseReference"/>
          <w:b w:val="0"/>
          <w:bCs w:val="0"/>
          <w:i/>
          <w:smallCaps w:val="0"/>
          <w:color w:val="auto"/>
        </w:rPr>
      </w:pPr>
      <w:r w:rsidRPr="00B847BF">
        <w:t xml:space="preserve">The process of deriving an ECCS for each episode begins by assigning a Diagnosis Complexity Level (DCL) value to each diagnosis reported for the episode. DCLs are integers that quantify levels of resource utilisation associated with each diagnosis, relative to levels within the ADRG to which the episode belongs. </w:t>
      </w:r>
      <w:r w:rsidR="00FF4F54">
        <w:t xml:space="preserve">DCL </w:t>
      </w:r>
      <w:r w:rsidRPr="00B847BF">
        <w:t>values</w:t>
      </w:r>
      <w:r w:rsidR="00FF4F54">
        <w:t xml:space="preserve"> are assigned to principal diagnosis and additional diagnosis codes and</w:t>
      </w:r>
      <w:r w:rsidRPr="00B847BF">
        <w:t xml:space="preserve"> range between </w:t>
      </w:r>
      <w:r w:rsidR="00AA0D1C">
        <w:t>zero</w:t>
      </w:r>
      <w:r w:rsidRPr="00B847BF">
        <w:t xml:space="preserve"> and </w:t>
      </w:r>
      <w:r w:rsidR="00AA0D1C">
        <w:t>five</w:t>
      </w:r>
      <w:r w:rsidR="00FF4F54">
        <w:t>.</w:t>
      </w:r>
      <w:r w:rsidRPr="00B847BF">
        <w:t xml:space="preserve"> A DCL value of zero indicates the diagnosis has no effect on complexity within that</w:t>
      </w:r>
      <w:r w:rsidR="00261E85">
        <w:t xml:space="preserve"> specific ADRG. Approximately 11</w:t>
      </w:r>
      <w:r w:rsidRPr="00B847BF">
        <w:t>,</w:t>
      </w:r>
      <w:r w:rsidR="00261E85">
        <w:t>0</w:t>
      </w:r>
      <w:r w:rsidRPr="00B847BF">
        <w:t>00 diagnosis codes have a DCL with a non-zero value in AR</w:t>
      </w:r>
      <w:r w:rsidRPr="00B847BF">
        <w:noBreakHyphen/>
        <w:t>DRG V10.0, i.e. they contribute to the complexity of an episode of care.</w:t>
      </w:r>
    </w:p>
    <w:p w:rsidR="00D03EC8" w:rsidRDefault="00D03EC8" w:rsidP="00D03EC8">
      <w:r w:rsidRPr="00B847BF">
        <w:t xml:space="preserve">The ECCS determines the final DRG an episode of care is assigned to within an ADRG. For </w:t>
      </w:r>
      <w:r>
        <w:t xml:space="preserve">example, to be assigned to DRG B70A </w:t>
      </w:r>
      <w:r w:rsidRPr="002160BF">
        <w:rPr>
          <w:i/>
        </w:rPr>
        <w:t>Stroke and Other Cerebrovascular Disorders</w:t>
      </w:r>
      <w:r>
        <w:t xml:space="preserve">, </w:t>
      </w:r>
      <w:r w:rsidRPr="00FF4F54">
        <w:rPr>
          <w:i/>
        </w:rPr>
        <w:t>Major Complexity</w:t>
      </w:r>
      <w:r>
        <w:t>, an episode must have an ECCS greater than or equal to 4.0 (in AR-DRG V10.0).</w:t>
      </w:r>
    </w:p>
    <w:p w:rsidR="00D03EC8" w:rsidRDefault="00D03EC8" w:rsidP="00D03EC8">
      <w:r>
        <w:t xml:space="preserve">The AR-DRG V10.0 Technical Specifications provide further information with regards to the ECC model and ECCS derivations. </w:t>
      </w:r>
    </w:p>
    <w:p w:rsidR="00F530CD" w:rsidRDefault="00F530CD" w:rsidP="00EE0795">
      <w:pPr>
        <w:pStyle w:val="Heading2"/>
      </w:pPr>
      <w:bookmarkStart w:id="50" w:name="_Toc536011607"/>
      <w:r>
        <w:t xml:space="preserve">Governance and </w:t>
      </w:r>
      <w:r w:rsidR="00214116">
        <w:t>c</w:t>
      </w:r>
      <w:r>
        <w:t xml:space="preserve">onsultation </w:t>
      </w:r>
      <w:r w:rsidR="00214116">
        <w:t>p</w:t>
      </w:r>
      <w:r>
        <w:t>rocess</w:t>
      </w:r>
      <w:bookmarkEnd w:id="48"/>
      <w:bookmarkEnd w:id="49"/>
      <w:bookmarkEnd w:id="50"/>
    </w:p>
    <w:p w:rsidR="00D00A78" w:rsidRDefault="00D00A78" w:rsidP="00D00A78">
      <w:r>
        <w:t xml:space="preserve">IHPA has a number of technical groups to ensure consultation with a wide range of stakeholders as well as a clear governance process for endorsing changes to both ICD-10-AM/ACHI/ACS and AR-DRGs. IHPA has two groups which provide clinical and technical advice in regard to the refinement and development of AR-DRGs: </w:t>
      </w:r>
    </w:p>
    <w:p w:rsidR="00D00A78" w:rsidRPr="00B847BF" w:rsidRDefault="00D00A78" w:rsidP="00D32893">
      <w:pPr>
        <w:pStyle w:val="ListParagraph"/>
        <w:numPr>
          <w:ilvl w:val="0"/>
          <w:numId w:val="14"/>
        </w:numPr>
      </w:pPr>
      <w:r w:rsidRPr="00B847BF">
        <w:t>Classifications Clinical Advisory Group (</w:t>
      </w:r>
      <w:r w:rsidR="00AA0D1C">
        <w:t>CCAG) – provide</w:t>
      </w:r>
      <w:r w:rsidRPr="00B847BF">
        <w:t xml:space="preserve"> clinical advice and facilitat</w:t>
      </w:r>
      <w:r w:rsidR="00AA0D1C">
        <w:t>e</w:t>
      </w:r>
      <w:r w:rsidRPr="00B847BF">
        <w:t xml:space="preserve"> broad canvassing of clinicians to ensure that there is likely to be general acceptance of the developed proposals. Membership includes representation from medical, nursing and allied health professions. The group has two representatives from IHPA’s Clinical Advisory Committee (CAC).</w:t>
      </w:r>
    </w:p>
    <w:p w:rsidR="00D00A78" w:rsidRPr="00B847BF" w:rsidRDefault="00D00A78" w:rsidP="00D32893">
      <w:pPr>
        <w:pStyle w:val="ListParagraph"/>
        <w:numPr>
          <w:ilvl w:val="0"/>
          <w:numId w:val="14"/>
        </w:numPr>
      </w:pPr>
      <w:r w:rsidRPr="00B847BF">
        <w:t>Diagnosis Related Groups Technical Group (DTG) – provid</w:t>
      </w:r>
      <w:r w:rsidR="00AA0D1C">
        <w:t>e</w:t>
      </w:r>
      <w:r w:rsidRPr="00B847BF">
        <w:t xml:space="preserve"> advice in regard to the refinement and development of AR</w:t>
      </w:r>
      <w:r w:rsidR="000614DA">
        <w:t>-</w:t>
      </w:r>
      <w:r w:rsidRPr="00B847BF">
        <w:t>DRGs. DTG includes representatives from state and territory health departments, the Commonwealth, private hospitals, private health insurers and the New Zealand Ministry of Health.</w:t>
      </w:r>
    </w:p>
    <w:p w:rsidR="00D00A78" w:rsidRPr="00B847BF" w:rsidRDefault="00D00A78" w:rsidP="00D00A78">
      <w:r w:rsidRPr="00B847BF">
        <w:t>CCAG and DTG advice was sought on all AR-DRG V10.0 refinements. A sub-group of CCAG clinicians also provided extensive advice in relation to the proposed diagnosis exclusions within the AR-DRG complexity model</w:t>
      </w:r>
      <w:r w:rsidRPr="000A2C36">
        <w:t xml:space="preserve">. </w:t>
      </w:r>
      <w:r w:rsidR="00AA0D1C">
        <w:t xml:space="preserve">See </w:t>
      </w:r>
      <w:hyperlink w:anchor="_Toc534873819" w:history="1">
        <w:r w:rsidR="00AA0D1C" w:rsidRPr="00AA0D1C">
          <w:rPr>
            <w:rStyle w:val="Hyperlink"/>
          </w:rPr>
          <w:t>3.1 Refinements to diagnosis exclusions</w:t>
        </w:r>
      </w:hyperlink>
      <w:r w:rsidR="00AA0D1C">
        <w:t>.</w:t>
      </w:r>
    </w:p>
    <w:p w:rsidR="00D00A78" w:rsidRPr="00B847BF" w:rsidRDefault="00D00A78" w:rsidP="00D00A78">
      <w:r w:rsidRPr="00B847BF">
        <w:t>Consultation on refinements to the AR-DRG classification also occurs through IHPA’s CAC, Technical Advisory Committee, Jurisdictional Advisory Committee and Stakeholder Advisory Committee with final approval sought from the Pricing Authority.</w:t>
      </w:r>
    </w:p>
    <w:p w:rsidR="00D00A78" w:rsidRPr="00B847BF" w:rsidRDefault="00D00A78" w:rsidP="00D00A78">
      <w:pPr>
        <w:rPr>
          <w:b/>
        </w:rPr>
      </w:pPr>
      <w:r w:rsidRPr="00B847BF">
        <w:t>In addition to consultation through the advisory groups, IHPA undertook a public consultation</w:t>
      </w:r>
      <w:r w:rsidR="00AA0D1C">
        <w:t xml:space="preserve"> in May/June 2018</w:t>
      </w:r>
      <w:r w:rsidRPr="00B847BF">
        <w:t xml:space="preserve"> on major refinements to be introduced in AR-DRG V10.0 to ensure the broadest possible consultation across the public and private health sector. Fifteen submissions were received and all submissions are published on IHPA’s website (except if specified as commercial in confidence). IHPA has responded to each submission individually.</w:t>
      </w:r>
    </w:p>
    <w:p w:rsidR="00225CE3" w:rsidRDefault="00225CE3" w:rsidP="00EE0795">
      <w:pPr>
        <w:pStyle w:val="Heading2"/>
      </w:pPr>
      <w:bookmarkStart w:id="51" w:name="_Toc534875731"/>
      <w:bookmarkStart w:id="52" w:name="_Toc536011608"/>
      <w:r>
        <w:t xml:space="preserve">Other </w:t>
      </w:r>
      <w:r w:rsidR="00A46A83">
        <w:t>d</w:t>
      </w:r>
      <w:r>
        <w:t>ocuments</w:t>
      </w:r>
      <w:bookmarkEnd w:id="51"/>
      <w:bookmarkEnd w:id="52"/>
      <w:r>
        <w:t xml:space="preserve"> </w:t>
      </w:r>
    </w:p>
    <w:p w:rsidR="00225CE3" w:rsidRDefault="00B906D4" w:rsidP="00B906D4">
      <w:r>
        <w:t>In addition to t</w:t>
      </w:r>
      <w:r w:rsidR="00225CE3">
        <w:t xml:space="preserve">he AR-DRG V10.0 </w:t>
      </w:r>
      <w:r w:rsidR="000A2C36">
        <w:t>Final Report</w:t>
      </w:r>
      <w:r>
        <w:t xml:space="preserve"> other reference documents have been developed to support AR-DRG V10.0:</w:t>
      </w:r>
      <w:r w:rsidR="00225CE3">
        <w:t xml:space="preserve"> </w:t>
      </w:r>
    </w:p>
    <w:p w:rsidR="00225CE3" w:rsidRPr="00D00A78" w:rsidRDefault="00225CE3" w:rsidP="00757D79">
      <w:pPr>
        <w:pStyle w:val="ListParagraph"/>
      </w:pPr>
      <w:r w:rsidRPr="00D00A78">
        <w:t>AR-DRG V10.0 Technical Specifications</w:t>
      </w:r>
      <w:r w:rsidR="009544EA">
        <w:t>;</w:t>
      </w:r>
      <w:r w:rsidRPr="00D00A78">
        <w:t xml:space="preserve"> </w:t>
      </w:r>
    </w:p>
    <w:p w:rsidR="00225CE3" w:rsidRPr="00B906D4" w:rsidRDefault="00225CE3" w:rsidP="00757D79">
      <w:pPr>
        <w:pStyle w:val="ListParagraph"/>
      </w:pPr>
      <w:r w:rsidRPr="00B906D4">
        <w:t>AR-DRG V10.0 Definition</w:t>
      </w:r>
      <w:r w:rsidR="00A46A83" w:rsidRPr="00B906D4">
        <w:t>s</w:t>
      </w:r>
      <w:r w:rsidRPr="00B906D4">
        <w:t xml:space="preserve"> Manuals. </w:t>
      </w:r>
    </w:p>
    <w:p w:rsidR="00225CE3" w:rsidRDefault="00225CE3" w:rsidP="00757D79">
      <w:pPr>
        <w:pStyle w:val="Heading3"/>
      </w:pPr>
      <w:r>
        <w:t xml:space="preserve">AR-DRG V10.0 </w:t>
      </w:r>
      <w:r w:rsidR="00F64798">
        <w:t>T</w:t>
      </w:r>
      <w:r>
        <w:t xml:space="preserve">echnical </w:t>
      </w:r>
      <w:r w:rsidR="00F64798">
        <w:t>S</w:t>
      </w:r>
      <w:r>
        <w:t xml:space="preserve">pecifications: </w:t>
      </w:r>
    </w:p>
    <w:p w:rsidR="00D00A78" w:rsidRDefault="00D00A78" w:rsidP="000A2C36">
      <w:r>
        <w:t xml:space="preserve">This document </w:t>
      </w:r>
      <w:r w:rsidR="00F64798">
        <w:t>accompanies</w:t>
      </w:r>
      <w:r>
        <w:t xml:space="preserve"> the AR-DRG V10.0 Final Report. It provides the methodology and technical specifications used in developing AR-DRG V10.0 including: </w:t>
      </w:r>
    </w:p>
    <w:p w:rsidR="00D00A78" w:rsidRDefault="00D00A78" w:rsidP="00F64798">
      <w:pPr>
        <w:pStyle w:val="ListParagraph"/>
      </w:pPr>
      <w:r>
        <w:t>Data preparation and modification</w:t>
      </w:r>
      <w:r w:rsidR="002D4953">
        <w:t>;</w:t>
      </w:r>
      <w:r>
        <w:t xml:space="preserve"> </w:t>
      </w:r>
    </w:p>
    <w:p w:rsidR="00D00A78" w:rsidRDefault="00D00A78" w:rsidP="00F64798">
      <w:pPr>
        <w:pStyle w:val="ListParagraph"/>
      </w:pPr>
      <w:r>
        <w:t>Derivation of the ECCS</w:t>
      </w:r>
      <w:r w:rsidR="002D4953">
        <w:t>;</w:t>
      </w:r>
      <w:r>
        <w:t xml:space="preserve"> </w:t>
      </w:r>
    </w:p>
    <w:p w:rsidR="00D00A78" w:rsidRDefault="00D00A78" w:rsidP="00F64798">
      <w:pPr>
        <w:pStyle w:val="ListParagraph"/>
      </w:pPr>
      <w:r>
        <w:t>ADRG splitting</w:t>
      </w:r>
      <w:r w:rsidR="000A2C36">
        <w:t xml:space="preserve"> review</w:t>
      </w:r>
      <w:r w:rsidR="002D4953">
        <w:t>;</w:t>
      </w:r>
      <w:r>
        <w:t xml:space="preserve"> </w:t>
      </w:r>
    </w:p>
    <w:p w:rsidR="00D00A78" w:rsidRDefault="00D00A78" w:rsidP="00F64798">
      <w:pPr>
        <w:pStyle w:val="ListParagraph"/>
      </w:pPr>
      <w:r>
        <w:t>ADRG hierarchy review</w:t>
      </w:r>
      <w:r w:rsidR="002D4953">
        <w:t>.</w:t>
      </w:r>
    </w:p>
    <w:p w:rsidR="00B906D4" w:rsidRDefault="00B906D4" w:rsidP="00B906D4">
      <w:pPr>
        <w:pStyle w:val="Heading3"/>
      </w:pPr>
      <w:r>
        <w:t>AR-DRG V10.0 Definitions Manuals</w:t>
      </w:r>
    </w:p>
    <w:p w:rsidR="00B906D4" w:rsidRDefault="00B906D4" w:rsidP="00B906D4">
      <w:r>
        <w:t xml:space="preserve">The AR-DRG Definitions Manuals are reference documents that detail the definition logic for the DRG process performed by the grouper. The manuals provide documentation of how particular episodes of care group to particular DRGs. </w:t>
      </w:r>
      <w:r w:rsidR="00510679">
        <w:t>While t</w:t>
      </w:r>
      <w:r>
        <w:t>he manuals assist with</w:t>
      </w:r>
      <w:r w:rsidR="00510679">
        <w:t xml:space="preserve"> the</w:t>
      </w:r>
      <w:r>
        <w:t xml:space="preserve"> identification of likely DRG assignments for individual episodes, </w:t>
      </w:r>
      <w:r w:rsidR="00510679">
        <w:t>they</w:t>
      </w:r>
      <w:r>
        <w:t xml:space="preserve"> are not a substitute for the grouping software that is provided by various vendors under licence from IHPA.</w:t>
      </w:r>
    </w:p>
    <w:p w:rsidR="00DE0152" w:rsidRDefault="00DE0152" w:rsidP="00B906D4">
      <w:pPr>
        <w:pStyle w:val="Heading3"/>
        <w:numPr>
          <w:ilvl w:val="0"/>
          <w:numId w:val="0"/>
        </w:numPr>
      </w:pPr>
      <w:r>
        <w:br w:type="page"/>
      </w:r>
    </w:p>
    <w:p w:rsidR="00DE0152" w:rsidRPr="00510679" w:rsidRDefault="00DE0152" w:rsidP="00510679">
      <w:pPr>
        <w:pStyle w:val="Heading1"/>
      </w:pPr>
      <w:bookmarkStart w:id="53" w:name="_Toc536011609"/>
      <w:r w:rsidRPr="00510679">
        <w:t>Development of Work Program</w:t>
      </w:r>
      <w:bookmarkEnd w:id="53"/>
    </w:p>
    <w:p w:rsidR="00D00A78" w:rsidRDefault="00D00A78" w:rsidP="00D00A78">
      <w:bookmarkStart w:id="54" w:name="_Toc534633021"/>
      <w:r>
        <w:t>I</w:t>
      </w:r>
      <w:bookmarkStart w:id="55" w:name="_Toc534875792"/>
      <w:bookmarkEnd w:id="55"/>
      <w:r>
        <w:t>HPA drafted a work program in late 2017 outlining areas for consideration in the development of AR-DRG V10.0 and to identify other areas stakeholders considered to be a priority. This work program was approved through IHPA’s technical and advisory committees in early 2018 with tasks sourced from a number of areas, including:</w:t>
      </w:r>
    </w:p>
    <w:p w:rsidR="00D00A78" w:rsidRPr="006E7517" w:rsidRDefault="00D00A78" w:rsidP="0078390D">
      <w:pPr>
        <w:pStyle w:val="ListParagraph"/>
        <w:numPr>
          <w:ilvl w:val="0"/>
          <w:numId w:val="13"/>
        </w:numPr>
      </w:pPr>
      <w:r w:rsidRPr="006E7517">
        <w:t>Issues held over from AR-DRG V9.0 development</w:t>
      </w:r>
      <w:r>
        <w:t>;</w:t>
      </w:r>
    </w:p>
    <w:p w:rsidR="00D00A78" w:rsidRPr="006E7517" w:rsidRDefault="00D00A78" w:rsidP="0078390D">
      <w:pPr>
        <w:pStyle w:val="ListParagraph"/>
        <w:numPr>
          <w:ilvl w:val="0"/>
          <w:numId w:val="13"/>
        </w:numPr>
      </w:pPr>
      <w:r w:rsidRPr="006E7517">
        <w:t>Areas identified through IHPA’s pricing work</w:t>
      </w:r>
      <w:r>
        <w:t>;</w:t>
      </w:r>
    </w:p>
    <w:p w:rsidR="00D00A78" w:rsidRDefault="00D00A78" w:rsidP="0078390D">
      <w:pPr>
        <w:pStyle w:val="ListParagraph"/>
        <w:numPr>
          <w:ilvl w:val="0"/>
          <w:numId w:val="13"/>
        </w:numPr>
      </w:pPr>
      <w:r>
        <w:t>Submissions from stakeholders to consultations on the annual Pricing Framework for Australian Public Hospital Services;</w:t>
      </w:r>
    </w:p>
    <w:p w:rsidR="00D00A78" w:rsidRDefault="00D00A78" w:rsidP="0078390D">
      <w:pPr>
        <w:pStyle w:val="ListParagraph"/>
        <w:numPr>
          <w:ilvl w:val="0"/>
          <w:numId w:val="13"/>
        </w:numPr>
      </w:pPr>
      <w:r>
        <w:t>AR-DRG public submissions.</w:t>
      </w:r>
    </w:p>
    <w:p w:rsidR="00D00A78" w:rsidRDefault="00D00A78" w:rsidP="00D00A78">
      <w:r>
        <w:t xml:space="preserve">Refinement and review of the stability of the AR-DRG complexity model was identified </w:t>
      </w:r>
      <w:r w:rsidR="00EF7D14">
        <w:t>as the highest priority for AR-DRG V10.0 to ensure that it is robust and fit for purpose.</w:t>
      </w:r>
    </w:p>
    <w:p w:rsidR="00D00A78" w:rsidRDefault="00D00A78" w:rsidP="00D00A78">
      <w:r>
        <w:t xml:space="preserve">The work program was reviewed by IHPA’s advisory committees and a list of priorities for </w:t>
      </w:r>
      <w:r>
        <w:br/>
        <w:t>AR-DRG V10.0 was finalised.</w:t>
      </w:r>
    </w:p>
    <w:p w:rsidR="002D4953" w:rsidRDefault="002D4953" w:rsidP="002D4953">
      <w:pPr>
        <w:pStyle w:val="Title"/>
      </w:pPr>
      <w:r>
        <w:br w:type="page"/>
      </w:r>
    </w:p>
    <w:p w:rsidR="005553A5" w:rsidRDefault="00DB50DD" w:rsidP="00757D79">
      <w:pPr>
        <w:pStyle w:val="Heading1"/>
      </w:pPr>
      <w:bookmarkStart w:id="56" w:name="_Toc534875793"/>
      <w:bookmarkStart w:id="57" w:name="_Toc536011610"/>
      <w:r w:rsidRPr="00DB50DD">
        <w:t>Refinement of AR-DRG Version 10.0</w:t>
      </w:r>
      <w:bookmarkEnd w:id="56"/>
      <w:bookmarkEnd w:id="57"/>
    </w:p>
    <w:p w:rsidR="00BF48F6" w:rsidRPr="00741529" w:rsidRDefault="00BF48F6" w:rsidP="00EE0795">
      <w:pPr>
        <w:pStyle w:val="Heading2"/>
      </w:pPr>
      <w:bookmarkStart w:id="58" w:name="_Toc534873819"/>
      <w:bookmarkStart w:id="59" w:name="_Toc534874465"/>
      <w:bookmarkStart w:id="60" w:name="_Toc534875590"/>
      <w:bookmarkStart w:id="61" w:name="_Toc534875692"/>
      <w:bookmarkStart w:id="62" w:name="_Toc534875794"/>
      <w:bookmarkStart w:id="63" w:name="_Toc534875902"/>
      <w:bookmarkStart w:id="64" w:name="_Toc534876004"/>
      <w:bookmarkStart w:id="65" w:name="_Toc534955030"/>
      <w:bookmarkStart w:id="66" w:name="_Toc534955093"/>
      <w:bookmarkStart w:id="67" w:name="_Toc534955135"/>
      <w:bookmarkStart w:id="68" w:name="_Toc534955684"/>
      <w:bookmarkStart w:id="69" w:name="_Toc534955737"/>
      <w:bookmarkStart w:id="70" w:name="_Toc534955795"/>
      <w:bookmarkStart w:id="71" w:name="_Toc534955837"/>
      <w:bookmarkStart w:id="72" w:name="_Toc534955927"/>
      <w:bookmarkStart w:id="73" w:name="_Toc534965672"/>
      <w:bookmarkStart w:id="74" w:name="_Refinements_to_diagnosis"/>
      <w:bookmarkStart w:id="75" w:name="_Toc534875795"/>
      <w:bookmarkStart w:id="76" w:name="_Ref535531453"/>
      <w:bookmarkStart w:id="77" w:name="_Ref535531501"/>
      <w:bookmarkStart w:id="78" w:name="_Toc536011611"/>
      <w:bookmarkStart w:id="79" w:name="_Toc534633022"/>
      <w:bookmarkEnd w:id="5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41529">
        <w:t xml:space="preserve">Refinements to </w:t>
      </w:r>
      <w:r w:rsidR="00D00A78">
        <w:t>d</w:t>
      </w:r>
      <w:r w:rsidRPr="00741529">
        <w:t xml:space="preserve">iagnosis </w:t>
      </w:r>
      <w:r w:rsidR="00D00A78">
        <w:t>e</w:t>
      </w:r>
      <w:r w:rsidRPr="00741529">
        <w:t>xclusion</w:t>
      </w:r>
      <w:bookmarkEnd w:id="75"/>
      <w:r w:rsidR="00D00A78">
        <w:t>s</w:t>
      </w:r>
      <w:bookmarkEnd w:id="76"/>
      <w:bookmarkEnd w:id="77"/>
      <w:bookmarkEnd w:id="78"/>
    </w:p>
    <w:p w:rsidR="00D00A78" w:rsidRDefault="00D00A78" w:rsidP="00D00A78">
      <w:bookmarkStart w:id="80" w:name="_Toc534875796"/>
      <w:bookmarkStart w:id="81" w:name="_Ref534876031"/>
      <w:bookmarkEnd w:id="79"/>
      <w:r w:rsidRPr="001370ED">
        <w:t xml:space="preserve">A number of diagnosis codes are excluded from consideration in the AR-DRG ECC Model based on guiding principles formalised during its initial development (V8.0). These guiding principles aimed to characterise the scope of the model in terms of diagnoses considered relevant for DRG classification purposes. </w:t>
      </w:r>
    </w:p>
    <w:p w:rsidR="00D00A78" w:rsidRPr="001370ED" w:rsidRDefault="00D00A78" w:rsidP="00D00A78">
      <w:r w:rsidRPr="001370ED">
        <w:t>Clinical determination of exclusions for all (approximately) 16,000 diagnosis codes was not possible during the development of the complexity model for V8.0, however, it was acknowledged that further refinement of diagnosis codes considered as in-scope and out of scope for the model would be required.</w:t>
      </w:r>
    </w:p>
    <w:p w:rsidR="00D00A78" w:rsidRDefault="00D00A78" w:rsidP="00D00A78">
      <w:r w:rsidRPr="001370ED">
        <w:t xml:space="preserve">IHPA undertook this refinement for AR-DRG V10.0 and in so doing expanded the guiding principles for exclusion as outlined in </w:t>
      </w:r>
      <w:r w:rsidR="006D7062">
        <w:fldChar w:fldCharType="begin"/>
      </w:r>
      <w:r w:rsidR="006D7062">
        <w:instrText xml:space="preserve"> REF _Ref344450 \h </w:instrText>
      </w:r>
      <w:r w:rsidR="006D7062">
        <w:fldChar w:fldCharType="separate"/>
      </w:r>
      <w:r w:rsidR="006D7062">
        <w:t xml:space="preserve">Table </w:t>
      </w:r>
      <w:r w:rsidR="006D7062">
        <w:rPr>
          <w:noProof/>
        </w:rPr>
        <w:t>1</w:t>
      </w:r>
      <w:r w:rsidR="006D7062">
        <w:fldChar w:fldCharType="end"/>
      </w:r>
      <w:r w:rsidRPr="001370ED">
        <w:t>:</w:t>
      </w:r>
    </w:p>
    <w:p w:rsidR="006D7062" w:rsidRDefault="006D7062" w:rsidP="00D32893">
      <w:pPr>
        <w:pStyle w:val="Caption"/>
        <w:keepNext/>
      </w:pPr>
      <w:bookmarkStart w:id="82" w:name="_Ref344450"/>
      <w:r>
        <w:t xml:space="preserve">Table </w:t>
      </w:r>
      <w:fldSimple w:instr=" SEQ Table \* ARABIC ">
        <w:r w:rsidR="001741B1">
          <w:rPr>
            <w:noProof/>
          </w:rPr>
          <w:t>1</w:t>
        </w:r>
      </w:fldSimple>
      <w:bookmarkEnd w:id="82"/>
      <w:r w:rsidRPr="00913577">
        <w:t>: Guiding principles for exclusion in the AR-DRG complexity model</w:t>
      </w:r>
    </w:p>
    <w:tbl>
      <w:tblPr>
        <w:tblStyle w:val="TableGrid"/>
        <w:tblW w:w="5000" w:type="pct"/>
        <w:tblLook w:val="04A0" w:firstRow="1" w:lastRow="0" w:firstColumn="1" w:lastColumn="0" w:noHBand="0" w:noVBand="1"/>
      </w:tblPr>
      <w:tblGrid>
        <w:gridCol w:w="4803"/>
        <w:gridCol w:w="4858"/>
      </w:tblGrid>
      <w:tr w:rsidR="00D00A78" w:rsidRPr="00833C29" w:rsidTr="00D32893">
        <w:tc>
          <w:tcPr>
            <w:tcW w:w="2486" w:type="pct"/>
            <w:shd w:val="clear" w:color="auto" w:fill="004200"/>
          </w:tcPr>
          <w:p w:rsidR="00D00A78" w:rsidRPr="00D32893" w:rsidRDefault="00D00A78">
            <w:pPr>
              <w:pStyle w:val="TableText"/>
              <w:rPr>
                <w:rStyle w:val="IntenseReference"/>
                <w:bCs w:val="0"/>
                <w:i/>
                <w:smallCaps w:val="0"/>
                <w:color w:val="auto"/>
              </w:rPr>
            </w:pPr>
            <w:r w:rsidRPr="00D32893">
              <w:rPr>
                <w:b/>
              </w:rPr>
              <w:t>Original (AR-DRG V8.0)</w:t>
            </w:r>
          </w:p>
        </w:tc>
        <w:tc>
          <w:tcPr>
            <w:tcW w:w="2514" w:type="pct"/>
            <w:shd w:val="clear" w:color="auto" w:fill="004200"/>
          </w:tcPr>
          <w:p w:rsidR="00D00A78" w:rsidRPr="00D32893" w:rsidRDefault="00D00A78">
            <w:pPr>
              <w:pStyle w:val="TableText"/>
              <w:rPr>
                <w:rStyle w:val="IntenseReference"/>
                <w:bCs w:val="0"/>
                <w:i/>
                <w:smallCaps w:val="0"/>
                <w:color w:val="auto"/>
              </w:rPr>
            </w:pPr>
            <w:r w:rsidRPr="00D32893">
              <w:rPr>
                <w:b/>
              </w:rPr>
              <w:t>Additional (AR-DRG V10.0)</w:t>
            </w:r>
          </w:p>
        </w:tc>
      </w:tr>
      <w:tr w:rsidR="00D00A78" w:rsidRPr="00193AF6" w:rsidTr="00D32893">
        <w:tc>
          <w:tcPr>
            <w:tcW w:w="2486" w:type="pct"/>
          </w:tcPr>
          <w:p w:rsidR="00D00A78" w:rsidRPr="001370ED" w:rsidRDefault="00D00A78" w:rsidP="00E05E92">
            <w:pPr>
              <w:pStyle w:val="NoSpacing"/>
              <w:rPr>
                <w:rStyle w:val="IntenseReference"/>
                <w:b w:val="0"/>
                <w:bCs w:val="0"/>
                <w:i/>
                <w:smallCaps w:val="0"/>
                <w:color w:val="auto"/>
              </w:rPr>
            </w:pPr>
            <w:r w:rsidRPr="001370ED">
              <w:t xml:space="preserve">Codes for undefined or ill-specified conditions </w:t>
            </w:r>
          </w:p>
        </w:tc>
        <w:tc>
          <w:tcPr>
            <w:tcW w:w="2514" w:type="pct"/>
          </w:tcPr>
          <w:p w:rsidR="00D00A78" w:rsidRPr="001370ED" w:rsidRDefault="00D00A78" w:rsidP="0048533D">
            <w:pPr>
              <w:pStyle w:val="NoSpacing"/>
              <w:rPr>
                <w:rStyle w:val="IntenseReference"/>
                <w:b w:val="0"/>
                <w:bCs w:val="0"/>
                <w:i/>
                <w:smallCaps w:val="0"/>
                <w:color w:val="auto"/>
              </w:rPr>
            </w:pPr>
            <w:r w:rsidRPr="001370ED">
              <w:t xml:space="preserve">Codes for asymptomatic or sub-clinical conditions e.g. latent conditions </w:t>
            </w:r>
          </w:p>
        </w:tc>
      </w:tr>
      <w:tr w:rsidR="00D00A78" w:rsidRPr="00193AF6" w:rsidTr="00D32893">
        <w:tc>
          <w:tcPr>
            <w:tcW w:w="2486" w:type="pct"/>
          </w:tcPr>
          <w:p w:rsidR="00D00A78" w:rsidRPr="001370ED" w:rsidRDefault="00D00A78" w:rsidP="0048533D">
            <w:pPr>
              <w:pStyle w:val="NoSpacing"/>
              <w:rPr>
                <w:rStyle w:val="IntenseReference"/>
                <w:b w:val="0"/>
                <w:bCs w:val="0"/>
                <w:i/>
                <w:smallCaps w:val="0"/>
                <w:color w:val="auto"/>
              </w:rPr>
            </w:pPr>
            <w:r w:rsidRPr="001370ED">
              <w:t>Codes for symptoms and findings or transient conditions</w:t>
            </w:r>
          </w:p>
        </w:tc>
        <w:tc>
          <w:tcPr>
            <w:tcW w:w="2514" w:type="pct"/>
          </w:tcPr>
          <w:p w:rsidR="00D00A78" w:rsidRPr="001370ED" w:rsidRDefault="00D00A78" w:rsidP="0048533D">
            <w:pPr>
              <w:pStyle w:val="NoSpacing"/>
            </w:pPr>
            <w:r w:rsidRPr="001370ED">
              <w:t>Codes that represent markers of other diseases e.g. hypercholesterolaemia</w:t>
            </w:r>
          </w:p>
        </w:tc>
      </w:tr>
      <w:tr w:rsidR="00D00A78" w:rsidRPr="00193AF6" w:rsidTr="00D32893">
        <w:tc>
          <w:tcPr>
            <w:tcW w:w="2486" w:type="pct"/>
          </w:tcPr>
          <w:p w:rsidR="00D00A78" w:rsidRPr="001370ED" w:rsidRDefault="00D00A78" w:rsidP="0048533D">
            <w:pPr>
              <w:pStyle w:val="NoSpacing"/>
            </w:pPr>
            <w:r w:rsidRPr="001370ED">
              <w:t>Codes that provide additional or contextual information</w:t>
            </w:r>
          </w:p>
          <w:p w:rsidR="00D00A78" w:rsidRPr="001370ED" w:rsidRDefault="00D00A78" w:rsidP="0048533D">
            <w:pPr>
              <w:pStyle w:val="NoSpacing"/>
              <w:rPr>
                <w:rStyle w:val="IntenseReference"/>
                <w:b w:val="0"/>
                <w:bCs w:val="0"/>
                <w:i/>
                <w:smallCaps w:val="0"/>
                <w:color w:val="auto"/>
              </w:rPr>
            </w:pPr>
          </w:p>
        </w:tc>
        <w:tc>
          <w:tcPr>
            <w:tcW w:w="2514" w:type="pct"/>
          </w:tcPr>
          <w:p w:rsidR="00D00A78" w:rsidRPr="001370ED" w:rsidRDefault="00D00A78" w:rsidP="0048533D">
            <w:pPr>
              <w:pStyle w:val="NoSpacing"/>
            </w:pPr>
            <w:r w:rsidRPr="001370ED">
              <w:t>Codes that represent minor conditions that do not generally result in an admitted acute episode of care</w:t>
            </w:r>
          </w:p>
        </w:tc>
      </w:tr>
      <w:tr w:rsidR="00D00A78" w:rsidRPr="00193AF6" w:rsidTr="00D32893">
        <w:tc>
          <w:tcPr>
            <w:tcW w:w="2486" w:type="pct"/>
          </w:tcPr>
          <w:p w:rsidR="00D00A78" w:rsidRPr="001370ED" w:rsidRDefault="00D00A78" w:rsidP="0048533D">
            <w:pPr>
              <w:pStyle w:val="NoSpacing"/>
            </w:pPr>
            <w:r w:rsidRPr="001370ED">
              <w:rPr>
                <w:lang w:val="fr-FR"/>
              </w:rPr>
              <w:t>Most unacceptable principal diagnosis codes</w:t>
            </w:r>
          </w:p>
          <w:p w:rsidR="00D00A78" w:rsidRPr="001370ED" w:rsidRDefault="00D00A78" w:rsidP="0048533D">
            <w:pPr>
              <w:pStyle w:val="NoSpacing"/>
              <w:rPr>
                <w:rStyle w:val="IntenseReference"/>
                <w:b w:val="0"/>
                <w:bCs w:val="0"/>
                <w:i/>
                <w:smallCaps w:val="0"/>
                <w:color w:val="auto"/>
              </w:rPr>
            </w:pPr>
          </w:p>
        </w:tc>
        <w:tc>
          <w:tcPr>
            <w:tcW w:w="2514" w:type="pct"/>
          </w:tcPr>
          <w:p w:rsidR="00D00A78" w:rsidRPr="001370ED" w:rsidRDefault="00D00A78" w:rsidP="0048533D">
            <w:pPr>
              <w:pStyle w:val="NoSpacing"/>
            </w:pPr>
            <w:r w:rsidRPr="001370ED">
              <w:t>Codes that represent an underlying cause of disease e.g. tobacco dependence/use</w:t>
            </w:r>
          </w:p>
        </w:tc>
      </w:tr>
    </w:tbl>
    <w:p w:rsidR="00D00A78" w:rsidRPr="001370ED" w:rsidRDefault="00D00A78" w:rsidP="00D00A78">
      <w:r w:rsidRPr="001370ED">
        <w:t xml:space="preserve">A comprehensive review of the current in-scope code set (12,559 codes) informed by the guiding principles was undertaken in consultation with a sub-group of clinicians from CCAG, the wider CCAG group and DTG to refine the code set. </w:t>
      </w:r>
      <w:r w:rsidR="000C5F43">
        <w:t>The results of this review</w:t>
      </w:r>
      <w:r w:rsidRPr="001370ED">
        <w:t xml:space="preserve"> also went out to public consultation during May/June 2018. Particular attention was also given to a review of those codes with a </w:t>
      </w:r>
      <w:r w:rsidR="00357D36">
        <w:t>large</w:t>
      </w:r>
      <w:r w:rsidRPr="001370ED">
        <w:t xml:space="preserve"> increase in assignment </w:t>
      </w:r>
      <w:r w:rsidR="000C5F43">
        <w:t xml:space="preserve">between 2015-16 and 2016-17, </w:t>
      </w:r>
      <w:r w:rsidRPr="001370ED">
        <w:t>coinciding with the introduction of AR-DRG V8.0 on 1 July 2016.</w:t>
      </w:r>
    </w:p>
    <w:p w:rsidR="00D00A78" w:rsidRDefault="00D00A78" w:rsidP="00D00A78">
      <w:r w:rsidRPr="001370ED">
        <w:t xml:space="preserve">Impact analysis was </w:t>
      </w:r>
      <w:r w:rsidR="000C5F43">
        <w:t xml:space="preserve">then </w:t>
      </w:r>
      <w:r w:rsidRPr="001370ED">
        <w:t xml:space="preserve">undertaken on the proposed diagnosis exclusions to determine </w:t>
      </w:r>
      <w:r w:rsidR="000C5F43">
        <w:t xml:space="preserve">which </w:t>
      </w:r>
      <w:r w:rsidRPr="001370ED">
        <w:t>codes should potentially be reincorporated</w:t>
      </w:r>
      <w:r w:rsidR="000C5F43">
        <w:t xml:space="preserve"> into the ECC Model</w:t>
      </w:r>
      <w:r w:rsidRPr="001370ED">
        <w:t>. An iterative consultation process was conducted that included further analysis and consultation with CCAG, DTG and CAC</w:t>
      </w:r>
      <w:r w:rsidR="000C5F43">
        <w:t>, and the CCAG sub-group,</w:t>
      </w:r>
      <w:r w:rsidRPr="001370ED">
        <w:t xml:space="preserve"> which also took into consideration feedback from the public consultation.</w:t>
      </w:r>
    </w:p>
    <w:p w:rsidR="00D00A78" w:rsidRPr="001370ED" w:rsidRDefault="00D00A78" w:rsidP="00D00A78">
      <w:r w:rsidRPr="001370ED">
        <w:t>A list of codes for exclusion was then finalised based on a combination of the impact analysis and clinical advice.</w:t>
      </w:r>
    </w:p>
    <w:p w:rsidR="00D00A78" w:rsidRPr="001370ED" w:rsidRDefault="00D00A78" w:rsidP="00D00A78">
      <w:r w:rsidRPr="001370ED">
        <w:t xml:space="preserve">Of the 12,559 codes </w:t>
      </w:r>
      <w:r w:rsidR="000C5F43">
        <w:t>initially</w:t>
      </w:r>
      <w:r w:rsidRPr="001370ED">
        <w:t xml:space="preserve"> in-scope within the complexity model 1,576 were proposed for exclusion, decreasing the in-scope codes by approximately 12.5%. Following feedback from stakeholders, the impact analysis and further clinical advice from the CCAG sub-group the final list excludes 1,511 codes (with 65 having been reincorporated), reducing the in-scope codes by approximately 12.0%.</w:t>
      </w:r>
    </w:p>
    <w:p w:rsidR="00385841" w:rsidRDefault="00385841" w:rsidP="00357D36">
      <w:pPr>
        <w:pStyle w:val="Heading2"/>
      </w:pPr>
      <w:bookmarkStart w:id="83" w:name="_Toc536011612"/>
      <w:r>
        <w:t xml:space="preserve">Stability of </w:t>
      </w:r>
      <w:r w:rsidR="000C5F43">
        <w:t xml:space="preserve">the </w:t>
      </w:r>
      <w:r>
        <w:t xml:space="preserve">AR-DRG </w:t>
      </w:r>
      <w:bookmarkEnd w:id="80"/>
      <w:bookmarkEnd w:id="81"/>
      <w:r w:rsidR="00C47375">
        <w:t>complexity model</w:t>
      </w:r>
      <w:bookmarkEnd w:id="83"/>
    </w:p>
    <w:p w:rsidR="002B3995" w:rsidRDefault="002B3995" w:rsidP="002B3995">
      <w:r>
        <w:t xml:space="preserve">The </w:t>
      </w:r>
      <w:r w:rsidR="00BA5D6A">
        <w:t>ECC</w:t>
      </w:r>
      <w:r w:rsidR="00385841">
        <w:t xml:space="preserve"> </w:t>
      </w:r>
      <w:r w:rsidR="00BA5D6A">
        <w:t>M</w:t>
      </w:r>
      <w:r w:rsidR="00385841">
        <w:t>odel</w:t>
      </w:r>
      <w:r>
        <w:t xml:space="preserve"> provides a systematic method for refining complexity weights with each new version of AR-DRGs. </w:t>
      </w:r>
      <w:r w:rsidR="0017643F">
        <w:t>Prior to this</w:t>
      </w:r>
      <w:r>
        <w:t xml:space="preserve"> a systematic review of diagnosis complexity weights had not occurred since AR-DRG V4.0 was introduced in 2000. A primary benefit of the ECC</w:t>
      </w:r>
      <w:r w:rsidR="00BF4ECE">
        <w:t xml:space="preserve"> </w:t>
      </w:r>
      <w:r>
        <w:t>M</w:t>
      </w:r>
      <w:r w:rsidR="00BF4ECE">
        <w:t>odel</w:t>
      </w:r>
      <w:r>
        <w:t xml:space="preserve"> is </w:t>
      </w:r>
      <w:r w:rsidR="0017643F">
        <w:t xml:space="preserve">that it facilitates continual refinement of the model </w:t>
      </w:r>
      <w:r w:rsidR="002D4953">
        <w:t>by utilising</w:t>
      </w:r>
      <w:r w:rsidR="0017643F">
        <w:t xml:space="preserve"> the</w:t>
      </w:r>
      <w:r>
        <w:t xml:space="preserve"> most recent cost and </w:t>
      </w:r>
      <w:r w:rsidR="0017643F">
        <w:t xml:space="preserve">activity </w:t>
      </w:r>
      <w:r>
        <w:t xml:space="preserve">data. This </w:t>
      </w:r>
      <w:r w:rsidR="00D862C4">
        <w:t>means that to</w:t>
      </w:r>
      <w:r>
        <w:t xml:space="preserve"> some extent the model </w:t>
      </w:r>
      <w:r w:rsidR="00D862C4">
        <w:t xml:space="preserve">is </w:t>
      </w:r>
      <w:r w:rsidR="003750F2">
        <w:t>‘</w:t>
      </w:r>
      <w:r w:rsidR="00D862C4">
        <w:t>self-correcting</w:t>
      </w:r>
      <w:r w:rsidR="003750F2">
        <w:t>’</w:t>
      </w:r>
      <w:r w:rsidR="00D862C4">
        <w:t xml:space="preserve"> and reflects </w:t>
      </w:r>
      <w:r>
        <w:t xml:space="preserve">changes in </w:t>
      </w:r>
      <w:r w:rsidR="00D862C4">
        <w:t>the underlying data. For example,</w:t>
      </w:r>
      <w:r>
        <w:t xml:space="preserve"> a significant increase in</w:t>
      </w:r>
      <w:r w:rsidR="00D862C4">
        <w:t xml:space="preserve"> the</w:t>
      </w:r>
      <w:r>
        <w:t xml:space="preserve"> reporting of a specific diagnosis</w:t>
      </w:r>
      <w:r w:rsidR="00D862C4">
        <w:t xml:space="preserve"> code</w:t>
      </w:r>
      <w:r>
        <w:t xml:space="preserve"> may result in a reduction in the complexity weight with all else being equal. </w:t>
      </w:r>
      <w:r w:rsidR="003750F2">
        <w:t>The ‘self-correcting’ nature of the model, h</w:t>
      </w:r>
      <w:r>
        <w:t xml:space="preserve">owever, </w:t>
      </w:r>
      <w:r w:rsidR="003750F2">
        <w:t>needs to be balanced against stability. S</w:t>
      </w:r>
      <w:r>
        <w:t xml:space="preserve">takeholders have an expectation </w:t>
      </w:r>
      <w:r w:rsidR="002D4953">
        <w:t>that while</w:t>
      </w:r>
      <w:r w:rsidR="003750F2">
        <w:t xml:space="preserve"> </w:t>
      </w:r>
      <w:r>
        <w:t xml:space="preserve">AR-DRG versions </w:t>
      </w:r>
      <w:r w:rsidR="003750F2">
        <w:t>should</w:t>
      </w:r>
      <w:r>
        <w:t xml:space="preserve"> reflect </w:t>
      </w:r>
      <w:r w:rsidR="003750F2">
        <w:t>changes</w:t>
      </w:r>
      <w:r>
        <w:t xml:space="preserve"> in resource use</w:t>
      </w:r>
      <w:r w:rsidR="003750F2">
        <w:t xml:space="preserve"> they should at the same time remain </w:t>
      </w:r>
      <w:r>
        <w:t>reasonably stable.</w:t>
      </w:r>
    </w:p>
    <w:p w:rsidR="002B3995" w:rsidRDefault="002B3995" w:rsidP="002B3995">
      <w:r>
        <w:t xml:space="preserve">In order to assess the overall AR-DRG classification stability, a number of levers in the </w:t>
      </w:r>
      <w:r w:rsidR="00BA5D6A">
        <w:t>ECC</w:t>
      </w:r>
      <w:r w:rsidR="00BF4ECE">
        <w:t xml:space="preserve"> </w:t>
      </w:r>
      <w:r w:rsidR="00BA5D6A">
        <w:t>M</w:t>
      </w:r>
      <w:r w:rsidR="00BF4ECE">
        <w:t>odel</w:t>
      </w:r>
      <w:r>
        <w:t xml:space="preserve"> </w:t>
      </w:r>
      <w:r w:rsidR="00377A76">
        <w:t>were</w:t>
      </w:r>
      <w:r>
        <w:t xml:space="preserve"> considered</w:t>
      </w:r>
      <w:r w:rsidR="00BF4ECE">
        <w:t>:</w:t>
      </w:r>
    </w:p>
    <w:p w:rsidR="00BF4ECE" w:rsidRDefault="00357D36" w:rsidP="0078390D">
      <w:pPr>
        <w:pStyle w:val="ListParagraph"/>
        <w:numPr>
          <w:ilvl w:val="0"/>
          <w:numId w:val="18"/>
        </w:numPr>
      </w:pPr>
      <w:r>
        <w:rPr>
          <w:b/>
        </w:rPr>
        <w:t>DCLs</w:t>
      </w:r>
      <w:r w:rsidR="00377A76">
        <w:t>: The DCLs</w:t>
      </w:r>
      <w:r w:rsidR="00BF4ECE">
        <w:t xml:space="preserve"> represent the relative costs associated with each diagnosis within the context </w:t>
      </w:r>
      <w:r w:rsidR="00377A76">
        <w:t>of</w:t>
      </w:r>
      <w:r w:rsidR="00BF4ECE">
        <w:t xml:space="preserve"> specific ADRGs. DCL weights are calculated for every combination of diagnosis and ADRG, </w:t>
      </w:r>
      <w:r w:rsidR="00377A76">
        <w:t>resulting</w:t>
      </w:r>
      <w:r w:rsidR="00BF4ECE">
        <w:t xml:space="preserve"> in approximately 6.7 million different combinations and range between </w:t>
      </w:r>
      <w:r>
        <w:t>zero</w:t>
      </w:r>
      <w:r w:rsidR="00BF4ECE">
        <w:t xml:space="preserve"> and </w:t>
      </w:r>
      <w:r>
        <w:t>five</w:t>
      </w:r>
      <w:r w:rsidR="004E52D8">
        <w:t>.</w:t>
      </w:r>
    </w:p>
    <w:p w:rsidR="002B3995" w:rsidRDefault="002B3995" w:rsidP="0078390D">
      <w:pPr>
        <w:pStyle w:val="ListParagraph"/>
        <w:numPr>
          <w:ilvl w:val="0"/>
          <w:numId w:val="18"/>
        </w:numPr>
      </w:pPr>
      <w:r w:rsidRPr="006F5E4A">
        <w:rPr>
          <w:b/>
        </w:rPr>
        <w:t>Refinement in</w:t>
      </w:r>
      <w:r w:rsidR="00377A76" w:rsidRPr="006F5E4A">
        <w:rPr>
          <w:b/>
        </w:rPr>
        <w:t xml:space="preserve"> the</w:t>
      </w:r>
      <w:r w:rsidR="00BF4ECE" w:rsidRPr="006F5E4A">
        <w:rPr>
          <w:b/>
        </w:rPr>
        <w:t xml:space="preserve"> number of</w:t>
      </w:r>
      <w:r w:rsidRPr="006F5E4A">
        <w:rPr>
          <w:b/>
        </w:rPr>
        <w:t xml:space="preserve"> complexity splits</w:t>
      </w:r>
      <w:r>
        <w:t xml:space="preserve">: </w:t>
      </w:r>
      <w:r w:rsidR="00377A76">
        <w:t>I</w:t>
      </w:r>
      <w:r>
        <w:t>ntroduction or removal of complexity splits within an ADRG, for example, an ADRG changing from having an ‘A’ and a ‘B’ DRG to having an ‘A’, ‘B’ and ‘C’ DRG.</w:t>
      </w:r>
    </w:p>
    <w:p w:rsidR="002B3995" w:rsidRDefault="002B3995" w:rsidP="0078390D">
      <w:pPr>
        <w:pStyle w:val="ListParagraph"/>
        <w:numPr>
          <w:ilvl w:val="0"/>
          <w:numId w:val="18"/>
        </w:numPr>
      </w:pPr>
      <w:r w:rsidRPr="006F5E4A">
        <w:rPr>
          <w:b/>
        </w:rPr>
        <w:t xml:space="preserve">Refinement </w:t>
      </w:r>
      <w:r w:rsidR="006F5E4A">
        <w:rPr>
          <w:b/>
        </w:rPr>
        <w:t>of</w:t>
      </w:r>
      <w:r w:rsidRPr="006F5E4A">
        <w:rPr>
          <w:b/>
        </w:rPr>
        <w:t xml:space="preserve"> complexity thresholds</w:t>
      </w:r>
      <w:r>
        <w:t>: Changes to the thresholds within an ADRG that determine which episodes are assigned to an ‘A’, ‘B’ or ‘C’ DRG.</w:t>
      </w:r>
    </w:p>
    <w:p w:rsidR="002B3995" w:rsidRDefault="002B3995">
      <w:r>
        <w:t xml:space="preserve">Changes to any of these levers can result in movement of episodes between complexity levels within an ADRG. </w:t>
      </w:r>
      <w:r w:rsidR="00377A76">
        <w:t xml:space="preserve">As part of the AR-DRG V10.0 development IHPA developed and adopted a number of stability measures to ensure the robustness and stability of the complexity model both for V10.0 and future versions of the AR-DRG classification. </w:t>
      </w:r>
      <w:r w:rsidR="006D7062">
        <w:fldChar w:fldCharType="begin"/>
      </w:r>
      <w:r w:rsidR="006D7062">
        <w:instrText xml:space="preserve"> REF _Ref344635 \h </w:instrText>
      </w:r>
      <w:r w:rsidR="006D7062">
        <w:fldChar w:fldCharType="separate"/>
      </w:r>
      <w:r w:rsidR="006D7062">
        <w:t xml:space="preserve">Table </w:t>
      </w:r>
      <w:r w:rsidR="006D7062">
        <w:rPr>
          <w:noProof/>
        </w:rPr>
        <w:t>2</w:t>
      </w:r>
      <w:r w:rsidR="006D7062">
        <w:fldChar w:fldCharType="end"/>
      </w:r>
      <w:r w:rsidR="006D7062">
        <w:t xml:space="preserve"> </w:t>
      </w:r>
      <w:r w:rsidR="00C821EC">
        <w:t xml:space="preserve">outlines the stability measures </w:t>
      </w:r>
      <w:r w:rsidR="003C7C9D">
        <w:t>that</w:t>
      </w:r>
      <w:r w:rsidR="00C821EC">
        <w:t xml:space="preserve"> </w:t>
      </w:r>
      <w:r w:rsidR="00893F5F">
        <w:t>have been</w:t>
      </w:r>
      <w:r w:rsidR="00C821EC">
        <w:t xml:space="preserve"> adopted for AR-DRG V10.0. </w:t>
      </w:r>
    </w:p>
    <w:p w:rsidR="006D7062" w:rsidRDefault="006D7062" w:rsidP="00D32893">
      <w:pPr>
        <w:pStyle w:val="Caption"/>
        <w:keepNext/>
      </w:pPr>
      <w:bookmarkStart w:id="84" w:name="_Ref344635"/>
      <w:r>
        <w:t xml:space="preserve">Table </w:t>
      </w:r>
      <w:fldSimple w:instr=" SEQ Table \* ARABIC ">
        <w:r w:rsidR="001741B1">
          <w:rPr>
            <w:noProof/>
          </w:rPr>
          <w:t>2</w:t>
        </w:r>
      </w:fldSimple>
      <w:bookmarkEnd w:id="84"/>
      <w:r w:rsidRPr="00620559">
        <w:t>: AR-DRG complexity split stability measures</w:t>
      </w:r>
    </w:p>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373"/>
      </w:tblGrid>
      <w:tr w:rsidR="004A158C" w:rsidTr="00D3289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04200"/>
          </w:tcPr>
          <w:p w:rsidR="004A158C" w:rsidRDefault="004A158C">
            <w:pPr>
              <w:pStyle w:val="TableText"/>
            </w:pPr>
            <w:r>
              <w:t>Area</w:t>
            </w:r>
          </w:p>
        </w:tc>
        <w:tc>
          <w:tcPr>
            <w:tcW w:w="6373" w:type="dxa"/>
            <w:shd w:val="clear" w:color="auto" w:fill="004200"/>
          </w:tcPr>
          <w:p w:rsidR="004A158C" w:rsidRDefault="00921582">
            <w:pPr>
              <w:pStyle w:val="TableText"/>
              <w:cnfStyle w:val="100000000000" w:firstRow="1" w:lastRow="0" w:firstColumn="0" w:lastColumn="0" w:oddVBand="0" w:evenVBand="0" w:oddHBand="0" w:evenHBand="0" w:firstRowFirstColumn="0" w:firstRowLastColumn="0" w:lastRowFirstColumn="0" w:lastRowLastColumn="0"/>
            </w:pPr>
            <w:r>
              <w:t xml:space="preserve">Measure </w:t>
            </w:r>
          </w:p>
        </w:tc>
      </w:tr>
      <w:tr w:rsidR="006D7062" w:rsidRPr="00230BCF" w:rsidTr="00D32893">
        <w:trPr>
          <w:cnfStyle w:val="000000100000" w:firstRow="0" w:lastRow="0" w:firstColumn="0" w:lastColumn="0" w:oddVBand="0" w:evenVBand="0" w:oddHBand="1" w:evenHBand="0" w:firstRowFirstColumn="0" w:firstRowLastColumn="0" w:lastRowFirstColumn="0" w:lastRowLastColumn="0"/>
          <w:trHeight w:val="3798"/>
        </w:trPr>
        <w:tc>
          <w:tcPr>
            <w:cnfStyle w:val="001000000000" w:firstRow="0" w:lastRow="0" w:firstColumn="1" w:lastColumn="0" w:oddVBand="0" w:evenVBand="0" w:oddHBand="0" w:evenHBand="0" w:firstRowFirstColumn="0" w:firstRowLastColumn="0" w:lastRowFirstColumn="0" w:lastRowLastColumn="0"/>
            <w:tcW w:w="0" w:type="auto"/>
          </w:tcPr>
          <w:p w:rsidR="004A158C" w:rsidRPr="00357D36" w:rsidRDefault="00377A76">
            <w:pPr>
              <w:pStyle w:val="TableText"/>
            </w:pPr>
            <w:r w:rsidRPr="00357D36">
              <w:t>Stability of DCL weights</w:t>
            </w:r>
          </w:p>
        </w:tc>
        <w:tc>
          <w:tcPr>
            <w:tcW w:w="6373" w:type="dxa"/>
          </w:tcPr>
          <w:p w:rsidR="004A158C" w:rsidRPr="00357D36" w:rsidRDefault="00377A76">
            <w:pPr>
              <w:pStyle w:val="TableText"/>
              <w:cnfStyle w:val="000000100000" w:firstRow="0" w:lastRow="0" w:firstColumn="0" w:lastColumn="0" w:oddVBand="0" w:evenVBand="0" w:oddHBand="1" w:evenHBand="0" w:firstRowFirstColumn="0" w:firstRowLastColumn="0" w:lastRowFirstColumn="0" w:lastRowLastColumn="0"/>
            </w:pPr>
            <w:r w:rsidRPr="00357D36">
              <w:t xml:space="preserve">For AR-DRG V10.0 a stability criterion has been adopted when deriving the DCL weights. DCL weights are rounded integers between </w:t>
            </w:r>
            <w:r w:rsidR="00893F5F">
              <w:t>zero and five</w:t>
            </w:r>
            <w:r w:rsidRPr="00357D36">
              <w:t>, therefore unrounded DCL</w:t>
            </w:r>
            <w:r w:rsidR="00893F5F">
              <w:t>s</w:t>
            </w:r>
            <w:r w:rsidRPr="00357D36">
              <w:t xml:space="preserve"> of 0.498 and 0.505 results in DCL weight</w:t>
            </w:r>
            <w:r w:rsidR="00893F5F">
              <w:t>s</w:t>
            </w:r>
            <w:r w:rsidRPr="00357D36">
              <w:t xml:space="preserve"> of </w:t>
            </w:r>
            <w:r w:rsidR="00893F5F">
              <w:t>zero</w:t>
            </w:r>
            <w:r w:rsidRPr="00357D36">
              <w:t xml:space="preserve"> and </w:t>
            </w:r>
            <w:r w:rsidR="00893F5F">
              <w:t>one</w:t>
            </w:r>
            <w:r w:rsidRPr="00357D36">
              <w:t xml:space="preserve"> respectively. To avoid large </w:t>
            </w:r>
            <w:r w:rsidR="00893F5F">
              <w:t xml:space="preserve">shifts in rounded DCL weights, </w:t>
            </w:r>
            <w:r w:rsidRPr="00357D36">
              <w:t xml:space="preserve">unrounded DCLs need to shift by more than </w:t>
            </w:r>
            <w:r w:rsidRPr="00357D36">
              <w:rPr>
                <w:rFonts w:cs="Arial"/>
              </w:rPr>
              <w:t>±</w:t>
            </w:r>
            <w:r w:rsidRPr="00357D36">
              <w:t>0.2 relative to the AR-DRG V9.0 DCL to warrant a change.</w:t>
            </w:r>
          </w:p>
        </w:tc>
      </w:tr>
      <w:tr w:rsidR="00124019" w:rsidRPr="00230BCF" w:rsidTr="00D328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124019" w:rsidRPr="00357D36" w:rsidRDefault="00377A76">
            <w:pPr>
              <w:pStyle w:val="TableText"/>
            </w:pPr>
            <w:r w:rsidRPr="00357D36">
              <w:t>Stability of complexity splits within ADRGs</w:t>
            </w:r>
          </w:p>
        </w:tc>
        <w:tc>
          <w:tcPr>
            <w:tcW w:w="6373" w:type="dxa"/>
          </w:tcPr>
          <w:p w:rsidR="00377A76" w:rsidRPr="00357D36" w:rsidRDefault="00377A76">
            <w:pPr>
              <w:pStyle w:val="TableText"/>
              <w:cnfStyle w:val="000000000000" w:firstRow="0" w:lastRow="0" w:firstColumn="0" w:lastColumn="0" w:oddVBand="0" w:evenVBand="0" w:oddHBand="0" w:evenHBand="0" w:firstRowFirstColumn="0" w:firstRowLastColumn="0" w:lastRowFirstColumn="0" w:lastRowLastColumn="0"/>
            </w:pPr>
            <w:r w:rsidRPr="00357D36">
              <w:t>Changing the number of splits within an ADRG needs to be considered carefully, especially taking into account the interval since the last modification. IHPA has further refined the splitting criteria to ensure there is a strong evidence base in the data before a split is introduced or removed.</w:t>
            </w:r>
          </w:p>
          <w:p w:rsidR="00377A76" w:rsidRPr="00357D36" w:rsidRDefault="00377A76">
            <w:pPr>
              <w:pStyle w:val="TableText"/>
              <w:cnfStyle w:val="000000000000" w:firstRow="0" w:lastRow="0" w:firstColumn="0" w:lastColumn="0" w:oddVBand="0" w:evenVBand="0" w:oddHBand="0" w:evenHBand="0" w:firstRowFirstColumn="0" w:firstRowLastColumn="0" w:lastRowFirstColumn="0" w:lastRowLastColumn="0"/>
            </w:pPr>
            <w:r w:rsidRPr="00357D36">
              <w:t>Both AR-DRG V8.0 and V9.0 were taken into consideration when assessing the number of splits. That is, if the number of splits has not changed between V8.0 and V9.0, there needed to be greater evidence (statistical or clinical) to warrant a change</w:t>
            </w:r>
            <w:r w:rsidR="00893F5F">
              <w:t xml:space="preserve"> in V10.0</w:t>
            </w:r>
            <w:r w:rsidRPr="00357D36">
              <w:t xml:space="preserve">. </w:t>
            </w:r>
          </w:p>
          <w:p w:rsidR="00124019" w:rsidRPr="00357D36" w:rsidRDefault="00377A76">
            <w:pPr>
              <w:pStyle w:val="TableText"/>
              <w:cnfStyle w:val="000000000000" w:firstRow="0" w:lastRow="0" w:firstColumn="0" w:lastColumn="0" w:oddVBand="0" w:evenVBand="0" w:oddHBand="0" w:evenHBand="0" w:firstRowFirstColumn="0" w:firstRowLastColumn="0" w:lastRowFirstColumn="0" w:lastRowLastColumn="0"/>
            </w:pPr>
            <w:r w:rsidRPr="00357D36">
              <w:t>ADRGs with large movements of episode</w:t>
            </w:r>
            <w:r w:rsidR="00E05E92">
              <w:t>s</w:t>
            </w:r>
            <w:r w:rsidRPr="00357D36">
              <w:t xml:space="preserve"> </w:t>
            </w:r>
            <w:r w:rsidR="00893F5F">
              <w:t>between</w:t>
            </w:r>
            <w:r w:rsidRPr="00357D36">
              <w:t xml:space="preserve"> complexity </w:t>
            </w:r>
            <w:r w:rsidR="00893F5F">
              <w:t xml:space="preserve">groups </w:t>
            </w:r>
            <w:r w:rsidRPr="00357D36">
              <w:t>were assessed on a case by case basis, to ensure all movements are understood and justified relative to AR-DRG V9.0.</w:t>
            </w:r>
          </w:p>
        </w:tc>
      </w:tr>
      <w:tr w:rsidR="00124019" w:rsidRPr="00230BCF" w:rsidTr="00D3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rsidR="00377A76" w:rsidRPr="00357D36" w:rsidRDefault="00377A76">
            <w:pPr>
              <w:pStyle w:val="TableText"/>
            </w:pPr>
            <w:r w:rsidRPr="00357D36">
              <w:t>Overall stability performance measure</w:t>
            </w:r>
          </w:p>
          <w:p w:rsidR="00124019" w:rsidRPr="00357D36" w:rsidRDefault="00124019">
            <w:pPr>
              <w:pStyle w:val="TableText"/>
            </w:pPr>
          </w:p>
        </w:tc>
        <w:tc>
          <w:tcPr>
            <w:tcW w:w="6373" w:type="dxa"/>
            <w:tcBorders>
              <w:top w:val="none" w:sz="0" w:space="0" w:color="auto"/>
              <w:bottom w:val="none" w:sz="0" w:space="0" w:color="auto"/>
            </w:tcBorders>
          </w:tcPr>
          <w:p w:rsidR="00A41BC5" w:rsidRPr="00357D36" w:rsidRDefault="00377A76">
            <w:pPr>
              <w:pStyle w:val="TableText"/>
              <w:cnfStyle w:val="000000100000" w:firstRow="0" w:lastRow="0" w:firstColumn="0" w:lastColumn="0" w:oddVBand="0" w:evenVBand="0" w:oddHBand="1" w:evenHBand="0" w:firstRowFirstColumn="0" w:firstRowLastColumn="0" w:lastRowFirstColumn="0" w:lastRowLastColumn="0"/>
            </w:pPr>
            <w:r w:rsidRPr="00357D36">
              <w:t>The overall stability has been evaluated by reviewing the proportion of episodes shifting complexity within and outside ADRGs. This measure facilitates identification of large movements in episodes within the AR-DRG classification, following which a review can occur to ensure any such large movements are justified.</w:t>
            </w:r>
          </w:p>
        </w:tc>
      </w:tr>
    </w:tbl>
    <w:p w:rsidR="00C47375" w:rsidRDefault="00C47375" w:rsidP="00EE0795">
      <w:pPr>
        <w:pStyle w:val="Heading2"/>
      </w:pPr>
      <w:bookmarkStart w:id="85" w:name="_Toc536011613"/>
      <w:bookmarkStart w:id="86" w:name="_Toc534633023"/>
      <w:bookmarkStart w:id="87" w:name="_Toc534875797"/>
      <w:r>
        <w:t>Nephrolithiasis interventions</w:t>
      </w:r>
      <w:bookmarkEnd w:id="85"/>
    </w:p>
    <w:p w:rsidR="00C47375" w:rsidRDefault="00C47375" w:rsidP="00C47375">
      <w:r>
        <w:t>During AR-DRG V9.0 development a number of options were considered for combining or redefining the ADRGs for nephrolithiasis interventions with the aim of creating more clinically coherent groups for these interventions and removing the reliance on the sameday criterion. ADRGs under review were:</w:t>
      </w:r>
    </w:p>
    <w:p w:rsidR="00C47375" w:rsidRDefault="00C47375" w:rsidP="00D32893">
      <w:pPr>
        <w:pStyle w:val="ListParagraph"/>
      </w:pPr>
      <w:r w:rsidRPr="001438DE">
        <w:t xml:space="preserve">L40 </w:t>
      </w:r>
      <w:r w:rsidRPr="00D32893">
        <w:rPr>
          <w:i/>
        </w:rPr>
        <w:t>Ureteroscopy</w:t>
      </w:r>
      <w:r>
        <w:t>;</w:t>
      </w:r>
    </w:p>
    <w:p w:rsidR="00C47375" w:rsidRPr="00A8531C" w:rsidRDefault="00C47375" w:rsidP="00D32893">
      <w:pPr>
        <w:pStyle w:val="ListParagraph"/>
      </w:pPr>
      <w:r w:rsidRPr="001438DE">
        <w:t xml:space="preserve">L41 </w:t>
      </w:r>
      <w:r w:rsidRPr="00D32893">
        <w:rPr>
          <w:i/>
        </w:rPr>
        <w:t>Cystourethroscopy for Urinary Disorder, Sameday</w:t>
      </w:r>
      <w:r>
        <w:t>;</w:t>
      </w:r>
    </w:p>
    <w:p w:rsidR="00C47375" w:rsidRDefault="00C47375" w:rsidP="00D32893">
      <w:pPr>
        <w:pStyle w:val="ListParagraph"/>
      </w:pPr>
      <w:r>
        <w:t xml:space="preserve">L42 </w:t>
      </w:r>
      <w:r w:rsidRPr="00D32893">
        <w:rPr>
          <w:i/>
        </w:rPr>
        <w:t>Extracorporeal Shock Wave (ESW) Lithotripsy</w:t>
      </w:r>
      <w:r>
        <w:t>.</w:t>
      </w:r>
    </w:p>
    <w:p w:rsidR="00C47375" w:rsidRDefault="00C47375" w:rsidP="00C47375">
      <w:r>
        <w:t xml:space="preserve">This work was not progressed in V9.0 </w:t>
      </w:r>
      <w:r w:rsidR="0079420D">
        <w:t>mostly due to the movement of some high cost episodes into proposed new ADRGs that could not be resolved.</w:t>
      </w:r>
    </w:p>
    <w:p w:rsidR="00B23192" w:rsidRDefault="00B23192" w:rsidP="0079420D">
      <w:r w:rsidRPr="0079420D">
        <w:t>In reconsidering this issue for AR-DRG V10.0 an initial proposal was to create a new ADRG for nephrolithiasis interventions that combined the content of L40 and L41 and removed the sameday variable</w:t>
      </w:r>
      <w:r w:rsidR="002F157D">
        <w:t>.</w:t>
      </w:r>
      <w:r>
        <w:t xml:space="preserve"> </w:t>
      </w:r>
    </w:p>
    <w:p w:rsidR="0079420D" w:rsidRDefault="00B23192" w:rsidP="0079420D">
      <w:r>
        <w:t xml:space="preserve">While data </w:t>
      </w:r>
      <w:r w:rsidR="0079420D">
        <w:t>analysis supported the resource homogeneity of the</w:t>
      </w:r>
      <w:r>
        <w:t>se</w:t>
      </w:r>
      <w:r w:rsidR="0079420D">
        <w:t xml:space="preserve"> </w:t>
      </w:r>
      <w:r>
        <w:t>new groupings</w:t>
      </w:r>
      <w:r w:rsidR="0079420D">
        <w:t xml:space="preserve"> it did result in some high cost episodes moving into the new ADRGs, the same issue that was encountered during V9.0 development. To mitigate </w:t>
      </w:r>
      <w:r w:rsidR="00C45666">
        <w:t>this issue</w:t>
      </w:r>
      <w:r w:rsidR="0079420D">
        <w:t xml:space="preserve"> </w:t>
      </w:r>
      <w:r w:rsidR="00C45666">
        <w:t xml:space="preserve">the </w:t>
      </w:r>
      <w:r w:rsidR="0079420D">
        <w:t xml:space="preserve">intervention hierarchy was adjusted and certain principal diagnoses </w:t>
      </w:r>
      <w:r w:rsidR="00C45666">
        <w:t xml:space="preserve">codes </w:t>
      </w:r>
      <w:r w:rsidR="0079420D">
        <w:t xml:space="preserve">were excluded from informing </w:t>
      </w:r>
      <w:r w:rsidR="00D32893">
        <w:t xml:space="preserve">the new </w:t>
      </w:r>
      <w:r w:rsidR="0079420D">
        <w:t>ADRG L44</w:t>
      </w:r>
      <w:r w:rsidR="00D32893">
        <w:t xml:space="preserve"> </w:t>
      </w:r>
      <w:r w:rsidR="0079420D">
        <w:t xml:space="preserve">where they were clinically better represented by their original ADRGs. </w:t>
      </w:r>
    </w:p>
    <w:p w:rsidR="0079420D" w:rsidRDefault="0079420D" w:rsidP="0079420D">
      <w:r>
        <w:t>This provided more clinically coherent groupings for nephrolithiasis interventions</w:t>
      </w:r>
      <w:r w:rsidR="00B23192">
        <w:t xml:space="preserve"> and removed the sameday variable that informed the former L41. The</w:t>
      </w:r>
      <w:r>
        <w:t xml:space="preserve"> final outcome </w:t>
      </w:r>
      <w:r w:rsidR="00B23192">
        <w:t xml:space="preserve">was </w:t>
      </w:r>
      <w:r>
        <w:t>to replace ADRGs L40, L41 and L42 with two new ADRGs:</w:t>
      </w:r>
    </w:p>
    <w:p w:rsidR="00C47375" w:rsidRPr="00436A33" w:rsidRDefault="00C47375" w:rsidP="00D32893">
      <w:pPr>
        <w:pStyle w:val="ListParagraph"/>
      </w:pPr>
      <w:r w:rsidRPr="00436A33">
        <w:t xml:space="preserve">L43 </w:t>
      </w:r>
      <w:r w:rsidRPr="00D32893">
        <w:rPr>
          <w:i/>
        </w:rPr>
        <w:t>Nephrolithiasis Interventions</w:t>
      </w:r>
      <w:r>
        <w:t>;</w:t>
      </w:r>
    </w:p>
    <w:p w:rsidR="00C47375" w:rsidRDefault="00C47375" w:rsidP="00D32893">
      <w:pPr>
        <w:pStyle w:val="ListParagraph"/>
      </w:pPr>
      <w:r w:rsidRPr="00436A33">
        <w:t xml:space="preserve">L44 </w:t>
      </w:r>
      <w:r w:rsidRPr="00D32893">
        <w:rPr>
          <w:i/>
        </w:rPr>
        <w:t>Cystourethroscopy for Urinary Disorder</w:t>
      </w:r>
      <w:r w:rsidRPr="00436A33">
        <w:t xml:space="preserve">. </w:t>
      </w:r>
    </w:p>
    <w:p w:rsidR="00C47375" w:rsidRDefault="00C47375" w:rsidP="00C47375">
      <w:r>
        <w:t>IHPA has not proposed changes to ADRGs L07</w:t>
      </w:r>
      <w:r w:rsidR="008F714A">
        <w:t xml:space="preserve"> </w:t>
      </w:r>
      <w:r w:rsidR="008F714A" w:rsidRPr="008F714A">
        <w:rPr>
          <w:i/>
        </w:rPr>
        <w:t>Other Transurethral Procedures</w:t>
      </w:r>
      <w:r w:rsidR="008F714A" w:rsidRPr="008F714A">
        <w:t xml:space="preserve"> or L08 </w:t>
      </w:r>
      <w:r w:rsidR="008F714A" w:rsidRPr="008F714A">
        <w:rPr>
          <w:i/>
        </w:rPr>
        <w:t>Urethral Procedure</w:t>
      </w:r>
      <w:r w:rsidR="008F714A">
        <w:rPr>
          <w:i/>
        </w:rPr>
        <w:t>s</w:t>
      </w:r>
      <w:r w:rsidR="008F714A">
        <w:t xml:space="preserve">, as they group interventions for nephrolithiasis </w:t>
      </w:r>
      <w:r w:rsidR="00357D36">
        <w:t>of</w:t>
      </w:r>
      <w:r w:rsidR="008F714A">
        <w:t xml:space="preserve"> a more significant ‘surgical’ nature and a different cost profile to those in ADRGs L40, L41 and L42.</w:t>
      </w:r>
    </w:p>
    <w:p w:rsidR="008F714A" w:rsidRDefault="008F714A" w:rsidP="00EE0795">
      <w:pPr>
        <w:pStyle w:val="Heading2"/>
      </w:pPr>
      <w:bookmarkStart w:id="88" w:name="_Toc536011614"/>
      <w:r>
        <w:t>Removal of the rehabilitation ADRG</w:t>
      </w:r>
      <w:bookmarkEnd w:id="88"/>
    </w:p>
    <w:p w:rsidR="008F714A" w:rsidRDefault="008F714A" w:rsidP="008F714A">
      <w:r w:rsidRPr="008F714A">
        <w:t xml:space="preserve">ADRG Z60 </w:t>
      </w:r>
      <w:r w:rsidRPr="008F714A">
        <w:rPr>
          <w:i/>
        </w:rPr>
        <w:t>Rehabilitation</w:t>
      </w:r>
      <w:r w:rsidRPr="008F714A">
        <w:t xml:space="preserve"> became obsolete as a consequence of an update to an ACS implemented in Ninth Edition (1 July 2015). Rehabilitation episodes now group to various ADRGs according to a principal diagnosis that reflect the underlying condition requiring rehabilitation and so this ADRG has been removed in AR-DRG V10.0.</w:t>
      </w:r>
    </w:p>
    <w:p w:rsidR="008F714A" w:rsidRDefault="008F714A" w:rsidP="00EE0795">
      <w:pPr>
        <w:pStyle w:val="Heading2"/>
      </w:pPr>
      <w:bookmarkStart w:id="89" w:name="_Toc536011615"/>
      <w:r>
        <w:t>Liver procurement from a living donor</w:t>
      </w:r>
      <w:bookmarkEnd w:id="89"/>
    </w:p>
    <w:p w:rsidR="008F714A" w:rsidRDefault="008F714A" w:rsidP="008F714A">
      <w:r w:rsidRPr="008F714A">
        <w:t xml:space="preserve">A public submission highlighted an inconsistency in the grouping of liver procurement from living donors. Episodes of care for living donor kidney procurement group to a body system MDC (MDC 11 </w:t>
      </w:r>
      <w:r w:rsidRPr="008F714A">
        <w:rPr>
          <w:i/>
        </w:rPr>
        <w:t>Diseases and Disorders of the Kidney and Urinary Tract</w:t>
      </w:r>
      <w:r w:rsidRPr="008F714A">
        <w:t xml:space="preserve">). In contrast, episodes of care for living donor liver procurement group to MDC </w:t>
      </w:r>
      <w:r w:rsidRPr="008F714A">
        <w:rPr>
          <w:i/>
        </w:rPr>
        <w:t>23 Factors Influencing Health Status and Other Contacts with Health Services</w:t>
      </w:r>
      <w:r w:rsidRPr="008F714A">
        <w:t xml:space="preserve">, resulting in assignment to ADRG </w:t>
      </w:r>
      <w:r w:rsidRPr="008F714A">
        <w:rPr>
          <w:i/>
        </w:rPr>
        <w:t>Z01 Other Contacts with Health Services with General Interventions</w:t>
      </w:r>
      <w:r w:rsidRPr="008F714A">
        <w:t>.</w:t>
      </w:r>
    </w:p>
    <w:p w:rsidR="008F714A" w:rsidRDefault="008F714A" w:rsidP="008F714A">
      <w:r w:rsidRPr="008F714A">
        <w:t xml:space="preserve">In AR-DRG V10.0 episodes of liver procurement from living donors will group to ADRG H01 </w:t>
      </w:r>
      <w:r w:rsidRPr="008F714A">
        <w:rPr>
          <w:i/>
        </w:rPr>
        <w:t>Pancreas, Liver and Shunt Procedures</w:t>
      </w:r>
      <w:r w:rsidRPr="008F714A">
        <w:t xml:space="preserve"> in MDC 07 </w:t>
      </w:r>
      <w:r w:rsidRPr="008F714A">
        <w:rPr>
          <w:i/>
        </w:rPr>
        <w:t>Diseases and Disorders of the Hepatobiliary System</w:t>
      </w:r>
      <w:r w:rsidRPr="008F714A">
        <w:t>. This grouping is more clinically coherent and consistent with the grouping of other living organ procurement episodes.</w:t>
      </w:r>
    </w:p>
    <w:p w:rsidR="008F714A" w:rsidRDefault="008F714A" w:rsidP="00EE0795">
      <w:pPr>
        <w:pStyle w:val="Heading2"/>
      </w:pPr>
      <w:bookmarkStart w:id="90" w:name="_Toc536011616"/>
      <w:r>
        <w:t>Osseointegration interventions</w:t>
      </w:r>
      <w:bookmarkEnd w:id="90"/>
    </w:p>
    <w:p w:rsidR="00147448" w:rsidRDefault="00147448" w:rsidP="00147448">
      <w:r>
        <w:t xml:space="preserve">A public submission highlighted a discrepancy in the grouping of osseointegration procedures of the digits and limbs, whereby some episodes inappropriately group to ADRG I15 </w:t>
      </w:r>
      <w:r w:rsidRPr="00147448">
        <w:rPr>
          <w:i/>
        </w:rPr>
        <w:t>Cranio-Facial Surgery</w:t>
      </w:r>
      <w:r>
        <w:t>.</w:t>
      </w:r>
    </w:p>
    <w:p w:rsidR="008F714A" w:rsidRPr="008F714A" w:rsidRDefault="00147448" w:rsidP="00147448">
      <w:r>
        <w:t xml:space="preserve">This has been amended in V10.0 and these episodes will now group more appropriately to ADRG I28 </w:t>
      </w:r>
      <w:r w:rsidRPr="00147448">
        <w:rPr>
          <w:i/>
        </w:rPr>
        <w:t>Other Musculoskeletal Procedures</w:t>
      </w:r>
      <w:r>
        <w:t>.</w:t>
      </w:r>
    </w:p>
    <w:p w:rsidR="00AB1D04" w:rsidRDefault="00147448" w:rsidP="00EE0795">
      <w:pPr>
        <w:pStyle w:val="Heading2"/>
      </w:pPr>
      <w:bookmarkStart w:id="91" w:name="_Toc536011617"/>
      <w:r>
        <w:t>Intervention h</w:t>
      </w:r>
      <w:r w:rsidR="00AB1D04">
        <w:t>ierarchy</w:t>
      </w:r>
      <w:bookmarkEnd w:id="86"/>
      <w:bookmarkEnd w:id="87"/>
      <w:r>
        <w:t xml:space="preserve"> review</w:t>
      </w:r>
      <w:bookmarkEnd w:id="91"/>
    </w:p>
    <w:p w:rsidR="00EC4642" w:rsidRDefault="00EC4642" w:rsidP="00EC4642">
      <w:r w:rsidRPr="00EC4642">
        <w:t>Within each MDC in the AR-DRG classification episodes are allocated to an ADRG in a specific hierarchical order. The hierarchy of the intervention partition is important as episodes have the potential to meet multiple surgical and/or other ADRG criteria.</w:t>
      </w:r>
    </w:p>
    <w:p w:rsidR="00EC4642" w:rsidRDefault="00EC4642" w:rsidP="00EC4642">
      <w:r>
        <w:t>The intervention hierarchy is generally based on cost, with high cost ADRGs higher in the hierarchy. However, cost is not the only determinant</w:t>
      </w:r>
      <w:r w:rsidR="00357D36">
        <w:t>. O</w:t>
      </w:r>
      <w:r>
        <w:t>ther factors are also considered such as specific ADRGs being positioned higher than non-specific ADRGs and treatment intervention ADRGs being positioned higher than diagnostic intervention ADRGs.</w:t>
      </w:r>
    </w:p>
    <w:p w:rsidR="00EC4642" w:rsidRDefault="00EC4642" w:rsidP="00EC4642">
      <w:r>
        <w:t>Changes to the partitioning of the AR-DRG classification in AR-DRG V9.0 resulted in a single ‘intervention’ partition by combining the former ‘other’ and ‘surgical’ partitions. Additionally V9.0 saw a number of changes with respect to revision of Pre-MDC ADRGs and those using Pre-MDC reassignment logic.</w:t>
      </w:r>
    </w:p>
    <w:p w:rsidR="00EC4642" w:rsidRDefault="00EC4642" w:rsidP="00EC4642">
      <w:r>
        <w:t>A hierarchy review to assess the impact of the partition modification and the Pre-MDC revision was not performed during V9.0 development; however, has been undertaken for AR-DRG V10.0.</w:t>
      </w:r>
    </w:p>
    <w:p w:rsidR="00054004" w:rsidRDefault="00EC4642" w:rsidP="00054004">
      <w:r>
        <w:t>Building on principles used in previous AR-DRG versions IHPA developed criteria that were used to assess and inform changes to the hierarchy for AR-DRG V10.0. These criteria are outlined in</w:t>
      </w:r>
      <w:r w:rsidR="006D7062">
        <w:t xml:space="preserve"> </w:t>
      </w:r>
      <w:r w:rsidR="006D7062">
        <w:fldChar w:fldCharType="begin"/>
      </w:r>
      <w:r w:rsidR="006D7062">
        <w:instrText xml:space="preserve"> REF _Ref344690 \h </w:instrText>
      </w:r>
      <w:r w:rsidR="006D7062">
        <w:fldChar w:fldCharType="separate"/>
      </w:r>
      <w:r w:rsidR="006D7062">
        <w:t xml:space="preserve">Table </w:t>
      </w:r>
      <w:r w:rsidR="006D7062">
        <w:rPr>
          <w:noProof/>
        </w:rPr>
        <w:t>3</w:t>
      </w:r>
      <w:r w:rsidR="006D7062">
        <w:fldChar w:fldCharType="end"/>
      </w:r>
      <w:r w:rsidR="00E05E92">
        <w:t>.</w:t>
      </w:r>
    </w:p>
    <w:p w:rsidR="006D7062" w:rsidRPr="00D32893" w:rsidRDefault="006D7062" w:rsidP="00D32893">
      <w:pPr>
        <w:pStyle w:val="Caption"/>
        <w:keepNext/>
      </w:pPr>
      <w:bookmarkStart w:id="92" w:name="_Ref344690"/>
      <w:r>
        <w:t xml:space="preserve">Table </w:t>
      </w:r>
      <w:fldSimple w:instr=" SEQ Table \* ARABIC ">
        <w:r w:rsidR="001741B1">
          <w:rPr>
            <w:noProof/>
          </w:rPr>
          <w:t>3</w:t>
        </w:r>
      </w:fldSimple>
      <w:bookmarkEnd w:id="92"/>
      <w:r w:rsidRPr="00A36501">
        <w:t>: Intervention hierarchy criteria</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376"/>
        <w:gridCol w:w="7285"/>
      </w:tblGrid>
      <w:tr w:rsidR="004E52D8" w:rsidRPr="00833C29" w:rsidTr="004E5F31">
        <w:trPr>
          <w:tblHeader/>
        </w:trPr>
        <w:tc>
          <w:tcPr>
            <w:tcW w:w="2376" w:type="dxa"/>
            <w:shd w:val="clear" w:color="auto" w:fill="004200"/>
          </w:tcPr>
          <w:p w:rsidR="004E52D8" w:rsidRPr="00D32893" w:rsidRDefault="004E52D8">
            <w:pPr>
              <w:pStyle w:val="TableText"/>
              <w:rPr>
                <w:b/>
              </w:rPr>
            </w:pPr>
            <w:r w:rsidRPr="00D32893">
              <w:rPr>
                <w:b/>
              </w:rPr>
              <w:t>Criteria</w:t>
            </w:r>
          </w:p>
        </w:tc>
        <w:tc>
          <w:tcPr>
            <w:tcW w:w="7285" w:type="dxa"/>
            <w:shd w:val="clear" w:color="auto" w:fill="004200"/>
          </w:tcPr>
          <w:p w:rsidR="004E52D8" w:rsidRPr="00D32893" w:rsidRDefault="004E52D8">
            <w:pPr>
              <w:pStyle w:val="TableText"/>
              <w:rPr>
                <w:b/>
              </w:rPr>
            </w:pPr>
            <w:r w:rsidRPr="00D32893">
              <w:rPr>
                <w:b/>
              </w:rPr>
              <w:t>Description</w:t>
            </w:r>
          </w:p>
        </w:tc>
      </w:tr>
      <w:tr w:rsidR="004E52D8" w:rsidTr="00A2040D">
        <w:tc>
          <w:tcPr>
            <w:tcW w:w="2376" w:type="dxa"/>
          </w:tcPr>
          <w:p w:rsidR="004E52D8" w:rsidRPr="004E5F31" w:rsidRDefault="004E52D8">
            <w:pPr>
              <w:pStyle w:val="TableText"/>
            </w:pPr>
            <w:r w:rsidRPr="004E5F31">
              <w:t xml:space="preserve">Cost </w:t>
            </w:r>
          </w:p>
        </w:tc>
        <w:tc>
          <w:tcPr>
            <w:tcW w:w="7285" w:type="dxa"/>
          </w:tcPr>
          <w:p w:rsidR="004E52D8" w:rsidRPr="00357D36" w:rsidRDefault="00EC4642">
            <w:pPr>
              <w:pStyle w:val="TableText"/>
            </w:pPr>
            <w:r w:rsidRPr="00357D36">
              <w:t>Sorting of intervention ADRGs from high to low cost with decisions based on both mean and median cost.</w:t>
            </w:r>
          </w:p>
        </w:tc>
      </w:tr>
      <w:tr w:rsidR="004E52D8" w:rsidTr="00A2040D">
        <w:tc>
          <w:tcPr>
            <w:tcW w:w="2376" w:type="dxa"/>
          </w:tcPr>
          <w:p w:rsidR="004E52D8" w:rsidRPr="004E5F31" w:rsidRDefault="004E52D8">
            <w:pPr>
              <w:pStyle w:val="TableText"/>
            </w:pPr>
            <w:r w:rsidRPr="004E5F31">
              <w:t xml:space="preserve">Specificity </w:t>
            </w:r>
          </w:p>
        </w:tc>
        <w:tc>
          <w:tcPr>
            <w:tcW w:w="7285" w:type="dxa"/>
          </w:tcPr>
          <w:p w:rsidR="004E52D8" w:rsidRPr="00357D36" w:rsidRDefault="00EC4642">
            <w:pPr>
              <w:pStyle w:val="TableText"/>
            </w:pPr>
            <w:r w:rsidRPr="00357D36">
              <w:t xml:space="preserve">Sorting of intervention ADRGs from specific to non-specific ADRGs (the most common of these are the other/catch-all ADRGs at the bottom of the intervention hierarchy, just before ADRG 801 </w:t>
            </w:r>
            <w:r w:rsidR="009B0630" w:rsidRPr="009B0630">
              <w:rPr>
                <w:i/>
              </w:rPr>
              <w:t>General Interventions (GIs) Unrelated to Principal Diagnosis</w:t>
            </w:r>
            <w:r w:rsidRPr="00357D36">
              <w:t>). This criterion may override the cost criterion.</w:t>
            </w:r>
          </w:p>
        </w:tc>
      </w:tr>
      <w:tr w:rsidR="004E52D8" w:rsidTr="00A2040D">
        <w:tc>
          <w:tcPr>
            <w:tcW w:w="2376" w:type="dxa"/>
          </w:tcPr>
          <w:p w:rsidR="004E52D8" w:rsidRPr="004E5F31" w:rsidRDefault="004E52D8">
            <w:pPr>
              <w:pStyle w:val="TableText"/>
            </w:pPr>
            <w:r w:rsidRPr="004E5F31">
              <w:t xml:space="preserve">Procedure </w:t>
            </w:r>
            <w:r w:rsidR="005F214C">
              <w:t>t</w:t>
            </w:r>
            <w:r w:rsidRPr="004E5F31">
              <w:t>ype</w:t>
            </w:r>
          </w:p>
        </w:tc>
        <w:tc>
          <w:tcPr>
            <w:tcW w:w="7285" w:type="dxa"/>
          </w:tcPr>
          <w:p w:rsidR="004E52D8" w:rsidRPr="00357D36" w:rsidRDefault="00EC4642">
            <w:pPr>
              <w:pStyle w:val="TableText"/>
            </w:pPr>
            <w:r w:rsidRPr="00357D36">
              <w:t xml:space="preserve">Sorting of intervention ADRGs from the initial definitive intervention, to follow-up and supportive </w:t>
            </w:r>
            <w:r w:rsidR="007B7E4E" w:rsidRPr="00357D36">
              <w:t>interventions</w:t>
            </w:r>
            <w:r w:rsidRPr="00357D36">
              <w:t xml:space="preserve"> and from </w:t>
            </w:r>
            <w:r w:rsidR="007B7E4E" w:rsidRPr="00357D36">
              <w:t>m</w:t>
            </w:r>
            <w:r w:rsidRPr="00357D36">
              <w:t xml:space="preserve">ajor to </w:t>
            </w:r>
            <w:r w:rsidR="007B7E4E" w:rsidRPr="00357D36">
              <w:t>m</w:t>
            </w:r>
            <w:r w:rsidRPr="00357D36">
              <w:t>inor/</w:t>
            </w:r>
            <w:r w:rsidR="007B7E4E" w:rsidRPr="00357D36">
              <w:t>o</w:t>
            </w:r>
            <w:r w:rsidRPr="00357D36">
              <w:t xml:space="preserve">ther </w:t>
            </w:r>
            <w:r w:rsidR="007B7E4E" w:rsidRPr="00357D36">
              <w:t>interventions</w:t>
            </w:r>
            <w:r w:rsidRPr="00357D36">
              <w:t>.</w:t>
            </w:r>
          </w:p>
        </w:tc>
      </w:tr>
      <w:tr w:rsidR="004E52D8" w:rsidTr="00A2040D">
        <w:tc>
          <w:tcPr>
            <w:tcW w:w="2376" w:type="dxa"/>
          </w:tcPr>
          <w:p w:rsidR="004E52D8" w:rsidRPr="004E5F31" w:rsidRDefault="004E52D8">
            <w:pPr>
              <w:pStyle w:val="TableText"/>
            </w:pPr>
            <w:r w:rsidRPr="004E5F31">
              <w:t xml:space="preserve">Treatment </w:t>
            </w:r>
            <w:r w:rsidR="005F214C">
              <w:t>t</w:t>
            </w:r>
            <w:r w:rsidRPr="004E5F31">
              <w:t>ype</w:t>
            </w:r>
          </w:p>
        </w:tc>
        <w:tc>
          <w:tcPr>
            <w:tcW w:w="7285" w:type="dxa"/>
          </w:tcPr>
          <w:p w:rsidR="004E52D8" w:rsidRPr="00357D36" w:rsidRDefault="00EC4642">
            <w:pPr>
              <w:pStyle w:val="TableText"/>
            </w:pPr>
            <w:r w:rsidRPr="00357D36">
              <w:t>Sorting of intervention ADRGs from treatment to diagnostic interventions.</w:t>
            </w:r>
          </w:p>
        </w:tc>
      </w:tr>
    </w:tbl>
    <w:p w:rsidR="004957C3" w:rsidRPr="004957C3" w:rsidRDefault="004957C3" w:rsidP="004957C3">
      <w:r w:rsidRPr="004957C3">
        <w:t>With the introduction of new ADRGs and/or modification to ADRG logic it is necessary to re-assess the ADRG intervention hierarchy to ensure that changes are appropriately accounted for within the intervention hierarchy.</w:t>
      </w:r>
    </w:p>
    <w:p w:rsidR="004957C3" w:rsidRDefault="004957C3" w:rsidP="004957C3">
      <w:r w:rsidRPr="004957C3">
        <w:t>The intervention hierarchy review for V10.0 resulted in hierarchy position changes to eleven of the 25 MDCs.</w:t>
      </w:r>
      <w:r>
        <w:t xml:space="preserve"> The AR-DRG V10.0 Technical Specifications provide further details as to the methodology and outcomes of the intervention hierarchy review for AR-DRG V10.0.</w:t>
      </w:r>
    </w:p>
    <w:p w:rsidR="00AB1D04" w:rsidRDefault="005D3829" w:rsidP="00EE0795">
      <w:pPr>
        <w:pStyle w:val="Heading2"/>
      </w:pPr>
      <w:bookmarkStart w:id="93" w:name="_Toc534633024"/>
      <w:bookmarkStart w:id="94" w:name="_Toc534875798"/>
      <w:bookmarkStart w:id="95" w:name="_Ref534876032"/>
      <w:bookmarkStart w:id="96" w:name="_Toc536011618"/>
      <w:r>
        <w:t xml:space="preserve">ADRG </w:t>
      </w:r>
      <w:r w:rsidR="004957C3">
        <w:t>s</w:t>
      </w:r>
      <w:r w:rsidR="00D4461C">
        <w:t xml:space="preserve">plitting </w:t>
      </w:r>
      <w:bookmarkEnd w:id="93"/>
      <w:r w:rsidR="004957C3">
        <w:t>c</w:t>
      </w:r>
      <w:r w:rsidR="00AA70E9">
        <w:t>riteria</w:t>
      </w:r>
      <w:bookmarkEnd w:id="94"/>
      <w:bookmarkEnd w:id="95"/>
      <w:r w:rsidR="004957C3">
        <w:t xml:space="preserve"> review</w:t>
      </w:r>
      <w:bookmarkEnd w:id="96"/>
    </w:p>
    <w:p w:rsidR="004957C3" w:rsidRPr="00A46A83" w:rsidRDefault="004957C3" w:rsidP="00A46A83">
      <w:bookmarkStart w:id="97" w:name="_Ref532373894"/>
      <w:r w:rsidRPr="00A46A83">
        <w:t xml:space="preserve">An episode of care is initially assigned to an ADRG which broadly group episodes with the same diagnosis and intervention profiles. The final stage is to subdivide (or ‘split’) each ADRG into individual DRGs based on the ECCS and occasionally other factors such as length of stay and transfer status. </w:t>
      </w:r>
      <w:r w:rsidR="0031005E">
        <w:t xml:space="preserve">Splitting criteria are used to determine when a complexity split is warranted within an ADRG. </w:t>
      </w:r>
      <w:r w:rsidRPr="00A46A83">
        <w:t>In AR-DRG V10.0 the ADRG splitting criteria remains largely unchanged relative to V9.0, apart from the introduction of a new criterion that assesses the appropriateness of the episode complexity profiles within an ADRG.</w:t>
      </w:r>
    </w:p>
    <w:p w:rsidR="0031005E" w:rsidRDefault="004957C3" w:rsidP="00A46A83">
      <w:r w:rsidRPr="00A46A83">
        <w:t>This new criterion requires an inverse trend between sample size and complexity level to incorporate a clinical coherence principle within the splitting methodology; with the expectation the more complex DRG would have a smaller proportion of episodes. These criteria are expected to be met for the majority of the ADRGs</w:t>
      </w:r>
      <w:r w:rsidR="0031005E">
        <w:t>. While it is optimal that all splitting criteria are met there are some exceptions where ADRGs have been split without satisfying all criteria</w:t>
      </w:r>
      <w:r w:rsidRPr="00A46A83">
        <w:t xml:space="preserve">. </w:t>
      </w:r>
      <w:r w:rsidR="006D7062">
        <w:fldChar w:fldCharType="begin"/>
      </w:r>
      <w:r w:rsidR="006D7062">
        <w:instrText xml:space="preserve"> REF _Ref344751 \h </w:instrText>
      </w:r>
      <w:r w:rsidR="006D7062">
        <w:fldChar w:fldCharType="separate"/>
      </w:r>
      <w:r w:rsidR="006D7062">
        <w:t xml:space="preserve">Table </w:t>
      </w:r>
      <w:r w:rsidR="006D7062">
        <w:rPr>
          <w:noProof/>
        </w:rPr>
        <w:t>4</w:t>
      </w:r>
      <w:r w:rsidR="006D7062">
        <w:fldChar w:fldCharType="end"/>
      </w:r>
      <w:r w:rsidR="006D7062">
        <w:t xml:space="preserve"> </w:t>
      </w:r>
      <w:r w:rsidRPr="00A46A83">
        <w:t>outlines the criteria used for splitting ADRGs in V10.0.</w:t>
      </w:r>
    </w:p>
    <w:p w:rsidR="0031005E" w:rsidRDefault="0031005E" w:rsidP="00D32893">
      <w:r>
        <w:br w:type="page"/>
      </w:r>
    </w:p>
    <w:p w:rsidR="006D7062" w:rsidRDefault="006D7062" w:rsidP="00D32893">
      <w:pPr>
        <w:pStyle w:val="Caption"/>
        <w:keepNext/>
      </w:pPr>
      <w:bookmarkStart w:id="98" w:name="_Ref344751"/>
      <w:bookmarkEnd w:id="97"/>
      <w:r>
        <w:t xml:space="preserve">Table </w:t>
      </w:r>
      <w:fldSimple w:instr=" SEQ Table \* ARABIC ">
        <w:r w:rsidR="001741B1">
          <w:rPr>
            <w:noProof/>
          </w:rPr>
          <w:t>4</w:t>
        </w:r>
      </w:fldSimple>
      <w:bookmarkEnd w:id="98"/>
      <w:r w:rsidRPr="00426CB6">
        <w:t>: AR-DRG V10.0 splitting criteria</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69"/>
        <w:gridCol w:w="7138"/>
        <w:gridCol w:w="2154"/>
      </w:tblGrid>
      <w:tr w:rsidR="00FB2631" w:rsidRPr="00833C29" w:rsidTr="00D32893">
        <w:tc>
          <w:tcPr>
            <w:tcW w:w="3885" w:type="pct"/>
            <w:gridSpan w:val="2"/>
            <w:shd w:val="clear" w:color="auto" w:fill="004200"/>
          </w:tcPr>
          <w:p w:rsidR="00FB2631" w:rsidRPr="00D32893" w:rsidRDefault="00FB2631">
            <w:pPr>
              <w:pStyle w:val="TableText"/>
              <w:rPr>
                <w:b/>
              </w:rPr>
            </w:pPr>
            <w:r w:rsidRPr="00D32893">
              <w:rPr>
                <w:b/>
              </w:rPr>
              <w:t>Criteria</w:t>
            </w:r>
          </w:p>
        </w:tc>
        <w:tc>
          <w:tcPr>
            <w:tcW w:w="1115" w:type="pct"/>
            <w:shd w:val="clear" w:color="auto" w:fill="004200"/>
          </w:tcPr>
          <w:p w:rsidR="00FB2631" w:rsidRPr="00D32893" w:rsidRDefault="00FB2631">
            <w:pPr>
              <w:pStyle w:val="TableText"/>
              <w:rPr>
                <w:b/>
              </w:rPr>
            </w:pPr>
            <w:r w:rsidRPr="00D32893">
              <w:rPr>
                <w:b/>
              </w:rPr>
              <w:t xml:space="preserve">Optimum </w:t>
            </w:r>
            <w:r w:rsidR="007B7E4E" w:rsidRPr="00D32893">
              <w:rPr>
                <w:b/>
              </w:rPr>
              <w:t>t</w:t>
            </w:r>
            <w:r w:rsidRPr="00D32893">
              <w:rPr>
                <w:b/>
              </w:rPr>
              <w:t>hreshold</w:t>
            </w:r>
          </w:p>
        </w:tc>
      </w:tr>
      <w:tr w:rsidR="00FB2631" w:rsidTr="00D32893">
        <w:tc>
          <w:tcPr>
            <w:tcW w:w="191" w:type="pct"/>
          </w:tcPr>
          <w:p w:rsidR="00FB2631" w:rsidRPr="00A2040D" w:rsidRDefault="00FB2631">
            <w:pPr>
              <w:pStyle w:val="TableText"/>
            </w:pPr>
            <w:r w:rsidRPr="00A2040D">
              <w:t>1</w:t>
            </w:r>
          </w:p>
        </w:tc>
        <w:tc>
          <w:tcPr>
            <w:tcW w:w="3694" w:type="pct"/>
          </w:tcPr>
          <w:p w:rsidR="00FB2631" w:rsidRDefault="00FB2631">
            <w:pPr>
              <w:pStyle w:val="TableText"/>
            </w:pPr>
            <w:r>
              <w:t>Minimum episodes per category 200 per year</w:t>
            </w:r>
          </w:p>
        </w:tc>
        <w:tc>
          <w:tcPr>
            <w:tcW w:w="1115" w:type="pct"/>
          </w:tcPr>
          <w:p w:rsidR="00FB2631" w:rsidRDefault="00FB2631">
            <w:pPr>
              <w:pStyle w:val="TableText"/>
            </w:pPr>
            <w:r>
              <w:sym w:font="Wingdings" w:char="F0FC"/>
            </w:r>
          </w:p>
        </w:tc>
      </w:tr>
      <w:tr w:rsidR="00FB2631" w:rsidTr="00D32893">
        <w:tc>
          <w:tcPr>
            <w:tcW w:w="191" w:type="pct"/>
          </w:tcPr>
          <w:p w:rsidR="00FB2631" w:rsidRPr="00A2040D" w:rsidRDefault="00FB2631">
            <w:pPr>
              <w:pStyle w:val="TableText"/>
            </w:pPr>
            <w:r w:rsidRPr="00A2040D">
              <w:t>2</w:t>
            </w:r>
          </w:p>
        </w:tc>
        <w:tc>
          <w:tcPr>
            <w:tcW w:w="3694" w:type="pct"/>
          </w:tcPr>
          <w:p w:rsidR="00FB2631" w:rsidRDefault="00FB2631">
            <w:pPr>
              <w:pStyle w:val="TableText"/>
            </w:pPr>
            <w:r>
              <w:t>Minimum cost per category $1m per year</w:t>
            </w:r>
          </w:p>
        </w:tc>
        <w:tc>
          <w:tcPr>
            <w:tcW w:w="1115" w:type="pct"/>
          </w:tcPr>
          <w:p w:rsidR="00FB2631" w:rsidRDefault="00FB2631">
            <w:pPr>
              <w:pStyle w:val="TableText"/>
            </w:pPr>
            <w:r>
              <w:sym w:font="Wingdings" w:char="F0FC"/>
            </w:r>
          </w:p>
        </w:tc>
      </w:tr>
      <w:tr w:rsidR="00FB2631" w:rsidTr="00D32893">
        <w:tc>
          <w:tcPr>
            <w:tcW w:w="191" w:type="pct"/>
          </w:tcPr>
          <w:p w:rsidR="00FB2631" w:rsidRPr="00A2040D" w:rsidRDefault="00FB2631">
            <w:pPr>
              <w:pStyle w:val="TableText"/>
            </w:pPr>
            <w:r w:rsidRPr="00A2040D">
              <w:t>3</w:t>
            </w:r>
          </w:p>
        </w:tc>
        <w:tc>
          <w:tcPr>
            <w:tcW w:w="3694" w:type="pct"/>
          </w:tcPr>
          <w:p w:rsidR="00FB2631" w:rsidRDefault="00FB2631">
            <w:pPr>
              <w:pStyle w:val="TableText"/>
            </w:pPr>
            <w:r>
              <w:t>Minimum percentage per category 10</w:t>
            </w:r>
            <w:r w:rsidR="0078390D">
              <w:t xml:space="preserve"> percent</w:t>
            </w:r>
            <w:r>
              <w:t xml:space="preserve"> per year</w:t>
            </w:r>
          </w:p>
        </w:tc>
        <w:tc>
          <w:tcPr>
            <w:tcW w:w="1115" w:type="pct"/>
          </w:tcPr>
          <w:p w:rsidR="00FB2631" w:rsidRDefault="00FB2631">
            <w:pPr>
              <w:pStyle w:val="TableText"/>
            </w:pPr>
            <w:r>
              <w:sym w:font="Wingdings" w:char="F0FC"/>
            </w:r>
          </w:p>
        </w:tc>
      </w:tr>
      <w:tr w:rsidR="00FB2631" w:rsidTr="00D32893">
        <w:tc>
          <w:tcPr>
            <w:tcW w:w="191" w:type="pct"/>
          </w:tcPr>
          <w:p w:rsidR="00FB2631" w:rsidRPr="00A2040D" w:rsidRDefault="00FB2631">
            <w:pPr>
              <w:pStyle w:val="TableText"/>
            </w:pPr>
            <w:r w:rsidRPr="00A2040D">
              <w:t>4</w:t>
            </w:r>
          </w:p>
        </w:tc>
        <w:tc>
          <w:tcPr>
            <w:tcW w:w="3694" w:type="pct"/>
          </w:tcPr>
          <w:p w:rsidR="00FB2631" w:rsidRDefault="00FB2631">
            <w:pPr>
              <w:pStyle w:val="TableText"/>
            </w:pPr>
            <w:r>
              <w:t>Minimum absolute change in mean cost between consecutive categories $3,700</w:t>
            </w:r>
          </w:p>
        </w:tc>
        <w:tc>
          <w:tcPr>
            <w:tcW w:w="1115" w:type="pct"/>
            <w:vMerge w:val="restart"/>
            <w:vAlign w:val="center"/>
          </w:tcPr>
          <w:p w:rsidR="00FB2631" w:rsidRDefault="00FB2631">
            <w:pPr>
              <w:pStyle w:val="TableText"/>
            </w:pPr>
            <w:r>
              <w:t xml:space="preserve">Either </w:t>
            </w:r>
            <w:r w:rsidR="003803A7">
              <w:t>c</w:t>
            </w:r>
            <w:r>
              <w:t>riteri</w:t>
            </w:r>
            <w:r w:rsidR="009B0630">
              <w:t>on</w:t>
            </w:r>
            <w:r>
              <w:t xml:space="preserve"> 4 or </w:t>
            </w:r>
            <w:r w:rsidR="003803A7">
              <w:t>c</w:t>
            </w:r>
            <w:r>
              <w:t>riteri</w:t>
            </w:r>
            <w:r w:rsidR="009B0630">
              <w:t>on</w:t>
            </w:r>
            <w:r>
              <w:t xml:space="preserve"> 5</w:t>
            </w:r>
          </w:p>
        </w:tc>
      </w:tr>
      <w:tr w:rsidR="00FB2631" w:rsidTr="00D32893">
        <w:tc>
          <w:tcPr>
            <w:tcW w:w="191" w:type="pct"/>
          </w:tcPr>
          <w:p w:rsidR="00FB2631" w:rsidRPr="00A2040D" w:rsidRDefault="00FB2631">
            <w:pPr>
              <w:pStyle w:val="TableText"/>
            </w:pPr>
            <w:r w:rsidRPr="00A2040D">
              <w:t>5</w:t>
            </w:r>
          </w:p>
        </w:tc>
        <w:tc>
          <w:tcPr>
            <w:tcW w:w="3694" w:type="pct"/>
          </w:tcPr>
          <w:p w:rsidR="00FB2631" w:rsidRDefault="00FB2631">
            <w:pPr>
              <w:pStyle w:val="TableText"/>
            </w:pPr>
            <w:r>
              <w:t>Minimum relative change in mean cost between consecutive categories</w:t>
            </w:r>
            <w:r w:rsidR="0078390D">
              <w:t xml:space="preserve"> </w:t>
            </w:r>
            <w:r w:rsidR="003803A7">
              <w:t>2</w:t>
            </w:r>
            <w:r w:rsidR="00FA1886">
              <w:t>*</w:t>
            </w:r>
          </w:p>
        </w:tc>
        <w:tc>
          <w:tcPr>
            <w:tcW w:w="1115" w:type="pct"/>
            <w:vMerge/>
          </w:tcPr>
          <w:p w:rsidR="00FB2631" w:rsidRDefault="00FB2631">
            <w:pPr>
              <w:pStyle w:val="TableText"/>
            </w:pPr>
          </w:p>
        </w:tc>
      </w:tr>
      <w:tr w:rsidR="00FB2631" w:rsidTr="00D32893">
        <w:tc>
          <w:tcPr>
            <w:tcW w:w="191" w:type="pct"/>
          </w:tcPr>
          <w:p w:rsidR="00FB2631" w:rsidRPr="00A2040D" w:rsidRDefault="00FB2631">
            <w:pPr>
              <w:pStyle w:val="TableText"/>
            </w:pPr>
            <w:r w:rsidRPr="00A2040D">
              <w:t>6</w:t>
            </w:r>
          </w:p>
        </w:tc>
        <w:tc>
          <w:tcPr>
            <w:tcW w:w="3694" w:type="pct"/>
          </w:tcPr>
          <w:p w:rsidR="00FB2631" w:rsidRDefault="00FB2631">
            <w:pPr>
              <w:pStyle w:val="TableText"/>
            </w:pPr>
            <w:r>
              <w:t>Inverse trend between sample size and complexity level</w:t>
            </w:r>
          </w:p>
        </w:tc>
        <w:tc>
          <w:tcPr>
            <w:tcW w:w="1115" w:type="pct"/>
          </w:tcPr>
          <w:p w:rsidR="00FB2631" w:rsidRDefault="00FB2631">
            <w:pPr>
              <w:pStyle w:val="TableText"/>
            </w:pPr>
            <w:r>
              <w:sym w:font="Wingdings" w:char="F0FC"/>
            </w:r>
          </w:p>
        </w:tc>
      </w:tr>
    </w:tbl>
    <w:p w:rsidR="00FA1886" w:rsidRDefault="00FA1886" w:rsidP="00FA1886">
      <w:r>
        <w:t>*</w:t>
      </w:r>
      <w:r w:rsidRPr="00C41FF0">
        <w:rPr>
          <w:i/>
          <w:sz w:val="18"/>
          <w:szCs w:val="18"/>
        </w:rPr>
        <w:t>The increase in the cost of a category needs to be, as a minimum, twice as much e.g. if the cost of a category is $3,000 the increase in cost needs to be at least $6,000</w:t>
      </w:r>
      <w:r>
        <w:t>.</w:t>
      </w:r>
    </w:p>
    <w:p w:rsidR="007B7E4E" w:rsidRDefault="007706FE" w:rsidP="00757D79">
      <w:r w:rsidRPr="007706FE">
        <w:t>IHPA reviewed all the ADRG complexity splits for AR-DRG V10.0 following the principles outlined above, the outcome of which is detailed in</w:t>
      </w:r>
      <w:r w:rsidR="00833C29">
        <w:t xml:space="preserve"> </w:t>
      </w:r>
      <w:r w:rsidR="00833C29">
        <w:fldChar w:fldCharType="begin"/>
      </w:r>
      <w:r w:rsidR="00833C29">
        <w:instrText xml:space="preserve"> REF _Ref344839 \h </w:instrText>
      </w:r>
      <w:r w:rsidR="00833C29">
        <w:fldChar w:fldCharType="separate"/>
      </w:r>
      <w:r w:rsidR="00833C29">
        <w:t xml:space="preserve">Table </w:t>
      </w:r>
      <w:r w:rsidR="00833C29">
        <w:rPr>
          <w:noProof/>
        </w:rPr>
        <w:t>5</w:t>
      </w:r>
      <w:r w:rsidR="00833C29">
        <w:fldChar w:fldCharType="end"/>
      </w:r>
      <w:r w:rsidR="007B7E4E">
        <w:t>.</w:t>
      </w:r>
    </w:p>
    <w:p w:rsidR="00833C29" w:rsidRDefault="00833C29" w:rsidP="00D32893">
      <w:pPr>
        <w:pStyle w:val="Caption"/>
        <w:keepNext/>
      </w:pPr>
      <w:bookmarkStart w:id="99" w:name="_Ref344839"/>
      <w:r>
        <w:t xml:space="preserve">Table </w:t>
      </w:r>
      <w:fldSimple w:instr=" SEQ Table \* ARABIC ">
        <w:r w:rsidR="001741B1">
          <w:rPr>
            <w:noProof/>
          </w:rPr>
          <w:t>5</w:t>
        </w:r>
      </w:fldSimple>
      <w:bookmarkEnd w:id="99"/>
      <w:r w:rsidRPr="00D01C96">
        <w:t>: ADRG splitting profile for V9.0 and V10.0</w:t>
      </w:r>
    </w:p>
    <w:tbl>
      <w:tblPr>
        <w:tblStyle w:val="TableGrid"/>
        <w:tblW w:w="5000" w:type="pct"/>
        <w:tblLook w:val="04A0" w:firstRow="1" w:lastRow="0" w:firstColumn="1" w:lastColumn="0" w:noHBand="0" w:noVBand="1"/>
      </w:tblPr>
      <w:tblGrid>
        <w:gridCol w:w="3407"/>
        <w:gridCol w:w="3012"/>
        <w:gridCol w:w="3242"/>
      </w:tblGrid>
      <w:tr w:rsidR="007706FE" w:rsidRPr="00833C29" w:rsidTr="00D32893">
        <w:tc>
          <w:tcPr>
            <w:tcW w:w="1763" w:type="pct"/>
            <w:shd w:val="clear" w:color="auto" w:fill="004200"/>
          </w:tcPr>
          <w:p w:rsidR="007706FE" w:rsidRPr="00D32893" w:rsidRDefault="007706FE">
            <w:pPr>
              <w:pStyle w:val="TableText"/>
              <w:rPr>
                <w:b/>
              </w:rPr>
            </w:pPr>
            <w:r w:rsidRPr="00D32893">
              <w:rPr>
                <w:b/>
              </w:rPr>
              <w:t>Number of splits</w:t>
            </w:r>
          </w:p>
        </w:tc>
        <w:tc>
          <w:tcPr>
            <w:tcW w:w="1559" w:type="pct"/>
            <w:shd w:val="clear" w:color="auto" w:fill="004200"/>
          </w:tcPr>
          <w:p w:rsidR="007706FE" w:rsidRPr="00D32893" w:rsidRDefault="007706FE">
            <w:pPr>
              <w:pStyle w:val="TableText"/>
              <w:rPr>
                <w:b/>
              </w:rPr>
            </w:pPr>
            <w:r w:rsidRPr="00D32893">
              <w:rPr>
                <w:b/>
              </w:rPr>
              <w:t>AR-DRG V9.0</w:t>
            </w:r>
          </w:p>
        </w:tc>
        <w:tc>
          <w:tcPr>
            <w:tcW w:w="1678" w:type="pct"/>
            <w:shd w:val="clear" w:color="auto" w:fill="004200"/>
          </w:tcPr>
          <w:p w:rsidR="007706FE" w:rsidRPr="00D32893" w:rsidRDefault="007706FE">
            <w:pPr>
              <w:pStyle w:val="TableText"/>
              <w:rPr>
                <w:b/>
              </w:rPr>
            </w:pPr>
            <w:r w:rsidRPr="00D32893">
              <w:rPr>
                <w:b/>
              </w:rPr>
              <w:t>AR-DRG V10.0</w:t>
            </w:r>
          </w:p>
        </w:tc>
      </w:tr>
      <w:tr w:rsidR="007706FE" w:rsidTr="00D32893">
        <w:tc>
          <w:tcPr>
            <w:tcW w:w="1763" w:type="pct"/>
            <w:vAlign w:val="center"/>
          </w:tcPr>
          <w:p w:rsidR="007706FE" w:rsidRDefault="007706FE" w:rsidP="0041770F">
            <w:pPr>
              <w:pStyle w:val="NoSpacing"/>
              <w:spacing w:before="120" w:after="120"/>
            </w:pPr>
            <w:r>
              <w:t>0 (Z)</w:t>
            </w:r>
          </w:p>
        </w:tc>
        <w:tc>
          <w:tcPr>
            <w:tcW w:w="1559" w:type="pct"/>
            <w:vAlign w:val="center"/>
          </w:tcPr>
          <w:p w:rsidR="007706FE" w:rsidRDefault="007706FE" w:rsidP="00D32893">
            <w:pPr>
              <w:pStyle w:val="NoSpacing"/>
              <w:spacing w:before="120" w:after="120"/>
              <w:jc w:val="center"/>
            </w:pPr>
            <w:r>
              <w:t>87</w:t>
            </w:r>
          </w:p>
        </w:tc>
        <w:tc>
          <w:tcPr>
            <w:tcW w:w="1678" w:type="pct"/>
            <w:vAlign w:val="center"/>
          </w:tcPr>
          <w:p w:rsidR="007706FE" w:rsidRDefault="007706FE" w:rsidP="00D32893">
            <w:pPr>
              <w:pStyle w:val="NoSpacing"/>
              <w:spacing w:before="120" w:after="120"/>
              <w:jc w:val="center"/>
            </w:pPr>
            <w:r>
              <w:t>87</w:t>
            </w:r>
          </w:p>
        </w:tc>
      </w:tr>
      <w:tr w:rsidR="007706FE" w:rsidTr="00D32893">
        <w:tc>
          <w:tcPr>
            <w:tcW w:w="1763" w:type="pct"/>
            <w:vAlign w:val="center"/>
          </w:tcPr>
          <w:p w:rsidR="007706FE" w:rsidRDefault="007706FE" w:rsidP="0041770F">
            <w:pPr>
              <w:pStyle w:val="NoSpacing"/>
              <w:spacing w:before="120" w:after="120"/>
            </w:pPr>
            <w:r>
              <w:t>1 (A,B)</w:t>
            </w:r>
          </w:p>
        </w:tc>
        <w:tc>
          <w:tcPr>
            <w:tcW w:w="1559" w:type="pct"/>
            <w:vAlign w:val="center"/>
          </w:tcPr>
          <w:p w:rsidR="007706FE" w:rsidRDefault="007706FE" w:rsidP="00D32893">
            <w:pPr>
              <w:pStyle w:val="NoSpacing"/>
              <w:spacing w:before="120" w:after="120"/>
              <w:jc w:val="center"/>
            </w:pPr>
            <w:r>
              <w:t>225</w:t>
            </w:r>
          </w:p>
        </w:tc>
        <w:tc>
          <w:tcPr>
            <w:tcW w:w="1678" w:type="pct"/>
            <w:vAlign w:val="center"/>
          </w:tcPr>
          <w:p w:rsidR="007706FE" w:rsidRDefault="007706FE" w:rsidP="00D32893">
            <w:pPr>
              <w:pStyle w:val="NoSpacing"/>
              <w:spacing w:before="120" w:after="120"/>
              <w:jc w:val="center"/>
            </w:pPr>
            <w:r>
              <w:t>227</w:t>
            </w:r>
          </w:p>
        </w:tc>
      </w:tr>
      <w:tr w:rsidR="007706FE" w:rsidTr="00D32893">
        <w:tc>
          <w:tcPr>
            <w:tcW w:w="1763" w:type="pct"/>
            <w:vAlign w:val="center"/>
          </w:tcPr>
          <w:p w:rsidR="007706FE" w:rsidRDefault="007706FE" w:rsidP="0041770F">
            <w:pPr>
              <w:pStyle w:val="NoSpacing"/>
              <w:spacing w:before="120" w:after="120"/>
            </w:pPr>
            <w:r>
              <w:t>2 (A, B, C)</w:t>
            </w:r>
          </w:p>
        </w:tc>
        <w:tc>
          <w:tcPr>
            <w:tcW w:w="1559" w:type="pct"/>
            <w:vAlign w:val="center"/>
          </w:tcPr>
          <w:p w:rsidR="007706FE" w:rsidRDefault="007706FE" w:rsidP="00D32893">
            <w:pPr>
              <w:pStyle w:val="NoSpacing"/>
              <w:spacing w:before="120" w:after="120"/>
              <w:jc w:val="center"/>
            </w:pPr>
            <w:r>
              <w:t>82</w:t>
            </w:r>
          </w:p>
        </w:tc>
        <w:tc>
          <w:tcPr>
            <w:tcW w:w="1678" w:type="pct"/>
            <w:vAlign w:val="center"/>
          </w:tcPr>
          <w:p w:rsidR="007706FE" w:rsidRDefault="007706FE" w:rsidP="00D32893">
            <w:pPr>
              <w:pStyle w:val="NoSpacing"/>
              <w:spacing w:before="120" w:after="120"/>
              <w:jc w:val="center"/>
            </w:pPr>
            <w:r>
              <w:t>78</w:t>
            </w:r>
          </w:p>
        </w:tc>
      </w:tr>
      <w:tr w:rsidR="007706FE" w:rsidTr="00D32893">
        <w:tc>
          <w:tcPr>
            <w:tcW w:w="1763" w:type="pct"/>
            <w:vAlign w:val="center"/>
          </w:tcPr>
          <w:p w:rsidR="007706FE" w:rsidRDefault="007706FE" w:rsidP="0041770F">
            <w:pPr>
              <w:pStyle w:val="NoSpacing"/>
              <w:spacing w:before="120" w:after="120"/>
            </w:pPr>
            <w:r>
              <w:t>3 (A, B, C, D)</w:t>
            </w:r>
          </w:p>
        </w:tc>
        <w:tc>
          <w:tcPr>
            <w:tcW w:w="1559" w:type="pct"/>
            <w:vAlign w:val="center"/>
          </w:tcPr>
          <w:p w:rsidR="007706FE" w:rsidRDefault="007706FE" w:rsidP="00D32893">
            <w:pPr>
              <w:pStyle w:val="NoSpacing"/>
              <w:spacing w:before="120" w:after="120"/>
              <w:jc w:val="center"/>
            </w:pPr>
            <w:r>
              <w:t>5</w:t>
            </w:r>
          </w:p>
        </w:tc>
        <w:tc>
          <w:tcPr>
            <w:tcW w:w="1678" w:type="pct"/>
            <w:vAlign w:val="center"/>
          </w:tcPr>
          <w:p w:rsidR="007706FE" w:rsidRDefault="007706FE" w:rsidP="00D32893">
            <w:pPr>
              <w:pStyle w:val="NoSpacing"/>
              <w:spacing w:before="120" w:after="120"/>
              <w:jc w:val="center"/>
            </w:pPr>
            <w:r>
              <w:t>5</w:t>
            </w:r>
          </w:p>
        </w:tc>
      </w:tr>
      <w:tr w:rsidR="007706FE" w:rsidTr="00D32893">
        <w:tc>
          <w:tcPr>
            <w:tcW w:w="1763" w:type="pct"/>
            <w:vAlign w:val="center"/>
          </w:tcPr>
          <w:p w:rsidR="007706FE" w:rsidRDefault="007706FE" w:rsidP="0041770F">
            <w:pPr>
              <w:pStyle w:val="NoSpacing"/>
              <w:spacing w:before="120" w:after="120"/>
            </w:pPr>
            <w:r>
              <w:t>Total</w:t>
            </w:r>
          </w:p>
        </w:tc>
        <w:tc>
          <w:tcPr>
            <w:tcW w:w="1559" w:type="pct"/>
            <w:vAlign w:val="center"/>
          </w:tcPr>
          <w:p w:rsidR="007706FE" w:rsidRDefault="007706FE" w:rsidP="00D32893">
            <w:pPr>
              <w:pStyle w:val="NoSpacing"/>
              <w:spacing w:before="120" w:after="120"/>
              <w:jc w:val="center"/>
            </w:pPr>
            <w:r>
              <w:t>399</w:t>
            </w:r>
          </w:p>
        </w:tc>
        <w:tc>
          <w:tcPr>
            <w:tcW w:w="1678" w:type="pct"/>
            <w:vAlign w:val="center"/>
          </w:tcPr>
          <w:p w:rsidR="007706FE" w:rsidRDefault="007706FE" w:rsidP="00D32893">
            <w:pPr>
              <w:pStyle w:val="NoSpacing"/>
              <w:spacing w:before="120" w:after="120"/>
              <w:jc w:val="center"/>
            </w:pPr>
            <w:r>
              <w:t>397</w:t>
            </w:r>
          </w:p>
        </w:tc>
      </w:tr>
    </w:tbl>
    <w:p w:rsidR="007706FE" w:rsidRDefault="007706FE" w:rsidP="00757D79">
      <w:r w:rsidRPr="007706FE">
        <w:t>Of the 397 ADRGs in V10.0 the majority (57%) have one split (A, B). Of these</w:t>
      </w:r>
      <w:r w:rsidR="0031005E">
        <w:t>,</w:t>
      </w:r>
      <w:r w:rsidRPr="007706FE">
        <w:t xml:space="preserve"> 395 are directly comparable to V9.0. </w:t>
      </w:r>
      <w:r w:rsidR="00833C29">
        <w:fldChar w:fldCharType="begin"/>
      </w:r>
      <w:r w:rsidR="00833C29">
        <w:instrText xml:space="preserve"> REF _Ref344928 \h </w:instrText>
      </w:r>
      <w:r w:rsidR="00833C29">
        <w:fldChar w:fldCharType="separate"/>
      </w:r>
      <w:r w:rsidR="00833C29">
        <w:t xml:space="preserve">Table </w:t>
      </w:r>
      <w:r w:rsidR="00833C29">
        <w:rPr>
          <w:noProof/>
        </w:rPr>
        <w:t>6</w:t>
      </w:r>
      <w:r w:rsidR="00833C29">
        <w:fldChar w:fldCharType="end"/>
      </w:r>
      <w:r w:rsidR="00833C29">
        <w:t xml:space="preserve"> </w:t>
      </w:r>
      <w:r w:rsidRPr="007706FE">
        <w:t>provides a summary of these comparable ADRGs</w:t>
      </w:r>
      <w:r>
        <w:t>.</w:t>
      </w:r>
    </w:p>
    <w:p w:rsidR="00833C29" w:rsidRDefault="00833C29" w:rsidP="00D32893">
      <w:pPr>
        <w:pStyle w:val="Caption"/>
        <w:keepNext/>
      </w:pPr>
      <w:bookmarkStart w:id="100" w:name="_Ref344928"/>
      <w:r>
        <w:t xml:space="preserve">Table </w:t>
      </w:r>
      <w:fldSimple w:instr=" SEQ Table \* ARABIC ">
        <w:r w:rsidR="001741B1">
          <w:rPr>
            <w:noProof/>
          </w:rPr>
          <w:t>6</w:t>
        </w:r>
      </w:fldSimple>
      <w:bookmarkEnd w:id="100"/>
      <w:r w:rsidRPr="00466F20">
        <w:t>: Comparable ADRGs by number of splits in V9.0 and V10.0</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87"/>
        <w:gridCol w:w="991"/>
        <w:gridCol w:w="1426"/>
        <w:gridCol w:w="1774"/>
        <w:gridCol w:w="1393"/>
        <w:gridCol w:w="1594"/>
        <w:gridCol w:w="1196"/>
      </w:tblGrid>
      <w:tr w:rsidR="007706FE" w:rsidRPr="00833C29" w:rsidTr="00D32893">
        <w:trPr>
          <w:trHeight w:val="300"/>
        </w:trPr>
        <w:tc>
          <w:tcPr>
            <w:tcW w:w="1179" w:type="pct"/>
            <w:gridSpan w:val="2"/>
            <w:vMerge w:val="restart"/>
            <w:shd w:val="clear" w:color="auto" w:fill="004200"/>
            <w:noWrap/>
            <w:hideMark/>
          </w:tcPr>
          <w:p w:rsidR="007706FE" w:rsidRPr="00D32893" w:rsidRDefault="007706FE">
            <w:pPr>
              <w:pStyle w:val="TableText"/>
              <w:rPr>
                <w:b/>
                <w:lang w:val="en-US"/>
              </w:rPr>
            </w:pPr>
            <w:r w:rsidRPr="00D32893">
              <w:rPr>
                <w:b/>
                <w:lang w:val="en-US"/>
              </w:rPr>
              <w:t xml:space="preserve">Number of </w:t>
            </w:r>
            <w:r w:rsidR="005F214C" w:rsidRPr="00D32893">
              <w:rPr>
                <w:b/>
                <w:lang w:val="en-US"/>
              </w:rPr>
              <w:t>s</w:t>
            </w:r>
            <w:r w:rsidRPr="00D32893">
              <w:rPr>
                <w:b/>
                <w:lang w:val="en-US"/>
              </w:rPr>
              <w:t>plits</w:t>
            </w:r>
          </w:p>
        </w:tc>
        <w:tc>
          <w:tcPr>
            <w:tcW w:w="3821" w:type="pct"/>
            <w:gridSpan w:val="5"/>
            <w:shd w:val="clear" w:color="auto" w:fill="004200"/>
            <w:noWrap/>
            <w:hideMark/>
          </w:tcPr>
          <w:p w:rsidR="007706FE" w:rsidRPr="00833C29" w:rsidRDefault="007706FE" w:rsidP="0048533D">
            <w:pPr>
              <w:jc w:val="center"/>
              <w:rPr>
                <w:rFonts w:asciiTheme="minorHAnsi" w:hAnsiTheme="minorHAnsi" w:cstheme="minorHAnsi"/>
                <w:b/>
                <w:szCs w:val="22"/>
                <w:lang w:val="en-US" w:eastAsia="en-US"/>
              </w:rPr>
            </w:pPr>
            <w:r w:rsidRPr="00833C29">
              <w:rPr>
                <w:rFonts w:asciiTheme="minorHAnsi" w:hAnsiTheme="minorHAnsi" w:cstheme="minorHAnsi"/>
                <w:b/>
                <w:szCs w:val="22"/>
                <w:lang w:val="en-US" w:eastAsia="en-US"/>
              </w:rPr>
              <w:t>AR-DRG V9.0</w:t>
            </w:r>
          </w:p>
        </w:tc>
      </w:tr>
      <w:tr w:rsidR="007706FE" w:rsidRPr="003D09CC" w:rsidTr="00D32893">
        <w:trPr>
          <w:trHeight w:val="300"/>
        </w:trPr>
        <w:tc>
          <w:tcPr>
            <w:tcW w:w="1179" w:type="pct"/>
            <w:gridSpan w:val="2"/>
            <w:vMerge/>
            <w:shd w:val="clear" w:color="auto" w:fill="004200"/>
            <w:hideMark/>
          </w:tcPr>
          <w:p w:rsidR="007706FE" w:rsidRPr="003D09CC" w:rsidRDefault="007706FE">
            <w:pPr>
              <w:pStyle w:val="TableText"/>
              <w:rPr>
                <w:lang w:val="en-US"/>
              </w:rPr>
            </w:pPr>
          </w:p>
        </w:tc>
        <w:tc>
          <w:tcPr>
            <w:tcW w:w="738" w:type="pct"/>
            <w:shd w:val="clear" w:color="auto" w:fill="004200"/>
            <w:noWrap/>
            <w:vAlign w:val="center"/>
            <w:hideMark/>
          </w:tcPr>
          <w:p w:rsidR="007706FE" w:rsidRPr="003D09CC" w:rsidRDefault="007706FE">
            <w:pPr>
              <w:pStyle w:val="TableText"/>
              <w:jc w:val="center"/>
              <w:rPr>
                <w:lang w:val="en-US"/>
              </w:rPr>
            </w:pPr>
            <w:r w:rsidRPr="003D09CC">
              <w:rPr>
                <w:lang w:val="en-US"/>
              </w:rPr>
              <w:t>0</w:t>
            </w:r>
          </w:p>
        </w:tc>
        <w:tc>
          <w:tcPr>
            <w:tcW w:w="918" w:type="pct"/>
            <w:shd w:val="clear" w:color="auto" w:fill="004200"/>
            <w:noWrap/>
            <w:vAlign w:val="center"/>
            <w:hideMark/>
          </w:tcPr>
          <w:p w:rsidR="007706FE" w:rsidRPr="003D09CC" w:rsidRDefault="007706FE">
            <w:pPr>
              <w:pStyle w:val="TableText"/>
              <w:jc w:val="center"/>
              <w:rPr>
                <w:lang w:val="en-US"/>
              </w:rPr>
            </w:pPr>
            <w:r w:rsidRPr="003D09CC">
              <w:rPr>
                <w:lang w:val="en-US"/>
              </w:rPr>
              <w:t>1</w:t>
            </w:r>
          </w:p>
        </w:tc>
        <w:tc>
          <w:tcPr>
            <w:tcW w:w="721" w:type="pct"/>
            <w:shd w:val="clear" w:color="auto" w:fill="004200"/>
            <w:noWrap/>
            <w:vAlign w:val="center"/>
            <w:hideMark/>
          </w:tcPr>
          <w:p w:rsidR="007706FE" w:rsidRPr="003D09CC" w:rsidRDefault="007706FE">
            <w:pPr>
              <w:pStyle w:val="TableText"/>
              <w:jc w:val="center"/>
              <w:rPr>
                <w:lang w:val="en-US"/>
              </w:rPr>
            </w:pPr>
            <w:r w:rsidRPr="003D09CC">
              <w:rPr>
                <w:lang w:val="en-US"/>
              </w:rPr>
              <w:t>2</w:t>
            </w:r>
          </w:p>
        </w:tc>
        <w:tc>
          <w:tcPr>
            <w:tcW w:w="825" w:type="pct"/>
            <w:shd w:val="clear" w:color="auto" w:fill="004200"/>
            <w:noWrap/>
            <w:vAlign w:val="center"/>
            <w:hideMark/>
          </w:tcPr>
          <w:p w:rsidR="007706FE" w:rsidRPr="003D09CC" w:rsidRDefault="007706FE">
            <w:pPr>
              <w:pStyle w:val="TableText"/>
              <w:jc w:val="center"/>
              <w:rPr>
                <w:lang w:val="en-US"/>
              </w:rPr>
            </w:pPr>
            <w:r w:rsidRPr="003D09CC">
              <w:rPr>
                <w:lang w:val="en-US"/>
              </w:rPr>
              <w:t>3</w:t>
            </w:r>
          </w:p>
        </w:tc>
        <w:tc>
          <w:tcPr>
            <w:tcW w:w="619" w:type="pct"/>
            <w:shd w:val="clear" w:color="auto" w:fill="004200"/>
            <w:noWrap/>
            <w:vAlign w:val="center"/>
            <w:hideMark/>
          </w:tcPr>
          <w:p w:rsidR="007706FE" w:rsidRPr="003D09CC" w:rsidRDefault="007706FE">
            <w:pPr>
              <w:pStyle w:val="TableText"/>
              <w:jc w:val="center"/>
              <w:rPr>
                <w:lang w:val="en-US"/>
              </w:rPr>
            </w:pPr>
            <w:r w:rsidRPr="003D09CC">
              <w:rPr>
                <w:lang w:val="en-US"/>
              </w:rPr>
              <w:t>Total</w:t>
            </w:r>
          </w:p>
        </w:tc>
      </w:tr>
      <w:tr w:rsidR="007706FE" w:rsidRPr="003D09CC" w:rsidTr="00D32893">
        <w:trPr>
          <w:trHeight w:val="300"/>
        </w:trPr>
        <w:tc>
          <w:tcPr>
            <w:tcW w:w="666" w:type="pct"/>
            <w:vMerge w:val="restart"/>
            <w:shd w:val="clear" w:color="auto" w:fill="004200"/>
            <w:noWrap/>
            <w:textDirection w:val="btLr"/>
            <w:hideMark/>
          </w:tcPr>
          <w:p w:rsidR="007706FE" w:rsidRPr="004E5F31" w:rsidRDefault="007706FE" w:rsidP="0048533D">
            <w:pPr>
              <w:jc w:val="center"/>
              <w:rPr>
                <w:rFonts w:asciiTheme="minorHAnsi" w:hAnsiTheme="minorHAnsi" w:cstheme="minorHAnsi"/>
                <w:b/>
                <w:szCs w:val="22"/>
                <w:lang w:val="en-US" w:eastAsia="en-US"/>
              </w:rPr>
            </w:pPr>
            <w:r w:rsidRPr="004E5F31">
              <w:rPr>
                <w:rFonts w:asciiTheme="minorHAnsi" w:hAnsiTheme="minorHAnsi" w:cstheme="minorHAnsi"/>
                <w:b/>
                <w:szCs w:val="22"/>
                <w:lang w:val="en-US" w:eastAsia="en-US"/>
              </w:rPr>
              <w:t>AR-DRG V10.0</w:t>
            </w:r>
          </w:p>
        </w:tc>
        <w:tc>
          <w:tcPr>
            <w:tcW w:w="513" w:type="pct"/>
            <w:shd w:val="clear" w:color="auto" w:fill="004200"/>
            <w:noWrap/>
            <w:vAlign w:val="center"/>
            <w:hideMark/>
          </w:tcPr>
          <w:p w:rsidR="007706FE" w:rsidRPr="003D09CC" w:rsidRDefault="007706FE" w:rsidP="00D32893">
            <w:pPr>
              <w:pStyle w:val="TableText"/>
              <w:jc w:val="center"/>
              <w:rPr>
                <w:lang w:val="en-US"/>
              </w:rPr>
            </w:pPr>
            <w:r w:rsidRPr="003D09CC">
              <w:rPr>
                <w:lang w:val="en-US"/>
              </w:rPr>
              <w:t>0</w:t>
            </w:r>
          </w:p>
        </w:tc>
        <w:tc>
          <w:tcPr>
            <w:tcW w:w="738" w:type="pct"/>
            <w:shd w:val="clear" w:color="auto" w:fill="B0B1B3"/>
            <w:noWrap/>
            <w:vAlign w:val="center"/>
            <w:hideMark/>
          </w:tcPr>
          <w:p w:rsidR="007706FE" w:rsidRPr="003D09CC" w:rsidRDefault="007706FE">
            <w:pPr>
              <w:pStyle w:val="TableText"/>
              <w:jc w:val="center"/>
              <w:rPr>
                <w:lang w:val="en-US"/>
              </w:rPr>
            </w:pPr>
            <w:r w:rsidRPr="003D09CC">
              <w:rPr>
                <w:lang w:val="en-US"/>
              </w:rPr>
              <w:t>81</w:t>
            </w:r>
          </w:p>
        </w:tc>
        <w:tc>
          <w:tcPr>
            <w:tcW w:w="918" w:type="pct"/>
            <w:noWrap/>
            <w:vAlign w:val="center"/>
            <w:hideMark/>
          </w:tcPr>
          <w:p w:rsidR="007706FE" w:rsidRPr="003D09CC" w:rsidRDefault="007706FE">
            <w:pPr>
              <w:pStyle w:val="TableText"/>
              <w:jc w:val="center"/>
              <w:rPr>
                <w:lang w:val="en-US"/>
              </w:rPr>
            </w:pPr>
            <w:r w:rsidRPr="003D09CC">
              <w:rPr>
                <w:lang w:val="en-US"/>
              </w:rPr>
              <w:t>6</w:t>
            </w:r>
          </w:p>
        </w:tc>
        <w:tc>
          <w:tcPr>
            <w:tcW w:w="721" w:type="pct"/>
            <w:noWrap/>
            <w:vAlign w:val="center"/>
            <w:hideMark/>
          </w:tcPr>
          <w:p w:rsidR="007706FE" w:rsidRPr="003D09CC" w:rsidRDefault="007706FE">
            <w:pPr>
              <w:pStyle w:val="TableText"/>
              <w:jc w:val="center"/>
              <w:rPr>
                <w:lang w:val="en-US"/>
              </w:rPr>
            </w:pPr>
            <w:r w:rsidRPr="003D09CC">
              <w:rPr>
                <w:lang w:val="en-US"/>
              </w:rPr>
              <w:t>0</w:t>
            </w:r>
          </w:p>
        </w:tc>
        <w:tc>
          <w:tcPr>
            <w:tcW w:w="825" w:type="pct"/>
            <w:noWrap/>
            <w:vAlign w:val="center"/>
            <w:hideMark/>
          </w:tcPr>
          <w:p w:rsidR="007706FE" w:rsidRPr="003D09CC" w:rsidRDefault="007706FE">
            <w:pPr>
              <w:pStyle w:val="TableText"/>
              <w:jc w:val="center"/>
              <w:rPr>
                <w:lang w:val="en-US"/>
              </w:rPr>
            </w:pPr>
            <w:r w:rsidRPr="003D09CC">
              <w:rPr>
                <w:lang w:val="en-US"/>
              </w:rPr>
              <w:t>0</w:t>
            </w:r>
          </w:p>
        </w:tc>
        <w:tc>
          <w:tcPr>
            <w:tcW w:w="619" w:type="pct"/>
            <w:noWrap/>
            <w:vAlign w:val="center"/>
            <w:hideMark/>
          </w:tcPr>
          <w:p w:rsidR="007706FE" w:rsidRPr="003D09CC" w:rsidRDefault="007706FE">
            <w:pPr>
              <w:pStyle w:val="TableText"/>
              <w:jc w:val="center"/>
              <w:rPr>
                <w:lang w:val="en-US"/>
              </w:rPr>
            </w:pPr>
            <w:r w:rsidRPr="003D09CC">
              <w:rPr>
                <w:lang w:val="en-US"/>
              </w:rPr>
              <w:t>87</w:t>
            </w:r>
          </w:p>
        </w:tc>
      </w:tr>
      <w:tr w:rsidR="007706FE" w:rsidRPr="003D09CC" w:rsidTr="00D32893">
        <w:trPr>
          <w:trHeight w:val="300"/>
        </w:trPr>
        <w:tc>
          <w:tcPr>
            <w:tcW w:w="666" w:type="pct"/>
            <w:vMerge/>
            <w:shd w:val="clear" w:color="auto" w:fill="004200"/>
            <w:hideMark/>
          </w:tcPr>
          <w:p w:rsidR="007706FE" w:rsidRPr="003D09CC" w:rsidRDefault="007706FE">
            <w:pPr>
              <w:pStyle w:val="TableText"/>
              <w:rPr>
                <w:lang w:val="en-US"/>
              </w:rPr>
            </w:pPr>
          </w:p>
        </w:tc>
        <w:tc>
          <w:tcPr>
            <w:tcW w:w="513" w:type="pct"/>
            <w:shd w:val="clear" w:color="auto" w:fill="004200"/>
            <w:noWrap/>
            <w:vAlign w:val="center"/>
            <w:hideMark/>
          </w:tcPr>
          <w:p w:rsidR="007706FE" w:rsidRPr="003D09CC" w:rsidRDefault="007706FE" w:rsidP="00D32893">
            <w:pPr>
              <w:pStyle w:val="TableText"/>
              <w:jc w:val="center"/>
              <w:rPr>
                <w:lang w:val="en-US"/>
              </w:rPr>
            </w:pPr>
            <w:r w:rsidRPr="003D09CC">
              <w:rPr>
                <w:lang w:val="en-US"/>
              </w:rPr>
              <w:t>1</w:t>
            </w:r>
          </w:p>
        </w:tc>
        <w:tc>
          <w:tcPr>
            <w:tcW w:w="738" w:type="pct"/>
            <w:noWrap/>
            <w:vAlign w:val="center"/>
            <w:hideMark/>
          </w:tcPr>
          <w:p w:rsidR="007706FE" w:rsidRPr="003D09CC" w:rsidRDefault="007706FE">
            <w:pPr>
              <w:pStyle w:val="TableText"/>
              <w:jc w:val="center"/>
              <w:rPr>
                <w:lang w:val="en-US"/>
              </w:rPr>
            </w:pPr>
            <w:r w:rsidRPr="003D09CC">
              <w:rPr>
                <w:lang w:val="en-US"/>
              </w:rPr>
              <w:t>3</w:t>
            </w:r>
          </w:p>
        </w:tc>
        <w:tc>
          <w:tcPr>
            <w:tcW w:w="918" w:type="pct"/>
            <w:shd w:val="clear" w:color="auto" w:fill="B0B1B3"/>
            <w:noWrap/>
            <w:vAlign w:val="center"/>
            <w:hideMark/>
          </w:tcPr>
          <w:p w:rsidR="007706FE" w:rsidRPr="003D09CC" w:rsidRDefault="007706FE">
            <w:pPr>
              <w:pStyle w:val="TableText"/>
              <w:jc w:val="center"/>
              <w:rPr>
                <w:lang w:val="en-US"/>
              </w:rPr>
            </w:pPr>
            <w:r w:rsidRPr="003D09CC">
              <w:rPr>
                <w:lang w:val="en-US"/>
              </w:rPr>
              <w:t>215</w:t>
            </w:r>
          </w:p>
        </w:tc>
        <w:tc>
          <w:tcPr>
            <w:tcW w:w="721" w:type="pct"/>
            <w:noWrap/>
            <w:vAlign w:val="center"/>
            <w:hideMark/>
          </w:tcPr>
          <w:p w:rsidR="007706FE" w:rsidRPr="003D09CC" w:rsidRDefault="007706FE">
            <w:pPr>
              <w:pStyle w:val="TableText"/>
              <w:jc w:val="center"/>
              <w:rPr>
                <w:lang w:val="en-US"/>
              </w:rPr>
            </w:pPr>
            <w:r w:rsidRPr="003D09CC">
              <w:rPr>
                <w:lang w:val="en-US"/>
              </w:rPr>
              <w:t>7</w:t>
            </w:r>
          </w:p>
        </w:tc>
        <w:tc>
          <w:tcPr>
            <w:tcW w:w="825" w:type="pct"/>
            <w:noWrap/>
            <w:vAlign w:val="center"/>
            <w:hideMark/>
          </w:tcPr>
          <w:p w:rsidR="007706FE" w:rsidRPr="003D09CC" w:rsidRDefault="007706FE">
            <w:pPr>
              <w:pStyle w:val="TableText"/>
              <w:jc w:val="center"/>
              <w:rPr>
                <w:lang w:val="en-US"/>
              </w:rPr>
            </w:pPr>
            <w:r w:rsidRPr="003D09CC">
              <w:rPr>
                <w:lang w:val="en-US"/>
              </w:rPr>
              <w:t>0</w:t>
            </w:r>
          </w:p>
        </w:tc>
        <w:tc>
          <w:tcPr>
            <w:tcW w:w="619" w:type="pct"/>
            <w:noWrap/>
            <w:vAlign w:val="center"/>
            <w:hideMark/>
          </w:tcPr>
          <w:p w:rsidR="007706FE" w:rsidRPr="003D09CC" w:rsidRDefault="007706FE">
            <w:pPr>
              <w:pStyle w:val="TableText"/>
              <w:jc w:val="center"/>
              <w:rPr>
                <w:lang w:val="en-US"/>
              </w:rPr>
            </w:pPr>
            <w:r w:rsidRPr="003D09CC">
              <w:rPr>
                <w:lang w:val="en-US"/>
              </w:rPr>
              <w:t>225</w:t>
            </w:r>
          </w:p>
        </w:tc>
      </w:tr>
      <w:tr w:rsidR="007706FE" w:rsidRPr="003D09CC" w:rsidTr="00D32893">
        <w:trPr>
          <w:trHeight w:val="300"/>
        </w:trPr>
        <w:tc>
          <w:tcPr>
            <w:tcW w:w="666" w:type="pct"/>
            <w:vMerge/>
            <w:shd w:val="clear" w:color="auto" w:fill="004200"/>
            <w:hideMark/>
          </w:tcPr>
          <w:p w:rsidR="007706FE" w:rsidRPr="003D09CC" w:rsidRDefault="007706FE">
            <w:pPr>
              <w:pStyle w:val="TableText"/>
              <w:rPr>
                <w:lang w:val="en-US"/>
              </w:rPr>
            </w:pPr>
          </w:p>
        </w:tc>
        <w:tc>
          <w:tcPr>
            <w:tcW w:w="513" w:type="pct"/>
            <w:shd w:val="clear" w:color="auto" w:fill="004200"/>
            <w:noWrap/>
            <w:vAlign w:val="center"/>
            <w:hideMark/>
          </w:tcPr>
          <w:p w:rsidR="007706FE" w:rsidRPr="003D09CC" w:rsidRDefault="007706FE" w:rsidP="00D32893">
            <w:pPr>
              <w:pStyle w:val="TableText"/>
              <w:jc w:val="center"/>
              <w:rPr>
                <w:lang w:val="en-US"/>
              </w:rPr>
            </w:pPr>
            <w:r w:rsidRPr="003D09CC">
              <w:rPr>
                <w:lang w:val="en-US"/>
              </w:rPr>
              <w:t>2</w:t>
            </w:r>
          </w:p>
        </w:tc>
        <w:tc>
          <w:tcPr>
            <w:tcW w:w="738" w:type="pct"/>
            <w:noWrap/>
            <w:vAlign w:val="center"/>
            <w:hideMark/>
          </w:tcPr>
          <w:p w:rsidR="007706FE" w:rsidRPr="003D09CC" w:rsidRDefault="007706FE">
            <w:pPr>
              <w:pStyle w:val="TableText"/>
              <w:jc w:val="center"/>
              <w:rPr>
                <w:lang w:val="en-US"/>
              </w:rPr>
            </w:pPr>
            <w:r w:rsidRPr="003D09CC">
              <w:rPr>
                <w:lang w:val="en-US"/>
              </w:rPr>
              <w:t>0</w:t>
            </w:r>
          </w:p>
        </w:tc>
        <w:tc>
          <w:tcPr>
            <w:tcW w:w="918" w:type="pct"/>
            <w:noWrap/>
            <w:vAlign w:val="center"/>
            <w:hideMark/>
          </w:tcPr>
          <w:p w:rsidR="007706FE" w:rsidRPr="003D09CC" w:rsidRDefault="007706FE">
            <w:pPr>
              <w:pStyle w:val="TableText"/>
              <w:jc w:val="center"/>
              <w:rPr>
                <w:lang w:val="en-US"/>
              </w:rPr>
            </w:pPr>
            <w:r w:rsidRPr="003D09CC">
              <w:rPr>
                <w:lang w:val="en-US"/>
              </w:rPr>
              <w:t>3</w:t>
            </w:r>
          </w:p>
        </w:tc>
        <w:tc>
          <w:tcPr>
            <w:tcW w:w="721" w:type="pct"/>
            <w:shd w:val="clear" w:color="auto" w:fill="B0B1B3"/>
            <w:noWrap/>
            <w:vAlign w:val="center"/>
            <w:hideMark/>
          </w:tcPr>
          <w:p w:rsidR="007706FE" w:rsidRPr="003D09CC" w:rsidRDefault="007706FE">
            <w:pPr>
              <w:pStyle w:val="TableText"/>
              <w:jc w:val="center"/>
              <w:rPr>
                <w:lang w:val="en-US"/>
              </w:rPr>
            </w:pPr>
            <w:r w:rsidRPr="003D09CC">
              <w:rPr>
                <w:lang w:val="en-US"/>
              </w:rPr>
              <w:t>75</w:t>
            </w:r>
          </w:p>
        </w:tc>
        <w:tc>
          <w:tcPr>
            <w:tcW w:w="825" w:type="pct"/>
            <w:shd w:val="clear" w:color="auto" w:fill="auto"/>
            <w:noWrap/>
            <w:vAlign w:val="center"/>
            <w:hideMark/>
          </w:tcPr>
          <w:p w:rsidR="007706FE" w:rsidRPr="003D09CC" w:rsidRDefault="007706FE">
            <w:pPr>
              <w:pStyle w:val="TableText"/>
              <w:jc w:val="center"/>
              <w:rPr>
                <w:lang w:val="en-US"/>
              </w:rPr>
            </w:pPr>
            <w:r w:rsidRPr="003D09CC">
              <w:rPr>
                <w:lang w:val="en-US"/>
              </w:rPr>
              <w:t>0</w:t>
            </w:r>
          </w:p>
        </w:tc>
        <w:tc>
          <w:tcPr>
            <w:tcW w:w="619" w:type="pct"/>
            <w:noWrap/>
            <w:vAlign w:val="center"/>
            <w:hideMark/>
          </w:tcPr>
          <w:p w:rsidR="007706FE" w:rsidRPr="003D09CC" w:rsidRDefault="007706FE">
            <w:pPr>
              <w:pStyle w:val="TableText"/>
              <w:jc w:val="center"/>
              <w:rPr>
                <w:lang w:val="en-US"/>
              </w:rPr>
            </w:pPr>
            <w:r w:rsidRPr="003D09CC">
              <w:rPr>
                <w:lang w:val="en-US"/>
              </w:rPr>
              <w:t>78</w:t>
            </w:r>
          </w:p>
        </w:tc>
      </w:tr>
      <w:tr w:rsidR="007706FE" w:rsidRPr="003D09CC" w:rsidTr="00D32893">
        <w:trPr>
          <w:trHeight w:val="300"/>
        </w:trPr>
        <w:tc>
          <w:tcPr>
            <w:tcW w:w="666" w:type="pct"/>
            <w:vMerge/>
            <w:shd w:val="clear" w:color="auto" w:fill="004200"/>
            <w:hideMark/>
          </w:tcPr>
          <w:p w:rsidR="007706FE" w:rsidRPr="003D09CC" w:rsidRDefault="007706FE">
            <w:pPr>
              <w:pStyle w:val="TableText"/>
              <w:rPr>
                <w:lang w:val="en-US"/>
              </w:rPr>
            </w:pPr>
          </w:p>
        </w:tc>
        <w:tc>
          <w:tcPr>
            <w:tcW w:w="513" w:type="pct"/>
            <w:shd w:val="clear" w:color="auto" w:fill="004200"/>
            <w:noWrap/>
            <w:vAlign w:val="center"/>
            <w:hideMark/>
          </w:tcPr>
          <w:p w:rsidR="007706FE" w:rsidRPr="003D09CC" w:rsidRDefault="007706FE" w:rsidP="00D32893">
            <w:pPr>
              <w:pStyle w:val="TableText"/>
              <w:jc w:val="center"/>
              <w:rPr>
                <w:lang w:val="en-US"/>
              </w:rPr>
            </w:pPr>
            <w:r w:rsidRPr="003D09CC">
              <w:rPr>
                <w:lang w:val="en-US"/>
              </w:rPr>
              <w:t>3</w:t>
            </w:r>
          </w:p>
        </w:tc>
        <w:tc>
          <w:tcPr>
            <w:tcW w:w="738" w:type="pct"/>
            <w:noWrap/>
            <w:vAlign w:val="center"/>
            <w:hideMark/>
          </w:tcPr>
          <w:p w:rsidR="007706FE" w:rsidRPr="003D09CC" w:rsidRDefault="007706FE">
            <w:pPr>
              <w:pStyle w:val="TableText"/>
              <w:jc w:val="center"/>
              <w:rPr>
                <w:lang w:val="en-US"/>
              </w:rPr>
            </w:pPr>
            <w:r w:rsidRPr="003D09CC">
              <w:rPr>
                <w:lang w:val="en-US"/>
              </w:rPr>
              <w:t>0</w:t>
            </w:r>
          </w:p>
        </w:tc>
        <w:tc>
          <w:tcPr>
            <w:tcW w:w="918" w:type="pct"/>
            <w:noWrap/>
            <w:vAlign w:val="center"/>
            <w:hideMark/>
          </w:tcPr>
          <w:p w:rsidR="007706FE" w:rsidRPr="003D09CC" w:rsidRDefault="007706FE">
            <w:pPr>
              <w:pStyle w:val="TableText"/>
              <w:jc w:val="center"/>
              <w:rPr>
                <w:lang w:val="en-US"/>
              </w:rPr>
            </w:pPr>
            <w:r w:rsidRPr="003D09CC">
              <w:rPr>
                <w:lang w:val="en-US"/>
              </w:rPr>
              <w:t>0</w:t>
            </w:r>
          </w:p>
        </w:tc>
        <w:tc>
          <w:tcPr>
            <w:tcW w:w="721" w:type="pct"/>
            <w:noWrap/>
            <w:vAlign w:val="center"/>
            <w:hideMark/>
          </w:tcPr>
          <w:p w:rsidR="007706FE" w:rsidRPr="003D09CC" w:rsidRDefault="007706FE">
            <w:pPr>
              <w:pStyle w:val="TableText"/>
              <w:jc w:val="center"/>
              <w:rPr>
                <w:lang w:val="en-US"/>
              </w:rPr>
            </w:pPr>
            <w:r w:rsidRPr="003D09CC">
              <w:rPr>
                <w:lang w:val="en-US"/>
              </w:rPr>
              <w:t>0</w:t>
            </w:r>
          </w:p>
        </w:tc>
        <w:tc>
          <w:tcPr>
            <w:tcW w:w="825" w:type="pct"/>
            <w:shd w:val="clear" w:color="auto" w:fill="B0B1B3"/>
            <w:noWrap/>
            <w:vAlign w:val="center"/>
            <w:hideMark/>
          </w:tcPr>
          <w:p w:rsidR="007706FE" w:rsidRPr="003D09CC" w:rsidRDefault="007706FE">
            <w:pPr>
              <w:pStyle w:val="TableText"/>
              <w:jc w:val="center"/>
              <w:rPr>
                <w:lang w:val="en-US"/>
              </w:rPr>
            </w:pPr>
            <w:r w:rsidRPr="003D09CC">
              <w:rPr>
                <w:lang w:val="en-US"/>
              </w:rPr>
              <w:t>5</w:t>
            </w:r>
          </w:p>
        </w:tc>
        <w:tc>
          <w:tcPr>
            <w:tcW w:w="619" w:type="pct"/>
            <w:noWrap/>
            <w:vAlign w:val="center"/>
            <w:hideMark/>
          </w:tcPr>
          <w:p w:rsidR="007706FE" w:rsidRPr="003D09CC" w:rsidRDefault="007706FE">
            <w:pPr>
              <w:pStyle w:val="TableText"/>
              <w:jc w:val="center"/>
              <w:rPr>
                <w:lang w:val="en-US"/>
              </w:rPr>
            </w:pPr>
            <w:r w:rsidRPr="003D09CC">
              <w:rPr>
                <w:lang w:val="en-US"/>
              </w:rPr>
              <w:t>5</w:t>
            </w:r>
          </w:p>
        </w:tc>
      </w:tr>
      <w:tr w:rsidR="007706FE" w:rsidRPr="003D09CC" w:rsidTr="00D32893">
        <w:trPr>
          <w:trHeight w:val="315"/>
        </w:trPr>
        <w:tc>
          <w:tcPr>
            <w:tcW w:w="666" w:type="pct"/>
            <w:vMerge/>
            <w:shd w:val="clear" w:color="auto" w:fill="004200"/>
            <w:hideMark/>
          </w:tcPr>
          <w:p w:rsidR="007706FE" w:rsidRPr="003D09CC" w:rsidRDefault="007706FE">
            <w:pPr>
              <w:pStyle w:val="TableText"/>
              <w:rPr>
                <w:lang w:val="en-US"/>
              </w:rPr>
            </w:pPr>
          </w:p>
        </w:tc>
        <w:tc>
          <w:tcPr>
            <w:tcW w:w="513" w:type="pct"/>
            <w:shd w:val="clear" w:color="auto" w:fill="004200"/>
            <w:noWrap/>
            <w:vAlign w:val="center"/>
            <w:hideMark/>
          </w:tcPr>
          <w:p w:rsidR="007706FE" w:rsidRPr="003D09CC" w:rsidRDefault="007706FE" w:rsidP="00D32893">
            <w:pPr>
              <w:pStyle w:val="TableText"/>
              <w:jc w:val="center"/>
              <w:rPr>
                <w:lang w:val="en-US"/>
              </w:rPr>
            </w:pPr>
            <w:r w:rsidRPr="003D09CC">
              <w:rPr>
                <w:lang w:val="en-US"/>
              </w:rPr>
              <w:t>Total</w:t>
            </w:r>
          </w:p>
        </w:tc>
        <w:tc>
          <w:tcPr>
            <w:tcW w:w="738" w:type="pct"/>
            <w:noWrap/>
            <w:vAlign w:val="center"/>
            <w:hideMark/>
          </w:tcPr>
          <w:p w:rsidR="007706FE" w:rsidRPr="003D09CC" w:rsidRDefault="007706FE">
            <w:pPr>
              <w:pStyle w:val="TableText"/>
              <w:jc w:val="center"/>
              <w:rPr>
                <w:lang w:val="en-US"/>
              </w:rPr>
            </w:pPr>
            <w:r w:rsidRPr="003D09CC">
              <w:rPr>
                <w:lang w:val="en-US"/>
              </w:rPr>
              <w:t>84</w:t>
            </w:r>
          </w:p>
        </w:tc>
        <w:tc>
          <w:tcPr>
            <w:tcW w:w="918" w:type="pct"/>
            <w:noWrap/>
            <w:vAlign w:val="center"/>
            <w:hideMark/>
          </w:tcPr>
          <w:p w:rsidR="007706FE" w:rsidRPr="003D09CC" w:rsidRDefault="007706FE">
            <w:pPr>
              <w:pStyle w:val="TableText"/>
              <w:jc w:val="center"/>
              <w:rPr>
                <w:lang w:val="en-US"/>
              </w:rPr>
            </w:pPr>
            <w:r w:rsidRPr="003D09CC">
              <w:rPr>
                <w:lang w:val="en-US"/>
              </w:rPr>
              <w:t>224</w:t>
            </w:r>
          </w:p>
        </w:tc>
        <w:tc>
          <w:tcPr>
            <w:tcW w:w="721" w:type="pct"/>
            <w:noWrap/>
            <w:vAlign w:val="center"/>
            <w:hideMark/>
          </w:tcPr>
          <w:p w:rsidR="007706FE" w:rsidRPr="003D09CC" w:rsidRDefault="007706FE">
            <w:pPr>
              <w:pStyle w:val="TableText"/>
              <w:jc w:val="center"/>
              <w:rPr>
                <w:lang w:val="en-US"/>
              </w:rPr>
            </w:pPr>
            <w:r w:rsidRPr="003D09CC">
              <w:rPr>
                <w:lang w:val="en-US"/>
              </w:rPr>
              <w:t>82</w:t>
            </w:r>
          </w:p>
        </w:tc>
        <w:tc>
          <w:tcPr>
            <w:tcW w:w="825" w:type="pct"/>
            <w:noWrap/>
            <w:vAlign w:val="center"/>
            <w:hideMark/>
          </w:tcPr>
          <w:p w:rsidR="007706FE" w:rsidRPr="003D09CC" w:rsidRDefault="007706FE">
            <w:pPr>
              <w:pStyle w:val="TableText"/>
              <w:jc w:val="center"/>
              <w:rPr>
                <w:lang w:val="en-US"/>
              </w:rPr>
            </w:pPr>
            <w:r w:rsidRPr="003D09CC">
              <w:rPr>
                <w:lang w:val="en-US"/>
              </w:rPr>
              <w:t>5</w:t>
            </w:r>
          </w:p>
        </w:tc>
        <w:tc>
          <w:tcPr>
            <w:tcW w:w="619" w:type="pct"/>
            <w:shd w:val="clear" w:color="auto" w:fill="auto"/>
            <w:noWrap/>
            <w:vAlign w:val="center"/>
            <w:hideMark/>
          </w:tcPr>
          <w:p w:rsidR="007706FE" w:rsidRPr="003D09CC" w:rsidRDefault="007706FE">
            <w:pPr>
              <w:pStyle w:val="TableText"/>
              <w:jc w:val="center"/>
              <w:rPr>
                <w:lang w:val="en-US"/>
              </w:rPr>
            </w:pPr>
            <w:r w:rsidRPr="003D09CC">
              <w:rPr>
                <w:lang w:val="en-US"/>
              </w:rPr>
              <w:t>395</w:t>
            </w:r>
          </w:p>
        </w:tc>
      </w:tr>
    </w:tbl>
    <w:p w:rsidR="004410E9" w:rsidRDefault="007706FE" w:rsidP="00757D79">
      <w:r w:rsidRPr="007706FE">
        <w:t xml:space="preserve">Of the </w:t>
      </w:r>
      <w:r w:rsidR="0031005E">
        <w:t xml:space="preserve">395 </w:t>
      </w:r>
      <w:r w:rsidRPr="007706FE">
        <w:t>comparable ADRGs</w:t>
      </w:r>
      <w:r w:rsidR="0031005E">
        <w:t>,</w:t>
      </w:r>
      <w:r w:rsidRPr="007706FE">
        <w:t xml:space="preserve"> 376 have the same number of splits as in V9.0. Of the 19 that have changed </w:t>
      </w:r>
      <w:r w:rsidR="00380F6B">
        <w:t>six</w:t>
      </w:r>
      <w:r w:rsidRPr="007706FE">
        <w:t xml:space="preserve"> have an increased number of splits and </w:t>
      </w:r>
      <w:r w:rsidR="00401B3C">
        <w:t>13</w:t>
      </w:r>
      <w:r w:rsidRPr="007706FE">
        <w:t xml:space="preserve"> have seen a decrease in the number of splits.</w:t>
      </w:r>
      <w:r w:rsidR="004410E9">
        <w:br w:type="page"/>
      </w:r>
    </w:p>
    <w:p w:rsidR="004410E9" w:rsidRDefault="004410E9" w:rsidP="004410E9">
      <w:pPr>
        <w:pStyle w:val="Heading1"/>
      </w:pPr>
      <w:r>
        <w:t xml:space="preserve"> </w:t>
      </w:r>
      <w:bookmarkStart w:id="101" w:name="_Toc536011619"/>
      <w:r>
        <w:t>AR-DRG V10.0 Overview</w:t>
      </w:r>
      <w:bookmarkEnd w:id="101"/>
    </w:p>
    <w:p w:rsidR="00741529" w:rsidRDefault="00741529" w:rsidP="00EE0795">
      <w:pPr>
        <w:pStyle w:val="Heading2"/>
      </w:pPr>
      <w:bookmarkStart w:id="102" w:name="_Toc534955816"/>
      <w:bookmarkStart w:id="103" w:name="_Toc534955845"/>
      <w:bookmarkStart w:id="104" w:name="_Toc534955937"/>
      <w:bookmarkStart w:id="105" w:name="_Toc534965682"/>
      <w:bookmarkStart w:id="106" w:name="_Toc534875816"/>
      <w:bookmarkStart w:id="107" w:name="_Toc534624622"/>
      <w:bookmarkStart w:id="108" w:name="_Toc534719080"/>
      <w:bookmarkStart w:id="109" w:name="_Toc534875818"/>
      <w:bookmarkStart w:id="110" w:name="_Toc536011620"/>
      <w:bookmarkEnd w:id="102"/>
      <w:bookmarkEnd w:id="103"/>
      <w:bookmarkEnd w:id="104"/>
      <w:bookmarkEnd w:id="105"/>
      <w:bookmarkEnd w:id="106"/>
      <w:r>
        <w:t>ADRG Structure</w:t>
      </w:r>
      <w:bookmarkEnd w:id="107"/>
      <w:bookmarkEnd w:id="108"/>
      <w:bookmarkEnd w:id="109"/>
      <w:bookmarkEnd w:id="110"/>
    </w:p>
    <w:p w:rsidR="00741529" w:rsidRDefault="007706FE" w:rsidP="00741529">
      <w:r w:rsidRPr="007706FE">
        <w:t>In AR-DRG V10.0 there are a total of 39</w:t>
      </w:r>
      <w:r w:rsidR="00FE04BC">
        <w:t>7</w:t>
      </w:r>
      <w:r w:rsidRPr="007706FE">
        <w:t xml:space="preserve"> ADRGs, with two new ADRGs and four ADRGs having been removed as outlined in</w:t>
      </w:r>
      <w:r w:rsidR="001741B1">
        <w:t xml:space="preserve"> </w:t>
      </w:r>
      <w:r w:rsidR="001741B1">
        <w:fldChar w:fldCharType="begin"/>
      </w:r>
      <w:r w:rsidR="001741B1">
        <w:instrText xml:space="preserve"> REF _Ref344974 \h </w:instrText>
      </w:r>
      <w:r w:rsidR="001741B1">
        <w:fldChar w:fldCharType="separate"/>
      </w:r>
      <w:r w:rsidR="001741B1">
        <w:t xml:space="preserve">Table </w:t>
      </w:r>
      <w:r w:rsidR="001741B1">
        <w:rPr>
          <w:noProof/>
        </w:rPr>
        <w:t>7</w:t>
      </w:r>
      <w:r w:rsidR="001741B1">
        <w:fldChar w:fldCharType="end"/>
      </w:r>
      <w:r w:rsidRPr="007706FE">
        <w:t>.</w:t>
      </w:r>
    </w:p>
    <w:p w:rsidR="001741B1" w:rsidRDefault="001741B1" w:rsidP="00D32893">
      <w:pPr>
        <w:pStyle w:val="Caption"/>
        <w:keepNext/>
      </w:pPr>
      <w:bookmarkStart w:id="111" w:name="_Ref344974"/>
      <w:r>
        <w:t xml:space="preserve">Table </w:t>
      </w:r>
      <w:fldSimple w:instr=" SEQ Table \* ARABIC ">
        <w:r>
          <w:rPr>
            <w:noProof/>
          </w:rPr>
          <w:t>7</w:t>
        </w:r>
      </w:fldSimple>
      <w:bookmarkEnd w:id="111"/>
      <w:r w:rsidRPr="00841AE0">
        <w:t>: New and removed ADRGs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37"/>
        <w:gridCol w:w="1090"/>
        <w:gridCol w:w="6434"/>
      </w:tblGrid>
      <w:tr w:rsidR="00741529" w:rsidRPr="001741B1" w:rsidTr="004E5F31">
        <w:tc>
          <w:tcPr>
            <w:tcW w:w="2137" w:type="dxa"/>
            <w:shd w:val="clear" w:color="auto" w:fill="004200"/>
          </w:tcPr>
          <w:p w:rsidR="00741529" w:rsidRPr="00D32893" w:rsidRDefault="00741529">
            <w:pPr>
              <w:pStyle w:val="TableText"/>
              <w:rPr>
                <w:b/>
              </w:rPr>
            </w:pPr>
            <w:r w:rsidRPr="00D32893">
              <w:rPr>
                <w:b/>
              </w:rPr>
              <w:t>New/Removed</w:t>
            </w:r>
          </w:p>
        </w:tc>
        <w:tc>
          <w:tcPr>
            <w:tcW w:w="1090" w:type="dxa"/>
            <w:shd w:val="clear" w:color="auto" w:fill="004200"/>
          </w:tcPr>
          <w:p w:rsidR="00741529" w:rsidRPr="00D32893" w:rsidRDefault="00741529">
            <w:pPr>
              <w:pStyle w:val="TableText"/>
              <w:rPr>
                <w:b/>
              </w:rPr>
            </w:pPr>
            <w:r w:rsidRPr="00D32893">
              <w:rPr>
                <w:b/>
              </w:rPr>
              <w:t>ADRG</w:t>
            </w:r>
          </w:p>
        </w:tc>
        <w:tc>
          <w:tcPr>
            <w:tcW w:w="6434" w:type="dxa"/>
            <w:shd w:val="clear" w:color="auto" w:fill="004200"/>
          </w:tcPr>
          <w:p w:rsidR="00741529" w:rsidRPr="00D32893" w:rsidRDefault="00741529">
            <w:pPr>
              <w:pStyle w:val="TableText"/>
              <w:rPr>
                <w:b/>
              </w:rPr>
            </w:pPr>
            <w:r w:rsidRPr="00D32893">
              <w:rPr>
                <w:b/>
              </w:rPr>
              <w:t>Description</w:t>
            </w:r>
          </w:p>
        </w:tc>
      </w:tr>
      <w:tr w:rsidR="00741529" w:rsidTr="004E5F31">
        <w:tc>
          <w:tcPr>
            <w:tcW w:w="2137" w:type="dxa"/>
            <w:vMerge w:val="restart"/>
          </w:tcPr>
          <w:p w:rsidR="00741529" w:rsidRPr="004E5F31" w:rsidRDefault="00741529">
            <w:pPr>
              <w:pStyle w:val="TableText"/>
            </w:pPr>
            <w:r w:rsidRPr="004E5F31">
              <w:t>New ADRGs</w:t>
            </w:r>
          </w:p>
        </w:tc>
        <w:tc>
          <w:tcPr>
            <w:tcW w:w="1090" w:type="dxa"/>
            <w:vAlign w:val="bottom"/>
          </w:tcPr>
          <w:p w:rsidR="00741529" w:rsidRPr="0041770F" w:rsidRDefault="00741529">
            <w:pPr>
              <w:pStyle w:val="TableText"/>
            </w:pPr>
            <w:r w:rsidRPr="0041770F">
              <w:t>L43</w:t>
            </w:r>
          </w:p>
        </w:tc>
        <w:tc>
          <w:tcPr>
            <w:tcW w:w="6434" w:type="dxa"/>
            <w:vAlign w:val="bottom"/>
          </w:tcPr>
          <w:p w:rsidR="00741529" w:rsidRPr="0041770F" w:rsidRDefault="00741529">
            <w:pPr>
              <w:pStyle w:val="TableText"/>
            </w:pPr>
            <w:r w:rsidRPr="0041770F">
              <w:t>Nephrolithiasis Interventions</w:t>
            </w:r>
          </w:p>
        </w:tc>
      </w:tr>
      <w:tr w:rsidR="00741529" w:rsidTr="004E5F31">
        <w:tc>
          <w:tcPr>
            <w:tcW w:w="2137" w:type="dxa"/>
            <w:vMerge/>
          </w:tcPr>
          <w:p w:rsidR="00741529" w:rsidRDefault="00741529">
            <w:pPr>
              <w:pStyle w:val="TableText"/>
            </w:pPr>
          </w:p>
        </w:tc>
        <w:tc>
          <w:tcPr>
            <w:tcW w:w="1090" w:type="dxa"/>
            <w:vAlign w:val="bottom"/>
          </w:tcPr>
          <w:p w:rsidR="00741529" w:rsidRPr="0041770F" w:rsidRDefault="00741529">
            <w:pPr>
              <w:pStyle w:val="TableText"/>
            </w:pPr>
            <w:r w:rsidRPr="0041770F">
              <w:t>L44</w:t>
            </w:r>
          </w:p>
        </w:tc>
        <w:tc>
          <w:tcPr>
            <w:tcW w:w="6434" w:type="dxa"/>
            <w:vAlign w:val="bottom"/>
          </w:tcPr>
          <w:p w:rsidR="00741529" w:rsidRPr="0041770F" w:rsidRDefault="00741529">
            <w:pPr>
              <w:pStyle w:val="TableText"/>
            </w:pPr>
            <w:r w:rsidRPr="0041770F">
              <w:t>Cystourethroscopy for Urinary Disorder</w:t>
            </w:r>
          </w:p>
        </w:tc>
      </w:tr>
      <w:tr w:rsidR="00741529" w:rsidTr="004E5F31">
        <w:tc>
          <w:tcPr>
            <w:tcW w:w="2137" w:type="dxa"/>
            <w:vMerge w:val="restart"/>
          </w:tcPr>
          <w:p w:rsidR="00741529" w:rsidRPr="004E5F31" w:rsidRDefault="00741529">
            <w:pPr>
              <w:pStyle w:val="TableText"/>
            </w:pPr>
            <w:r w:rsidRPr="004E5F31">
              <w:t>Removed ADRGs</w:t>
            </w:r>
          </w:p>
        </w:tc>
        <w:tc>
          <w:tcPr>
            <w:tcW w:w="1090" w:type="dxa"/>
            <w:vAlign w:val="bottom"/>
          </w:tcPr>
          <w:p w:rsidR="00741529" w:rsidRPr="0041770F" w:rsidRDefault="00741529">
            <w:pPr>
              <w:pStyle w:val="TableText"/>
            </w:pPr>
            <w:r w:rsidRPr="0041770F">
              <w:t>L40</w:t>
            </w:r>
          </w:p>
        </w:tc>
        <w:tc>
          <w:tcPr>
            <w:tcW w:w="6434" w:type="dxa"/>
            <w:vAlign w:val="bottom"/>
          </w:tcPr>
          <w:p w:rsidR="00741529" w:rsidRPr="0041770F" w:rsidRDefault="00741529">
            <w:pPr>
              <w:pStyle w:val="TableText"/>
            </w:pPr>
            <w:r w:rsidRPr="0041770F">
              <w:t>Ureteroscopy</w:t>
            </w:r>
          </w:p>
        </w:tc>
      </w:tr>
      <w:tr w:rsidR="00741529" w:rsidTr="004E5F31">
        <w:tc>
          <w:tcPr>
            <w:tcW w:w="2137" w:type="dxa"/>
            <w:vMerge/>
          </w:tcPr>
          <w:p w:rsidR="00741529" w:rsidRDefault="00741529">
            <w:pPr>
              <w:pStyle w:val="TableText"/>
            </w:pPr>
          </w:p>
        </w:tc>
        <w:tc>
          <w:tcPr>
            <w:tcW w:w="1090" w:type="dxa"/>
            <w:vAlign w:val="bottom"/>
          </w:tcPr>
          <w:p w:rsidR="00741529" w:rsidRPr="0041770F" w:rsidRDefault="00741529">
            <w:pPr>
              <w:pStyle w:val="TableText"/>
            </w:pPr>
            <w:r w:rsidRPr="0041770F">
              <w:t>L41</w:t>
            </w:r>
          </w:p>
        </w:tc>
        <w:tc>
          <w:tcPr>
            <w:tcW w:w="6434" w:type="dxa"/>
            <w:vAlign w:val="bottom"/>
          </w:tcPr>
          <w:p w:rsidR="00741529" w:rsidRPr="0041770F" w:rsidRDefault="00741529">
            <w:pPr>
              <w:pStyle w:val="TableText"/>
            </w:pPr>
            <w:r w:rsidRPr="0041770F">
              <w:t>Cystourethroscopy for Urinary Disorder, Sameday</w:t>
            </w:r>
          </w:p>
        </w:tc>
      </w:tr>
      <w:tr w:rsidR="00741529" w:rsidTr="004E5F31">
        <w:tc>
          <w:tcPr>
            <w:tcW w:w="2137" w:type="dxa"/>
            <w:vMerge/>
          </w:tcPr>
          <w:p w:rsidR="00741529" w:rsidRDefault="00741529">
            <w:pPr>
              <w:pStyle w:val="TableText"/>
            </w:pPr>
          </w:p>
        </w:tc>
        <w:tc>
          <w:tcPr>
            <w:tcW w:w="1090" w:type="dxa"/>
            <w:vAlign w:val="bottom"/>
          </w:tcPr>
          <w:p w:rsidR="00741529" w:rsidRPr="0041770F" w:rsidRDefault="00741529">
            <w:pPr>
              <w:pStyle w:val="TableText"/>
            </w:pPr>
            <w:r w:rsidRPr="0041770F">
              <w:t>L42</w:t>
            </w:r>
          </w:p>
        </w:tc>
        <w:tc>
          <w:tcPr>
            <w:tcW w:w="6434" w:type="dxa"/>
            <w:vAlign w:val="bottom"/>
          </w:tcPr>
          <w:p w:rsidR="00741529" w:rsidRPr="0041770F" w:rsidRDefault="00741529">
            <w:pPr>
              <w:pStyle w:val="TableText"/>
            </w:pPr>
            <w:r w:rsidRPr="0041770F">
              <w:t>ESW Lithotripsy</w:t>
            </w:r>
          </w:p>
        </w:tc>
      </w:tr>
      <w:tr w:rsidR="00741529" w:rsidTr="004E5F31">
        <w:tc>
          <w:tcPr>
            <w:tcW w:w="2137" w:type="dxa"/>
            <w:vMerge/>
          </w:tcPr>
          <w:p w:rsidR="00741529" w:rsidRDefault="00741529">
            <w:pPr>
              <w:pStyle w:val="TableText"/>
            </w:pPr>
          </w:p>
        </w:tc>
        <w:tc>
          <w:tcPr>
            <w:tcW w:w="1090" w:type="dxa"/>
            <w:vAlign w:val="bottom"/>
          </w:tcPr>
          <w:p w:rsidR="00741529" w:rsidRPr="0041770F" w:rsidRDefault="00741529">
            <w:pPr>
              <w:pStyle w:val="TableText"/>
            </w:pPr>
            <w:r w:rsidRPr="0041770F">
              <w:t>Z60</w:t>
            </w:r>
          </w:p>
        </w:tc>
        <w:tc>
          <w:tcPr>
            <w:tcW w:w="6434" w:type="dxa"/>
            <w:vAlign w:val="bottom"/>
          </w:tcPr>
          <w:p w:rsidR="00741529" w:rsidRPr="0041770F" w:rsidRDefault="00741529">
            <w:pPr>
              <w:pStyle w:val="TableText"/>
            </w:pPr>
            <w:r w:rsidRPr="0041770F">
              <w:t>Rehabilitation</w:t>
            </w:r>
          </w:p>
        </w:tc>
      </w:tr>
    </w:tbl>
    <w:p w:rsidR="00F92B92" w:rsidRDefault="00F92B92" w:rsidP="00741529">
      <w:pPr>
        <w:spacing w:before="0" w:after="0" w:line="240" w:lineRule="auto"/>
      </w:pPr>
    </w:p>
    <w:p w:rsidR="001300F3" w:rsidRDefault="001300F3" w:rsidP="00741529">
      <w:pPr>
        <w:spacing w:before="0" w:after="0" w:line="240" w:lineRule="auto"/>
      </w:pPr>
      <w:r w:rsidRPr="001300F3">
        <w:t>Overall there is a decrease in the total number of ADRGs from 399 in V9.0 to 397 in V10.0.</w:t>
      </w:r>
    </w:p>
    <w:p w:rsidR="007706FE" w:rsidRDefault="007706FE" w:rsidP="00EE0795">
      <w:pPr>
        <w:pStyle w:val="Heading2"/>
      </w:pPr>
      <w:bookmarkStart w:id="112" w:name="_Toc534624621"/>
      <w:bookmarkStart w:id="113" w:name="_Toc534719079"/>
      <w:bookmarkStart w:id="114" w:name="_Toc534875817"/>
      <w:bookmarkStart w:id="115" w:name="_Toc536011621"/>
      <w:r>
        <w:t>Statistical Performance</w:t>
      </w:r>
      <w:bookmarkEnd w:id="112"/>
      <w:bookmarkEnd w:id="113"/>
      <w:bookmarkEnd w:id="114"/>
      <w:bookmarkEnd w:id="115"/>
    </w:p>
    <w:p w:rsidR="001300F3" w:rsidRDefault="001300F3" w:rsidP="00F92B92">
      <w:r>
        <w:t xml:space="preserve">The performance of the AR-DRG classification has historically been measured using the Reduction in Deviance (RID) statistic. RID measures how much </w:t>
      </w:r>
      <w:r w:rsidR="002D3163">
        <w:t>of the variability in cost</w:t>
      </w:r>
      <w:r>
        <w:t xml:space="preserve"> is explained by the AR-DRG classification and is expressed as a percentage. The higher the percentage value, the higher percentage of cost variation </w:t>
      </w:r>
      <w:r w:rsidR="00F92B92">
        <w:t xml:space="preserve">is </w:t>
      </w:r>
      <w:r>
        <w:t>explained by the system.</w:t>
      </w:r>
    </w:p>
    <w:p w:rsidR="00AD5CCE" w:rsidRDefault="001300F3">
      <w:pPr>
        <w:sectPr w:rsidR="00AD5CCE" w:rsidSect="006D7062">
          <w:pgSz w:w="11906" w:h="16838" w:code="9"/>
          <w:pgMar w:top="2041" w:right="1440" w:bottom="1021" w:left="1021" w:header="680" w:footer="510" w:gutter="0"/>
          <w:pgNumType w:start="1"/>
          <w:cols w:space="708"/>
          <w:docGrid w:linePitch="360"/>
        </w:sectPr>
      </w:pPr>
      <w:r>
        <w:t>The overall statistical performance of AR-DRG V10.0 as measured by the RID statistic is 64.6% which is comparable with an RID of 65.2% in AR-DRG V9.0. The change in the overall statistical performance is within expectations given the AR-DRG V10.0 refinement was primarily driven by clinical coherence principles, in particular the diagnosis exclusion review.</w:t>
      </w:r>
      <w:r w:rsidR="00380F6B">
        <w:t xml:space="preserve"> </w:t>
      </w:r>
    </w:p>
    <w:p w:rsidR="00252592" w:rsidRPr="00E503E4" w:rsidRDefault="00684696" w:rsidP="00872943">
      <w:pPr>
        <w:pStyle w:val="Heading1"/>
        <w:numPr>
          <w:ilvl w:val="0"/>
          <w:numId w:val="0"/>
        </w:numPr>
      </w:pPr>
      <w:bookmarkStart w:id="116" w:name="_Toc534633032"/>
      <w:bookmarkStart w:id="117" w:name="_Toc534875819"/>
      <w:bookmarkStart w:id="118" w:name="_Toc536011622"/>
      <w:r w:rsidRPr="00934978">
        <w:t xml:space="preserve">Appendix </w:t>
      </w:r>
      <w:r w:rsidR="00EE7F12">
        <w:t>A</w:t>
      </w:r>
      <w:r w:rsidR="00331CA9">
        <w:t>:</w:t>
      </w:r>
      <w:r w:rsidR="009D0C22">
        <w:t xml:space="preserve"> </w:t>
      </w:r>
      <w:r w:rsidR="00EE7F12">
        <w:t xml:space="preserve">AR-DRG </w:t>
      </w:r>
      <w:r>
        <w:t>V10.0</w:t>
      </w:r>
      <w:r w:rsidR="0015535A">
        <w:t xml:space="preserve"> </w:t>
      </w:r>
      <w:r>
        <w:t>Descriptions</w:t>
      </w:r>
      <w:bookmarkEnd w:id="116"/>
      <w:bookmarkEnd w:id="117"/>
      <w:bookmarkEnd w:id="118"/>
    </w:p>
    <w:tbl>
      <w:tblPr>
        <w:tblW w:w="10795" w:type="dxa"/>
        <w:tblInd w:w="-318" w:type="dxa"/>
        <w:tblLayout w:type="fixed"/>
        <w:tblLook w:val="04A0" w:firstRow="1" w:lastRow="0" w:firstColumn="1" w:lastColumn="0" w:noHBand="0" w:noVBand="1"/>
      </w:tblPr>
      <w:tblGrid>
        <w:gridCol w:w="852"/>
        <w:gridCol w:w="1139"/>
        <w:gridCol w:w="850"/>
        <w:gridCol w:w="7954"/>
      </w:tblGrid>
      <w:tr w:rsidR="00856DD2" w:rsidRPr="00856DD2" w:rsidTr="006D7C65">
        <w:trPr>
          <w:trHeight w:val="300"/>
          <w:tblHeader/>
        </w:trPr>
        <w:tc>
          <w:tcPr>
            <w:tcW w:w="852" w:type="dxa"/>
            <w:tcBorders>
              <w:top w:val="single" w:sz="4" w:space="0" w:color="auto"/>
              <w:left w:val="single" w:sz="4" w:space="0" w:color="auto"/>
              <w:bottom w:val="single" w:sz="4" w:space="0" w:color="auto"/>
              <w:right w:val="single" w:sz="4" w:space="0" w:color="auto"/>
            </w:tcBorders>
            <w:shd w:val="clear" w:color="000000" w:fill="004200"/>
            <w:vAlign w:val="center"/>
            <w:hideMark/>
          </w:tcPr>
          <w:p w:rsidR="00856DD2" w:rsidRPr="00856DD2" w:rsidRDefault="00856DD2" w:rsidP="00856DD2">
            <w:pPr>
              <w:spacing w:before="0" w:after="0" w:line="240" w:lineRule="auto"/>
              <w:rPr>
                <w:rFonts w:cs="Arial"/>
                <w:b/>
                <w:bCs/>
                <w:color w:val="FFFFFF"/>
                <w:sz w:val="20"/>
                <w:szCs w:val="20"/>
              </w:rPr>
            </w:pPr>
            <w:r w:rsidRPr="00856DD2">
              <w:rPr>
                <w:rFonts w:cs="Arial"/>
                <w:b/>
                <w:bCs/>
                <w:color w:val="FFFFFF"/>
                <w:sz w:val="20"/>
                <w:szCs w:val="20"/>
              </w:rPr>
              <w:t>ADRG</w:t>
            </w:r>
          </w:p>
        </w:tc>
        <w:tc>
          <w:tcPr>
            <w:tcW w:w="1139" w:type="dxa"/>
            <w:tcBorders>
              <w:top w:val="single" w:sz="4" w:space="0" w:color="auto"/>
              <w:left w:val="single" w:sz="4" w:space="0" w:color="auto"/>
              <w:bottom w:val="single" w:sz="4" w:space="0" w:color="auto"/>
              <w:right w:val="single" w:sz="4" w:space="0" w:color="auto"/>
            </w:tcBorders>
            <w:shd w:val="clear" w:color="000000" w:fill="004200"/>
            <w:vAlign w:val="center"/>
            <w:hideMark/>
          </w:tcPr>
          <w:p w:rsidR="00856DD2" w:rsidRPr="00856DD2" w:rsidRDefault="00856DD2" w:rsidP="00856DD2">
            <w:pPr>
              <w:spacing w:before="0" w:after="0" w:line="240" w:lineRule="auto"/>
              <w:rPr>
                <w:rFonts w:cs="Arial"/>
                <w:b/>
                <w:bCs/>
                <w:color w:val="FFFFFF"/>
                <w:sz w:val="20"/>
                <w:szCs w:val="20"/>
              </w:rPr>
            </w:pPr>
            <w:r w:rsidRPr="00856DD2">
              <w:rPr>
                <w:rFonts w:cs="Arial"/>
                <w:b/>
                <w:bCs/>
                <w:color w:val="FFFFFF"/>
                <w:sz w:val="20"/>
                <w:szCs w:val="20"/>
              </w:rPr>
              <w:t>Partition</w:t>
            </w:r>
          </w:p>
        </w:tc>
        <w:tc>
          <w:tcPr>
            <w:tcW w:w="850" w:type="dxa"/>
            <w:tcBorders>
              <w:top w:val="single" w:sz="4" w:space="0" w:color="auto"/>
              <w:left w:val="single" w:sz="4" w:space="0" w:color="auto"/>
              <w:bottom w:val="single" w:sz="4" w:space="0" w:color="auto"/>
              <w:right w:val="single" w:sz="4" w:space="0" w:color="auto"/>
            </w:tcBorders>
            <w:shd w:val="clear" w:color="000000" w:fill="004200"/>
            <w:vAlign w:val="center"/>
            <w:hideMark/>
          </w:tcPr>
          <w:p w:rsidR="00856DD2" w:rsidRPr="00856DD2" w:rsidRDefault="00856DD2" w:rsidP="00856DD2">
            <w:pPr>
              <w:spacing w:before="0" w:after="0" w:line="240" w:lineRule="auto"/>
              <w:rPr>
                <w:rFonts w:cs="Arial"/>
                <w:b/>
                <w:bCs/>
                <w:color w:val="FFFFFF"/>
                <w:sz w:val="20"/>
                <w:szCs w:val="20"/>
              </w:rPr>
            </w:pPr>
            <w:r w:rsidRPr="00856DD2">
              <w:rPr>
                <w:rFonts w:cs="Arial"/>
                <w:b/>
                <w:bCs/>
                <w:color w:val="FFFFFF"/>
                <w:sz w:val="20"/>
                <w:szCs w:val="20"/>
              </w:rPr>
              <w:t>DRG</w:t>
            </w:r>
          </w:p>
        </w:tc>
        <w:tc>
          <w:tcPr>
            <w:tcW w:w="7954" w:type="dxa"/>
            <w:tcBorders>
              <w:top w:val="single" w:sz="4" w:space="0" w:color="auto"/>
              <w:left w:val="single" w:sz="4" w:space="0" w:color="auto"/>
              <w:bottom w:val="single" w:sz="4" w:space="0" w:color="auto"/>
              <w:right w:val="single" w:sz="4" w:space="0" w:color="auto"/>
            </w:tcBorders>
            <w:shd w:val="clear" w:color="000000" w:fill="004200"/>
            <w:vAlign w:val="center"/>
            <w:hideMark/>
          </w:tcPr>
          <w:p w:rsidR="00856DD2" w:rsidRPr="00856DD2" w:rsidRDefault="00856DD2" w:rsidP="00856DD2">
            <w:pPr>
              <w:spacing w:before="0" w:after="0" w:line="240" w:lineRule="auto"/>
              <w:rPr>
                <w:rFonts w:cs="Arial"/>
                <w:b/>
                <w:bCs/>
                <w:color w:val="FFFFFF"/>
                <w:sz w:val="20"/>
                <w:szCs w:val="20"/>
              </w:rPr>
            </w:pPr>
            <w:r w:rsidRPr="00856DD2">
              <w:rPr>
                <w:rFonts w:cs="Arial"/>
                <w:b/>
                <w:bCs/>
                <w:color w:val="FFFFFF"/>
                <w:sz w:val="20"/>
                <w:szCs w:val="20"/>
              </w:rPr>
              <w:t>Description</w:t>
            </w:r>
          </w:p>
        </w:tc>
      </w:tr>
      <w:tr w:rsidR="00856DD2" w:rsidRPr="00856DD2" w:rsidTr="006D7C65">
        <w:trPr>
          <w:trHeight w:val="300"/>
        </w:trPr>
        <w:tc>
          <w:tcPr>
            <w:tcW w:w="852" w:type="dxa"/>
            <w:tcBorders>
              <w:top w:val="single" w:sz="4" w:space="0" w:color="auto"/>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A13</w:t>
            </w:r>
          </w:p>
        </w:tc>
        <w:tc>
          <w:tcPr>
            <w:tcW w:w="1139" w:type="dxa"/>
            <w:tcBorders>
              <w:top w:val="single" w:sz="4" w:space="0" w:color="auto"/>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4" w:space="0" w:color="auto"/>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A13A</w:t>
            </w:r>
          </w:p>
        </w:tc>
        <w:tc>
          <w:tcPr>
            <w:tcW w:w="7954" w:type="dxa"/>
            <w:tcBorders>
              <w:top w:val="single" w:sz="4" w:space="0" w:color="auto"/>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Ventilation &gt;=336hours,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A13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Ventilation &gt;=336hours,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Ventilation &gt;=96hours &amp; &lt;336hours,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A14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Ventilation &gt;=96hours &amp; &lt;336hours,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A14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Ventilation &gt;=96hours &amp; &lt;336hours,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Tracheostomy,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A15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Tracheostomy,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A15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A15C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Tracheostomy,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A40Z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ECMO</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Ventricular Shunt Revision</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B03C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Extracranial Vascular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Extracranial Vascular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Extracranial Vascular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B05Z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Carpal Tunnel Release</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Interventions for Cerebral Palsy, Muscular Dystrophy and Neuropathy,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Interventions for Cerebral Palsy, Muscular Dystrophy and Neuropathy, Interm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B06C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Interventions for Cerebral Palsy, Muscular Dystrophy and Neuropathy,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or Peripheral Nerve and Other Nervous System Interventions,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B07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B07B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or Peripheral Nerve and Other Nervous System Interventions,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Plasmapheresis W Neurological Disease, Sameday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Telemetric EEG Monitoring,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B41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Telemetric</w:t>
            </w:r>
            <w:r w:rsidR="00C932D8">
              <w:rPr>
                <w:rFonts w:cs="Arial"/>
                <w:color w:val="000000"/>
                <w:sz w:val="20"/>
                <w:szCs w:val="20"/>
              </w:rPr>
              <w:t xml:space="preserve"> EEG Monitoring, Minor Complexi</w:t>
            </w:r>
            <w:r w:rsidRPr="00856DD2">
              <w:rPr>
                <w:rFonts w:cs="Arial"/>
                <w:color w:val="000000"/>
                <w:sz w:val="20"/>
                <w:szCs w:val="20"/>
              </w:rPr>
              <w:t>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Disorders W Ventilator Support,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B42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Disorders W Ventilator Support,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B42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B42C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Disorders W Ventilator Support,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B62Z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Apheresis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Dementia and Other Chronic Disturbances of Cerebral Function,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Dementia and Other Chronic Disturbances of Cerebral Function,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Delirium,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Delirium,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B65Z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Cerebral Palsy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Neoplasms,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Neoplasms,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Degenerative Nervous System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Degenerative Nervous System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B67C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Degenerative Nervous System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Sclerosis and Cerebellar Ataxia,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Sclerosis and Cerebellar Ataxia,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TIA and Precerebral Occlusion,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B69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B69B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TIA and Precerebral Occlusion,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Stroke and Other Cerebrovascular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Stroke and Other Cerebrovascular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B70C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Stroke and Other Cerebrovascular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B70D</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Stroke and Other Cerebrovascular Disorders, Transferred &lt;5 Days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and Peripheral Nerve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Cranial and Peripheral Nerve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Infection Except Viral Meningitis,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Nervous System Infection Except Viral Meningitis,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Viral Meningitis,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Viral Meningitis,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Nontraumatic Stupor and Coma,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Nontraumatic Stupor and Coma,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B75Z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Febrile Convulsions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Seizures,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Seizures,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Headaches,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Headaches,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Intracranial Injuries,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Intracranial Injuries,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B78C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Intracranial Injuries, Transferred &lt;5 Days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Skull Fractures,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B79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B79B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Skull Fractures,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Head Injuries,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B80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Head Injuries,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the Nervous System,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B81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the Nervous System,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Chronic &amp; Unspec Para/Quadriplegia,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B82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Chronic &amp; Unspec Para/Quadriplegia,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B82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Chronic &amp; Unspec Para/Quadriplegia,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Paraplegia and Quadriplegia and Spinal Cord Conditions,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B83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Paraplegia and Quadriplegia and Spinal Cord Conditions, Interm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B83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B83C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Paraplegia and Quadriplegia and Spinal Cord Conditions,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Interventions for Penetrating Eye Injury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Enucleations and Orbital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Enucleations and Orbital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Retinal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Retinal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Corneal, Scleral and Conjunctival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Corneal, Scleral and Conjunctival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C05Z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Dacryocystorhinostomy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Strabismus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Eyelid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Corneal, Scleral and Conjunctival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Corneal, Scleral and Conjunctival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Lacrimal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Eye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C14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Eye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Glaucoma and Complex Cataract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C15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Glaucoma and Complex Cataract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C16Z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Lens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and Major Eye Infections,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and Major Eye Infections,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Neurological and Vascular Disorders of the Eye,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Neurological and Vascular Disorders of the Eye,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Hyphaema and Medically Managed Trauma to the Eye,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Hyphaema and Medically Managed Trauma to the Eye,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the Eye,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C63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the Eye,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Cochlear Implant</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Head and Neck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Head and Neck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Head and Neck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Surgical Repair for Cleft Lip and Palate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Surgical Repair for Cleft Lip and Palate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Maxillo Surgery,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Maxillo Surgery,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D05Z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Parotid Gland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D06Z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Sinus and Complex Middle Ear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Nasal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D11Z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Tonsillectomy and Adenoidectomy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Ear, Nose, Mouth and Throat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D12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Ear, Nose, Mouth and Throat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D13Z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Myringotomy W Tube Insertion</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Mouth and Salivary Gland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D14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Mouth and Salivary Gland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D15Z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Mastoid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D40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D40Z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Dental Extractions and Restorations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Ear, Nose, Mouth and Throat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Ear, Nose, Mouth and Throat Malignancy,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Dysequilibrium,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Dysequilibrium,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Epistaxis,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Epistaxis,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Otitis Media and Upper Respiratory Infections,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Otitis Media and Upper Respiratory Infections,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Laryngotracheitis and Epiglottitis,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Laryngotracheitis and Epiglottitis,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Nasal Trauma and Deformity,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Nasal Trauma and Deformity,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Ear, Nose, Mouth and Throat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Ear, Nose, Mouth and Throat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Oral and Dental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D67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D67B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Oral and Dental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Chest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Chest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E01C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Chest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Respiratory System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Respiratory System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Respiratory System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E03Z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Lung or Heart-Lung Transplant</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System Disorders W Ventilator Support,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E40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System Disorders W Ventilator Support,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System Disorders W Non-Invasive Ventilation,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E41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System Disorders W Non-Invasive Ventilation,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Bronchoscopy,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E42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Bronchoscopy,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E42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E42C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Bronchoscopy,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Cystic Fibrosis,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Cystic Fibrosis,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Pulmonary Embolism,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Pulmonary Embolism,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Infections and Inflammations,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Infections and Inflammations,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Sleep Apnoea,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Sleep Apnoea,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Pulmonary Oedema and Respiratory Failure,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Pulmonary Oedema and Respiratory Failure,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Chronic Obstructive Airways Disease,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Chronic Obstructive Airways Disease,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Chest Trauma,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Chest Trauma,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Signs and Symptoms,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Signs and Symptoms,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Pneumothorax,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Pneumothorax,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E69A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Bronchitis and Asthma,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E69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E69B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Bronchitis and Asthma,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Whooping Cough and Acute Bronchiolitis,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Whooping Cough and Acute Bronchiolitis,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Neoplasms,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Neoplasms,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E72Z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Problems Arising from Neonatal Period</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Pleural Effusion,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Pleural Effusion,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E73C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Pleural Effusion,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Interstitial Lung Disease,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Interstitial Lung Disease,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Respiratory System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Respiratory System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Tuberculosis,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Respiratory Tuberculosis,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Bronchiectasis,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E77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E77B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Bronchiectasis,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Implantation and Replacement of AICD, Total System,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Implantation and Replacement of AICD, Total System,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F02Z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AICD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Cardiac Valve Int W CPB Pump W Invasive Cardiac Investigation,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Cardiac Valve Int W CPB Pump W Invasive Cardiac Investigation,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Cardiac Valve Interventions W CPB Pump W/O Invasive Cardiac Invest,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Cardiac Valve Interventions W CPB Pump W/O Invasive Cardiac Invest, Interm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F04C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Cardiac Valve Interventions W CPB Pump W/O Invasive Cardiac Invest,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Bypass W Invasive Cardiac Investigation,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Bypass W Invasive Cardiac Investigation,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Bypass W/O Invasive Cardiac Investigation,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Bypass W/O Invasive Cardiac Investigation,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F06C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Bypass W/O Invasive Cardiac Investigation,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Cardiothoracic/Vascular Interventions W CPB Pump,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Cardiothoracic/Vascular Interventions W CPB Pump,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F07C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Cardiothoracic/Vascular Interventions W CPB Pump,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Reconstructive Vascular Interventions W/O CPB Pump,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Reconstructive Vascular Interventions W/O CPB Pump, Interm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F08C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Reconstructive Vascular Interventions W/O CPB Pump,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Cardiothoracic Interventions W/O CPB Pump,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F09B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Cardiothoracic Interventions W/O CPB Pump,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Interventional Coronary Procedures, Admitted for AMI,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Interventional Coronary Procedures, Admitted for AMI,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Amputation, Except Upper Limb and Toe, for Circulatory Disorders,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Amputation, Except Upper Limb and Toe, for Circulatory Disorders,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Implantation and Replacement of Pacemaker, Total System,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Implantation and Replacement of Pacemaker, Total System,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Amputation, Upper Limb and Toe, for Circulatory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Amputation, Upper Limb and Toe, for Circulatory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Vascular Interventions, Except Major Reconstruction, W/O CPB Pump,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Vascular Interventions, Except Major Reconstruction, W/O CPB Pump, Interm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F14C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Vascular Interventions, Except Major Reconstruction, W/O CPB Pump,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Insertion and Replacement of Pacemaker Generator,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Insertion and Replacement of Pacemaker Generator,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F18Z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Pacemaker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Trans-Vascular Percutaneous Cardiac Intervention,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F19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F19B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Trans-Vascular Percutaneous Cardiac Intervention,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Vein Ligation and Stripping</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Circulatory System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F21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Circulatory System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F21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F21C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Circulatory System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F22Z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Insertion of Artificial Heart Device</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F23Z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Heart Transplant</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Interventional Coronary Procs, Not Adm for AMI,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F24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F24B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Interventional Coronary Procs, Not Adm for AMI,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Disorders W Ventilator Support,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Disorders W Ventilator Support,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Disorders, Adm for AMI W Invasive Cardiac Inves Int,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F41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Disorders, Adm for AMI W Invasive Cardiac Inves Int,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Dsrds, Not Adm for AMI W Invasive Cardiac Inves Int,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F42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Dsrds, Not Adm for AMI W Invasive Cardiac Inves Int,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Disorders W Non-Invasive Ventilation,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F43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F43B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Disorders W Non-Invasive Ventilation,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Dsrd, Adm for AMI W/O Invas Card Inves Intervention</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Circulatory Dsrd, Adm for AMI W/O Invas Card Inves Intervention, Transf &lt;5 Days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Infective Endocarditis,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Infective Endocarditis,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Heart Failure and Shock,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Heart Failure and Shock,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Heart Failure and Shock, Transferred &lt;5 Days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Venous Thrombosis,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Venous Thrombosis,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Ulcers in Circulatory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Ulcers in Circulatory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Ulcers in Circulatory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Peripheral Vascular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Peripheral Vascular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Atherosclerosis,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Coronary Atherosclerosis,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Hypertension,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Hypertension,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F68Z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Congenital Heart Disease</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F69A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Valvular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F69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F69B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Valvular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Unstable Angina,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F72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Unstable Angina,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Syncope and Collapse,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F73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Syncope and Collapse,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Chest Pain,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F74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Chest Pain,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Circulatory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F75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Circulatory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Arrhythmia, Cardiac Arrest and Conduction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F76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F76B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Arrhythmia, Cardiac Arrest and Conduction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Rectal Resection,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Rectal Resection,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G01C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Rectal Resection,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Small and Large Bowel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Small and Large Bowel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Small and Large Bowel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Stomach, Oesophageal and Duodenal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Stomach, Oesophageal and Duodenal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G03C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Stomach, Oesophageal and Duodenal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Peritoneal Adhesiolysis,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Peritoneal Adhesiolysis,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Peritoneal Adhesiolysis,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Small and Large Bowel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Small and Large Bowel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G06Z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Pyloromyotomy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Appendicectomy,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G07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G07B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Appendicectomy,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Hernia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Hernia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Anal and Stomal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G11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Anal and Stomal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Digestive System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Digestive System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G12C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Digestive System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Complex Endoscopy,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G46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Complex Endoscopy,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Gastroscopy,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G47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Gastroscopy,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G47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G47C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Gastroscopy,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Colonoscopy,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G48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G48B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Colonoscopy,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Digestive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Digestive Malignancy,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Gastrointestinal Haemorrhage,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Gastrointestinal Haemorrhage,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G64Z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Inflammatory Bowel Disease</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Gastrointestinal Obstruction,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Gastrointestinal Obstruction,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Abdominal Pain and Mesenteric Adenitis,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Abdominal Pain and Mesenteric Adenitis,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Oesophagitis and Gastroenteritis,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G67B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Oesophagitis and Gastroenteritis,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G70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G70A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Digestive System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G70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G70B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Digestive System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G70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G70C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Digestive System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Pancreas, Liver and Shunt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Pancreas, Liver and Shunt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H01C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Pancreas, Liver and Shunt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Biliary Tract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Biliary Tract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Biliary Tract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Hepatobiliary Diagnostic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Hepatobiliary Diagnostic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H05C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Hepatobiliary Diagnostic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Hepatobiliary and Pancreas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Hepatobiliary and Pancreas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H06C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Hepatobiliary and Pancreas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Open Cholecystectomy,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Open Cholecystectomy,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H07C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Open Cholecystectomy,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Laparoscopic Cholecystectomy,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Laparoscopic Cholecystectomy,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H09Z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Liver Transplant</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Cirrhosis and Alcoholic Hepatitis,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Cirrhosis and Alcoholic Hepatitis,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H60C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Cirrhosis and Alcoholic Hepatitis,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Malignancy of Hepatobiliary System and Pancreas,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Malignancy of Hepatobiliary System and Pancreas,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Disorders of Pancreas, Except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Disorders of Pancreas, Except Malignancy,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Liver,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Liver,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H63C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Disorders of Liver,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Disorders of the Biliary Tract,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Disorders of the Biliary Tract,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Bleeding Oesophageal Varices,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Bleeding Oesophageal Varices,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H65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H65C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Bleeding Oesophageal Varices,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Bilateral and Multiple Major Joint Interventions of Lower Limb,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Bilateral and Multiple Major Joint Interventions of Lower Limb,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Microvascular Tissue Transfers or Skin Grafts, Excluding Hand,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Microvascular Tissue Transfers or Skin Grafts, Excluding Hand, Intermediate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Microvascular Tissue Transfers or Skin Grafts, Excluding Hand,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Hip Replacement for Trauma,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Hip Replacement for Trauma,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Knee Replacement,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Knee Replacement,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Joint Replacement,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Joint Replacement,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I06Z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Fusion for Deformity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I07Z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Amputation</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Hip and Femur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Hip and Femur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I08C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Hip and Femur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Fusion,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Fusion,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I09C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Spinal Fusion,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Back and Neck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Back and Neck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I11Z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Limb Lengthening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Misc Musculoskeletal Interventions for Infect/Inflam of Bone/Joint,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Misc Musculoskeletal Interventions for Infect/Inflam of Bone/Joint, Interm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Misc Musculoskeletal Interventions for Infect/Inflam of Bone/Joint,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Humerus, Tibia, Fibula and Ankle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Humerus, Tibia, Fibula and Ankle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I13C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Humerus, Tibia, Fibula and Ankle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I15Z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Cranio-Facial Surgery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I16Z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Shoulder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Maxillo-Facial Surgery,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Maxillo-Facial Surgery,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Knee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Knee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I19A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Elbow and Forearm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I19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I19B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Elbow and Forearm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Foot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Foot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Local Excision and Removal of Internal Fixation Devices of Hip &amp; Femur, Maj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Local Excision and Removal of Internal Fixation Devices of Hip &amp; Femur, Min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Local Excision &amp; Removal of Internal Fixation Device, Except Hip &amp; Fmr, Maj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Local Excision &amp; Removal of Internal Fixation Device, Except Hip &amp; Fmr, Min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Arthroscopy,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Arthroscopy,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Bone and Joint Diagnostic Interventions Including Biopsy,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Bone and Joint Diagnostic Interventions Including Biopsy,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Soft Tissue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Soft Tissue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Musculoskeletal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Musculoskeletal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I28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I28C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Musculoskeletal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I29Z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Knee Reconstructions, and Revisions of Reconstructions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Hand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Revision of Hip Replacement,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I31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Revision of Hip Replacement,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I31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I31C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Revision of Hip Replacement,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Revision of Knee Replacement,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I32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Revision of Knee Replacement,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Hip Replacement for Non-Trauma,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I33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I33B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Hip Replacement for Non-Trauma,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Femoral Shaft Fractures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Distal Femoral Fractures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Sprains, Strains and Dislocations of Hip, Pelvis and Thigh,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Sprains, Strains and Dislocations of Hip, Pelvis and Thigh,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Osteomyelitis,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Osteomyelitis,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Musculoskeletal Malignant Neoplasms,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Musculoskeletal Malignant Neoplasms,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Inflammatory Musculoskeletal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Inflammatory Musculoskeletal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Septic Arthritis,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Septic Arthritis,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Non-surgical Spinal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Non-surgical Spinal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Bone Diseases and Arthropathies,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I69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I69B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Bone Diseases and Arthropathies,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Musculotendinous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Musculotendinous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Specific Musculotendinous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Specific Musculotendinous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Aftercare of Musculoskeletal Implants or Prostheses,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Aftercare of Musculoskeletal Implants or Prostheses,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to Forearm, Wrist, Hand and Foot,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to Forearm, Wrist, Hand and Foot,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to Shoulder, Arm, Elbow, Knee, Leg and Ankle,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to Shoulder, Arm, Elbow, Knee, Leg and Ankle,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I75C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to Shoulder, Arm, Elbow, Knee, Leg and Ankle,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Musculoskeletal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Musculoskeletal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Fractures of Pelvis,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Fractures of Pelvis,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Fractures of Neck of Femur,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Fractures of Neck of Femur,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I79A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Pathological Fractures,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I79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I79B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Pathological Fractures,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I80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I80Z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Femoral Fractures, Transferred to Acute Facility &lt;2 Days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 Tiss Transf for Skin, Subcut Tiss &amp; Breast Dsrds,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 Tiss Transf for Skin, Subcut Tiss &amp; Breast Dsrds,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Interventions for Breast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Interventions for Breast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J07Z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Interventions for Breast Disorders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Skin Grafts and Debridement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Skin Grafts and Debridement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J08C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Skin Grafts and Debridement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J09Z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Perianal and Pilonidal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Plastic GIs for Skin, Subcutaneous Tissue and Breast Disorders,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Plastic GIs for Skin, Subcutaneous Tissue and Breast Disorders,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Skin, Subcutaneous Tissue and Breast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J11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Skin, Subcutaneous Tissue and Breast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Lower Limb Interventions W Ulcer or Cellulitis,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Lower Limb Interventions W Ulcer or Cellulitis,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Lower Limb Interventions W/O Ulcer or Cellulitis,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J13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Lower Limb Interventions W/O Ulcer or Cellulitis,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J14Z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Breast Reconstructions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Ulcers,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Ulcers,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J60C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Ulcers,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Malignant Breast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Malignant Breast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Non-Malignant Breast Disorders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Cellulitis,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Cellulitis,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Trauma to Skin, Subcutaneous Tissue and Breast,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Trauma to Skin, Subcutaneous Tissue and Breast,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Skin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Skin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J68A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Skin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J68</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J68B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Skin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J69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J69B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Malignancy,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GIs for Diabetic Complications,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GIs for Diabetic Complications,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K01C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GIs for Diabetic Complications,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K02Z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Pituitary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Adrenal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Parathyroid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Parathyroid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Thyroid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Thyroid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K08Z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Thyroglossal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K09A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Endocrine, Nutritional and Metabolic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K09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K09B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Endocrine, Nutritional and Metabolic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Revisional and Open Bariatric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Laparoscopic Bariatric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K11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Laparoscopic Bariatric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K12Z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Bariatric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K13Z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Plastic GIs for Endocrine, Nutritional and Metabolic Disorders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K40A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Endoscopic and Investigative Interventions for Metabolic Disorders,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K40B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Endoscopic and Investigative Interventions for Metabolic Disorders,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Diabetes,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Diabetes,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Severe Nutritional Disturbance,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Severe Nutritional Disturbance,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Miscellaneous Metabolic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Miscellaneous Metabolic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Miscellaneous Metabolic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Inborn Errors of Metabolism,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Inborn Errors of Metabolism,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Endocrine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K64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Endocrine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Operative Insertion of Peritoneal Catheter for Dialysis,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Operative Insertion of Peritoneal Catheter for Dialysis,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Ureter and Major Bladder Interventions for Neoplasm,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Ureter and Major Bladder Interventions for Neoplasm, Intermediate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L03C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Ureter and Major Bladder Interventions for Neoplasm,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Ureter and Major Bladder Interventions for Non-Neoplasm,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Ureter and Major Bladder Interventions for Non-Neoplasm, Interm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Ureter and Major Bladder Interventions for Non-Neoplasm,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Transurethral Prostatectomy for Urinary Disorder,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Transurethral Prostatectomy for Urinary Disorder,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Bladder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Bladder Interventions,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L06C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Minor Bladder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Transurethral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Transurethral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L08Z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Urethral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L09</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L09A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Kidney and Urinary Tract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L09B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Kidney and Urinary Tract Disorders, Interm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L09</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L09C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Kidney and Urinary Tract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L10A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Transplant, Age &lt;=16 Years or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L10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L10B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Transplant, Age &gt;=17 Years and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L43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L43A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Nephrolithiasis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L43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L43B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Nephrolithiasis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L44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L44A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Cystourethroscopy for Urinary Disorder,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L44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L44B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Cystourethroscopy for Urinary Disorder,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Failure,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Failure,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L60C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Failure,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L61Z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Haemodialysis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Neoplasms,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Neoplasms,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Neoplasms,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Infections,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Infections,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Urinary Stones and Obstruction,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Urinary Stones and Obstruction,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Signs and Symptoms,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Kidney and Urinary Tract Signs and Symptoms,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L66Z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Urethral Stricture</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Kidney and Urinary Tract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Kidney and Urinary Tract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L67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L67C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Kidney and Urinary Tract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L68Z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Peritoneal Dialysis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Male Pelvic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Male Pelvic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Transurethral Prostatectomy for Reproductive System Disorder,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Transurethral Prostatectomy for Reproductive System Disorder,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Penis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Penis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M04Z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Testes Interventions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M05Z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Circumcision</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Male Reproductive System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Male Reproductive System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M40Z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Cystourethroscopy for Male Reproductive System Disorder, Sameday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Male Reproductive System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Male Reproductive System Malignancy,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Benign Prostatic Hypertrophy,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Benign Prostatic Hypertrophy,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Male Reproductive System Inflammation,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Male Reproductive System Inflammation,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M63Z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Male Sterilisation Interventions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Male Reproductive System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Male Reproductive System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N01Z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Pelvic Evisceration and Radical Vulvectomy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Hysterectomy for Non-Malignancy,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Hysterectomy for Non-Malignancy,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Oophorectomy and Complex Fallopian Tube Int for Non-Malignancy, Maj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Oophorectomy and Complex Fallopian Tube Int for Non-Malignancy, Min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Female Reproductive System Reconstructive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Female Reproductive System Reconstructive Interventions,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Uterus and Adnexa Interventions for Non-Malignancy,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Uterus and Adnexa Interventions for Non-Malignancy,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N08Z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Endoscopic and Laparoscopic Interventions, Female Reproductive System</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N09A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Vagina, Cervix and Vulva Interventions,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N09</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N09B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Vagina, Cervix and Vulva Interventions,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Diagnostic Curettage and Diagnostic Hysteroscopy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Female Reproductive System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N11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Female Reproductive System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Uterus and Adnexa Interventions for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N12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Uterus and Adnexa Interventions for Malignancy,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N12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N12C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Uterus and Adnexa Interventions for Malignancy,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Female Reproductive System Malignancy,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Female Reproductive System Malignancy,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Female Reproductive System Infections,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Female Reproductive System Infections,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Menstrual and Other Female Reproductive System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N62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Menstrual and Other Female Reproductive System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Caesarean Delivery,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Caesarean Delivery,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O01C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Caesarean Delivery,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Vaginal Delivery W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Vaginal Delivery W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Ectopic Pregnancy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Postpartum and Post Abortion W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O04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Postpartum and Post Abortion W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O05Z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Abortion W GIs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Vaginal Delivery,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Vaginal Delivery,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O60C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Vaginal Delivery,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Postpartum and Post Abortion W/O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Postpartum and Post Abortion W/O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Abortion W/O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Abortion W/O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Antenatal and Other Obstetric Admissions,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O66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Antenatal and Other Obstetric Admissions,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O66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O66C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Antenatal and Other Obstetric Admissions,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P01Z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W Sig GI/Vent&gt;=96hrs, Died or Transfer to Acute Facility &lt;5Days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P02Z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Cardiothoracic and Vascular Interventions for Neonates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1000-1499g W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1000-1499g W Significant GI/Vent&gt;=96hrs,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1500-1999g W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1500-1999g W Significant GI/Vent&gt;=96hrs,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2000-2499g W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2000-2499g W Significant GI/Vent&gt;=96hrs,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 Significant GI/Vent&gt;=96hrs,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P07Z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&lt;750g W Significant GIs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P08</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P08Z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750-999g W Significant GIs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W/O Sig GI/Vent&gt;=96hrs, Died/Transfer Acute Facility &lt;5 Days, Maj</w:t>
            </w:r>
            <w:r w:rsidR="00C932D8">
              <w:rPr>
                <w:rFonts w:cs="Arial"/>
                <w:color w:val="000000"/>
                <w:sz w:val="20"/>
                <w:szCs w:val="20"/>
              </w:rPr>
              <w:t xml:space="preserve"> </w:t>
            </w:r>
            <w:r w:rsidRPr="00856DD2">
              <w:rPr>
                <w:rFonts w:cs="Arial"/>
                <w:color w:val="000000"/>
                <w:sz w:val="20"/>
                <w:szCs w:val="20"/>
              </w:rPr>
              <w:t>C</w:t>
            </w:r>
            <w:r w:rsidR="00C932D8">
              <w:rPr>
                <w:rFonts w:cs="Arial"/>
                <w:color w:val="000000"/>
                <w:sz w:val="20"/>
                <w:szCs w:val="20"/>
              </w:rPr>
              <w:t>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W/O Sig GI/Vent&gt;=96hrs, Died/Transfer Acute Facility &lt;5 Days, Min</w:t>
            </w:r>
            <w:r w:rsidR="00C932D8">
              <w:rPr>
                <w:rFonts w:cs="Arial"/>
                <w:color w:val="000000"/>
                <w:sz w:val="20"/>
                <w:szCs w:val="20"/>
              </w:rPr>
              <w:t xml:space="preserve"> </w:t>
            </w:r>
            <w:r w:rsidRPr="00856DD2">
              <w:rPr>
                <w:rFonts w:cs="Arial"/>
                <w:color w:val="000000"/>
                <w:sz w:val="20"/>
                <w:szCs w:val="20"/>
              </w:rPr>
              <w:t>C</w:t>
            </w:r>
            <w:r w:rsidR="00C932D8">
              <w:rPr>
                <w:rFonts w:cs="Arial"/>
                <w:color w:val="000000"/>
                <w:sz w:val="20"/>
                <w:szCs w:val="20"/>
              </w:rPr>
              <w:t>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&lt;750g W/O Significant GI procedure</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750-999g W/O Significant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750-999g W/O Significant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1000-1249g W/O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1000-1249g W/O Significant GI/Vent&gt;=96hrs,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1250-1499g W/O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1250-1499g W/O Significant GI/Vent&gt;=96hrs,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1500-1999g W/O Significant GI/Vent&gt;=96hrs, Extreme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1500-1999g W/O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P65C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1500-1999g W/O Significant GI/Vent&gt;=96hrs, Intermediate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P65D</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1500-1999g W/O Significant GI/Vent&gt;=96hrs,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2000-2499g W/O Significant GI/Vent&gt;=96hrs, Extreme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2000-2499g W/O Significant GI/Vent&gt;=96hrs,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P66C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2000-2499g W/O Significant GI/Vent&gt;=96hrs, Intermediate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P66D</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2000-2499g W/O Significant GI/Vent&gt;=96hrs,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&lt;37 Comp Wks Gest, Extr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&lt;37 Comp Wks Gest, Maj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P67C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&lt;37 Comp Wks Gest, Int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P67D</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&lt;37 Comp Wks Gest, Min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&gt;=37 Comp Wks Gest, Ext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&gt;=37 Comp Wks Gest, Maj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P68C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&gt;=37 Comp Wks Gest, Int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P68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P68D</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Neonate, AdmWt &gt;=2500g W/O Sig GI/Vent&gt;=96hrs, &gt;=37 Comp Wks Gest, Min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Q01Z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Splenectomy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Blood and Immune System Disorders W Other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Q02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Blood and Immune System Disorders W Other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Reticuloendothelial and Immunity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Q60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Reticuloendothelial and Immunity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Red Blood Cell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Q61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Red Blood Cell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Q61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Q61C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Red Blood Cell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Coagulation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Q62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Q62B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Coagulation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Leukaemia W Major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Leukaemia W Major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W Major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W Major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R02C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W Major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Leukaemia W Other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Leukaemia W Other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R03C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Leukaemia W Other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W Other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W Other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Allogeneic Bone Marrow Transplant, Age &lt;=16 Years or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Allogeneic Bone Marrow Transplant, Age &gt;=17 Years and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Autologous Bone Marrow Transplant,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Autologous Bone Marrow Transplant,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R06C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Autologous Bone Marrow Transplant,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Leukaemia,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Leukaemia,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R60C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Acute Leukaemia,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Non-Acute Leukaemia,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Non-Acute Leukaemia,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R61C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Lymphoma and Non-Acute Leukaemia,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R62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Neoplastic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R63Z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Chemotherapy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Infectious and Parasitic Diseases W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Infectious and Parasitic Diseases W GIs,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T01C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Infectious and Parasitic Diseases W GIs,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T40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T40Z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Infectious and Parasitic Diseases W Ventilator Support</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Septicaemia,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Septicaemia,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T60C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Septicaemia,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Postoperative Infections,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Postoperative Infections,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Fever of Unknown Origin,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Fever of Unknown Origin,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Viral Illnesses,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Viral Illnesses,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Infectious and Parasitic Diseases,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Infectious and Parasitic Diseases,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T64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T64C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Infectious and Parasitic Diseases,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U40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U40Z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Mental Health Treatment W ECT, Sameday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Mental Health Treatment W/O ECT, Sameday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Schizophrenia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Schizophrenia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Paranoia and Acute Psychotic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Paranoia and Acute Psychotic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Affective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Major Affective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Affective and Somatoform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Affective and Somatoform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U65</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U65A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Anxiety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U65</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U65B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Anxiety Disorders,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U66A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Eating and Obsessive-Compulsive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U66</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U66B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Eating and Obsessive-Compulsive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U67</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U67A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Personality Disorders and Acute Reactions,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U67</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U67B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Personality Disorders and Acute Reactions,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U68A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Childhood Mental Disorders,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U68</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U68B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Childhood Mental Disorders,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Alcohol Intoxication and Withdrawal,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V60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Alcohol Intoxication and Withdrawal,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Drug Intoxication and Withdrawal,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V61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Drug Intoxication and Withdrawal,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Alcohol Use and Dependence,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V62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Alcohol Use and Dependence,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V63Z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Opioid Use and Dependence</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Drug Use and Dependence,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V64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Drug Use and Dependence,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 Trac &amp; Cran Interventions for Mult Sig Trauma,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W01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 Trac &amp; Cran Interventions for Mult Sig Trauma,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W01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W01C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 Trac &amp; Cran Interventions for Mult Sig Trauma,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W02</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W02A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Hip, Femur and Lower Limb Interventions for Multiple Sig Trauma,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W02</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W02B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Hip, Femur and Lower Limb Interventions for Multiple Sig Trauma,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W03Z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Abdominal Interventions for Multiple Significant Trauma</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Significant Trauma W Other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W04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Significant Trauma W Other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W60Z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Sig Trauma, Transferred to Acute Facility &lt;5 Days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Significant Trauma W/O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W61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W61B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Multiple Significant Trauma W/O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Microvascular Tissue Transfer and Skin Grafts for Injuries to Hand,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Microvascular Tissue Transfer and Skin Grafts for Injuries to Hand, Minor Comp</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Injuries to Lower Limb,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Injuries to Lower Limb,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X05A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Injuries to Hand,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X05B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Injuries to Hand,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X06A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Other Injuries,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X06B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Other Injuries,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X06</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X06C</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Interventions for Other Injuries,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X07A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Grafts for Injuries Excluding Hand,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X07B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Grafts for Injuries Excluding Hand,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X07</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X07C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Grafts for Injuries Excluding Hand,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X40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X40A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Poisoning and Toxic Effects of Drugs W Ventilator Support, Major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X40</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X40B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Poisoning and Toxic Effects of Drugs W Ventilator Support, Minor Comp</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X60A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X60B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Injuries,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Allergic Reactions,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Allergic Reactions,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Poisoning/Toxic Effects of Drugs and Other Substances,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Poisoning/Toxic Effects of Drugs and Other Substances,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Sequelae of Treatment,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X63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Sequelae of Treatment,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X64A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Injuries, Poisonings and Toxic Effects,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X64B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Injuries, Poisonings and Toxic Effects,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X64</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X64C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Injuries, Poisonings and Toxic Effects,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Vent &gt;=96hrs or Trach for Burns or GIs for Severe Full Thickness Burns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Grafts for Other Burns,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Y02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Grafts for Other Burns,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Y02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Y02C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Skin Grafts for Other Burns,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Y03A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GIs for Other Burns,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Y03</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Y03B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GIs for Other Burns,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Burns, Transferred to Acute Facility &lt;5 Days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Y61Z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Severe Burns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Y62A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Burns,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Y62</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Y62B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Burns,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Z01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Z01A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Contacts W Health Services W GIs,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Z01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Z01B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Contacts W Health Services W GIs,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Z40</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Z40Z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Contacts W Health Services W Endoscopy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Z61</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Z61A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Signs and Symptoms,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Z61</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Z61B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Signs and Symptoms,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Z63A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Follow Up After Surgery or Medical Care,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Z63</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Z63B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Follow Up After Surgery or Medical Care,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Z64</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Z64A</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Factors Influencing Health Status,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Z64</w:t>
            </w:r>
          </w:p>
        </w:tc>
        <w:tc>
          <w:tcPr>
            <w:tcW w:w="1139" w:type="dxa"/>
            <w:tcBorders>
              <w:top w:val="nil"/>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Z64B</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Other Factors Influencing Health Status, Minor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Z65</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Z65Z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Congenital Anomalies and Problems Arising from Neonatal Period</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Z66</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Z66Z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Sleep Disorders</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801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801A</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GIs Unrelated to Principal Diagnosis, Major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801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801B</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GIs Unrelated to Principal Diagnosis, Intermediate Complexity</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801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BFBFBF"/>
                <w:sz w:val="20"/>
                <w:szCs w:val="20"/>
              </w:rPr>
            </w:pPr>
            <w:r w:rsidRPr="00856DD2">
              <w:rPr>
                <w:rFonts w:cs="Arial"/>
                <w:color w:val="BFBFBF"/>
                <w:sz w:val="20"/>
                <w:szCs w:val="20"/>
              </w:rPr>
              <w:t>I</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801C</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GIs Unrelated to Principal Diagnosis, Minor Complexity</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960</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960Z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Ungroupable</w:t>
            </w:r>
          </w:p>
        </w:tc>
      </w:tr>
      <w:tr w:rsidR="00856DD2" w:rsidRPr="00856DD2" w:rsidTr="006D7C65">
        <w:trPr>
          <w:trHeight w:val="300"/>
        </w:trPr>
        <w:tc>
          <w:tcPr>
            <w:tcW w:w="852" w:type="dxa"/>
            <w:tcBorders>
              <w:top w:val="nil"/>
              <w:left w:val="single" w:sz="8" w:space="0" w:color="004200"/>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961</w:t>
            </w:r>
          </w:p>
        </w:tc>
        <w:tc>
          <w:tcPr>
            <w:tcW w:w="1139"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nil"/>
              <w:left w:val="nil"/>
              <w:bottom w:val="single" w:sz="8" w:space="0" w:color="004200"/>
              <w:right w:val="nil"/>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961Z</w:t>
            </w:r>
          </w:p>
        </w:tc>
        <w:tc>
          <w:tcPr>
            <w:tcW w:w="7954" w:type="dxa"/>
            <w:tcBorders>
              <w:top w:val="nil"/>
              <w:left w:val="nil"/>
              <w:bottom w:val="single" w:sz="8" w:space="0" w:color="004200"/>
              <w:right w:val="single" w:sz="8" w:space="0" w:color="004200"/>
            </w:tcBorders>
            <w:shd w:val="clear" w:color="auto" w:fill="auto"/>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Unacceptable Principal Diagnosis</w:t>
            </w:r>
          </w:p>
        </w:tc>
      </w:tr>
      <w:tr w:rsidR="00856DD2" w:rsidRPr="00856DD2" w:rsidTr="006D7C65">
        <w:trPr>
          <w:trHeight w:val="300"/>
        </w:trPr>
        <w:tc>
          <w:tcPr>
            <w:tcW w:w="852" w:type="dxa"/>
            <w:tcBorders>
              <w:top w:val="single" w:sz="8" w:space="0" w:color="004200"/>
              <w:left w:val="single" w:sz="8" w:space="0" w:color="004200"/>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963</w:t>
            </w:r>
          </w:p>
        </w:tc>
        <w:tc>
          <w:tcPr>
            <w:tcW w:w="1139"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M</w:t>
            </w:r>
          </w:p>
        </w:tc>
        <w:tc>
          <w:tcPr>
            <w:tcW w:w="850" w:type="dxa"/>
            <w:tcBorders>
              <w:top w:val="single" w:sz="8" w:space="0" w:color="004200"/>
              <w:left w:val="nil"/>
              <w:bottom w:val="single" w:sz="8" w:space="0" w:color="004200"/>
              <w:right w:val="nil"/>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963Z</w:t>
            </w:r>
          </w:p>
        </w:tc>
        <w:tc>
          <w:tcPr>
            <w:tcW w:w="7954" w:type="dxa"/>
            <w:tcBorders>
              <w:top w:val="single" w:sz="8" w:space="0" w:color="004200"/>
              <w:left w:val="nil"/>
              <w:bottom w:val="single" w:sz="8" w:space="0" w:color="004200"/>
              <w:right w:val="single" w:sz="8" w:space="0" w:color="004200"/>
            </w:tcBorders>
            <w:shd w:val="clear" w:color="000000" w:fill="E9E9EA"/>
            <w:noWrap/>
            <w:vAlign w:val="bottom"/>
            <w:hideMark/>
          </w:tcPr>
          <w:p w:rsidR="00856DD2" w:rsidRPr="00856DD2" w:rsidRDefault="00856DD2" w:rsidP="00856DD2">
            <w:pPr>
              <w:spacing w:before="0" w:after="0" w:line="240" w:lineRule="auto"/>
              <w:rPr>
                <w:rFonts w:cs="Arial"/>
                <w:color w:val="000000"/>
                <w:sz w:val="20"/>
                <w:szCs w:val="20"/>
              </w:rPr>
            </w:pPr>
            <w:r w:rsidRPr="00856DD2">
              <w:rPr>
                <w:rFonts w:cs="Arial"/>
                <w:color w:val="000000"/>
                <w:sz w:val="20"/>
                <w:szCs w:val="20"/>
              </w:rPr>
              <w:t>Neonatal Diagnosis Not Consistent W Age/Weight</w:t>
            </w:r>
          </w:p>
        </w:tc>
      </w:tr>
    </w:tbl>
    <w:p w:rsidR="00252592" w:rsidRDefault="00252592" w:rsidP="00757D79"/>
    <w:p w:rsidR="00562759" w:rsidRDefault="00BB6B55" w:rsidP="00851C7E">
      <w:r>
        <w:br w:type="page"/>
      </w:r>
      <w:r w:rsidR="00562759">
        <w:rPr>
          <w:noProof/>
        </w:rPr>
        <w:drawing>
          <wp:anchor distT="0" distB="0" distL="114300" distR="114300" simplePos="0" relativeHeight="251668480" behindDoc="1" locked="1" layoutInCell="1" allowOverlap="1" wp14:anchorId="2A27E425" wp14:editId="576820B4">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671816">
        <w:rPr>
          <w:noProof/>
        </w:rPr>
        <mc:AlternateContent>
          <mc:Choice Requires="wps">
            <w:drawing>
              <wp:anchor distT="0" distB="0" distL="114300" distR="114300" simplePos="0" relativeHeight="251672576" behindDoc="0" locked="0" layoutInCell="1" allowOverlap="1" wp14:anchorId="50BB7B3F" wp14:editId="43740245">
                <wp:simplePos x="0" y="0"/>
                <wp:positionH relativeFrom="column">
                  <wp:posOffset>304800</wp:posOffset>
                </wp:positionH>
                <wp:positionV relativeFrom="margin">
                  <wp:posOffset>7782560</wp:posOffset>
                </wp:positionV>
                <wp:extent cx="1943280" cy="1257480"/>
                <wp:effectExtent l="0" t="0" r="12700" b="12700"/>
                <wp:wrapSquare wrapText="bothSides"/>
                <wp:docPr id="4" name="Text Box 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D7AA7" w:rsidRPr="00562759" w:rsidRDefault="00AD7AA7" w:rsidP="00671816">
                            <w:pPr>
                              <w:pStyle w:val="Address"/>
                            </w:pPr>
                            <w:r w:rsidRPr="00562759">
                              <w:t>Independent Hospital Pricing Authority</w:t>
                            </w:r>
                          </w:p>
                          <w:p w:rsidR="00AD7AA7" w:rsidRPr="0098702F" w:rsidRDefault="00AD7AA7" w:rsidP="00671816">
                            <w:pPr>
                              <w:pStyle w:val="Address"/>
                            </w:pPr>
                            <w:r w:rsidRPr="0098702F">
                              <w:t> </w:t>
                            </w:r>
                          </w:p>
                          <w:p w:rsidR="00AD7AA7" w:rsidRPr="00562759" w:rsidRDefault="00AD7AA7" w:rsidP="00671816">
                            <w:pPr>
                              <w:pStyle w:val="Address"/>
                              <w:rPr>
                                <w:color w:val="92D050"/>
                              </w:rPr>
                            </w:pPr>
                            <w:r w:rsidRPr="00562759">
                              <w:rPr>
                                <w:color w:val="92D050"/>
                              </w:rPr>
                              <w:t>Level 6, 1 Oxford Street</w:t>
                            </w:r>
                          </w:p>
                          <w:p w:rsidR="00AD7AA7" w:rsidRPr="00562759" w:rsidRDefault="00AD7AA7" w:rsidP="00671816">
                            <w:pPr>
                              <w:pStyle w:val="Address"/>
                              <w:rPr>
                                <w:color w:val="92D050"/>
                              </w:rPr>
                            </w:pPr>
                            <w:r w:rsidRPr="00562759">
                              <w:rPr>
                                <w:color w:val="92D050"/>
                              </w:rPr>
                              <w:t>Sydney NSW 2000</w:t>
                            </w:r>
                          </w:p>
                          <w:p w:rsidR="00AD7AA7" w:rsidRPr="00562759" w:rsidRDefault="00AD7AA7" w:rsidP="00671816">
                            <w:pPr>
                              <w:pStyle w:val="Address"/>
                            </w:pPr>
                          </w:p>
                          <w:p w:rsidR="00AD7AA7" w:rsidRPr="00562759" w:rsidRDefault="00AD7AA7" w:rsidP="00671816">
                            <w:pPr>
                              <w:pStyle w:val="Address"/>
                              <w:rPr>
                                <w:color w:val="7EC352" w:themeColor="accent3"/>
                              </w:rPr>
                            </w:pPr>
                            <w:r w:rsidRPr="00562759">
                              <w:t xml:space="preserve">Phone </w:t>
                            </w:r>
                            <w:r w:rsidRPr="00562759">
                              <w:rPr>
                                <w:color w:val="7EC352" w:themeColor="accent3"/>
                              </w:rPr>
                              <w:t>02 8215 1100</w:t>
                            </w:r>
                          </w:p>
                          <w:p w:rsidR="00AD7AA7" w:rsidRPr="00562759" w:rsidRDefault="00AD7AA7" w:rsidP="00671816">
                            <w:pPr>
                              <w:pStyle w:val="Address"/>
                              <w:rPr>
                                <w:color w:val="7EC352" w:themeColor="accent3"/>
                              </w:rPr>
                            </w:pPr>
                            <w:r w:rsidRPr="00562759">
                              <w:t xml:space="preserve">Email </w:t>
                            </w:r>
                            <w:r w:rsidRPr="00562759">
                              <w:rPr>
                                <w:color w:val="7EC352" w:themeColor="accent3"/>
                              </w:rPr>
                              <w:t>enquiries.ihpa@ihpa.gov.au</w:t>
                            </w:r>
                          </w:p>
                          <w:p w:rsidR="00AD7AA7" w:rsidRPr="00562759" w:rsidRDefault="00AD7AA7" w:rsidP="00671816">
                            <w:pPr>
                              <w:pStyle w:val="Address"/>
                              <w:rPr>
                                <w:color w:val="7EC352" w:themeColor="accent3"/>
                              </w:rPr>
                            </w:pPr>
                            <w:r w:rsidRPr="00562759">
                              <w:t xml:space="preserve">Twitter </w:t>
                            </w:r>
                            <w:r w:rsidRPr="00562759">
                              <w:rPr>
                                <w:color w:val="7EC352" w:themeColor="accent3"/>
                              </w:rPr>
                              <w:t>@IHPAnews</w:t>
                            </w:r>
                          </w:p>
                          <w:p w:rsidR="00AD7AA7" w:rsidRPr="00562759" w:rsidRDefault="00AD7AA7" w:rsidP="00671816">
                            <w:pPr>
                              <w:pStyle w:val="Address"/>
                            </w:pPr>
                          </w:p>
                          <w:p w:rsidR="00AD7AA7" w:rsidRPr="00562759" w:rsidRDefault="00AD7AA7" w:rsidP="00671816">
                            <w:pPr>
                              <w:pStyle w:val="Address"/>
                            </w:pPr>
                            <w:r w:rsidRPr="00562759">
                              <w:t>www.ihpa.gov.au</w:t>
                            </w:r>
                          </w:p>
                          <w:p w:rsidR="00AD7AA7" w:rsidRPr="0098702F" w:rsidRDefault="00AD7AA7" w:rsidP="00671816">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7B3F" id="_x0000_t202" coordsize="21600,21600" o:spt="202" path="m,l,21600r21600,l21600,xe">
                <v:stroke joinstyle="miter"/>
                <v:path gradientshapeok="t" o:connecttype="rect"/>
              </v:shapetype>
              <v:shape id="Text Box 4" o:spid="_x0000_s1026" type="#_x0000_t202" style="position:absolute;margin-left:24pt;margin-top:612.8pt;width:153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" filled="f" stroked="f">
                <v:textbox inset="0,0,0,0">
                  <w:txbxContent>
                    <w:p w:rsidR="00AD7AA7" w:rsidRPr="00562759" w:rsidRDefault="00AD7AA7" w:rsidP="00671816">
                      <w:pPr>
                        <w:pStyle w:val="Address"/>
                      </w:pPr>
                      <w:r w:rsidRPr="00562759">
                        <w:t>Independent Hospital Pricing Authority</w:t>
                      </w:r>
                    </w:p>
                    <w:p w:rsidR="00AD7AA7" w:rsidRPr="0098702F" w:rsidRDefault="00AD7AA7" w:rsidP="00671816">
                      <w:pPr>
                        <w:pStyle w:val="Address"/>
                      </w:pPr>
                      <w:r w:rsidRPr="0098702F">
                        <w:t> </w:t>
                      </w:r>
                    </w:p>
                    <w:p w:rsidR="00AD7AA7" w:rsidRPr="00562759" w:rsidRDefault="00AD7AA7" w:rsidP="00671816">
                      <w:pPr>
                        <w:pStyle w:val="Address"/>
                        <w:rPr>
                          <w:color w:val="92D050"/>
                        </w:rPr>
                      </w:pPr>
                      <w:r w:rsidRPr="00562759">
                        <w:rPr>
                          <w:color w:val="92D050"/>
                        </w:rPr>
                        <w:t>Level 6, 1 Oxford Street</w:t>
                      </w:r>
                    </w:p>
                    <w:p w:rsidR="00AD7AA7" w:rsidRPr="00562759" w:rsidRDefault="00AD7AA7" w:rsidP="00671816">
                      <w:pPr>
                        <w:pStyle w:val="Address"/>
                        <w:rPr>
                          <w:color w:val="92D050"/>
                        </w:rPr>
                      </w:pPr>
                      <w:r w:rsidRPr="00562759">
                        <w:rPr>
                          <w:color w:val="92D050"/>
                        </w:rPr>
                        <w:t>Sydney NSW 2000</w:t>
                      </w:r>
                    </w:p>
                    <w:p w:rsidR="00AD7AA7" w:rsidRPr="00562759" w:rsidRDefault="00AD7AA7" w:rsidP="00671816">
                      <w:pPr>
                        <w:pStyle w:val="Address"/>
                      </w:pPr>
                    </w:p>
                    <w:p w:rsidR="00AD7AA7" w:rsidRPr="00562759" w:rsidRDefault="00AD7AA7" w:rsidP="00671816">
                      <w:pPr>
                        <w:pStyle w:val="Address"/>
                        <w:rPr>
                          <w:color w:val="7EC352" w:themeColor="accent3"/>
                        </w:rPr>
                      </w:pPr>
                      <w:r w:rsidRPr="00562759">
                        <w:t xml:space="preserve">Phone </w:t>
                      </w:r>
                      <w:r w:rsidRPr="00562759">
                        <w:rPr>
                          <w:color w:val="7EC352" w:themeColor="accent3"/>
                        </w:rPr>
                        <w:t>02 8215 1100</w:t>
                      </w:r>
                    </w:p>
                    <w:p w:rsidR="00AD7AA7" w:rsidRPr="00562759" w:rsidRDefault="00AD7AA7" w:rsidP="00671816">
                      <w:pPr>
                        <w:pStyle w:val="Address"/>
                        <w:rPr>
                          <w:color w:val="7EC352" w:themeColor="accent3"/>
                        </w:rPr>
                      </w:pPr>
                      <w:r w:rsidRPr="00562759">
                        <w:t xml:space="preserve">Email </w:t>
                      </w:r>
                      <w:r w:rsidRPr="00562759">
                        <w:rPr>
                          <w:color w:val="7EC352" w:themeColor="accent3"/>
                        </w:rPr>
                        <w:t>enquiries.ihpa@ihpa.gov.au</w:t>
                      </w:r>
                    </w:p>
                    <w:p w:rsidR="00AD7AA7" w:rsidRPr="00562759" w:rsidRDefault="00AD7AA7" w:rsidP="00671816">
                      <w:pPr>
                        <w:pStyle w:val="Address"/>
                        <w:rPr>
                          <w:color w:val="7EC352" w:themeColor="accent3"/>
                        </w:rPr>
                      </w:pPr>
                      <w:r w:rsidRPr="00562759">
                        <w:t xml:space="preserve">Twitter </w:t>
                      </w:r>
                      <w:r w:rsidRPr="00562759">
                        <w:rPr>
                          <w:color w:val="7EC352" w:themeColor="accent3"/>
                        </w:rPr>
                        <w:t>@IHPAnews</w:t>
                      </w:r>
                    </w:p>
                    <w:p w:rsidR="00AD7AA7" w:rsidRPr="00562759" w:rsidRDefault="00AD7AA7" w:rsidP="00671816">
                      <w:pPr>
                        <w:pStyle w:val="Address"/>
                      </w:pPr>
                    </w:p>
                    <w:p w:rsidR="00AD7AA7" w:rsidRPr="00562759" w:rsidRDefault="00AD7AA7" w:rsidP="00671816">
                      <w:pPr>
                        <w:pStyle w:val="Address"/>
                      </w:pPr>
                      <w:r w:rsidRPr="00562759">
                        <w:t>www.ihpa.gov.au</w:t>
                      </w:r>
                    </w:p>
                    <w:p w:rsidR="00AD7AA7" w:rsidRPr="0098702F" w:rsidRDefault="00AD7AA7" w:rsidP="00671816">
                      <w:pPr>
                        <w:pStyle w:val="Address"/>
                      </w:pPr>
                    </w:p>
                  </w:txbxContent>
                </v:textbox>
                <w10:wrap type="square" anchory="margin"/>
              </v:shape>
            </w:pict>
          </mc:Fallback>
        </mc:AlternateContent>
      </w:r>
      <w:r w:rsidR="00562759">
        <w:rPr>
          <w:noProof/>
        </w:rPr>
        <mc:AlternateContent>
          <mc:Choice Requires="wps">
            <w:drawing>
              <wp:anchor distT="0" distB="0" distL="114300" distR="114300" simplePos="0" relativeHeight="251670528" behindDoc="0" locked="0" layoutInCell="1" allowOverlap="1" wp14:anchorId="5487D780" wp14:editId="7A631972">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D7AA7" w:rsidRPr="00562759" w:rsidRDefault="00AD7AA7" w:rsidP="00562759">
                            <w:pPr>
                              <w:pStyle w:val="Quote"/>
                            </w:pPr>
                            <w:r>
                              <w:rPr>
                                <w:noProof/>
                              </w:rPr>
                              <w:drawing>
                                <wp:inline distT="0" distB="0" distL="0" distR="0" wp14:anchorId="644CC90C" wp14:editId="70C9C306">
                                  <wp:extent cx="1943100" cy="27486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48657"/>
                                          </a:xfrm>
                                          <a:prstGeom prst="rect">
                                            <a:avLst/>
                                          </a:prstGeom>
                                          <a:noFill/>
                                          <a:ln>
                                            <a:noFill/>
                                          </a:ln>
                                        </pic:spPr>
                                      </pic:pic>
                                    </a:graphicData>
                                  </a:graphic>
                                </wp:inline>
                              </w:drawing>
                            </w:r>
                          </w:p>
                          <w:p w:rsidR="00AD7AA7" w:rsidRPr="00562759" w:rsidRDefault="00AD7AA7" w:rsidP="00562759">
                            <w:pPr>
                              <w:pStyle w:val="Quote"/>
                              <w:rPr>
                                <w:color w:val="92D050"/>
                              </w:rPr>
                            </w:pPr>
                            <w:r w:rsidRPr="0098702F">
                              <w:t> </w:t>
                            </w:r>
                            <w:r>
                              <w:rPr>
                                <w:noProof/>
                              </w:rPr>
                              <w:drawing>
                                <wp:inline distT="0" distB="0" distL="0" distR="0" wp14:anchorId="074BAC14" wp14:editId="7D152825">
                                  <wp:extent cx="1943100" cy="2748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48657"/>
                                          </a:xfrm>
                                          <a:prstGeom prst="rect">
                                            <a:avLst/>
                                          </a:prstGeom>
                                          <a:noFill/>
                                          <a:ln>
                                            <a:noFill/>
                                          </a:ln>
                                        </pic:spPr>
                                      </pic:pic>
                                    </a:graphicData>
                                  </a:graphic>
                                </wp:inline>
                              </w:drawing>
                            </w:r>
                            <w:r w:rsidRPr="00562759">
                              <w:rPr>
                                <w:color w:val="92D050"/>
                              </w:rPr>
                              <w:t>evel 6, 1 Oxford Street</w:t>
                            </w:r>
                          </w:p>
                          <w:p w:rsidR="00AD7AA7" w:rsidRPr="00562759" w:rsidRDefault="00AD7AA7" w:rsidP="00562759">
                            <w:pPr>
                              <w:pStyle w:val="Quote"/>
                              <w:rPr>
                                <w:color w:val="92D050"/>
                              </w:rPr>
                            </w:pPr>
                            <w:r w:rsidRPr="00562759">
                              <w:rPr>
                                <w:color w:val="92D050"/>
                              </w:rPr>
                              <w:t>S</w:t>
                            </w:r>
                            <w:r>
                              <w:rPr>
                                <w:noProof/>
                                <w:color w:val="92D050"/>
                              </w:rPr>
                              <w:drawing>
                                <wp:inline distT="0" distB="0" distL="0" distR="0" wp14:anchorId="2FB20C14" wp14:editId="5C861FAC">
                                  <wp:extent cx="1943100" cy="2748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48657"/>
                                          </a:xfrm>
                                          <a:prstGeom prst="rect">
                                            <a:avLst/>
                                          </a:prstGeom>
                                          <a:noFill/>
                                          <a:ln>
                                            <a:noFill/>
                                          </a:ln>
                                        </pic:spPr>
                                      </pic:pic>
                                    </a:graphicData>
                                  </a:graphic>
                                </wp:inline>
                              </w:drawing>
                            </w:r>
                            <w:r w:rsidRPr="00562759">
                              <w:rPr>
                                <w:color w:val="92D050"/>
                              </w:rPr>
                              <w:t>ydney NSW 2000</w:t>
                            </w:r>
                          </w:p>
                          <w:p w:rsidR="00AD7AA7" w:rsidRPr="00562759" w:rsidRDefault="00AD7AA7" w:rsidP="00562759">
                            <w:pPr>
                              <w:pStyle w:val="Quote"/>
                            </w:pPr>
                          </w:p>
                          <w:p w:rsidR="00AD7AA7" w:rsidRPr="00562759" w:rsidRDefault="00AD7AA7" w:rsidP="00562759">
                            <w:pPr>
                              <w:pStyle w:val="Quote"/>
                              <w:rPr>
                                <w:color w:val="7EC352" w:themeColor="accent3"/>
                              </w:rPr>
                            </w:pPr>
                            <w:r w:rsidRPr="00562759">
                              <w:t xml:space="preserve">Phone </w:t>
                            </w:r>
                            <w:r w:rsidRPr="00562759">
                              <w:rPr>
                                <w:color w:val="7EC352" w:themeColor="accent3"/>
                              </w:rPr>
                              <w:t>02 8215 1100</w:t>
                            </w:r>
                          </w:p>
                          <w:p w:rsidR="00AD7AA7" w:rsidRPr="00562759" w:rsidRDefault="00AD7AA7" w:rsidP="00562759">
                            <w:pPr>
                              <w:pStyle w:val="Quote"/>
                              <w:rPr>
                                <w:color w:val="7EC352" w:themeColor="accent3"/>
                              </w:rPr>
                            </w:pPr>
                            <w:r w:rsidRPr="00562759">
                              <w:t xml:space="preserve">Email </w:t>
                            </w:r>
                            <w:r w:rsidRPr="00562759">
                              <w:rPr>
                                <w:color w:val="7EC352" w:themeColor="accent3"/>
                              </w:rPr>
                              <w:t>enquiries.ihpa@ihpa.gov.au</w:t>
                            </w:r>
                          </w:p>
                          <w:p w:rsidR="00AD7AA7" w:rsidRPr="00562759" w:rsidRDefault="00AD7AA7" w:rsidP="00562759">
                            <w:pPr>
                              <w:pStyle w:val="Quote"/>
                              <w:rPr>
                                <w:color w:val="7EC352" w:themeColor="accent3"/>
                              </w:rPr>
                            </w:pPr>
                            <w:r w:rsidRPr="00562759">
                              <w:t xml:space="preserve">Twitter </w:t>
                            </w:r>
                            <w:r w:rsidRPr="00562759">
                              <w:rPr>
                                <w:color w:val="7EC352" w:themeColor="accent3"/>
                              </w:rPr>
                              <w:t>@IHPAnews</w:t>
                            </w:r>
                          </w:p>
                          <w:p w:rsidR="00AD7AA7" w:rsidRPr="00562759" w:rsidRDefault="00AD7AA7" w:rsidP="00562759">
                            <w:pPr>
                              <w:pStyle w:val="Quote"/>
                            </w:pPr>
                          </w:p>
                          <w:p w:rsidR="00AD7AA7" w:rsidRPr="00562759" w:rsidRDefault="00AD7AA7" w:rsidP="00562759">
                            <w:pPr>
                              <w:pStyle w:val="Quote"/>
                            </w:pPr>
                            <w:r w:rsidRPr="00562759">
                              <w:t>www.ihpa.gov.au</w:t>
                            </w:r>
                          </w:p>
                          <w:p w:rsidR="00AD7AA7" w:rsidRPr="0098702F" w:rsidRDefault="00AD7AA7" w:rsidP="00562759">
                            <w:pPr>
                              <w:pStyle w:val="Quot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D780" id="Text Box 14" o:spid="_x0000_s1027"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NCbwIAAFM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" filled="f" stroked="f">
                <v:textbox inset="0,0,0,0">
                  <w:txbxContent>
                    <w:p w:rsidR="00AD7AA7" w:rsidRPr="00562759" w:rsidRDefault="00AD7AA7" w:rsidP="00562759">
                      <w:pPr>
                        <w:pStyle w:val="Quote"/>
                      </w:pPr>
                      <w:r>
                        <w:rPr>
                          <w:noProof/>
                        </w:rPr>
                        <w:drawing>
                          <wp:inline distT="0" distB="0" distL="0" distR="0" wp14:anchorId="644CC90C" wp14:editId="70C9C306">
                            <wp:extent cx="1943100" cy="27486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48657"/>
                                    </a:xfrm>
                                    <a:prstGeom prst="rect">
                                      <a:avLst/>
                                    </a:prstGeom>
                                    <a:noFill/>
                                    <a:ln>
                                      <a:noFill/>
                                    </a:ln>
                                  </pic:spPr>
                                </pic:pic>
                              </a:graphicData>
                            </a:graphic>
                          </wp:inline>
                        </w:drawing>
                      </w:r>
                    </w:p>
                    <w:p w:rsidR="00AD7AA7" w:rsidRPr="00562759" w:rsidRDefault="00AD7AA7" w:rsidP="00562759">
                      <w:pPr>
                        <w:pStyle w:val="Quote"/>
                        <w:rPr>
                          <w:color w:val="92D050"/>
                        </w:rPr>
                      </w:pPr>
                      <w:r w:rsidRPr="0098702F">
                        <w:t> </w:t>
                      </w:r>
                      <w:r>
                        <w:rPr>
                          <w:noProof/>
                        </w:rPr>
                        <w:drawing>
                          <wp:inline distT="0" distB="0" distL="0" distR="0" wp14:anchorId="074BAC14" wp14:editId="7D152825">
                            <wp:extent cx="1943100" cy="2748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48657"/>
                                    </a:xfrm>
                                    <a:prstGeom prst="rect">
                                      <a:avLst/>
                                    </a:prstGeom>
                                    <a:noFill/>
                                    <a:ln>
                                      <a:noFill/>
                                    </a:ln>
                                  </pic:spPr>
                                </pic:pic>
                              </a:graphicData>
                            </a:graphic>
                          </wp:inline>
                        </w:drawing>
                      </w:r>
                      <w:r w:rsidRPr="00562759">
                        <w:rPr>
                          <w:color w:val="92D050"/>
                        </w:rPr>
                        <w:t>evel 6, 1 Oxford Street</w:t>
                      </w:r>
                    </w:p>
                    <w:p w:rsidR="00AD7AA7" w:rsidRPr="00562759" w:rsidRDefault="00AD7AA7" w:rsidP="00562759">
                      <w:pPr>
                        <w:pStyle w:val="Quote"/>
                        <w:rPr>
                          <w:color w:val="92D050"/>
                        </w:rPr>
                      </w:pPr>
                      <w:r w:rsidRPr="00562759">
                        <w:rPr>
                          <w:color w:val="92D050"/>
                        </w:rPr>
                        <w:t>S</w:t>
                      </w:r>
                      <w:r>
                        <w:rPr>
                          <w:noProof/>
                          <w:color w:val="92D050"/>
                        </w:rPr>
                        <w:drawing>
                          <wp:inline distT="0" distB="0" distL="0" distR="0" wp14:anchorId="2FB20C14" wp14:editId="5C861FAC">
                            <wp:extent cx="1943100" cy="2748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48657"/>
                                    </a:xfrm>
                                    <a:prstGeom prst="rect">
                                      <a:avLst/>
                                    </a:prstGeom>
                                    <a:noFill/>
                                    <a:ln>
                                      <a:noFill/>
                                    </a:ln>
                                  </pic:spPr>
                                </pic:pic>
                              </a:graphicData>
                            </a:graphic>
                          </wp:inline>
                        </w:drawing>
                      </w:r>
                      <w:r w:rsidRPr="00562759">
                        <w:rPr>
                          <w:color w:val="92D050"/>
                        </w:rPr>
                        <w:t>ydney NSW 2000</w:t>
                      </w:r>
                    </w:p>
                    <w:p w:rsidR="00AD7AA7" w:rsidRPr="00562759" w:rsidRDefault="00AD7AA7" w:rsidP="00562759">
                      <w:pPr>
                        <w:pStyle w:val="Quote"/>
                      </w:pPr>
                    </w:p>
                    <w:p w:rsidR="00AD7AA7" w:rsidRPr="00562759" w:rsidRDefault="00AD7AA7" w:rsidP="00562759">
                      <w:pPr>
                        <w:pStyle w:val="Quote"/>
                        <w:rPr>
                          <w:color w:val="7EC352" w:themeColor="accent3"/>
                        </w:rPr>
                      </w:pPr>
                      <w:r w:rsidRPr="00562759">
                        <w:t xml:space="preserve">Phone </w:t>
                      </w:r>
                      <w:r w:rsidRPr="00562759">
                        <w:rPr>
                          <w:color w:val="7EC352" w:themeColor="accent3"/>
                        </w:rPr>
                        <w:t>02 8215 1100</w:t>
                      </w:r>
                    </w:p>
                    <w:p w:rsidR="00AD7AA7" w:rsidRPr="00562759" w:rsidRDefault="00AD7AA7" w:rsidP="00562759">
                      <w:pPr>
                        <w:pStyle w:val="Quote"/>
                        <w:rPr>
                          <w:color w:val="7EC352" w:themeColor="accent3"/>
                        </w:rPr>
                      </w:pPr>
                      <w:r w:rsidRPr="00562759">
                        <w:t xml:space="preserve">Email </w:t>
                      </w:r>
                      <w:r w:rsidRPr="00562759">
                        <w:rPr>
                          <w:color w:val="7EC352" w:themeColor="accent3"/>
                        </w:rPr>
                        <w:t>enquiries.ihpa@ihpa.gov.au</w:t>
                      </w:r>
                    </w:p>
                    <w:p w:rsidR="00AD7AA7" w:rsidRPr="00562759" w:rsidRDefault="00AD7AA7" w:rsidP="00562759">
                      <w:pPr>
                        <w:pStyle w:val="Quote"/>
                        <w:rPr>
                          <w:color w:val="7EC352" w:themeColor="accent3"/>
                        </w:rPr>
                      </w:pPr>
                      <w:r w:rsidRPr="00562759">
                        <w:t xml:space="preserve">Twitter </w:t>
                      </w:r>
                      <w:r w:rsidRPr="00562759">
                        <w:rPr>
                          <w:color w:val="7EC352" w:themeColor="accent3"/>
                        </w:rPr>
                        <w:t>@IHPAnews</w:t>
                      </w:r>
                    </w:p>
                    <w:p w:rsidR="00AD7AA7" w:rsidRPr="00562759" w:rsidRDefault="00AD7AA7" w:rsidP="00562759">
                      <w:pPr>
                        <w:pStyle w:val="Quote"/>
                      </w:pPr>
                    </w:p>
                    <w:p w:rsidR="00AD7AA7" w:rsidRPr="00562759" w:rsidRDefault="00AD7AA7" w:rsidP="00562759">
                      <w:pPr>
                        <w:pStyle w:val="Quote"/>
                      </w:pPr>
                      <w:r w:rsidRPr="00562759">
                        <w:t>www.ihpa.gov.au</w:t>
                      </w:r>
                    </w:p>
                    <w:p w:rsidR="00AD7AA7" w:rsidRPr="0098702F" w:rsidRDefault="00AD7AA7" w:rsidP="00562759">
                      <w:pPr>
                        <w:pStyle w:val="Quote"/>
                      </w:pPr>
                    </w:p>
                  </w:txbxContent>
                </v:textbox>
                <w10:wrap type="square" anchory="margin"/>
              </v:shape>
            </w:pict>
          </mc:Fallback>
        </mc:AlternateContent>
      </w:r>
    </w:p>
    <w:sectPr w:rsidR="00562759" w:rsidSect="00D32893">
      <w:pgSz w:w="11906" w:h="16838" w:code="9"/>
      <w:pgMar w:top="2041" w:right="1440" w:bottom="1021"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AA7" w:rsidRDefault="00AD7AA7">
      <w:r>
        <w:separator/>
      </w:r>
    </w:p>
  </w:endnote>
  <w:endnote w:type="continuationSeparator" w:id="0">
    <w:p w:rsidR="00AD7AA7" w:rsidRDefault="00AD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7" w:rsidRDefault="00AD7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7" w:rsidRDefault="00AD7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7" w:rsidRDefault="00AD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AA7" w:rsidRDefault="00AD7AA7">
      <w:r>
        <w:separator/>
      </w:r>
    </w:p>
  </w:footnote>
  <w:footnote w:type="continuationSeparator" w:id="0">
    <w:p w:rsidR="00AD7AA7" w:rsidRDefault="00AD7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7" w:rsidRDefault="00AD7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7" w:rsidRDefault="00AD7AA7" w:rsidP="00DA0726">
    <w:pPr>
      <w:pStyle w:val="Header"/>
      <w:rPr>
        <w:color w:val="FFFFFF" w:themeColor="background1"/>
      </w:rPr>
    </w:pPr>
    <w:r>
      <w:rPr>
        <w:noProof/>
        <w:color w:val="FFFFFF" w:themeColor="background1"/>
      </w:rPr>
      <w:drawing>
        <wp:anchor distT="0" distB="0" distL="114300" distR="114300" simplePos="0" relativeHeight="251659264" behindDoc="1" locked="0" layoutInCell="0" allowOverlap="1" wp14:anchorId="7184618D" wp14:editId="7E9F5AAD">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Australian Refined Diagnosis Related Groups V10.0 Final Report</w:t>
    </w:r>
  </w:p>
  <w:p w:rsidR="00AD7AA7" w:rsidRPr="00DA0726" w:rsidRDefault="00AD7AA7" w:rsidP="00757D79">
    <w:pPr>
      <w:pStyle w:val="Header"/>
      <w:jc w:val="right"/>
      <w:rPr>
        <w:color w:val="008542" w:themeColor="accent2"/>
      </w:rPr>
    </w:pP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115F35">
      <w:rPr>
        <w:noProof/>
        <w:color w:val="008542" w:themeColor="accent2"/>
      </w:rPr>
      <w:t>1</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A7" w:rsidRDefault="00AD7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731679"/>
    <w:multiLevelType w:val="multilevel"/>
    <w:tmpl w:val="6DDAA1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6CF30A0"/>
    <w:multiLevelType w:val="hybridMultilevel"/>
    <w:tmpl w:val="4926AF8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966464"/>
    <w:multiLevelType w:val="hybridMultilevel"/>
    <w:tmpl w:val="5996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72447"/>
    <w:multiLevelType w:val="hybridMultilevel"/>
    <w:tmpl w:val="D79E61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D4C5936"/>
    <w:multiLevelType w:val="hybridMultilevel"/>
    <w:tmpl w:val="7B666C0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15" w15:restartNumberingAfterBreak="0">
    <w:nsid w:val="436A7891"/>
    <w:multiLevelType w:val="hybridMultilevel"/>
    <w:tmpl w:val="6EDC74C4"/>
    <w:lvl w:ilvl="0" w:tplc="1A220EF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BC1A58"/>
    <w:multiLevelType w:val="hybridMultilevel"/>
    <w:tmpl w:val="92F43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C2567C"/>
    <w:multiLevelType w:val="hybridMultilevel"/>
    <w:tmpl w:val="FB603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193836"/>
    <w:multiLevelType w:val="hybridMultilevel"/>
    <w:tmpl w:val="4EB00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0C3FBF"/>
    <w:multiLevelType w:val="hybridMultilevel"/>
    <w:tmpl w:val="342CFFB2"/>
    <w:lvl w:ilvl="0" w:tplc="E33E423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7"/>
  </w:num>
  <w:num w:numId="13">
    <w:abstractNumId w:val="12"/>
  </w:num>
  <w:num w:numId="14">
    <w:abstractNumId w:val="16"/>
  </w:num>
  <w:num w:numId="15">
    <w:abstractNumId w:val="10"/>
  </w:num>
  <w:num w:numId="16">
    <w:abstractNumId w:val="19"/>
  </w:num>
  <w:num w:numId="17">
    <w:abstractNumId w:val="14"/>
  </w:num>
  <w:num w:numId="18">
    <w:abstractNumId w:val="18"/>
  </w:num>
  <w:num w:numId="19">
    <w:abstractNumId w:val="13"/>
  </w:num>
  <w:num w:numId="20">
    <w:abstractNumId w:val="11"/>
  </w:num>
  <w:num w:numId="21">
    <w:abstractNumId w:val="19"/>
  </w:num>
  <w:num w:numId="22">
    <w:abstractNumId w:val="19"/>
  </w:num>
  <w:num w:numId="23">
    <w:abstractNumId w:val="19"/>
  </w:num>
  <w:num w:numId="24">
    <w:abstractNumId w:val="19"/>
  </w:num>
  <w:num w:numId="25">
    <w:abstractNumId w:val="19"/>
  </w:num>
  <w:num w:numId="26">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87D"/>
    <w:rsid w:val="00005785"/>
    <w:rsid w:val="00006876"/>
    <w:rsid w:val="000079AD"/>
    <w:rsid w:val="00007D1F"/>
    <w:rsid w:val="00010D84"/>
    <w:rsid w:val="00010F15"/>
    <w:rsid w:val="00011CE3"/>
    <w:rsid w:val="00017597"/>
    <w:rsid w:val="00022E9C"/>
    <w:rsid w:val="000236E5"/>
    <w:rsid w:val="00024650"/>
    <w:rsid w:val="00024EF0"/>
    <w:rsid w:val="00025631"/>
    <w:rsid w:val="00027B26"/>
    <w:rsid w:val="000303C9"/>
    <w:rsid w:val="00030705"/>
    <w:rsid w:val="00032861"/>
    <w:rsid w:val="00032B77"/>
    <w:rsid w:val="00042285"/>
    <w:rsid w:val="00043256"/>
    <w:rsid w:val="00045A89"/>
    <w:rsid w:val="00046E8F"/>
    <w:rsid w:val="00046F8E"/>
    <w:rsid w:val="00047524"/>
    <w:rsid w:val="0005040E"/>
    <w:rsid w:val="0005087D"/>
    <w:rsid w:val="00050F9E"/>
    <w:rsid w:val="00054004"/>
    <w:rsid w:val="000547EF"/>
    <w:rsid w:val="00056004"/>
    <w:rsid w:val="0006075A"/>
    <w:rsid w:val="000614DA"/>
    <w:rsid w:val="00061C84"/>
    <w:rsid w:val="00062484"/>
    <w:rsid w:val="00063129"/>
    <w:rsid w:val="00064EE9"/>
    <w:rsid w:val="00065022"/>
    <w:rsid w:val="00065A5E"/>
    <w:rsid w:val="00070681"/>
    <w:rsid w:val="00080A09"/>
    <w:rsid w:val="000818FB"/>
    <w:rsid w:val="00081CEB"/>
    <w:rsid w:val="00083082"/>
    <w:rsid w:val="00087B2C"/>
    <w:rsid w:val="00087DBD"/>
    <w:rsid w:val="00090718"/>
    <w:rsid w:val="00091B4E"/>
    <w:rsid w:val="00091CD7"/>
    <w:rsid w:val="00093269"/>
    <w:rsid w:val="00093DD5"/>
    <w:rsid w:val="000A03DD"/>
    <w:rsid w:val="000A1A09"/>
    <w:rsid w:val="000A2C36"/>
    <w:rsid w:val="000A31F7"/>
    <w:rsid w:val="000A47A8"/>
    <w:rsid w:val="000A73FB"/>
    <w:rsid w:val="000B218A"/>
    <w:rsid w:val="000B5C91"/>
    <w:rsid w:val="000C014D"/>
    <w:rsid w:val="000C1EFB"/>
    <w:rsid w:val="000C29B4"/>
    <w:rsid w:val="000C5CD8"/>
    <w:rsid w:val="000C5F43"/>
    <w:rsid w:val="000C7A69"/>
    <w:rsid w:val="000D1158"/>
    <w:rsid w:val="000D4703"/>
    <w:rsid w:val="000E12D4"/>
    <w:rsid w:val="000E39EF"/>
    <w:rsid w:val="000E620E"/>
    <w:rsid w:val="000F2063"/>
    <w:rsid w:val="000F3D28"/>
    <w:rsid w:val="000F63C4"/>
    <w:rsid w:val="00100200"/>
    <w:rsid w:val="0010263D"/>
    <w:rsid w:val="00102824"/>
    <w:rsid w:val="0010300A"/>
    <w:rsid w:val="001131F0"/>
    <w:rsid w:val="001139C7"/>
    <w:rsid w:val="00114EBC"/>
    <w:rsid w:val="00115F35"/>
    <w:rsid w:val="00124019"/>
    <w:rsid w:val="0012427E"/>
    <w:rsid w:val="001247E0"/>
    <w:rsid w:val="00126750"/>
    <w:rsid w:val="001271A1"/>
    <w:rsid w:val="001300F3"/>
    <w:rsid w:val="00131C0F"/>
    <w:rsid w:val="001325BF"/>
    <w:rsid w:val="00132F0D"/>
    <w:rsid w:val="00133713"/>
    <w:rsid w:val="00135B7E"/>
    <w:rsid w:val="00140FC9"/>
    <w:rsid w:val="00141366"/>
    <w:rsid w:val="001413C5"/>
    <w:rsid w:val="0014231B"/>
    <w:rsid w:val="00142956"/>
    <w:rsid w:val="00142D10"/>
    <w:rsid w:val="00143403"/>
    <w:rsid w:val="00144868"/>
    <w:rsid w:val="001452BC"/>
    <w:rsid w:val="00147448"/>
    <w:rsid w:val="00150D2A"/>
    <w:rsid w:val="00150E25"/>
    <w:rsid w:val="00150EA9"/>
    <w:rsid w:val="00151650"/>
    <w:rsid w:val="00152BF6"/>
    <w:rsid w:val="0015535A"/>
    <w:rsid w:val="00155B98"/>
    <w:rsid w:val="00157001"/>
    <w:rsid w:val="00157709"/>
    <w:rsid w:val="00160E91"/>
    <w:rsid w:val="00165626"/>
    <w:rsid w:val="00167CF4"/>
    <w:rsid w:val="0017018F"/>
    <w:rsid w:val="0017147C"/>
    <w:rsid w:val="0017194E"/>
    <w:rsid w:val="00171985"/>
    <w:rsid w:val="0017249B"/>
    <w:rsid w:val="001727A4"/>
    <w:rsid w:val="001741B1"/>
    <w:rsid w:val="0017643F"/>
    <w:rsid w:val="00177EC4"/>
    <w:rsid w:val="00181533"/>
    <w:rsid w:val="001824C8"/>
    <w:rsid w:val="00182698"/>
    <w:rsid w:val="001864FD"/>
    <w:rsid w:val="001943DD"/>
    <w:rsid w:val="00196BAC"/>
    <w:rsid w:val="001A13F6"/>
    <w:rsid w:val="001A2D78"/>
    <w:rsid w:val="001A7249"/>
    <w:rsid w:val="001B34DE"/>
    <w:rsid w:val="001B385A"/>
    <w:rsid w:val="001B3904"/>
    <w:rsid w:val="001B3AEC"/>
    <w:rsid w:val="001B3E8D"/>
    <w:rsid w:val="001B5259"/>
    <w:rsid w:val="001B60D4"/>
    <w:rsid w:val="001B6F28"/>
    <w:rsid w:val="001C0A68"/>
    <w:rsid w:val="001C1651"/>
    <w:rsid w:val="001C2D5A"/>
    <w:rsid w:val="001C4F4F"/>
    <w:rsid w:val="001C6BA1"/>
    <w:rsid w:val="001D141C"/>
    <w:rsid w:val="001D2904"/>
    <w:rsid w:val="001D2EFF"/>
    <w:rsid w:val="001D652D"/>
    <w:rsid w:val="001D693F"/>
    <w:rsid w:val="001D6F9E"/>
    <w:rsid w:val="001E38FB"/>
    <w:rsid w:val="001E52C2"/>
    <w:rsid w:val="001F0BE1"/>
    <w:rsid w:val="001F101A"/>
    <w:rsid w:val="001F24EF"/>
    <w:rsid w:val="001F56C7"/>
    <w:rsid w:val="002015BF"/>
    <w:rsid w:val="00203039"/>
    <w:rsid w:val="00204B17"/>
    <w:rsid w:val="002069D2"/>
    <w:rsid w:val="00211DA2"/>
    <w:rsid w:val="002134C7"/>
    <w:rsid w:val="00213693"/>
    <w:rsid w:val="00214116"/>
    <w:rsid w:val="00215CCB"/>
    <w:rsid w:val="002160BF"/>
    <w:rsid w:val="002167D3"/>
    <w:rsid w:val="00216CF5"/>
    <w:rsid w:val="0022037B"/>
    <w:rsid w:val="00222C8D"/>
    <w:rsid w:val="002256A8"/>
    <w:rsid w:val="00225CE3"/>
    <w:rsid w:val="00230E6B"/>
    <w:rsid w:val="00232B97"/>
    <w:rsid w:val="0023523A"/>
    <w:rsid w:val="00236EC8"/>
    <w:rsid w:val="0023757C"/>
    <w:rsid w:val="00237C47"/>
    <w:rsid w:val="002402E4"/>
    <w:rsid w:val="002421A0"/>
    <w:rsid w:val="00242B98"/>
    <w:rsid w:val="002445A1"/>
    <w:rsid w:val="00246FE6"/>
    <w:rsid w:val="002470E3"/>
    <w:rsid w:val="0025207D"/>
    <w:rsid w:val="00252592"/>
    <w:rsid w:val="00254DE9"/>
    <w:rsid w:val="002615D3"/>
    <w:rsid w:val="00261E85"/>
    <w:rsid w:val="00262E4B"/>
    <w:rsid w:val="002672F1"/>
    <w:rsid w:val="00271414"/>
    <w:rsid w:val="00271922"/>
    <w:rsid w:val="00273412"/>
    <w:rsid w:val="0027373F"/>
    <w:rsid w:val="0027485F"/>
    <w:rsid w:val="00274ACF"/>
    <w:rsid w:val="0028159B"/>
    <w:rsid w:val="00282671"/>
    <w:rsid w:val="00282861"/>
    <w:rsid w:val="002843E2"/>
    <w:rsid w:val="00287BAA"/>
    <w:rsid w:val="002916B6"/>
    <w:rsid w:val="00293489"/>
    <w:rsid w:val="00296F5E"/>
    <w:rsid w:val="002A1B75"/>
    <w:rsid w:val="002A30F0"/>
    <w:rsid w:val="002A4D9D"/>
    <w:rsid w:val="002A6DF5"/>
    <w:rsid w:val="002B2360"/>
    <w:rsid w:val="002B3995"/>
    <w:rsid w:val="002B6406"/>
    <w:rsid w:val="002B6809"/>
    <w:rsid w:val="002B7F9D"/>
    <w:rsid w:val="002C4231"/>
    <w:rsid w:val="002C7080"/>
    <w:rsid w:val="002D00B0"/>
    <w:rsid w:val="002D22E7"/>
    <w:rsid w:val="002D2364"/>
    <w:rsid w:val="002D2E16"/>
    <w:rsid w:val="002D3163"/>
    <w:rsid w:val="002D4953"/>
    <w:rsid w:val="002E03C4"/>
    <w:rsid w:val="002E45F0"/>
    <w:rsid w:val="002E7778"/>
    <w:rsid w:val="002F157D"/>
    <w:rsid w:val="00300DC7"/>
    <w:rsid w:val="00304B3E"/>
    <w:rsid w:val="00304D97"/>
    <w:rsid w:val="0031005E"/>
    <w:rsid w:val="0031180A"/>
    <w:rsid w:val="00313127"/>
    <w:rsid w:val="00313304"/>
    <w:rsid w:val="003155F4"/>
    <w:rsid w:val="00320309"/>
    <w:rsid w:val="00321D1E"/>
    <w:rsid w:val="0032530E"/>
    <w:rsid w:val="00325A61"/>
    <w:rsid w:val="00326976"/>
    <w:rsid w:val="003311D7"/>
    <w:rsid w:val="00331CA9"/>
    <w:rsid w:val="00332B8B"/>
    <w:rsid w:val="0033521E"/>
    <w:rsid w:val="00335738"/>
    <w:rsid w:val="00337CA2"/>
    <w:rsid w:val="003404A4"/>
    <w:rsid w:val="003446AF"/>
    <w:rsid w:val="0034600F"/>
    <w:rsid w:val="00347104"/>
    <w:rsid w:val="00350852"/>
    <w:rsid w:val="0035096E"/>
    <w:rsid w:val="0035219F"/>
    <w:rsid w:val="00355C73"/>
    <w:rsid w:val="00355D01"/>
    <w:rsid w:val="00357207"/>
    <w:rsid w:val="00357D36"/>
    <w:rsid w:val="00360B81"/>
    <w:rsid w:val="00366283"/>
    <w:rsid w:val="0036777E"/>
    <w:rsid w:val="003701FA"/>
    <w:rsid w:val="00371CD9"/>
    <w:rsid w:val="00372A26"/>
    <w:rsid w:val="00372A93"/>
    <w:rsid w:val="0037484C"/>
    <w:rsid w:val="003749CD"/>
    <w:rsid w:val="00374A6C"/>
    <w:rsid w:val="003750F2"/>
    <w:rsid w:val="00377A76"/>
    <w:rsid w:val="003803A7"/>
    <w:rsid w:val="00380F6B"/>
    <w:rsid w:val="00382718"/>
    <w:rsid w:val="00382B3B"/>
    <w:rsid w:val="00385841"/>
    <w:rsid w:val="00385ED2"/>
    <w:rsid w:val="00391F86"/>
    <w:rsid w:val="003923FB"/>
    <w:rsid w:val="00393F00"/>
    <w:rsid w:val="003945C0"/>
    <w:rsid w:val="0039760C"/>
    <w:rsid w:val="003A25A7"/>
    <w:rsid w:val="003B535C"/>
    <w:rsid w:val="003B53B0"/>
    <w:rsid w:val="003B6728"/>
    <w:rsid w:val="003C11C3"/>
    <w:rsid w:val="003C2120"/>
    <w:rsid w:val="003C7C9D"/>
    <w:rsid w:val="003D030E"/>
    <w:rsid w:val="003D040D"/>
    <w:rsid w:val="003D1F49"/>
    <w:rsid w:val="003D2061"/>
    <w:rsid w:val="003D565E"/>
    <w:rsid w:val="003D72DE"/>
    <w:rsid w:val="003E1FE3"/>
    <w:rsid w:val="003E32A7"/>
    <w:rsid w:val="003E4483"/>
    <w:rsid w:val="003F0A76"/>
    <w:rsid w:val="003F0D6F"/>
    <w:rsid w:val="003F1A33"/>
    <w:rsid w:val="003F3072"/>
    <w:rsid w:val="00401B3C"/>
    <w:rsid w:val="004024E4"/>
    <w:rsid w:val="00404375"/>
    <w:rsid w:val="00406289"/>
    <w:rsid w:val="00406578"/>
    <w:rsid w:val="004074EF"/>
    <w:rsid w:val="004102C3"/>
    <w:rsid w:val="00412544"/>
    <w:rsid w:val="0041307C"/>
    <w:rsid w:val="00413699"/>
    <w:rsid w:val="004167B4"/>
    <w:rsid w:val="004167BC"/>
    <w:rsid w:val="0041770F"/>
    <w:rsid w:val="0042032D"/>
    <w:rsid w:val="004225DC"/>
    <w:rsid w:val="00423A41"/>
    <w:rsid w:val="00424D63"/>
    <w:rsid w:val="00425FBA"/>
    <w:rsid w:val="00430D7E"/>
    <w:rsid w:val="00432332"/>
    <w:rsid w:val="00432368"/>
    <w:rsid w:val="00433B04"/>
    <w:rsid w:val="0043784D"/>
    <w:rsid w:val="00440256"/>
    <w:rsid w:val="00440E22"/>
    <w:rsid w:val="004410E9"/>
    <w:rsid w:val="00444CB4"/>
    <w:rsid w:val="0044547D"/>
    <w:rsid w:val="00446F93"/>
    <w:rsid w:val="00447DCA"/>
    <w:rsid w:val="00451A74"/>
    <w:rsid w:val="004552AB"/>
    <w:rsid w:val="0045622C"/>
    <w:rsid w:val="004579D0"/>
    <w:rsid w:val="00464FB1"/>
    <w:rsid w:val="00465398"/>
    <w:rsid w:val="00467185"/>
    <w:rsid w:val="00467736"/>
    <w:rsid w:val="0047050C"/>
    <w:rsid w:val="00470ED7"/>
    <w:rsid w:val="004750DB"/>
    <w:rsid w:val="00480F21"/>
    <w:rsid w:val="0048108E"/>
    <w:rsid w:val="0048533D"/>
    <w:rsid w:val="0048537F"/>
    <w:rsid w:val="004874E5"/>
    <w:rsid w:val="00487885"/>
    <w:rsid w:val="004879DF"/>
    <w:rsid w:val="00490A65"/>
    <w:rsid w:val="0049116C"/>
    <w:rsid w:val="004930C9"/>
    <w:rsid w:val="00493F62"/>
    <w:rsid w:val="00494832"/>
    <w:rsid w:val="004957C2"/>
    <w:rsid w:val="004957C3"/>
    <w:rsid w:val="00495AF1"/>
    <w:rsid w:val="00495B3F"/>
    <w:rsid w:val="00497A89"/>
    <w:rsid w:val="004A158C"/>
    <w:rsid w:val="004A4CED"/>
    <w:rsid w:val="004A6BE6"/>
    <w:rsid w:val="004B0828"/>
    <w:rsid w:val="004B3304"/>
    <w:rsid w:val="004B3DF1"/>
    <w:rsid w:val="004B44E1"/>
    <w:rsid w:val="004B4BC0"/>
    <w:rsid w:val="004B5555"/>
    <w:rsid w:val="004C0484"/>
    <w:rsid w:val="004C777E"/>
    <w:rsid w:val="004D16A4"/>
    <w:rsid w:val="004D5420"/>
    <w:rsid w:val="004E52D8"/>
    <w:rsid w:val="004E5F31"/>
    <w:rsid w:val="004E6682"/>
    <w:rsid w:val="004E6D8A"/>
    <w:rsid w:val="004F15EF"/>
    <w:rsid w:val="004F22FE"/>
    <w:rsid w:val="004F25EB"/>
    <w:rsid w:val="004F774D"/>
    <w:rsid w:val="005013B0"/>
    <w:rsid w:val="005015E4"/>
    <w:rsid w:val="005017A6"/>
    <w:rsid w:val="0050291D"/>
    <w:rsid w:val="005064CD"/>
    <w:rsid w:val="00506C00"/>
    <w:rsid w:val="00510679"/>
    <w:rsid w:val="00511016"/>
    <w:rsid w:val="005159B3"/>
    <w:rsid w:val="00522C03"/>
    <w:rsid w:val="00525EA4"/>
    <w:rsid w:val="0052791F"/>
    <w:rsid w:val="00532CFF"/>
    <w:rsid w:val="00535DDC"/>
    <w:rsid w:val="00536880"/>
    <w:rsid w:val="00540AD0"/>
    <w:rsid w:val="00543A76"/>
    <w:rsid w:val="00546FC0"/>
    <w:rsid w:val="005523D1"/>
    <w:rsid w:val="0055482B"/>
    <w:rsid w:val="0055532E"/>
    <w:rsid w:val="005553A5"/>
    <w:rsid w:val="00555433"/>
    <w:rsid w:val="00555BC3"/>
    <w:rsid w:val="00557C8E"/>
    <w:rsid w:val="00561B2B"/>
    <w:rsid w:val="00562759"/>
    <w:rsid w:val="0056357E"/>
    <w:rsid w:val="00564952"/>
    <w:rsid w:val="0056645F"/>
    <w:rsid w:val="00571AB1"/>
    <w:rsid w:val="00577E1C"/>
    <w:rsid w:val="00580DB1"/>
    <w:rsid w:val="005814AC"/>
    <w:rsid w:val="00584676"/>
    <w:rsid w:val="005851A6"/>
    <w:rsid w:val="005854B7"/>
    <w:rsid w:val="00587AB1"/>
    <w:rsid w:val="0059070B"/>
    <w:rsid w:val="0059283C"/>
    <w:rsid w:val="005A0D95"/>
    <w:rsid w:val="005A224B"/>
    <w:rsid w:val="005B1225"/>
    <w:rsid w:val="005B17D8"/>
    <w:rsid w:val="005B1D82"/>
    <w:rsid w:val="005B4077"/>
    <w:rsid w:val="005C1C87"/>
    <w:rsid w:val="005C28B0"/>
    <w:rsid w:val="005C2F01"/>
    <w:rsid w:val="005C5F3C"/>
    <w:rsid w:val="005D01BE"/>
    <w:rsid w:val="005D1177"/>
    <w:rsid w:val="005D1D13"/>
    <w:rsid w:val="005D3829"/>
    <w:rsid w:val="005D5460"/>
    <w:rsid w:val="005E08CD"/>
    <w:rsid w:val="005E0C29"/>
    <w:rsid w:val="005E37E8"/>
    <w:rsid w:val="005E74C5"/>
    <w:rsid w:val="005F1D59"/>
    <w:rsid w:val="005F214C"/>
    <w:rsid w:val="005F219D"/>
    <w:rsid w:val="005F2437"/>
    <w:rsid w:val="005F318A"/>
    <w:rsid w:val="005F44EB"/>
    <w:rsid w:val="005F7710"/>
    <w:rsid w:val="006004F7"/>
    <w:rsid w:val="00603261"/>
    <w:rsid w:val="00607597"/>
    <w:rsid w:val="00610F93"/>
    <w:rsid w:val="006127CC"/>
    <w:rsid w:val="00614AA0"/>
    <w:rsid w:val="00617C2F"/>
    <w:rsid w:val="006204BE"/>
    <w:rsid w:val="006243C6"/>
    <w:rsid w:val="006273BC"/>
    <w:rsid w:val="00632009"/>
    <w:rsid w:val="00633CF1"/>
    <w:rsid w:val="00635A6C"/>
    <w:rsid w:val="00637091"/>
    <w:rsid w:val="00642839"/>
    <w:rsid w:val="006457F8"/>
    <w:rsid w:val="00645CCB"/>
    <w:rsid w:val="0064700E"/>
    <w:rsid w:val="006478CB"/>
    <w:rsid w:val="00650B88"/>
    <w:rsid w:val="00652C58"/>
    <w:rsid w:val="006530EF"/>
    <w:rsid w:val="006554DD"/>
    <w:rsid w:val="00660951"/>
    <w:rsid w:val="006636E2"/>
    <w:rsid w:val="00666273"/>
    <w:rsid w:val="00667EB3"/>
    <w:rsid w:val="00667FA9"/>
    <w:rsid w:val="00670DC0"/>
    <w:rsid w:val="00671816"/>
    <w:rsid w:val="0067233D"/>
    <w:rsid w:val="00672B2E"/>
    <w:rsid w:val="006745AE"/>
    <w:rsid w:val="00675B1B"/>
    <w:rsid w:val="006766CB"/>
    <w:rsid w:val="00676870"/>
    <w:rsid w:val="00676AF3"/>
    <w:rsid w:val="00677895"/>
    <w:rsid w:val="00677BEF"/>
    <w:rsid w:val="006814A3"/>
    <w:rsid w:val="00682AFC"/>
    <w:rsid w:val="00683344"/>
    <w:rsid w:val="00684696"/>
    <w:rsid w:val="00684FC9"/>
    <w:rsid w:val="0069072B"/>
    <w:rsid w:val="0069174B"/>
    <w:rsid w:val="00693340"/>
    <w:rsid w:val="006A04C7"/>
    <w:rsid w:val="006B05E3"/>
    <w:rsid w:val="006B09BC"/>
    <w:rsid w:val="006B5AC8"/>
    <w:rsid w:val="006B6D5D"/>
    <w:rsid w:val="006B7B5A"/>
    <w:rsid w:val="006C0801"/>
    <w:rsid w:val="006C0C2C"/>
    <w:rsid w:val="006C149A"/>
    <w:rsid w:val="006C1EAA"/>
    <w:rsid w:val="006C216F"/>
    <w:rsid w:val="006C2D8F"/>
    <w:rsid w:val="006C45D4"/>
    <w:rsid w:val="006D2042"/>
    <w:rsid w:val="006D4EFF"/>
    <w:rsid w:val="006D66E3"/>
    <w:rsid w:val="006D7062"/>
    <w:rsid w:val="006D7855"/>
    <w:rsid w:val="006D7C65"/>
    <w:rsid w:val="006E010C"/>
    <w:rsid w:val="006E1003"/>
    <w:rsid w:val="006E14C5"/>
    <w:rsid w:val="006E16BF"/>
    <w:rsid w:val="006E18F0"/>
    <w:rsid w:val="006E38AF"/>
    <w:rsid w:val="006E4F93"/>
    <w:rsid w:val="006E6A5C"/>
    <w:rsid w:val="006E7517"/>
    <w:rsid w:val="006F1174"/>
    <w:rsid w:val="006F5E4A"/>
    <w:rsid w:val="00700135"/>
    <w:rsid w:val="00700864"/>
    <w:rsid w:val="00705180"/>
    <w:rsid w:val="0070725A"/>
    <w:rsid w:val="00711605"/>
    <w:rsid w:val="00711DF6"/>
    <w:rsid w:val="00716FBC"/>
    <w:rsid w:val="00717090"/>
    <w:rsid w:val="00720739"/>
    <w:rsid w:val="0072253E"/>
    <w:rsid w:val="00723E1F"/>
    <w:rsid w:val="0072443D"/>
    <w:rsid w:val="007247E5"/>
    <w:rsid w:val="007248B7"/>
    <w:rsid w:val="007254CA"/>
    <w:rsid w:val="00730CF8"/>
    <w:rsid w:val="00731A90"/>
    <w:rsid w:val="00732608"/>
    <w:rsid w:val="00733251"/>
    <w:rsid w:val="0073631E"/>
    <w:rsid w:val="00736DCA"/>
    <w:rsid w:val="00741529"/>
    <w:rsid w:val="00745C47"/>
    <w:rsid w:val="0075003D"/>
    <w:rsid w:val="00751D97"/>
    <w:rsid w:val="00752C55"/>
    <w:rsid w:val="0075525F"/>
    <w:rsid w:val="007562D4"/>
    <w:rsid w:val="0075656E"/>
    <w:rsid w:val="007573FA"/>
    <w:rsid w:val="00757D79"/>
    <w:rsid w:val="00761DBF"/>
    <w:rsid w:val="00761FCF"/>
    <w:rsid w:val="00762370"/>
    <w:rsid w:val="00765503"/>
    <w:rsid w:val="00767B7E"/>
    <w:rsid w:val="007706FE"/>
    <w:rsid w:val="00771D7D"/>
    <w:rsid w:val="007745B7"/>
    <w:rsid w:val="007750C8"/>
    <w:rsid w:val="00776538"/>
    <w:rsid w:val="007802BE"/>
    <w:rsid w:val="00780EEF"/>
    <w:rsid w:val="0078134C"/>
    <w:rsid w:val="00781C47"/>
    <w:rsid w:val="007837C7"/>
    <w:rsid w:val="0078390D"/>
    <w:rsid w:val="00784B44"/>
    <w:rsid w:val="00785465"/>
    <w:rsid w:val="00785B0F"/>
    <w:rsid w:val="00787656"/>
    <w:rsid w:val="00791767"/>
    <w:rsid w:val="0079268A"/>
    <w:rsid w:val="0079420D"/>
    <w:rsid w:val="00794859"/>
    <w:rsid w:val="007954A8"/>
    <w:rsid w:val="007965F3"/>
    <w:rsid w:val="00797C88"/>
    <w:rsid w:val="007A1013"/>
    <w:rsid w:val="007A4CA9"/>
    <w:rsid w:val="007A7D19"/>
    <w:rsid w:val="007A7EC2"/>
    <w:rsid w:val="007B042D"/>
    <w:rsid w:val="007B05BB"/>
    <w:rsid w:val="007B6E0A"/>
    <w:rsid w:val="007B764C"/>
    <w:rsid w:val="007B7E4E"/>
    <w:rsid w:val="007C118A"/>
    <w:rsid w:val="007C1741"/>
    <w:rsid w:val="007C636F"/>
    <w:rsid w:val="007D39EB"/>
    <w:rsid w:val="007E74E1"/>
    <w:rsid w:val="007E77A8"/>
    <w:rsid w:val="007F491C"/>
    <w:rsid w:val="00803BF8"/>
    <w:rsid w:val="008061C9"/>
    <w:rsid w:val="008066D8"/>
    <w:rsid w:val="00811A18"/>
    <w:rsid w:val="00813711"/>
    <w:rsid w:val="00821E64"/>
    <w:rsid w:val="008224AB"/>
    <w:rsid w:val="008263C2"/>
    <w:rsid w:val="008307DB"/>
    <w:rsid w:val="00833398"/>
    <w:rsid w:val="00833C29"/>
    <w:rsid w:val="00834DB2"/>
    <w:rsid w:val="00835D9D"/>
    <w:rsid w:val="00835FC9"/>
    <w:rsid w:val="008368F8"/>
    <w:rsid w:val="008370E3"/>
    <w:rsid w:val="00837679"/>
    <w:rsid w:val="008418FA"/>
    <w:rsid w:val="00842959"/>
    <w:rsid w:val="00843390"/>
    <w:rsid w:val="00851C7E"/>
    <w:rsid w:val="0085235A"/>
    <w:rsid w:val="00854138"/>
    <w:rsid w:val="00854410"/>
    <w:rsid w:val="008544DF"/>
    <w:rsid w:val="00856DD2"/>
    <w:rsid w:val="00860AAD"/>
    <w:rsid w:val="00861AA6"/>
    <w:rsid w:val="008708F3"/>
    <w:rsid w:val="00871354"/>
    <w:rsid w:val="00872943"/>
    <w:rsid w:val="00873611"/>
    <w:rsid w:val="00873C8F"/>
    <w:rsid w:val="00874FB3"/>
    <w:rsid w:val="008769B5"/>
    <w:rsid w:val="00877174"/>
    <w:rsid w:val="00880BE3"/>
    <w:rsid w:val="00881359"/>
    <w:rsid w:val="00882093"/>
    <w:rsid w:val="00882588"/>
    <w:rsid w:val="00884ADE"/>
    <w:rsid w:val="008856CF"/>
    <w:rsid w:val="00885864"/>
    <w:rsid w:val="00887AEF"/>
    <w:rsid w:val="00890A1D"/>
    <w:rsid w:val="0089383B"/>
    <w:rsid w:val="00893F5F"/>
    <w:rsid w:val="0089534B"/>
    <w:rsid w:val="0089616F"/>
    <w:rsid w:val="008A0232"/>
    <w:rsid w:val="008B0470"/>
    <w:rsid w:val="008B06C5"/>
    <w:rsid w:val="008B164E"/>
    <w:rsid w:val="008B502A"/>
    <w:rsid w:val="008B57D8"/>
    <w:rsid w:val="008B7A65"/>
    <w:rsid w:val="008C1219"/>
    <w:rsid w:val="008C123E"/>
    <w:rsid w:val="008C137D"/>
    <w:rsid w:val="008C2111"/>
    <w:rsid w:val="008C22DD"/>
    <w:rsid w:val="008C3ED0"/>
    <w:rsid w:val="008C5E94"/>
    <w:rsid w:val="008D196A"/>
    <w:rsid w:val="008E3EF2"/>
    <w:rsid w:val="008E51C9"/>
    <w:rsid w:val="008E5BEB"/>
    <w:rsid w:val="008E6306"/>
    <w:rsid w:val="008F42EE"/>
    <w:rsid w:val="008F68F7"/>
    <w:rsid w:val="008F714A"/>
    <w:rsid w:val="009005A6"/>
    <w:rsid w:val="009006CF"/>
    <w:rsid w:val="00900C71"/>
    <w:rsid w:val="00902A1C"/>
    <w:rsid w:val="009037B6"/>
    <w:rsid w:val="00906CBE"/>
    <w:rsid w:val="00910024"/>
    <w:rsid w:val="00910384"/>
    <w:rsid w:val="0091643D"/>
    <w:rsid w:val="00916E33"/>
    <w:rsid w:val="0092093B"/>
    <w:rsid w:val="00921582"/>
    <w:rsid w:val="00925FD2"/>
    <w:rsid w:val="00930669"/>
    <w:rsid w:val="00932C33"/>
    <w:rsid w:val="00934978"/>
    <w:rsid w:val="009427A1"/>
    <w:rsid w:val="0094287D"/>
    <w:rsid w:val="00942FFE"/>
    <w:rsid w:val="009544EA"/>
    <w:rsid w:val="009551E0"/>
    <w:rsid w:val="0095654E"/>
    <w:rsid w:val="00956F3C"/>
    <w:rsid w:val="00971C34"/>
    <w:rsid w:val="00972488"/>
    <w:rsid w:val="009726D0"/>
    <w:rsid w:val="00972D26"/>
    <w:rsid w:val="0097421D"/>
    <w:rsid w:val="00976117"/>
    <w:rsid w:val="00976A23"/>
    <w:rsid w:val="009774A6"/>
    <w:rsid w:val="009800BC"/>
    <w:rsid w:val="009816F6"/>
    <w:rsid w:val="00982F18"/>
    <w:rsid w:val="0098702F"/>
    <w:rsid w:val="009900F0"/>
    <w:rsid w:val="00990B9B"/>
    <w:rsid w:val="00991769"/>
    <w:rsid w:val="00993236"/>
    <w:rsid w:val="00993D8C"/>
    <w:rsid w:val="00994E3D"/>
    <w:rsid w:val="00996A5E"/>
    <w:rsid w:val="009A297E"/>
    <w:rsid w:val="009A6127"/>
    <w:rsid w:val="009A7AA7"/>
    <w:rsid w:val="009B0630"/>
    <w:rsid w:val="009B0CC1"/>
    <w:rsid w:val="009B12B8"/>
    <w:rsid w:val="009B2692"/>
    <w:rsid w:val="009B323C"/>
    <w:rsid w:val="009B713C"/>
    <w:rsid w:val="009C0F18"/>
    <w:rsid w:val="009C12C6"/>
    <w:rsid w:val="009C2555"/>
    <w:rsid w:val="009C7778"/>
    <w:rsid w:val="009D06AE"/>
    <w:rsid w:val="009D09E2"/>
    <w:rsid w:val="009D0C22"/>
    <w:rsid w:val="009D1E42"/>
    <w:rsid w:val="009D2E9F"/>
    <w:rsid w:val="009D3DB6"/>
    <w:rsid w:val="009D7148"/>
    <w:rsid w:val="009E02FD"/>
    <w:rsid w:val="009E2774"/>
    <w:rsid w:val="009E4C74"/>
    <w:rsid w:val="009E62B6"/>
    <w:rsid w:val="009F35DA"/>
    <w:rsid w:val="009F43D0"/>
    <w:rsid w:val="009F616A"/>
    <w:rsid w:val="00A00568"/>
    <w:rsid w:val="00A00884"/>
    <w:rsid w:val="00A02F62"/>
    <w:rsid w:val="00A02FA3"/>
    <w:rsid w:val="00A030C3"/>
    <w:rsid w:val="00A03211"/>
    <w:rsid w:val="00A04803"/>
    <w:rsid w:val="00A10147"/>
    <w:rsid w:val="00A10C30"/>
    <w:rsid w:val="00A11331"/>
    <w:rsid w:val="00A131E6"/>
    <w:rsid w:val="00A13843"/>
    <w:rsid w:val="00A146A5"/>
    <w:rsid w:val="00A17466"/>
    <w:rsid w:val="00A2040D"/>
    <w:rsid w:val="00A204B3"/>
    <w:rsid w:val="00A20576"/>
    <w:rsid w:val="00A21593"/>
    <w:rsid w:val="00A221F7"/>
    <w:rsid w:val="00A22C21"/>
    <w:rsid w:val="00A2604E"/>
    <w:rsid w:val="00A31CCE"/>
    <w:rsid w:val="00A32C09"/>
    <w:rsid w:val="00A33C95"/>
    <w:rsid w:val="00A34FF3"/>
    <w:rsid w:val="00A35351"/>
    <w:rsid w:val="00A361C7"/>
    <w:rsid w:val="00A36723"/>
    <w:rsid w:val="00A41BC5"/>
    <w:rsid w:val="00A46A83"/>
    <w:rsid w:val="00A46DF5"/>
    <w:rsid w:val="00A5149A"/>
    <w:rsid w:val="00A51BB9"/>
    <w:rsid w:val="00A53650"/>
    <w:rsid w:val="00A53E51"/>
    <w:rsid w:val="00A57183"/>
    <w:rsid w:val="00A60693"/>
    <w:rsid w:val="00A607BE"/>
    <w:rsid w:val="00A6196D"/>
    <w:rsid w:val="00A619C0"/>
    <w:rsid w:val="00A619DB"/>
    <w:rsid w:val="00A61ADF"/>
    <w:rsid w:val="00A624CB"/>
    <w:rsid w:val="00A62AC0"/>
    <w:rsid w:val="00A66155"/>
    <w:rsid w:val="00A76BD2"/>
    <w:rsid w:val="00A8267D"/>
    <w:rsid w:val="00A82E14"/>
    <w:rsid w:val="00A8688E"/>
    <w:rsid w:val="00A8722B"/>
    <w:rsid w:val="00A901E9"/>
    <w:rsid w:val="00A90AAC"/>
    <w:rsid w:val="00A917B6"/>
    <w:rsid w:val="00A91831"/>
    <w:rsid w:val="00A91B3B"/>
    <w:rsid w:val="00A932EB"/>
    <w:rsid w:val="00A93B4F"/>
    <w:rsid w:val="00A94F7A"/>
    <w:rsid w:val="00A95D3B"/>
    <w:rsid w:val="00A97341"/>
    <w:rsid w:val="00AA0081"/>
    <w:rsid w:val="00AA0D1C"/>
    <w:rsid w:val="00AA4E4D"/>
    <w:rsid w:val="00AA70E9"/>
    <w:rsid w:val="00AB09ED"/>
    <w:rsid w:val="00AB1D04"/>
    <w:rsid w:val="00AB3DC0"/>
    <w:rsid w:val="00AB4CBB"/>
    <w:rsid w:val="00AC125E"/>
    <w:rsid w:val="00AC45DF"/>
    <w:rsid w:val="00AC474D"/>
    <w:rsid w:val="00AC4DFD"/>
    <w:rsid w:val="00AC50A2"/>
    <w:rsid w:val="00AC5663"/>
    <w:rsid w:val="00AC58FD"/>
    <w:rsid w:val="00AD0F6D"/>
    <w:rsid w:val="00AD1166"/>
    <w:rsid w:val="00AD19D2"/>
    <w:rsid w:val="00AD1A96"/>
    <w:rsid w:val="00AD3042"/>
    <w:rsid w:val="00AD5CCE"/>
    <w:rsid w:val="00AD793A"/>
    <w:rsid w:val="00AD7AA7"/>
    <w:rsid w:val="00AE0120"/>
    <w:rsid w:val="00AE0750"/>
    <w:rsid w:val="00AE3038"/>
    <w:rsid w:val="00AE3D4A"/>
    <w:rsid w:val="00AE3D6B"/>
    <w:rsid w:val="00AE5956"/>
    <w:rsid w:val="00AE619F"/>
    <w:rsid w:val="00AE7A88"/>
    <w:rsid w:val="00AF2A56"/>
    <w:rsid w:val="00AF63AB"/>
    <w:rsid w:val="00AF6CB3"/>
    <w:rsid w:val="00B01784"/>
    <w:rsid w:val="00B0388B"/>
    <w:rsid w:val="00B03BEE"/>
    <w:rsid w:val="00B0517E"/>
    <w:rsid w:val="00B11314"/>
    <w:rsid w:val="00B113E3"/>
    <w:rsid w:val="00B1156A"/>
    <w:rsid w:val="00B138E3"/>
    <w:rsid w:val="00B13FB5"/>
    <w:rsid w:val="00B15ED0"/>
    <w:rsid w:val="00B178FA"/>
    <w:rsid w:val="00B17D8E"/>
    <w:rsid w:val="00B207C3"/>
    <w:rsid w:val="00B23192"/>
    <w:rsid w:val="00B23267"/>
    <w:rsid w:val="00B23327"/>
    <w:rsid w:val="00B23906"/>
    <w:rsid w:val="00B257BF"/>
    <w:rsid w:val="00B27149"/>
    <w:rsid w:val="00B346C7"/>
    <w:rsid w:val="00B35B4D"/>
    <w:rsid w:val="00B362F0"/>
    <w:rsid w:val="00B36652"/>
    <w:rsid w:val="00B425AB"/>
    <w:rsid w:val="00B47090"/>
    <w:rsid w:val="00B532D1"/>
    <w:rsid w:val="00B61E3E"/>
    <w:rsid w:val="00B64880"/>
    <w:rsid w:val="00B67A79"/>
    <w:rsid w:val="00B72D62"/>
    <w:rsid w:val="00B767AF"/>
    <w:rsid w:val="00B80511"/>
    <w:rsid w:val="00B80798"/>
    <w:rsid w:val="00B80876"/>
    <w:rsid w:val="00B82C3C"/>
    <w:rsid w:val="00B82DE6"/>
    <w:rsid w:val="00B831CD"/>
    <w:rsid w:val="00B85329"/>
    <w:rsid w:val="00B906D4"/>
    <w:rsid w:val="00B91B9D"/>
    <w:rsid w:val="00BA2E41"/>
    <w:rsid w:val="00BA5D6A"/>
    <w:rsid w:val="00BA5E20"/>
    <w:rsid w:val="00BA607C"/>
    <w:rsid w:val="00BA6734"/>
    <w:rsid w:val="00BB3E2A"/>
    <w:rsid w:val="00BB6B55"/>
    <w:rsid w:val="00BB7121"/>
    <w:rsid w:val="00BC0479"/>
    <w:rsid w:val="00BC1032"/>
    <w:rsid w:val="00BC10AA"/>
    <w:rsid w:val="00BC1651"/>
    <w:rsid w:val="00BC16F5"/>
    <w:rsid w:val="00BC18FF"/>
    <w:rsid w:val="00BC1F75"/>
    <w:rsid w:val="00BC287D"/>
    <w:rsid w:val="00BC2A38"/>
    <w:rsid w:val="00BC46EB"/>
    <w:rsid w:val="00BC643B"/>
    <w:rsid w:val="00BD0B5A"/>
    <w:rsid w:val="00BD32E5"/>
    <w:rsid w:val="00BD36C4"/>
    <w:rsid w:val="00BE1095"/>
    <w:rsid w:val="00BE150A"/>
    <w:rsid w:val="00BE40B5"/>
    <w:rsid w:val="00BE6767"/>
    <w:rsid w:val="00BE7753"/>
    <w:rsid w:val="00BE78EC"/>
    <w:rsid w:val="00BF3986"/>
    <w:rsid w:val="00BF46EE"/>
    <w:rsid w:val="00BF48F6"/>
    <w:rsid w:val="00BF4ECE"/>
    <w:rsid w:val="00C0613C"/>
    <w:rsid w:val="00C10D05"/>
    <w:rsid w:val="00C14FBA"/>
    <w:rsid w:val="00C15EA1"/>
    <w:rsid w:val="00C1703F"/>
    <w:rsid w:val="00C17A8E"/>
    <w:rsid w:val="00C24F70"/>
    <w:rsid w:val="00C25DC2"/>
    <w:rsid w:val="00C31AEA"/>
    <w:rsid w:val="00C33479"/>
    <w:rsid w:val="00C3568E"/>
    <w:rsid w:val="00C40ED2"/>
    <w:rsid w:val="00C41F10"/>
    <w:rsid w:val="00C41FF0"/>
    <w:rsid w:val="00C432DD"/>
    <w:rsid w:val="00C4423A"/>
    <w:rsid w:val="00C45666"/>
    <w:rsid w:val="00C47375"/>
    <w:rsid w:val="00C501FE"/>
    <w:rsid w:val="00C5784B"/>
    <w:rsid w:val="00C639FF"/>
    <w:rsid w:val="00C6442A"/>
    <w:rsid w:val="00C64D15"/>
    <w:rsid w:val="00C66088"/>
    <w:rsid w:val="00C67C4C"/>
    <w:rsid w:val="00C74B5D"/>
    <w:rsid w:val="00C74F74"/>
    <w:rsid w:val="00C7554B"/>
    <w:rsid w:val="00C80951"/>
    <w:rsid w:val="00C8205E"/>
    <w:rsid w:val="00C821EC"/>
    <w:rsid w:val="00C82EB5"/>
    <w:rsid w:val="00C87966"/>
    <w:rsid w:val="00C902DE"/>
    <w:rsid w:val="00C916AE"/>
    <w:rsid w:val="00C932D8"/>
    <w:rsid w:val="00C93AAA"/>
    <w:rsid w:val="00C95FCD"/>
    <w:rsid w:val="00C97188"/>
    <w:rsid w:val="00CA0639"/>
    <w:rsid w:val="00CA11D0"/>
    <w:rsid w:val="00CA15BE"/>
    <w:rsid w:val="00CA1DBB"/>
    <w:rsid w:val="00CA2E02"/>
    <w:rsid w:val="00CA583A"/>
    <w:rsid w:val="00CA5EC6"/>
    <w:rsid w:val="00CB5744"/>
    <w:rsid w:val="00CB7022"/>
    <w:rsid w:val="00CB7BC5"/>
    <w:rsid w:val="00CC2138"/>
    <w:rsid w:val="00CC586D"/>
    <w:rsid w:val="00CC7DBC"/>
    <w:rsid w:val="00CD1BA3"/>
    <w:rsid w:val="00CD1D23"/>
    <w:rsid w:val="00CD3612"/>
    <w:rsid w:val="00CD3E69"/>
    <w:rsid w:val="00CD6B7D"/>
    <w:rsid w:val="00CD7D29"/>
    <w:rsid w:val="00CE0643"/>
    <w:rsid w:val="00CE0847"/>
    <w:rsid w:val="00CE0B6C"/>
    <w:rsid w:val="00CE11D0"/>
    <w:rsid w:val="00CE4708"/>
    <w:rsid w:val="00CE4C50"/>
    <w:rsid w:val="00CE6858"/>
    <w:rsid w:val="00CE7450"/>
    <w:rsid w:val="00CE770C"/>
    <w:rsid w:val="00CF50BE"/>
    <w:rsid w:val="00CF7625"/>
    <w:rsid w:val="00D00A78"/>
    <w:rsid w:val="00D039A3"/>
    <w:rsid w:val="00D039DC"/>
    <w:rsid w:val="00D03EC8"/>
    <w:rsid w:val="00D0506A"/>
    <w:rsid w:val="00D1289C"/>
    <w:rsid w:val="00D160C7"/>
    <w:rsid w:val="00D1666F"/>
    <w:rsid w:val="00D2071A"/>
    <w:rsid w:val="00D30E0D"/>
    <w:rsid w:val="00D30F73"/>
    <w:rsid w:val="00D30F97"/>
    <w:rsid w:val="00D313A0"/>
    <w:rsid w:val="00D32893"/>
    <w:rsid w:val="00D36FE0"/>
    <w:rsid w:val="00D40799"/>
    <w:rsid w:val="00D41A06"/>
    <w:rsid w:val="00D42ABF"/>
    <w:rsid w:val="00D42F40"/>
    <w:rsid w:val="00D4461C"/>
    <w:rsid w:val="00D45B67"/>
    <w:rsid w:val="00D5034A"/>
    <w:rsid w:val="00D51F49"/>
    <w:rsid w:val="00D55EE8"/>
    <w:rsid w:val="00D560C6"/>
    <w:rsid w:val="00D562CB"/>
    <w:rsid w:val="00D569D1"/>
    <w:rsid w:val="00D56AD8"/>
    <w:rsid w:val="00D56C05"/>
    <w:rsid w:val="00D5785A"/>
    <w:rsid w:val="00D6375F"/>
    <w:rsid w:val="00D64C48"/>
    <w:rsid w:val="00D6680B"/>
    <w:rsid w:val="00D671F3"/>
    <w:rsid w:val="00D72F4F"/>
    <w:rsid w:val="00D731C4"/>
    <w:rsid w:val="00D74531"/>
    <w:rsid w:val="00D74EB4"/>
    <w:rsid w:val="00D801FC"/>
    <w:rsid w:val="00D85BE0"/>
    <w:rsid w:val="00D862C4"/>
    <w:rsid w:val="00D87FD7"/>
    <w:rsid w:val="00D91466"/>
    <w:rsid w:val="00D915ED"/>
    <w:rsid w:val="00D92300"/>
    <w:rsid w:val="00D94AFC"/>
    <w:rsid w:val="00D950E6"/>
    <w:rsid w:val="00D97047"/>
    <w:rsid w:val="00DA0726"/>
    <w:rsid w:val="00DA3619"/>
    <w:rsid w:val="00DA59F2"/>
    <w:rsid w:val="00DB0B88"/>
    <w:rsid w:val="00DB1652"/>
    <w:rsid w:val="00DB50DD"/>
    <w:rsid w:val="00DB58A6"/>
    <w:rsid w:val="00DB6B99"/>
    <w:rsid w:val="00DC001A"/>
    <w:rsid w:val="00DC631B"/>
    <w:rsid w:val="00DD4F44"/>
    <w:rsid w:val="00DD686C"/>
    <w:rsid w:val="00DE0152"/>
    <w:rsid w:val="00DE2AC3"/>
    <w:rsid w:val="00DE2E40"/>
    <w:rsid w:val="00DE3598"/>
    <w:rsid w:val="00DE3FBD"/>
    <w:rsid w:val="00DE43F5"/>
    <w:rsid w:val="00DE65FB"/>
    <w:rsid w:val="00DE79DB"/>
    <w:rsid w:val="00DF3174"/>
    <w:rsid w:val="00DF420A"/>
    <w:rsid w:val="00E02472"/>
    <w:rsid w:val="00E041E5"/>
    <w:rsid w:val="00E041F0"/>
    <w:rsid w:val="00E05E92"/>
    <w:rsid w:val="00E128D8"/>
    <w:rsid w:val="00E130C3"/>
    <w:rsid w:val="00E17543"/>
    <w:rsid w:val="00E17EDF"/>
    <w:rsid w:val="00E2082D"/>
    <w:rsid w:val="00E221E2"/>
    <w:rsid w:val="00E24303"/>
    <w:rsid w:val="00E27A16"/>
    <w:rsid w:val="00E37F8B"/>
    <w:rsid w:val="00E40F7B"/>
    <w:rsid w:val="00E46D60"/>
    <w:rsid w:val="00E47C33"/>
    <w:rsid w:val="00E47F58"/>
    <w:rsid w:val="00E503E4"/>
    <w:rsid w:val="00E54BFC"/>
    <w:rsid w:val="00E56D9D"/>
    <w:rsid w:val="00E60E2E"/>
    <w:rsid w:val="00E71A2D"/>
    <w:rsid w:val="00E728D2"/>
    <w:rsid w:val="00E74A73"/>
    <w:rsid w:val="00E823C1"/>
    <w:rsid w:val="00E825CD"/>
    <w:rsid w:val="00E82DB7"/>
    <w:rsid w:val="00E8579C"/>
    <w:rsid w:val="00E865FE"/>
    <w:rsid w:val="00E87C9E"/>
    <w:rsid w:val="00E91408"/>
    <w:rsid w:val="00E91759"/>
    <w:rsid w:val="00E9654B"/>
    <w:rsid w:val="00EA18DB"/>
    <w:rsid w:val="00EA2FBA"/>
    <w:rsid w:val="00EA4DC5"/>
    <w:rsid w:val="00EA66DF"/>
    <w:rsid w:val="00EA6ADC"/>
    <w:rsid w:val="00EB13A7"/>
    <w:rsid w:val="00EB14DF"/>
    <w:rsid w:val="00EB1A4D"/>
    <w:rsid w:val="00EB3A07"/>
    <w:rsid w:val="00EB5539"/>
    <w:rsid w:val="00EC2BB5"/>
    <w:rsid w:val="00EC3F31"/>
    <w:rsid w:val="00EC4642"/>
    <w:rsid w:val="00EC52E7"/>
    <w:rsid w:val="00ED3698"/>
    <w:rsid w:val="00ED4794"/>
    <w:rsid w:val="00EE0795"/>
    <w:rsid w:val="00EE1022"/>
    <w:rsid w:val="00EE265C"/>
    <w:rsid w:val="00EE5C63"/>
    <w:rsid w:val="00EE7F12"/>
    <w:rsid w:val="00EF7D14"/>
    <w:rsid w:val="00F0095C"/>
    <w:rsid w:val="00F009F6"/>
    <w:rsid w:val="00F01129"/>
    <w:rsid w:val="00F01CCA"/>
    <w:rsid w:val="00F01F2C"/>
    <w:rsid w:val="00F02104"/>
    <w:rsid w:val="00F03C45"/>
    <w:rsid w:val="00F04326"/>
    <w:rsid w:val="00F04455"/>
    <w:rsid w:val="00F06C17"/>
    <w:rsid w:val="00F1612D"/>
    <w:rsid w:val="00F1632B"/>
    <w:rsid w:val="00F24C20"/>
    <w:rsid w:val="00F334CB"/>
    <w:rsid w:val="00F3495A"/>
    <w:rsid w:val="00F34E2C"/>
    <w:rsid w:val="00F370BC"/>
    <w:rsid w:val="00F37143"/>
    <w:rsid w:val="00F41E01"/>
    <w:rsid w:val="00F50562"/>
    <w:rsid w:val="00F50A92"/>
    <w:rsid w:val="00F50D01"/>
    <w:rsid w:val="00F530CD"/>
    <w:rsid w:val="00F56BC1"/>
    <w:rsid w:val="00F618C4"/>
    <w:rsid w:val="00F64798"/>
    <w:rsid w:val="00F65774"/>
    <w:rsid w:val="00F65A34"/>
    <w:rsid w:val="00F65F4C"/>
    <w:rsid w:val="00F71A60"/>
    <w:rsid w:val="00F725DA"/>
    <w:rsid w:val="00F7500F"/>
    <w:rsid w:val="00F7536E"/>
    <w:rsid w:val="00F75652"/>
    <w:rsid w:val="00F759BA"/>
    <w:rsid w:val="00F8168B"/>
    <w:rsid w:val="00F81CF2"/>
    <w:rsid w:val="00F81F93"/>
    <w:rsid w:val="00F857D1"/>
    <w:rsid w:val="00F91CC5"/>
    <w:rsid w:val="00F91DCC"/>
    <w:rsid w:val="00F92B92"/>
    <w:rsid w:val="00F9323F"/>
    <w:rsid w:val="00F943FE"/>
    <w:rsid w:val="00F95814"/>
    <w:rsid w:val="00F95CE9"/>
    <w:rsid w:val="00F97100"/>
    <w:rsid w:val="00FA01D9"/>
    <w:rsid w:val="00FA0773"/>
    <w:rsid w:val="00FA1886"/>
    <w:rsid w:val="00FB0401"/>
    <w:rsid w:val="00FB2631"/>
    <w:rsid w:val="00FB7472"/>
    <w:rsid w:val="00FC1DFB"/>
    <w:rsid w:val="00FC1EF2"/>
    <w:rsid w:val="00FC3343"/>
    <w:rsid w:val="00FC33BA"/>
    <w:rsid w:val="00FC35AB"/>
    <w:rsid w:val="00FC6134"/>
    <w:rsid w:val="00FC654D"/>
    <w:rsid w:val="00FC7B10"/>
    <w:rsid w:val="00FD0555"/>
    <w:rsid w:val="00FD3CE9"/>
    <w:rsid w:val="00FD5961"/>
    <w:rsid w:val="00FE04BC"/>
    <w:rsid w:val="00FE3EFA"/>
    <w:rsid w:val="00FE5C56"/>
    <w:rsid w:val="00FE5E20"/>
    <w:rsid w:val="00FE7AAC"/>
    <w:rsid w:val="00FE7B06"/>
    <w:rsid w:val="00FE7E98"/>
    <w:rsid w:val="00FF06BC"/>
    <w:rsid w:val="00FF20AC"/>
    <w:rsid w:val="00FF2A95"/>
    <w:rsid w:val="00FF2BC7"/>
    <w:rsid w:val="00FF3801"/>
    <w:rsid w:val="00FF3A27"/>
    <w:rsid w:val="00FF3B27"/>
    <w:rsid w:val="00FF4F54"/>
    <w:rsid w:val="00FF562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5:docId w15:val="{A3EDABB4-2194-477B-BC19-80193A89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510679"/>
    <w:pPr>
      <w:keepNext/>
      <w:keepLines/>
      <w:numPr>
        <w:numId w:val="15"/>
      </w:numPr>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EE0795"/>
    <w:pPr>
      <w:keepNext/>
      <w:keepLines/>
      <w:numPr>
        <w:ilvl w:val="1"/>
        <w:numId w:val="15"/>
      </w:numPr>
      <w:tabs>
        <w:tab w:val="left" w:pos="680"/>
      </w:tabs>
      <w:spacing w:before="360"/>
      <w:contextualSpacing/>
      <w:outlineLvl w:val="1"/>
    </w:pPr>
    <w:rPr>
      <w:rFonts w:asciiTheme="majorHAnsi" w:hAnsiTheme="majorHAnsi"/>
      <w:b/>
      <w:sz w:val="28"/>
      <w:szCs w:val="44"/>
    </w:rPr>
  </w:style>
  <w:style w:type="paragraph" w:styleId="Heading3">
    <w:name w:val="heading 3"/>
    <w:basedOn w:val="Normal"/>
    <w:next w:val="Normal"/>
    <w:autoRedefine/>
    <w:uiPriority w:val="2"/>
    <w:qFormat/>
    <w:rsid w:val="00350852"/>
    <w:pPr>
      <w:keepNext/>
      <w:keepLines/>
      <w:numPr>
        <w:ilvl w:val="2"/>
        <w:numId w:val="15"/>
      </w:numPr>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numPr>
        <w:ilvl w:val="3"/>
        <w:numId w:val="15"/>
      </w:numPr>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numPr>
        <w:ilvl w:val="4"/>
        <w:numId w:val="15"/>
      </w:numPr>
      <w:spacing w:before="240"/>
      <w:contextualSpacing/>
      <w:outlineLvl w:val="4"/>
    </w:pPr>
    <w:rPr>
      <w:b/>
      <w:szCs w:val="22"/>
    </w:rPr>
  </w:style>
  <w:style w:type="paragraph" w:styleId="Heading6">
    <w:name w:val="heading 6"/>
    <w:basedOn w:val="Normal"/>
    <w:next w:val="Normal"/>
    <w:link w:val="Heading6Char"/>
    <w:autoRedefine/>
    <w:semiHidden/>
    <w:rsid w:val="002672F1"/>
    <w:pPr>
      <w:keepNext/>
      <w:numPr>
        <w:ilvl w:val="5"/>
        <w:numId w:val="15"/>
      </w:numPr>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EE0795"/>
    <w:rPr>
      <w:rFonts w:asciiTheme="majorHAnsi" w:hAnsiTheme="majorHAnsi"/>
      <w:b/>
      <w:sz w:val="28"/>
      <w:szCs w:val="44"/>
    </w:rPr>
  </w:style>
  <w:style w:type="character" w:customStyle="1" w:styleId="Heading5Char">
    <w:name w:val="Heading 5 Char"/>
    <w:basedOn w:val="DefaultParagraphFont"/>
    <w:link w:val="Heading5"/>
    <w:semiHidden/>
    <w:rsid w:val="001D2904"/>
    <w:rPr>
      <w:rFonts w:ascii="Arial" w:hAnsi="Arial"/>
      <w:b/>
      <w:sz w:val="22"/>
      <w:szCs w:val="22"/>
    </w:rPr>
  </w:style>
  <w:style w:type="character" w:customStyle="1" w:styleId="Heading6Char">
    <w:name w:val="Heading 6 Char"/>
    <w:basedOn w:val="DefaultParagraphFont"/>
    <w:link w:val="Heading6"/>
    <w:semiHidden/>
    <w:rsid w:val="001D2904"/>
    <w:rPr>
      <w:rFonts w:ascii="Arial" w:hAnsi="Arial"/>
      <w:b/>
      <w:szCs w:val="22"/>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paragraph" w:styleId="Header">
    <w:name w:val="header"/>
    <w:basedOn w:val="Normal"/>
    <w:link w:val="HeaderChar"/>
    <w:autoRedefine/>
    <w:uiPriority w:val="99"/>
    <w:rsid w:val="005F219D"/>
    <w:pPr>
      <w:tabs>
        <w:tab w:val="right" w:pos="10319"/>
      </w:tabs>
      <w:spacing w:before="0" w:after="0" w:line="240" w:lineRule="auto"/>
    </w:pPr>
    <w:rPr>
      <w:b/>
      <w:sz w:val="16"/>
    </w:rPr>
  </w:style>
  <w:style w:type="character" w:customStyle="1" w:styleId="HeaderChar">
    <w:name w:val="Header Char"/>
    <w:basedOn w:val="DefaultParagraphFont"/>
    <w:link w:val="Header"/>
    <w:uiPriority w:val="99"/>
    <w:rsid w:val="009E2774"/>
    <w:rPr>
      <w:rFonts w:ascii="Arial" w:hAnsi="Arial"/>
      <w:b/>
      <w:sz w:val="16"/>
      <w:szCs w:val="24"/>
    </w:rPr>
  </w:style>
  <w:style w:type="paragraph" w:styleId="Title">
    <w:name w:val="Title"/>
    <w:basedOn w:val="Normal"/>
    <w:next w:val="Subtitle"/>
    <w:autoRedefine/>
    <w:rsid w:val="00DA0726"/>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Recommendation,List Paragraph1,Bullet table,Bullet L1,List Paragraph11,Bullet point,Figure_name,Numbered Indented Text,Bullet- First level,List NUmber,Listenabsatz1,lp1,Body text,NAST Quote,standard lewis,List Number1,Body Text1"/>
    <w:basedOn w:val="Normal"/>
    <w:link w:val="ListParagraphChar"/>
    <w:autoRedefine/>
    <w:uiPriority w:val="34"/>
    <w:qFormat/>
    <w:rsid w:val="00225CE3"/>
    <w:pPr>
      <w:numPr>
        <w:numId w:val="16"/>
      </w:numPr>
    </w:pPr>
  </w:style>
  <w:style w:type="character" w:customStyle="1" w:styleId="ListParagraphChar">
    <w:name w:val="List Paragraph Char"/>
    <w:aliases w:val="Recommendation Char,List Paragraph1 Char,Bullet table Char,Bullet L1 Char,List Paragraph11 Char,Bullet point Char,Figure_name Char,Numbered Indented Text Char,Bullet- First level Char,List NUmber Char,Listenabsatz1 Char,lp1 Char"/>
    <w:link w:val="ListParagraph"/>
    <w:uiPriority w:val="34"/>
    <w:locked/>
    <w:rsid w:val="00C47375"/>
    <w:rPr>
      <w:rFonts w:ascii="Arial" w:hAnsi="Arial"/>
      <w:sz w:val="22"/>
      <w:szCs w:val="24"/>
    </w:rPr>
  </w:style>
  <w:style w:type="paragraph" w:styleId="TOC1">
    <w:name w:val="toc 1"/>
    <w:basedOn w:val="Normal"/>
    <w:next w:val="Normal"/>
    <w:autoRedefine/>
    <w:uiPriority w:val="39"/>
    <w:qFormat/>
    <w:rsid w:val="006204BE"/>
    <w:pPr>
      <w:spacing w:after="0"/>
    </w:pPr>
    <w:rPr>
      <w:rFonts w:asciiTheme="minorHAnsi" w:hAnsiTheme="minorHAnsi" w:cstheme="minorHAnsi"/>
      <w:b/>
      <w:bCs/>
      <w:i/>
      <w:iCs/>
      <w:sz w:val="24"/>
    </w:rPr>
  </w:style>
  <w:style w:type="paragraph" w:styleId="TOC2">
    <w:name w:val="toc 2"/>
    <w:basedOn w:val="Normal"/>
    <w:next w:val="Normal"/>
    <w:autoRedefine/>
    <w:uiPriority w:val="39"/>
    <w:qFormat/>
    <w:rsid w:val="00135B7E"/>
    <w:pPr>
      <w:spacing w:after="0"/>
      <w:ind w:left="220"/>
    </w:pPr>
    <w:rPr>
      <w:rFonts w:asciiTheme="minorHAnsi" w:hAnsiTheme="minorHAnsi" w:cstheme="minorHAnsi"/>
      <w:b/>
      <w:bCs/>
      <w:szCs w:val="22"/>
    </w:rPr>
  </w:style>
  <w:style w:type="paragraph" w:customStyle="1" w:styleId="TableText">
    <w:name w:val="Table Text"/>
    <w:basedOn w:val="Normal"/>
    <w:autoRedefine/>
    <w:uiPriority w:val="99"/>
    <w:qFormat/>
    <w:rsid w:val="006D7062"/>
    <w:pPr>
      <w:spacing w:before="80" w:after="80" w:line="240" w:lineRule="atLeast"/>
    </w:pPr>
    <w:rPr>
      <w:szCs w:val="22"/>
    </w:rPr>
  </w:style>
  <w:style w:type="character" w:styleId="Emphasis">
    <w:name w:val="Emphasis"/>
    <w:basedOn w:val="DefaultParagraphFont"/>
    <w:rsid w:val="00D92300"/>
    <w:rPr>
      <w:i/>
      <w:iCs/>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331CA9"/>
    <w:pPr>
      <w:ind w:left="0"/>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355C73"/>
    <w:rPr>
      <w:rFonts w:asciiTheme="minorHAnsi" w:hAnsiTheme="minorHAnsi" w:cstheme="minorHAnsi"/>
      <w:b/>
      <w:bCs/>
      <w:color w:val="FFFFFF" w:themeColor="background1"/>
      <w:szCs w:val="22"/>
    </w:rPr>
  </w:style>
  <w:style w:type="character" w:customStyle="1" w:styleId="BalloonTextChar">
    <w:name w:val="Balloon Text Char"/>
    <w:basedOn w:val="DefaultParagraphFont"/>
    <w:link w:val="BalloonText"/>
    <w:semiHidden/>
    <w:rsid w:val="00355C73"/>
    <w:rPr>
      <w:rFonts w:asciiTheme="minorHAnsi" w:hAnsiTheme="minorHAnsi" w:cstheme="minorHAnsi"/>
      <w:b/>
      <w:bCs/>
      <w:color w:val="FFFFFF" w:themeColor="background1"/>
      <w:sz w:val="22"/>
      <w:szCs w:val="22"/>
    </w:rPr>
  </w:style>
  <w:style w:type="paragraph" w:styleId="NoSpacing">
    <w:name w:val="No Spacing"/>
    <w:link w:val="NoSpacingChar"/>
    <w:autoRedefine/>
    <w:uiPriority w:val="1"/>
    <w:qFormat/>
    <w:rsid w:val="00406578"/>
    <w:rPr>
      <w:rFonts w:ascii="Arial" w:hAnsi="Arial"/>
      <w:sz w:val="22"/>
      <w:szCs w:val="24"/>
    </w:rPr>
  </w:style>
  <w:style w:type="character" w:customStyle="1" w:styleId="NoSpacingChar">
    <w:name w:val="No Spacing Char"/>
    <w:basedOn w:val="DefaultParagraphFont"/>
    <w:link w:val="NoSpacing"/>
    <w:uiPriority w:val="1"/>
    <w:rsid w:val="00D03EC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uiPriority w:val="99"/>
    <w:semiHidden/>
    <w:rsid w:val="000E39EF"/>
    <w:rPr>
      <w:color w:val="000000" w:themeColor="followedHyperlink"/>
      <w:u w:val="single"/>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3D72DE"/>
    <w:pPr>
      <w:keepNext/>
      <w:keepLines/>
      <w:numPr>
        <w:numId w:val="11"/>
      </w:numPr>
      <w:tabs>
        <w:tab w:val="left" w:pos="907"/>
      </w:tabs>
      <w:ind w:left="907" w:hanging="907"/>
      <w:contextualSpacing/>
    </w:pPr>
    <w:rPr>
      <w:rFonts w:asciiTheme="minorHAnsi" w:eastAsia="Calibri" w:hAnsiTheme="minorHAnsi" w:cstheme="minorHAnsi"/>
      <w:b/>
      <w:bCs/>
      <w:szCs w:val="18"/>
      <w:lang w:val="en-US"/>
    </w:r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6D7062"/>
    <w:pPr>
      <w:spacing w:before="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214116"/>
    <w:pPr>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uiPriority w:val="99"/>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before="0" w:after="0"/>
      <w:ind w:left="440"/>
    </w:pPr>
    <w:rPr>
      <w:rFonts w:asciiTheme="minorHAnsi" w:hAnsiTheme="minorHAnsi" w:cstheme="minorHAnsi"/>
      <w:sz w:val="20"/>
      <w:szCs w:val="20"/>
    </w:rPr>
  </w:style>
  <w:style w:type="paragraph" w:styleId="TOC4">
    <w:name w:val="toc 4"/>
    <w:basedOn w:val="Normal"/>
    <w:next w:val="Normal"/>
    <w:autoRedefine/>
    <w:unhideWhenUsed/>
    <w:rsid w:val="00465398"/>
    <w:pPr>
      <w:spacing w:before="0" w:after="0"/>
      <w:ind w:left="660"/>
    </w:pPr>
    <w:rPr>
      <w:rFonts w:asciiTheme="minorHAnsi" w:hAnsiTheme="minorHAnsi" w:cstheme="minorHAnsi"/>
      <w:sz w:val="20"/>
      <w:szCs w:val="20"/>
    </w:rPr>
  </w:style>
  <w:style w:type="paragraph" w:styleId="TOC5">
    <w:name w:val="toc 5"/>
    <w:basedOn w:val="Normal"/>
    <w:next w:val="Normal"/>
    <w:autoRedefine/>
    <w:unhideWhenUsed/>
    <w:rsid w:val="00465398"/>
    <w:pPr>
      <w:spacing w:before="0" w:after="0"/>
      <w:ind w:left="880"/>
    </w:pPr>
    <w:rPr>
      <w:rFonts w:asciiTheme="minorHAnsi" w:hAnsiTheme="minorHAnsi" w:cstheme="minorHAnsi"/>
      <w:sz w:val="20"/>
      <w:szCs w:val="20"/>
    </w:rPr>
  </w:style>
  <w:style w:type="paragraph" w:styleId="TOC6">
    <w:name w:val="toc 6"/>
    <w:basedOn w:val="Normal"/>
    <w:next w:val="Normal"/>
    <w:autoRedefine/>
    <w:unhideWhenUsed/>
    <w:rsid w:val="00465398"/>
    <w:pPr>
      <w:spacing w:before="0" w:after="0"/>
      <w:ind w:left="1100"/>
    </w:pPr>
    <w:rPr>
      <w:rFonts w:asciiTheme="minorHAnsi" w:hAnsiTheme="minorHAnsi" w:cstheme="minorHAnsi"/>
      <w:sz w:val="20"/>
      <w:szCs w:val="20"/>
    </w:rPr>
  </w:style>
  <w:style w:type="paragraph" w:styleId="TOC7">
    <w:name w:val="toc 7"/>
    <w:basedOn w:val="Normal"/>
    <w:next w:val="Normal"/>
    <w:autoRedefine/>
    <w:unhideWhenUsed/>
    <w:rsid w:val="00465398"/>
    <w:pPr>
      <w:spacing w:before="0" w:after="0"/>
      <w:ind w:left="1320"/>
    </w:pPr>
    <w:rPr>
      <w:rFonts w:asciiTheme="minorHAnsi" w:hAnsiTheme="minorHAnsi" w:cstheme="minorHAnsi"/>
      <w:sz w:val="20"/>
      <w:szCs w:val="20"/>
    </w:rPr>
  </w:style>
  <w:style w:type="paragraph" w:styleId="TOC8">
    <w:name w:val="toc 8"/>
    <w:basedOn w:val="Normal"/>
    <w:next w:val="Normal"/>
    <w:autoRedefine/>
    <w:unhideWhenUsed/>
    <w:rsid w:val="00465398"/>
    <w:pPr>
      <w:spacing w:before="0" w:after="0"/>
      <w:ind w:left="1540"/>
    </w:pPr>
    <w:rPr>
      <w:rFonts w:asciiTheme="minorHAnsi" w:hAnsiTheme="minorHAnsi" w:cstheme="minorHAnsi"/>
      <w:sz w:val="20"/>
      <w:szCs w:val="20"/>
    </w:rPr>
  </w:style>
  <w:style w:type="paragraph" w:styleId="TOC9">
    <w:name w:val="toc 9"/>
    <w:basedOn w:val="Normal"/>
    <w:next w:val="Normal"/>
    <w:autoRedefine/>
    <w:unhideWhenUsed/>
    <w:rsid w:val="00465398"/>
    <w:pPr>
      <w:spacing w:before="0"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562759"/>
    <w:rPr>
      <w:color w:val="000000" w:themeColor="hyperlink"/>
      <w:u w:val="single"/>
    </w:rPr>
  </w:style>
  <w:style w:type="table" w:customStyle="1" w:styleId="Style1">
    <w:name w:val="Style1"/>
    <w:basedOn w:val="TableNormal"/>
    <w:uiPriority w:val="99"/>
    <w:rsid w:val="003D7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b/>
        <w:color w:val="auto"/>
      </w:rPr>
      <w:tblPr/>
      <w:tcPr>
        <w:shd w:val="clear" w:color="auto" w:fill="DBE5F1"/>
        <w:vAlign w:val="center"/>
      </w:tcPr>
    </w:tblStylePr>
    <w:tblStylePr w:type="lastRow">
      <w:pPr>
        <w:keepNext w:val="0"/>
        <w:wordWrap/>
      </w:pPr>
      <w:rPr>
        <w:rFonts w:ascii="Calibri" w:hAnsi="Calibri"/>
        <w:b w:val="0"/>
        <w:sz w:val="22"/>
      </w:rPr>
    </w:tblStylePr>
    <w:tblStylePr w:type="firstCol">
      <w:rPr>
        <w:b/>
      </w:rPr>
    </w:tblStylePr>
    <w:tblStylePr w:type="lastCol">
      <w:rPr>
        <w:b/>
      </w:rPr>
    </w:tblStylePr>
  </w:style>
  <w:style w:type="paragraph" w:customStyle="1" w:styleId="Table">
    <w:name w:val="Table"/>
    <w:basedOn w:val="Normal"/>
    <w:link w:val="TableChar"/>
    <w:qFormat/>
    <w:rsid w:val="003D72DE"/>
    <w:pPr>
      <w:spacing w:line="240" w:lineRule="auto"/>
    </w:pPr>
    <w:rPr>
      <w:rFonts w:asciiTheme="minorHAnsi" w:eastAsiaTheme="minorHAnsi" w:hAnsiTheme="minorHAnsi" w:cstheme="minorBidi"/>
      <w:sz w:val="24"/>
      <w:szCs w:val="22"/>
    </w:rPr>
  </w:style>
  <w:style w:type="character" w:customStyle="1" w:styleId="TableChar">
    <w:name w:val="Table Char"/>
    <w:basedOn w:val="DefaultParagraphFont"/>
    <w:link w:val="Table"/>
    <w:rsid w:val="003D72DE"/>
    <w:rPr>
      <w:rFonts w:asciiTheme="minorHAnsi" w:eastAsiaTheme="minorHAnsi" w:hAnsiTheme="minorHAnsi" w:cstheme="minorBidi"/>
      <w:sz w:val="24"/>
      <w:szCs w:val="22"/>
    </w:rPr>
  </w:style>
  <w:style w:type="table" w:customStyle="1" w:styleId="ListTable3-Accent21">
    <w:name w:val="List Table 3 - Accent 21"/>
    <w:basedOn w:val="TableNormal"/>
    <w:uiPriority w:val="48"/>
    <w:rsid w:val="002B3995"/>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paragraph" w:styleId="Revision">
    <w:name w:val="Revision"/>
    <w:hidden/>
    <w:uiPriority w:val="99"/>
    <w:semiHidden/>
    <w:rsid w:val="006E7517"/>
    <w:rPr>
      <w:rFonts w:ascii="Arial" w:hAnsi="Arial"/>
      <w:sz w:val="22"/>
      <w:szCs w:val="24"/>
    </w:rPr>
  </w:style>
  <w:style w:type="table" w:styleId="LightList-Accent1">
    <w:name w:val="Light List Accent 1"/>
    <w:basedOn w:val="TableNormal"/>
    <w:uiPriority w:val="61"/>
    <w:rsid w:val="002916B6"/>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11">
    <w:name w:val="List Table 3 - Accent 11"/>
    <w:basedOn w:val="TableNormal"/>
    <w:uiPriority w:val="48"/>
    <w:rsid w:val="004E52D8"/>
    <w:tblPr>
      <w:tblStyleRowBandSize w:val="1"/>
      <w:tblStyleColBandSize w:val="1"/>
      <w:tblBorders>
        <w:top w:val="single" w:sz="4" w:space="0" w:color="004200" w:themeColor="accent1"/>
        <w:left w:val="single" w:sz="4" w:space="0" w:color="004200" w:themeColor="accent1"/>
        <w:bottom w:val="single" w:sz="4" w:space="0" w:color="004200" w:themeColor="accent1"/>
        <w:right w:val="single" w:sz="4" w:space="0" w:color="004200" w:themeColor="accent1"/>
      </w:tblBorders>
    </w:tblPr>
    <w:tblStylePr w:type="firstRow">
      <w:rPr>
        <w:b/>
        <w:bCs/>
        <w:color w:val="FFFFFF" w:themeColor="background1"/>
      </w:rPr>
      <w:tblPr/>
      <w:tcPr>
        <w:shd w:val="clear" w:color="auto" w:fill="004200" w:themeFill="accent1"/>
      </w:tcPr>
    </w:tblStylePr>
    <w:tblStylePr w:type="lastRow">
      <w:rPr>
        <w:b/>
        <w:bCs/>
      </w:rPr>
      <w:tblPr/>
      <w:tcPr>
        <w:tcBorders>
          <w:top w:val="double" w:sz="4" w:space="0" w:color="0042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00" w:themeColor="accent1"/>
          <w:right w:val="single" w:sz="4" w:space="0" w:color="004200" w:themeColor="accent1"/>
        </w:tcBorders>
      </w:tcPr>
    </w:tblStylePr>
    <w:tblStylePr w:type="band1Horz">
      <w:tblPr/>
      <w:tcPr>
        <w:tcBorders>
          <w:top w:val="single" w:sz="4" w:space="0" w:color="004200" w:themeColor="accent1"/>
          <w:bottom w:val="single" w:sz="4" w:space="0" w:color="0042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00" w:themeColor="accent1"/>
          <w:left w:val="nil"/>
        </w:tcBorders>
      </w:tcPr>
    </w:tblStylePr>
    <w:tblStylePr w:type="swCell">
      <w:tblPr/>
      <w:tcPr>
        <w:tcBorders>
          <w:top w:val="double" w:sz="4" w:space="0" w:color="004200" w:themeColor="accent1"/>
          <w:right w:val="nil"/>
        </w:tcBorders>
      </w:tcPr>
    </w:tblStylePr>
  </w:style>
  <w:style w:type="table" w:styleId="ColorfulList">
    <w:name w:val="Colorful List"/>
    <w:basedOn w:val="TableNormal"/>
    <w:uiPriority w:val="72"/>
    <w:rsid w:val="00D039D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A34" w:themeFill="accent2" w:themeFillShade="CC"/>
      </w:tcPr>
    </w:tblStylePr>
    <w:tblStylePr w:type="lastRow">
      <w:rPr>
        <w:b/>
        <w:bCs/>
        <w:color w:val="006A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92644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940456388">
      <w:bodyDiv w:val="1"/>
      <w:marLeft w:val="0"/>
      <w:marRight w:val="0"/>
      <w:marTop w:val="0"/>
      <w:marBottom w:val="0"/>
      <w:divBdr>
        <w:top w:val="none" w:sz="0" w:space="0" w:color="auto"/>
        <w:left w:val="none" w:sz="0" w:space="0" w:color="auto"/>
        <w:bottom w:val="none" w:sz="0" w:space="0" w:color="auto"/>
        <w:right w:val="none" w:sz="0" w:space="0" w:color="auto"/>
      </w:divBdr>
    </w:div>
    <w:div w:id="99348374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60896369">
      <w:bodyDiv w:val="1"/>
      <w:marLeft w:val="0"/>
      <w:marRight w:val="0"/>
      <w:marTop w:val="0"/>
      <w:marBottom w:val="0"/>
      <w:divBdr>
        <w:top w:val="none" w:sz="0" w:space="0" w:color="auto"/>
        <w:left w:val="none" w:sz="0" w:space="0" w:color="auto"/>
        <w:bottom w:val="none" w:sz="0" w:space="0" w:color="auto"/>
        <w:right w:val="none" w:sz="0" w:space="0" w:color="auto"/>
      </w:divBdr>
    </w:div>
    <w:div w:id="186806077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creativecommons.org/licenses/by/3.0/au/legalco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reativecommons.org/licenses/by/3.0/au/deed.en"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Departmental%20Templates\IHPA\External%20publication.dotx" TargetMode="External"/></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86444-C13F-435C-9859-3693B7DD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Template>
  <TotalTime>1</TotalTime>
  <Pages>39</Pages>
  <Words>12653</Words>
  <Characters>72126</Characters>
  <Application>Microsoft Office Word</Application>
  <DocSecurity>4</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84610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HARRISON, Rachel</dc:creator>
  <cp:lastModifiedBy>Husband, Jessica</cp:lastModifiedBy>
  <cp:revision>2</cp:revision>
  <cp:lastPrinted>2019-01-21T02:05:00Z</cp:lastPrinted>
  <dcterms:created xsi:type="dcterms:W3CDTF">2019-06-27T06:04:00Z</dcterms:created>
  <dcterms:modified xsi:type="dcterms:W3CDTF">2019-06-27T06:04:00Z</dcterms:modified>
</cp:coreProperties>
</file>